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c6d49a14ed3c7cc6194893dd6f3e2158"/>
    <w:p>
      <w:pPr>
        <w:pStyle w:val="Heading1"/>
        <w:keepNext/>
      </w:pPr>
      <w:r>
        <w:t>IFDAT-DOCS</w:t>
      </w:r>
    </w:p>
    <w:p>
      <w:pPr>
        <w:pStyle w:val="Body Text"/>
        <w:ind w:leftChars="0" w:left="0" w:right="0"/>
      </w:pPr>
      <w:r>
        <w:t>DISCLAIMER: Το παρόν αποτελεί σχέδιο και δεν έχει εγκριθεί επίσημα από την Τράπεζα της Ελλάδος.</w:t>
      </w:r>
    </w:p>
    <w:p>
      <w:pPr>
        <w:pStyle w:val="Body Text"/>
        <w:ind w:leftChars="0" w:left="0" w:right="0"/>
      </w:pPr>
      <w:r>
        <w:t xml:space="preserve">Στο </w:t>
      </w:r>
      <w:r>
        <w:rPr>
          <w:b/>
          <w:bCs/>
        </w:rPr>
        <w:t>IFDAT-DOCS</w:t>
      </w:r>
      <w:r>
        <w:t xml:space="preserve"> παρουσιάζεται ο νέος τρόπος με τον οποίο οι Επενδυτικοί Οργανισμοί (EO) με χώρα καταγωγής την Ελλάδα θα υποβάλουν τα αναλυτικά στατιστικά τους στοιχεία στην Τράπεζα της Ελλάδος.</w:t>
      </w:r>
    </w:p>
    <w:p>
      <w:pPr>
        <w:pStyle w:val="Body Text"/>
        <w:ind w:leftChars="0" w:left="0" w:right="0"/>
      </w:pPr>
      <w:r>
        <w:t xml:space="preserve">Στο Excel αρχείο </w:t>
      </w:r>
      <w:r>
        <w:rPr>
          <w:rFonts w:ascii="Consolas" w:eastAsia="ＭＳ ゴシック" w:hansitheme="majorhansi"/>
          <w:color w:val="E74C3C"/>
          <w:sz w:val="20"/>
          <w:szCs w:val="20"/>
          <w:noProof/>
        </w:rPr>
        <w:t>IFDAT-LIST</w:t>
      </w:r>
      <w:r>
        <w:t xml:space="preserve"> στο φύλλο RAS παρουσιάζονται οι μονάδες παροχής στοιχείων (εφεξής ΜΠΣ) του IFDAT.  Στο φύλλο OAS παρουσιάζονται οι ΕΟ του IFDAT, στο φύλλο SHR παρουσιάζονται οι ίδιες μετοχές/μερίδια των ΕΟ του IFDAT και στο φύλλο DBT οι ίδιες εκδόσεις των ΕΟ του IFDAT.</w:t>
      </w:r>
    </w:p>
    <w:p>
      <w:pPr>
        <w:pStyle w:val="Body Text"/>
        <w:ind w:leftChars="0" w:left="0" w:right="0"/>
      </w:pPr>
      <w:r>
        <w:t>Συνοπτικά τα στοιχεία θα υποβάλλονται σε πίνακες όπου ο κάθε πίνακας αποτελείται από παρατηρήσεις (γραμμές) και μεταβλητές (στήλες). Κάθε παρατήρηση αναγράφεται στον πίνακα σε ξεχωριστή γραμμή και σε κάθε μία θα πρέπει να δοθούν τιμές στις μεταβλητές του πίνακα όπου αυτό απαιτείται.  Οι μεταβλητές διακρίνονται σε δύο είδη: σε διαστάσεις και σε μετρήσεις.  Οι διαστάσεις προσδιορίζουν μοναδικά την παρατήρηση, ενώ οι μετρήσεις δίνουν την τιμή ενός στοιχείου σε σχέση με αυτό που προσδιορίζεται μοναδικά από τις τιμές των διαστάσεων.</w:t>
      </w:r>
    </w:p>
    <w:p>
      <w:pPr>
        <w:pStyle w:val="Body Text"/>
        <w:ind w:leftChars="0" w:left="0" w:right="0"/>
      </w:pPr>
      <w:r>
        <w:t>Κάθε πίνακας ανήκει σε μία από τις ακόλουθες δύο κατηγορίες:</w:t>
      </w:r>
    </w:p>
    <w:p>
      <w:pPr>
        <w:pStyle w:val="ListNumber"/>
        <w:numPr>
          <w:ilvl w:val="0"/>
          <w:numId w:val="4"/>
        </w:numPr>
        <w:ind w:leftChars="0" w:left="480" w:right="0"/>
      </w:pPr>
      <w:r>
        <w:t>Κατηγορία πινάκων με στοιχεία αναφοράς (REF)</w:t>
      </w:r>
    </w:p>
    <w:p>
      <w:pPr>
        <w:pStyle w:val="ListNumber"/>
        <w:numPr>
          <w:ilvl w:val="0"/>
          <w:numId w:val="4"/>
        </w:numPr>
        <w:ind w:leftChars="0" w:left="480" w:right="0"/>
      </w:pPr>
      <w:r>
        <w:t>Κατηγορία πινάκων με λογιστικά στοιχεία (ACC)</w:t>
      </w:r>
    </w:p>
    <w:p>
      <w:pPr>
        <w:pStyle w:val="Body Text"/>
        <w:ind w:leftChars="0" w:left="0" w:right="0"/>
      </w:pPr>
      <w:r>
        <w:t xml:space="preserve">Στη </w:t>
      </w:r>
      <w:hyperlink w:anchor="_07b8a4f47b749e0388e01a5dbfdebd75">
        <w:r>
          <w:rPr>
            <w:rStyle w:val="Hyperlink"/>
          </w:rPr>
          <w:t>Πράξη Διοικητή</w:t>
        </w:r>
      </w:hyperlink>
      <w:r>
        <w:t xml:space="preserve"> δίδεται σχέδιο της επερχόμενης νέας Πράξης Διοικητή της Τράπεζας της Ελλάδος για τη συλλογή στοιχείων από τους Επενδυτικούς Οργανισμούς.</w:t>
      </w:r>
    </w:p>
    <w:p>
      <w:pPr>
        <w:pStyle w:val="Body Text"/>
        <w:ind w:leftChars="0" w:left="0" w:right="0"/>
      </w:pPr>
      <w:r>
        <w:t xml:space="preserve">Στους </w:t>
      </w:r>
      <w:hyperlink w:anchor="_c14d9bf81a1758ecfa63ad49c7d2ec2e">
        <w:r>
          <w:rPr>
            <w:rStyle w:val="Hyperlink"/>
          </w:rPr>
          <w:t>πίνακες</w:t>
        </w:r>
      </w:hyperlink>
      <w:r>
        <w:t xml:space="preserve"> παρουσιάζονται αναλυτικά οι μεταβλητές του κάθε πίνακα ανά κατηγορία πινάκων.  Η ίδια δομή παρουσιάζεται με πιο συνοπτικό τρόπο στο Excel αρχείο </w:t>
      </w:r>
      <w:r>
        <w:rPr>
          <w:rFonts w:ascii="Consolas" w:eastAsia="ＭＳ ゴシック" w:hansitheme="majorhansi"/>
          <w:color w:val="E74C3C"/>
          <w:sz w:val="20"/>
          <w:szCs w:val="20"/>
          <w:noProof/>
        </w:rPr>
        <w:t>Data Model</w:t>
      </w:r>
    </w:p>
    <w:p>
      <w:pPr>
        <w:pStyle w:val="Body Text"/>
        <w:ind w:leftChars="0" w:left="0" w:right="0"/>
      </w:pPr>
      <w:r>
        <w:t xml:space="preserve">Στις </w:t>
      </w:r>
      <w:hyperlink w:anchor="_6646d5d5edc224bb18b97caffb429c3d">
        <w:r>
          <w:rPr>
            <w:rStyle w:val="Hyperlink"/>
          </w:rPr>
          <w:t>γενικές οδηγίες</w:t>
        </w:r>
      </w:hyperlink>
      <w:r>
        <w:t xml:space="preserve"> παρουσιάζονται κάποιες γενικές παραδοχές και οδηγίες της δομής δεδομένων IFDat.</w:t>
      </w:r>
    </w:p>
    <w:p>
      <w:pPr>
        <w:pStyle w:val="Body Text"/>
        <w:ind w:leftChars="0" w:left="0" w:right="0"/>
      </w:pPr>
      <w:r>
        <w:t xml:space="preserve">Στους </w:t>
      </w:r>
      <w:hyperlink w:anchor="_1286127b186296dde5352963dc0e24ae">
        <w:r>
          <w:rPr>
            <w:rStyle w:val="Hyperlink"/>
          </w:rPr>
          <w:t>αναγνωριστικούς κωδικούς</w:t>
        </w:r>
      </w:hyperlink>
      <w:r>
        <w:t xml:space="preserve"> παρουσιάζεται ο τρόπος που διαμορφώνονται οι αναγνωριστικοί κωδικοί ανά θεσμική οντότητα και ανά χρηματοοικονομικό μέσο.</w:t>
      </w:r>
    </w:p>
    <w:p>
      <w:pPr>
        <w:pStyle w:val="Body Text"/>
        <w:ind w:leftChars="0" w:left="0" w:right="0"/>
      </w:pPr>
      <w:r>
        <w:t xml:space="preserve">Στην </w:t>
      </w:r>
      <w:hyperlink w:anchor="_d071b0acb4e85cd66e9a7ae0a8aece91">
        <w:r>
          <w:rPr>
            <w:rStyle w:val="Hyperlink"/>
          </w:rPr>
          <w:t>υποβολή</w:t>
        </w:r>
      </w:hyperlink>
      <w:r>
        <w:t xml:space="preserve"> παρουσιάζεται ο τρόπος υποβολής αρχείων IFDAT.</w:t>
      </w:r>
    </w:p>
    <w:p>
      <w:pPr>
        <w:pStyle w:val="Body Text"/>
        <w:ind w:leftChars="0" w:left="0" w:right="0"/>
      </w:pPr>
      <w:r>
        <w:t xml:space="preserve">Στην </w:t>
      </w:r>
      <w:hyperlink w:anchor="_5f7b51b95acf1d521665910b610534f1">
        <w:r>
          <w:rPr>
            <w:rStyle w:val="Hyperlink"/>
          </w:rPr>
          <w:t>επικύρωση</w:t>
        </w:r>
      </w:hyperlink>
      <w:r>
        <w:t xml:space="preserve"> παρουσιάζεται ο τρόπος επικύρωσης των στοιχείων της βάσης.</w:t>
      </w:r>
    </w:p>
    <w:p>
      <w:pPr>
        <w:pStyle w:val="Body Text"/>
        <w:ind w:leftChars="0" w:left="0" w:right="0"/>
      </w:pPr>
      <w:r>
        <w:t xml:space="preserve">Στα </w:t>
      </w:r>
      <w:hyperlink w:anchor="_5784fb0e3502fad0f55808155bba3d8e">
        <w:r>
          <w:rPr>
            <w:rStyle w:val="Hyperlink"/>
          </w:rPr>
          <w:t>είδη τιμών</w:t>
        </w:r>
      </w:hyperlink>
      <w:r>
        <w:t xml:space="preserve"> δίδονται οι μορφότυποι και οι λίστες τιμών για όλες τις μεταβλητές του IFDAT.</w:t>
      </w:r>
    </w:p>
    <w:p>
      <w:pPr>
        <w:pStyle w:val="Body Text"/>
        <w:ind w:leftChars="0" w:left="0" w:right="0"/>
      </w:pPr>
      <w:r>
        <w:t xml:space="preserve">Στις </w:t>
      </w:r>
      <w:hyperlink w:anchor="_c552cb8718cde5cb792e181f78f5fde1">
        <w:r>
          <w:rPr>
            <w:rStyle w:val="Hyperlink"/>
          </w:rPr>
          <w:t>γρήγορες λήψεις</w:t>
        </w:r>
      </w:hyperlink>
      <w:r>
        <w:t xml:space="preserve"> υπάρχουν σε ένα σημείο όλα τα βασικά αρχεία του IFDAT εκτός των παραδειγμάτων.</w:t>
      </w:r>
    </w:p>
    <w:p>
      <w:pPr>
        <w:pStyle w:val="Body Text"/>
        <w:ind w:leftChars="0" w:left="0" w:right="0"/>
      </w:pPr>
      <w:r>
        <w:t xml:space="preserve">Στα </w:t>
      </w:r>
      <w:hyperlink w:anchor="_d28a4824dc47e487b107a5db32ef43c4">
        <w:r>
          <w:rPr>
            <w:rStyle w:val="Hyperlink"/>
          </w:rPr>
          <w:t>παραδείγματα</w:t>
        </w:r>
      </w:hyperlink>
      <w:r>
        <w:t xml:space="preserve"> παρουσιάζονται παραδείγματα υποβολής στοιχείων στο IFDAT.</w:t>
      </w:r>
    </w:p>
    <w:p>
      <w:pPr>
        <w:pStyle w:val="Body Text"/>
        <w:ind w:leftChars="0" w:left="0" w:right="0"/>
      </w:pPr>
      <w:r>
        <w:t xml:space="preserve">Στα </w:t>
      </w:r>
      <w:hyperlink w:anchor="_b23c978d82e74094d5a88bfa48a952e0">
        <w:r>
          <w:rPr>
            <w:rStyle w:val="Hyperlink"/>
          </w:rPr>
          <w:t>νέα</w:t>
        </w:r>
      </w:hyperlink>
      <w:r>
        <w:t xml:space="preserve"> υπάρχει η εξέλιξη του έργου IFDat.</w:t>
      </w:r>
    </w:p>
    <w:p>
      <w:pPr>
        <w:pStyle w:val="Body Text"/>
        <w:ind w:leftChars="0" w:left="0" w:right="0"/>
      </w:pPr>
      <w:r>
        <w:t xml:space="preserve">Τέλος στο </w:t>
      </w:r>
      <w:hyperlink w:anchor="_5fc0168d11760b9445bd29fa15d9290f">
        <w:r>
          <w:rPr>
            <w:rStyle w:val="Hyperlink"/>
          </w:rPr>
          <w:t>dev</w:t>
        </w:r>
      </w:hyperlink>
      <w:r>
        <w:t xml:space="preserve"> παρουσιάζεται ο τρόπος που μπορείς να βοηθήσεις στην ανάπτυξη του έργου.</w:t>
      </w:r>
    </w:p>
    <w:bookmarkStart w:id="3" w:name="_31278d7457dfe19fcbe7c0c19031c6ef"/>
    <w:p>
      <w:pPr>
        <w:pStyle w:val="Heading2"/>
        <w:keepNext/>
      </w:pPr>
      <w:r>
        <w:t>Περιεχόμενα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"1-3" \b "_dff89ee41b44b81fe9f3581a9b260ec3" \h \z \u </w:instrText>
          </w:r>
          <w:r>
            <w:fldChar w:fldCharType="separate"/>
          </w:r>
          <w:hyperlink w:anchor="_07b8a4f47b749e0388e01a5dbfdebd75" w:history="1">
            <w:r>
              <w:t>Κανονισμός</w:t>
            </w:r>
            <w:r>
              <w:rPr>
                <w:webHidden/>
              </w:rPr>
              <w:tab/>
            </w:r>
            <w:r>
              <w:fldChar w:fldCharType="begin"/>
            </w:r>
            <w:r>
              <w:rPr>
                <w:webHidden/>
              </w:rPr>
              <w:instrText xml:space="preserve"> PAGEREF _07b8a4f47b749e0388e01a5dbfdebd75 \h </w:instrText>
            </w:r>
            <w:r>
              <w:fldChar w:fldCharType="separate"/>
            </w:r>
            <w:r>
              <w:rPr>
                <w:webHidden/>
              </w:rPr>
              <w:t>X</w:t>
            </w:r>
            <w:r>
              <w:fldChar w:fldCharType="end"/>
            </w:r>
          </w:hyperlink>
        </w:p>
        <w:p>
          <w:pPr>
            <w:pStyle w:val="toc 1"/>
            <w:tabs>
              <w:tab w:val="right" w:leader="dot" w:pos="8488"/>
            </w:tabs>
            <w:rPr>
              <w:b w:val="0"/>
              <w:noProof/>
            </w:rPr>
          </w:pPr>
          <w:hyperlink w:anchor="_c14d9bf81a1758ecfa63ad49c7d2ec2e" w:history="1">
            <w:r>
              <w:t>Πίνακες</w:t>
            </w:r>
            <w:r>
              <w:rPr>
                <w:webHidden/>
              </w:rPr>
              <w:tab/>
            </w:r>
            <w:r>
              <w:fldChar w:fldCharType="begin"/>
            </w:r>
            <w:r>
              <w:rPr>
                <w:webHidden/>
              </w:rPr>
              <w:instrText xml:space="preserve"> PAGEREF _c14d9bf81a1758ecfa63ad49c7d2ec2e \h </w:instrText>
            </w:r>
            <w:r>
              <w:fldChar w:fldCharType="separate"/>
            </w:r>
            <w:r>
              <w:rPr>
                <w:webHidden/>
              </w:rPr>
              <w:t>X</w:t>
            </w:r>
            <w:r>
              <w:fldChar w:fldCharType="end"/>
            </w:r>
          </w:hyperlink>
        </w:p>
        <w:p>
          <w:pPr>
            <w:pStyle w:val="toc 1"/>
            <w:tabs>
              <w:tab w:val="right" w:leader="dot" w:pos="8488"/>
            </w:tabs>
            <w:rPr>
              <w:b w:val="0"/>
              <w:noProof/>
            </w:rPr>
          </w:pPr>
          <w:hyperlink w:anchor="_6646d5d5edc224bb18b97caffb429c3d" w:history="1">
            <w:r>
              <w:t>Γενικές Οδηγίες</w:t>
            </w:r>
            <w:r>
              <w:rPr>
                <w:webHidden/>
              </w:rPr>
              <w:tab/>
            </w:r>
            <w:r>
              <w:fldChar w:fldCharType="begin"/>
            </w:r>
            <w:r>
              <w:rPr>
                <w:webHidden/>
              </w:rPr>
              <w:instrText xml:space="preserve"> PAGEREF _6646d5d5edc224bb18b97caffb429c3d \h </w:instrText>
            </w:r>
            <w:r>
              <w:fldChar w:fldCharType="separate"/>
            </w:r>
            <w:r>
              <w:rPr>
                <w:webHidden/>
              </w:rPr>
              <w:t>X</w:t>
            </w:r>
            <w:r>
              <w:fldChar w:fldCharType="end"/>
            </w:r>
          </w:hyperlink>
        </w:p>
        <w:p>
          <w:pPr>
            <w:pStyle w:val="toc 1"/>
            <w:tabs>
              <w:tab w:val="right" w:leader="dot" w:pos="8488"/>
            </w:tabs>
            <w:rPr>
              <w:b w:val="0"/>
              <w:noProof/>
            </w:rPr>
          </w:pPr>
          <w:hyperlink w:anchor="_1286127b186296dde5352963dc0e24ae" w:history="1">
            <w:r>
              <w:t>Αναγνωριστικοί Kωδικοί</w:t>
            </w:r>
            <w:r>
              <w:rPr>
                <w:webHidden/>
              </w:rPr>
              <w:tab/>
            </w:r>
            <w:r>
              <w:fldChar w:fldCharType="begin"/>
            </w:r>
            <w:r>
              <w:rPr>
                <w:webHidden/>
              </w:rPr>
              <w:instrText xml:space="preserve"> PAGEREF _1286127b186296dde5352963dc0e24ae \h </w:instrText>
            </w:r>
            <w:r>
              <w:fldChar w:fldCharType="separate"/>
            </w:r>
            <w:r>
              <w:rPr>
                <w:webHidden/>
              </w:rPr>
              <w:t>X</w:t>
            </w:r>
            <w:r>
              <w:fldChar w:fldCharType="end"/>
            </w:r>
          </w:hyperlink>
        </w:p>
        <w:p>
          <w:pPr>
            <w:pStyle w:val="toc 1"/>
            <w:tabs>
              <w:tab w:val="right" w:leader="dot" w:pos="8488"/>
            </w:tabs>
            <w:rPr>
              <w:b w:val="0"/>
              <w:noProof/>
            </w:rPr>
          </w:pPr>
          <w:hyperlink w:anchor="_d071b0acb4e85cd66e9a7ae0a8aece91" w:history="1">
            <w:r>
              <w:t>Τρόπος υποβολής αρχείων IFDAT</w:t>
            </w:r>
            <w:r>
              <w:rPr>
                <w:webHidden/>
              </w:rPr>
              <w:tab/>
            </w:r>
            <w:r>
              <w:fldChar w:fldCharType="begin"/>
            </w:r>
            <w:r>
              <w:rPr>
                <w:webHidden/>
              </w:rPr>
              <w:instrText xml:space="preserve"> PAGEREF _d071b0acb4e85cd66e9a7ae0a8aece91 \h </w:instrText>
            </w:r>
            <w:r>
              <w:fldChar w:fldCharType="separate"/>
            </w:r>
            <w:r>
              <w:rPr>
                <w:webHidden/>
              </w:rPr>
              <w:t>X</w:t>
            </w:r>
            <w:r>
              <w:fldChar w:fldCharType="end"/>
            </w:r>
          </w:hyperlink>
        </w:p>
        <w:p>
          <w:pPr>
            <w:pStyle w:val="toc 1"/>
            <w:tabs>
              <w:tab w:val="right" w:leader="dot" w:pos="8488"/>
            </w:tabs>
            <w:rPr>
              <w:b w:val="0"/>
              <w:noProof/>
            </w:rPr>
          </w:pPr>
          <w:hyperlink w:anchor="_5f7b51b95acf1d521665910b610534f1" w:history="1">
            <w:r>
              <w:t>΄Ελεγχος Στοιχείων Βάσης</w:t>
            </w:r>
            <w:r>
              <w:rPr>
                <w:webHidden/>
              </w:rPr>
              <w:tab/>
            </w:r>
            <w:r>
              <w:fldChar w:fldCharType="begin"/>
            </w:r>
            <w:r>
              <w:rPr>
                <w:webHidden/>
              </w:rPr>
              <w:instrText xml:space="preserve"> PAGEREF _5f7b51b95acf1d521665910b610534f1 \h </w:instrText>
            </w:r>
            <w:r>
              <w:fldChar w:fldCharType="separate"/>
            </w:r>
            <w:r>
              <w:rPr>
                <w:webHidden/>
              </w:rPr>
              <w:t>X</w:t>
            </w:r>
            <w:r>
              <w:fldChar w:fldCharType="end"/>
            </w:r>
          </w:hyperlink>
        </w:p>
        <w:p>
          <w:pPr>
            <w:pStyle w:val="toc 1"/>
            <w:tabs>
              <w:tab w:val="right" w:leader="dot" w:pos="8488"/>
            </w:tabs>
            <w:rPr>
              <w:b w:val="0"/>
              <w:noProof/>
            </w:rPr>
          </w:pPr>
          <w:hyperlink w:anchor="_5784fb0e3502fad0f55808155bba3d8e" w:history="1">
            <w:r>
              <w:t>Είδος Τιμών</w:t>
            </w:r>
            <w:r>
              <w:rPr>
                <w:webHidden/>
              </w:rPr>
              <w:tab/>
            </w:r>
            <w:r>
              <w:fldChar w:fldCharType="begin"/>
            </w:r>
            <w:r>
              <w:rPr>
                <w:webHidden/>
              </w:rPr>
              <w:instrText xml:space="preserve"> PAGEREF _5784fb0e3502fad0f55808155bba3d8e \h </w:instrText>
            </w:r>
            <w:r>
              <w:fldChar w:fldCharType="separate"/>
            </w:r>
            <w:r>
              <w:rPr>
                <w:webHidden/>
              </w:rPr>
              <w:t>X</w:t>
            </w:r>
            <w:r>
              <w:fldChar w:fldCharType="end"/>
            </w:r>
          </w:hyperlink>
        </w:p>
        <w:p>
          <w:pPr>
            <w:pStyle w:val="toc 1"/>
            <w:tabs>
              <w:tab w:val="right" w:leader="dot" w:pos="8488"/>
            </w:tabs>
            <w:rPr>
              <w:b w:val="0"/>
              <w:noProof/>
            </w:rPr>
          </w:pPr>
          <w:hyperlink w:anchor="_c552cb8718cde5cb792e181f78f5fde1" w:history="1">
            <w:r>
              <w:t>Γρήγορες Λήψεις</w:t>
            </w:r>
            <w:r>
              <w:rPr>
                <w:webHidden/>
              </w:rPr>
              <w:tab/>
            </w:r>
            <w:r>
              <w:fldChar w:fldCharType="begin"/>
            </w:r>
            <w:r>
              <w:rPr>
                <w:webHidden/>
              </w:rPr>
              <w:instrText xml:space="preserve"> PAGEREF _c552cb8718cde5cb792e181f78f5fde1 \h </w:instrText>
            </w:r>
            <w:r>
              <w:fldChar w:fldCharType="separate"/>
            </w:r>
            <w:r>
              <w:rPr>
                <w:webHidden/>
              </w:rPr>
              <w:t>X</w:t>
            </w:r>
            <w:r>
              <w:fldChar w:fldCharType="end"/>
            </w:r>
          </w:hyperlink>
        </w:p>
        <w:p>
          <w:pPr>
            <w:pStyle w:val="toc 1"/>
            <w:tabs>
              <w:tab w:val="right" w:leader="dot" w:pos="8488"/>
            </w:tabs>
            <w:rPr>
              <w:b w:val="0"/>
              <w:noProof/>
            </w:rPr>
          </w:pPr>
          <w:hyperlink w:anchor="_d28a4824dc47e487b107a5db32ef43c4" w:history="1">
            <w:r>
              <w:t>Παραδείγματα Αναγγελλίας Στοιχείων</w:t>
            </w:r>
            <w:r>
              <w:rPr>
                <w:webHidden/>
              </w:rPr>
              <w:tab/>
            </w:r>
            <w:r>
              <w:fldChar w:fldCharType="begin"/>
            </w:r>
            <w:r>
              <w:rPr>
                <w:webHidden/>
              </w:rPr>
              <w:instrText xml:space="preserve"> PAGEREF _d28a4824dc47e487b107a5db32ef43c4 \h </w:instrText>
            </w:r>
            <w:r>
              <w:fldChar w:fldCharType="separate"/>
            </w:r>
            <w:r>
              <w:rPr>
                <w:webHidden/>
              </w:rPr>
              <w:t>X</w:t>
            </w:r>
            <w:r>
              <w:fldChar w:fldCharType="end"/>
            </w:r>
          </w:hyperlink>
        </w:p>
        <w:p>
          <w:pPr>
            <w:pStyle w:val="toc 1"/>
            <w:tabs>
              <w:tab w:val="right" w:leader="dot" w:pos="8488"/>
            </w:tabs>
            <w:rPr>
              <w:b w:val="0"/>
              <w:noProof/>
            </w:rPr>
          </w:pPr>
          <w:hyperlink w:anchor="_b23c978d82e74094d5a88bfa48a952e0" w:history="1">
            <w:r>
              <w:t>What’s new?</w:t>
            </w:r>
            <w:r>
              <w:rPr>
                <w:webHidden/>
              </w:rPr>
              <w:tab/>
            </w:r>
            <w:r>
              <w:fldChar w:fldCharType="begin"/>
            </w:r>
            <w:r>
              <w:rPr>
                <w:webHidden/>
              </w:rPr>
              <w:instrText xml:space="preserve"> PAGEREF _b23c978d82e74094d5a88bfa48a952e0 \h </w:instrText>
            </w:r>
            <w:r>
              <w:fldChar w:fldCharType="separate"/>
            </w:r>
            <w:r>
              <w:rPr>
                <w:webHidden/>
              </w:rPr>
              <w:t>X</w:t>
            </w:r>
            <w:r>
              <w:fldChar w:fldCharType="end"/>
            </w:r>
          </w:hyperlink>
        </w:p>
        <w:p>
          <w:pPr>
            <w:pStyle w:val="toc 1"/>
            <w:tabs>
              <w:tab w:val="right" w:leader="dot" w:pos="8488"/>
            </w:tabs>
            <w:rPr>
              <w:b w:val="0"/>
              <w:noProof/>
            </w:rPr>
          </w:pPr>
          <w:hyperlink w:anchor="_5fc0168d11760b9445bd29fa15d9290f" w:history="1">
            <w:r>
              <w:t>Development</w:t>
            </w:r>
            <w:r>
              <w:rPr>
                <w:webHidden/>
              </w:rPr>
              <w:tab/>
            </w:r>
            <w:r>
              <w:fldChar w:fldCharType="begin"/>
            </w:r>
            <w:r>
              <w:rPr>
                <w:webHidden/>
              </w:rPr>
              <w:instrText xml:space="preserve"> PAGEREF _5fc0168d11760b9445bd29fa15d9290f \h </w:instrText>
            </w:r>
            <w:r>
              <w:fldChar w:fldCharType="separate"/>
            </w:r>
            <w:r>
              <w:rPr>
                <w:webHidden/>
              </w:rPr>
              <w:t>X</w:t>
            </w:r>
            <w:r>
              <w:fldChar w:fldCharType="end"/>
            </w:r>
          </w:hyperlink>
        </w:p>
        <w:p>
          <w:r>
            <w:fldChar w:fldCharType="end"/>
          </w:r>
        </w:p>
      </w:sdtContent>
    </w:sdt>
    <w:bookmarkStart w:id="4" w:name="_dff89ee41b44b81fe9f3581a9b260ec3"/>
    <w:bookmarkStart w:id="5" w:name="_07b8a4f47b749e0388e01a5dbfdebd75"/>
    <w:bookmarkStart w:id="6" w:name="_ba6823de279d560928e433c9f15fb63d"/>
    <w:p>
      <w:pPr>
        <w:pStyle w:val="Heading3"/>
        <w:keepNext/>
      </w:pPr>
      <w:r>
        <w:t>Κανονισμός</w:t>
      </w:r>
    </w:p>
    <w:bookmarkStart w:id="7" w:name="_c5217d9a7d82e5c1ea8df56b898fc01d"/>
    <w:p>
      <w:pPr>
        <w:pStyle w:val="Heading4"/>
        <w:keepNext/>
      </w:pPr>
      <w:r>
        <w:t>ΠΡΑΞΗ ΔΙΟΙΚΗΤΗ ΑΡΙΘΜΟΣ ΧΧΧΧ/ΧΧ.ΧΧ.202#</w:t>
      </w:r>
    </w:p>
    <w:p>
      <w:pPr>
        <w:pStyle w:val="Body Text"/>
        <w:ind w:leftChars="0" w:left="0" w:right="0"/>
      </w:pPr>
      <w:r>
        <w:t>ΘΕΜΑ: Υποβολή στατιστικών στοιχείων από τους Επενδυτικούς Οργανισμούς στην Τράπεζα της Ελλάδος</w:t>
      </w:r>
    </w:p>
    <w:p>
      <w:pPr>
        <w:pStyle w:val="Body Text"/>
        <w:ind w:leftChars="0" w:left="0" w:right="0"/>
      </w:pPr>
      <w:r>
        <w:t>Ο ΔΙΟΙΚΗΤΗΣ ΤΗΣ ΤΡΑΠΕΖΑΣ ΤΗΣ ΕΛΛΑΔΟΣ, αφού έλαβε υπόψη:</w:t>
      </w:r>
    </w:p>
    <w:p>
      <w:pPr>
        <w:pStyle w:val="Body Text"/>
        <w:ind w:leftChars="0" w:left="0" w:right="0"/>
      </w:pPr>
      <w:r>
        <w:t>α) τα άρθρα 2 και 55Γ του Καταστατικού της Τράπεζας της Ελλάδος, όπως ισχύουν,</w:t>
      </w:r>
    </w:p>
    <w:p>
      <w:pPr>
        <w:pStyle w:val="Body Text"/>
        <w:ind w:leftChars="0" w:left="0" w:right="0"/>
      </w:pPr>
      <w:r>
        <w:t>β) τον Κανονισμό (ΕΕ) αριθ. 2024/1988 της Ευρωπαϊκής Κεντρικής Τράπεζας της 27ης Ιουνίου 2024 σχετικά με τα στατιστικά στοιχεία των επενδυτικών οργανισμών και την κατάργηση της απόφασης (ΕΕ) 2015/32 (ΕΚΤ/2014/62) (EKT/2024/17) (αναδιατύπωση),</w:t>
      </w:r>
    </w:p>
    <w:p>
      <w:pPr>
        <w:pStyle w:val="Body Text"/>
        <w:ind w:leftChars="0" w:left="0" w:right="0"/>
      </w:pPr>
      <w:r>
        <w:t>γ) τον Κανονισμό (ΕΕ) αριθ. 2021/379 της Ευρωπαϊκής Κεντρικής Τράπεζας της 22ης Ιανουαρίου 2021, σχετικά με τα στοιχεία της λογιστικής κατάστασης των πιστωτικών ιδρυμάτων και του τομέα των νομισματικών χρηματοπιστωτικών ιδρυμάτων (αναδιατύπωση) (ΕΚΤ/2021/2),</w:t>
      </w:r>
    </w:p>
    <w:p>
      <w:pPr>
        <w:pStyle w:val="Body Text"/>
        <w:ind w:leftChars="0" w:left="0" w:right="0"/>
      </w:pPr>
      <w:r>
        <w:t>δ) τον Κανονισμό (ΕΕ) αριθ. 2016/1384 της Ευρωπαϊκής Κεντρικής Τράπεζας της 2ας Αυγούστου 2016 που τροποποιεί τον Κανονισμό (ΕΕ) αριθ. 1011/2012 (ECB/2012/24) σχετικά με τα στατιστικά στοιχεία για τις διακρατήσεις τίτλων (ECB/2016/22),</w:t>
      </w:r>
    </w:p>
    <w:p>
      <w:pPr>
        <w:pStyle w:val="Body Text"/>
        <w:ind w:leftChars="0" w:left="0" w:right="0"/>
      </w:pPr>
      <w:r>
        <w:t>ε) την Κατευθυντήρια Γραμμή (ΕΕ) 2024/ΧΧ της Ευρωπαϊκής Κεντρικής Τράπεζας της 10ης Οκτωβρίου 2024 που τροποποιεί την κατευθυντήρια γραμμή (ΕΕ) 2021/831 σχετικά με την παροχή στατιστικών πληροφοριών για τους ενδιάμεσους χρηματοοικονομικούς οργανισμούς, πλην των νομισματικών χρηματοπιστωτικών ιδρυμάτων (ΕΚΤ/2021/12) (ΕΚΤ/2024/27),</w:t>
      </w:r>
    </w:p>
    <w:p>
      <w:pPr>
        <w:pStyle w:val="Body Text"/>
        <w:ind w:leftChars="0" w:left="0" w:right="0"/>
      </w:pPr>
      <w:r>
        <w:t>στ) την Κατευθυντήρια Γραμμή (ΕΕ) 2018/323 της Ευρωπαϊκής Κεντρικής Τράπεζας της 22ας Φεβρουαρίου 2018 σχετικά με τα στατιστικά στοιχεία για τις διακρατήσεις τίτλων (ΕΚΤ/2018/8),</w:t>
      </w:r>
    </w:p>
    <w:p>
      <w:pPr>
        <w:pStyle w:val="Body Text"/>
        <w:ind w:leftChars="0" w:left="0" w:right="0"/>
      </w:pPr>
      <w:r>
        <w:t>ζ) την Κατευθυντήρια Γραμμή (ΕΕ) 2022/971 της Ευρωπαϊκής Κεντρικής Τράπεζας της 19ης Μαΐου 2022 σχετικά με την κεντρική βάση δεδομένων για τους τίτλους και την παραγωγή στατιστικών στοιχείων τις τις εκδόσεις τίτλων και σχετικά με την κατάργηση της κατευθυντήριας γραμμής ΕΚΤ/2012/21 και της κατευθυντήριας γραμμής (EE) 2021/834 (ΕΚΤ/2022/25),</w:t>
      </w:r>
    </w:p>
    <w:p>
      <w:pPr>
        <w:pStyle w:val="Body Text"/>
        <w:ind w:leftChars="0" w:left="0" w:right="0"/>
      </w:pPr>
      <w:r>
        <w:t>η) την Κατευθυντήρια Γραμμή (ΕΕ) 2019/1335 της Ευρωπαϊκής Κεντρικής Τράπεζας της 17ης Ιουνίου 2019, που τροποποιεί την κατευθυντήρια γραμμή ΕΕ/2018/876 σχετικά με το μητρώο δεδομένων ιδρυμάτων και συνδεδεμένων επιχειρήσεων (EKT/2019/17),</w:t>
      </w:r>
    </w:p>
    <w:p>
      <w:pPr>
        <w:pStyle w:val="Body Text"/>
        <w:ind w:leftChars="0" w:left="0" w:right="0"/>
      </w:pPr>
      <w:r>
        <w:t>θ) την Κατευθυντήρια Γραμμή (ΕΕ) 2021/827 της Ευρωπαϊκής Κεντρικής Τράπεζας της 29ης Απριλίου 2021 που τροποποιεί την κατευθυντήρια γραμμή EKT/2013/24 σχετικά με τις υποχρεώσεις παροχής στατιστικών στοιχείων που θεσπίζει η Ευρωπαϊκή Κεντρική Τράπεζα στον τομέα των τριμηνιαίων χρηματοοικονομικών λογαριασμών (ΕΚΤ/2021/10),</w:t>
      </w:r>
    </w:p>
    <w:p>
      <w:pPr>
        <w:pStyle w:val="Body Text"/>
        <w:ind w:leftChars="0" w:left="0" w:right="0"/>
      </w:pPr>
      <w:r>
        <w:t>ι) την ανάγκη να διαθέτει η Τράπεζα της Ελλάδος την εξειδικευμένη στατιστική πληροφορία στο πλαίσιο άσκησης της νομισματικής πολιτικής στη ζώνη του ευρώ,</w:t>
      </w:r>
    </w:p>
    <w:p>
      <w:pPr>
        <w:pStyle w:val="Body Text"/>
        <w:ind w:leftChars="0" w:left="0" w:right="0"/>
      </w:pPr>
      <w:r>
        <w:t>κ) το γεγονός ότι από τις διατάξεις της παρούσας Πϱάξης δεν προκύπτει δαπάνη σε βάρος του Κρατικού Προϋπολογισμού,</w:t>
      </w:r>
    </w:p>
    <w:p>
      <w:pPr>
        <w:pStyle w:val="Body Text"/>
        <w:ind w:leftChars="0" w:left="0" w:right="0"/>
      </w:pPr>
      <w:r>
        <w:t>ΑΠΟΦΑΣΙΣΕ τα ακόλουθα:</w:t>
      </w:r>
    </w:p>
    <w:bookmarkEnd w:id="7"/>
    <w:bookmarkStart w:id="8" w:name="_a5c83e45dde6f727f783aa767f4702c3"/>
    <w:p>
      <w:pPr>
        <w:pStyle w:val="Heading4"/>
        <w:keepNext/>
      </w:pPr>
      <w:r>
        <w:t>Άρθρο 1: Αντικείμενο και πεδίο εφαρμογής</w:t>
      </w:r>
    </w:p>
    <w:p>
      <w:pPr>
        <w:pStyle w:val="Body Text"/>
        <w:ind w:leftChars="0" w:left="0" w:right="0"/>
      </w:pPr>
      <w:r>
        <w:t>Η παρούσα Πράξη θεσπίζει υποχρεώσεις παροχής στοιχείων για τους Οργανισμούς Συλλογικών Επενδύσεων σε Κινητές Αξίες και τους Οργανισμούς Εναλλακτικών Επενδύσεων, όσον αφορά στατιστικές πληροφορίες για το ενεργητικό, το παθητικό, το εισπραττόμενο εισόδημα, τα καταβαλλόμενα μερίσματα και τις αμοιβές που καταβάλλουν οι μεριδιούχοι/μέτοχοι στους Οργανισμούς Συλλογικών Επενδύσεων σε Κινητές Αξίες και στους Οργανισμούς Εναλλακτικών Επενδύσεων.</w:t>
      </w:r>
    </w:p>
    <w:bookmarkEnd w:id="8"/>
    <w:bookmarkStart w:id="9" w:name="_27f91881eecd1026f7ecfe0cceb95016"/>
    <w:p>
      <w:pPr>
        <w:pStyle w:val="Heading4"/>
        <w:keepNext/>
      </w:pPr>
      <w:r>
        <w:t>Άρθρο 2: Πραγματικός πληθυσμός παροχής στοιχείων</w:t>
      </w:r>
    </w:p>
    <w:p>
      <w:pPr>
        <w:pStyle w:val="Body Text"/>
        <w:ind w:leftChars="0" w:left="0" w:right="0"/>
      </w:pPr>
      <w:r>
        <w:t>Ο πραγματικός πληθυσμός παροχής στοιχείων αποτελείται από τους Οργανισμούς Συλλογικών Επενδύσεων σε Κινητές Αξίες και τους Οργανισμούς Εναλλακτικών Επενδύσεων με έδρα την Ελλάδα και περιλαμβάνει:</w:t>
      </w:r>
    </w:p>
    <w:p>
      <w:pPr>
        <w:pStyle w:val="Body Text"/>
        <w:ind w:leftChars="0" w:left="0" w:right="0"/>
      </w:pPr>
      <w:r>
        <w:t>α) τους Οργανισμούς Συλλογικών Επενδύσεων σε Κινητές Αξίες (ΟΣΕΚΑ) με έδρα την Ελλάδα (ν. 4099/2012),</w:t>
      </w:r>
    </w:p>
    <w:p>
      <w:pPr>
        <w:pStyle w:val="Body Text"/>
        <w:ind w:leftChars="0" w:left="0" w:right="0"/>
      </w:pPr>
      <w:r>
        <w:t>β) τους Οργανισμούς Εναλλακτικών Επενδύσεων (ΟΕΕ) με έδρα την Ελλάδα (ν. 4209/2013).  Στους ΟΕΕ μεταξύ άλλων περιλαμβάνονται οι Ανώνυμες Εταιρείες Επενδύσεων σε Ακίνητη Περιουσία του ν. 2778/1999, οι Ανώνυμες Εταιρείες Επενδύσεων Χαρτοφυλακίου του ν. 371/2005, όπως τροποποιήθηκε,  τα Αμοιβαία Κεφάλαια Επιχειρηματικών Συμμετοχών κλειστού τύπου (Α.Κ.Ε.Σ.) του ν.2992/2002 όπως τροποποιήθηκε και οι Εταιρίες Κεφαλαίου Επιχειρηματικών Συμμετοχών (Ε.Κ.Ε.Σ.) του ν.2367/1995 όπως τροποποιήθηκε.</w:t>
      </w:r>
    </w:p>
    <w:p>
      <w:pPr>
        <w:pStyle w:val="Body Text"/>
        <w:ind w:leftChars="0" w:left="0" w:right="0"/>
      </w:pPr>
      <w:r>
        <w:t>Οι ίδιοι οι ΟΣΕΚΑ  και οι ΟΕΕ [στο εξής Επενδυτικοί Οργανισμοί (ΕΟ)]  ή, στην περίπτωση ΕΟ που δεν έχουν νομική προσωπικότητα, τα πρόσωπα που τους εκπροσωπούν νόμιμα, παρέχουν τις στατιστικές πληροφορίες που απαιτούνται βάσει της παρούσας Πράξης.  Οι φορείς που παρέχουν στατιστικές πληροφορίες για τους σκοπούς της παρούσας Πράξης αποτελούν τις Μονάδες Παροχής Στοιχείων (ΜΠΣ).</w:t>
      </w:r>
    </w:p>
    <w:p>
      <w:pPr>
        <w:pStyle w:val="Body Text"/>
        <w:ind w:leftChars="0" w:left="0" w:right="0"/>
      </w:pPr>
      <w:r>
        <w:t>Στην περίπτωση που ένας ΕΟ διαχωρίζει τα στοιχεία του ενεργητικού του σε διαφορετικούς επιμέρους οργανισμούς που τον συναποτελούν (sub-funds), κατά τρόπο ώστε οι μετοχές/μερίδια που αντιστοιχούν σε κάθε επιμέρους οργανισμό να καλύπτονται ανεξάρτητα από διαφορετικά στοιχεία του ενεργητικού, τότε κάθε επιμέρους οργανισμός θεωρείται μεμονωμένος ΕΟ.</w:t>
      </w:r>
    </w:p>
    <w:bookmarkEnd w:id="9"/>
    <w:bookmarkStart w:id="10" w:name="_ddb86cb24e250101d7c177f467cfca43"/>
    <w:p>
      <w:pPr>
        <w:pStyle w:val="Heading4"/>
        <w:keepNext/>
      </w:pPr>
      <w:r>
        <w:t>Άρθρο 3: Υποχρεώσεις Παροχής Στατιστικών Στοιχείων</w:t>
      </w:r>
    </w:p>
    <w:p>
      <w:pPr>
        <w:pStyle w:val="Body Text"/>
        <w:ind w:leftChars="0" w:left="0" w:right="0"/>
      </w:pPr>
      <w:r>
        <w:t>Οι στατιστικές πληροφορίες που παρέχονται από τους ΕΟ διαχωρίζονται σε δύο κατηγορίες:</w:t>
      </w:r>
    </w:p>
    <w:p>
      <w:pPr>
        <w:pStyle w:val="ListNumber"/>
        <w:numPr>
          <w:ilvl w:val="0"/>
          <w:numId w:val="5"/>
        </w:numPr>
        <w:ind w:leftChars="0" w:left="480" w:right="0"/>
      </w:pPr>
      <w:r>
        <w:t>λογιστικά στοιχεία και</w:t>
      </w:r>
    </w:p>
    <w:p>
      <w:pPr>
        <w:pStyle w:val="ListNumber"/>
        <w:numPr>
          <w:ilvl w:val="0"/>
          <w:numId w:val="5"/>
        </w:numPr>
        <w:ind w:leftChars="0" w:left="480" w:right="0"/>
      </w:pPr>
      <w:r>
        <w:t>στοιχεία αναφοράς</w:t>
      </w:r>
    </w:p>
    <w:p>
      <w:pPr>
        <w:pStyle w:val="Body Text"/>
        <w:ind w:leftChars="0" w:left="0" w:right="0"/>
      </w:pPr>
      <w:r>
        <w:t>Η κάθε κατηγορία περιέχει πίνακες στοιχείων και ο κάθε πίνακας περιέχει μεταβλητές προς αναγγελία.</w:t>
      </w:r>
    </w:p>
    <w:p>
      <w:pPr>
        <w:pStyle w:val="DefinitionTerm"/>
        <w:ind w:leftChars="0" w:left="0" w:right="0"/>
        <w:keepNext/>
      </w:pPr>
      <w:r>
        <w:t>Λογιστικά Στοιχεία</w:t>
      </w:r>
    </w:p>
    <w:p>
      <w:pPr>
        <w:pStyle w:val="Definition"/>
        <w:ind w:leftChars="0" w:left="480" w:right="0"/>
      </w:pPr>
      <w:r>
        <w:t>Παρέχονται αναλυτικά λογιστικά στοιχεία των ΕΟ για μεταβλητές υπολοίπων, ροών και εισοδήματος.</w:t>
      </w:r>
    </w:p>
    <w:p>
      <w:pPr>
        <w:pStyle w:val="DefinitionTerm"/>
        <w:ind w:leftChars="0" w:left="0" w:right="0"/>
        <w:keepNext/>
      </w:pPr>
      <w:r>
        <w:t>Στοιχεία Αναφοράς</w:t>
      </w:r>
    </w:p>
    <w:p>
      <w:pPr>
        <w:pStyle w:val="Definition"/>
        <w:ind w:leftChars="0" w:left="480" w:right="0"/>
      </w:pPr>
      <w:r>
        <w:t>Παρέχονται στοιχεία αναφοράς σε σχέση με: α) τους ΕΟ και τις ΜΠΣ, β) τους τίτλους που εκδίδουν οι ΕΟ και γ) τους αντισυμβαλλόμενους σε σχέση με τα χρηματοπιστωτικά στοιχεία που διακρατούν ή εκδίδουν οι ΕΟ.</w:t>
      </w:r>
    </w:p>
    <w:p>
      <w:pPr>
        <w:pStyle w:val="Body Text"/>
        <w:ind w:leftChars="0" w:left="0" w:right="0"/>
      </w:pPr>
      <w:r>
        <w:t>Τα στοιχεία προς αναγγελία αναγράφονται στο Παράρτημα Ι και η περιγραφή των χρηματοοικονομικών μέσων στο Παράρτημα ΙΙ.</w:t>
      </w:r>
    </w:p>
    <w:bookmarkEnd w:id="10"/>
    <w:bookmarkStart w:id="11" w:name="_93a5e0db39fc6328f8e93219db4f8b3a"/>
    <w:p>
      <w:pPr>
        <w:pStyle w:val="Heading4"/>
        <w:keepNext/>
      </w:pPr>
      <w:r>
        <w:t>Άρθρο 4: Προθεσμίες υποβολής στοιχείων</w:t>
      </w:r>
    </w:p>
    <w:p>
      <w:pPr>
        <w:pStyle w:val="Body Text"/>
        <w:ind w:leftChars="0" w:left="0" w:right="0"/>
      </w:pPr>
      <w:r>
        <w:t>Τα λογιστικά στοιχεία που αφορούν όσους ΕΟ είναι ΟΣΕΚΑ αποστέλλονται μηνιαία έως το πέρας των εργασιών της 10ης εργάσιμης μέρας μετά το τέλος του μήνα στο οποίο αναφέρονται οι στατιστικές πληροφορίες.</w:t>
      </w:r>
    </w:p>
    <w:p>
      <w:pPr>
        <w:pStyle w:val="Body Text"/>
        <w:ind w:leftChars="0" w:left="0" w:right="0"/>
      </w:pPr>
      <w:r>
        <w:t>Τα λογιστικά στοιχεία που αφορούν τους λοιπούς ΕΟ (άρθρο 2, β) αποστέλλονται ανά τρίμηνο έως το πέρας των εργασιών της τελευταίας εργάσιμης ημέρας του μήνα μετά το τέλος του τριμήνου  στο οποίο αναφέρονται οι στατιστικές πληροφορίες. Οι πληροφορίες αναφέρονται στους μήνες Μάρτιο, Ιούνιο, Σεπτέμβριο και Δεκέμβριο.</w:t>
      </w:r>
    </w:p>
    <w:p>
      <w:pPr>
        <w:pStyle w:val="Body Text"/>
        <w:ind w:leftChars="0" w:left="0" w:right="0"/>
      </w:pPr>
      <w:r>
        <w:t>Τα λογιστικά στοιχεία που αφορούν τις αμοιβές που καταβάλλονται από τους μεριδιούχους/μετόχους στον ΕΟ (Πίνακας Α13 του παραρτήματος Ι) αποστέλλονται σε ετήσια βάση και μέχρι το πέρας των εργασιών της 30ης Ιουνίου του επόμενου έτους από το έτος στο οποίο αναφέρονται.</w:t>
      </w:r>
    </w:p>
    <w:p>
      <w:pPr>
        <w:pStyle w:val="Body Text"/>
        <w:ind w:leftChars="0" w:left="0" w:right="0"/>
      </w:pPr>
      <w:r>
        <w:t>Τα πλήρη στοιχεία αναφοράς υποβάλλονται μόνο μία φορά κατά την πρώτη υποβολή των στοιχείων των ΕΟ τον Οκτώβριο του 2025. Στη συνέχεια, αρχεία με στοιχεία αναφοράς αποστέλλονται μόνο όταν προκύπτουν νέα στοιχεία, μεταβολές ή διορθώσεις, στις προαναφερθείσες ημερομηνίες υποβολής των λογιστικών στοιχείων.</w:t>
      </w:r>
    </w:p>
    <w:p>
      <w:pPr>
        <w:pStyle w:val="Body Text"/>
        <w:ind w:leftChars="0" w:left="0" w:right="0"/>
      </w:pPr>
      <w:r>
        <w:t>Σε περιπτώσεις συγχωνεύσεων ενός ΕΟ με μία άλλη οντότητα τα τελικά λογιστικά στοιχεία που θα υποβάλλονται από τον Επενδυτικό Οργανισμό που συγχωνεύεται θα αφορούν τα στοιχεία κατά την ημερομηνία συγχώνευσης.</w:t>
      </w:r>
    </w:p>
    <w:p>
      <w:pPr>
        <w:pStyle w:val="Body Text"/>
        <w:ind w:leftChars="0" w:left="0" w:right="0"/>
      </w:pPr>
      <w:r>
        <w:t>Σε περίπτωση αλλαγής είτε της επενδυτικής πολιτικής είτε του θεσμικού τομέα ενός ΕΟ θα υποβάλλονται στοιχεία κατά την ημερομηνία αλλαγής.</w:t>
      </w:r>
    </w:p>
    <w:p>
      <w:pPr>
        <w:pStyle w:val="Body Text"/>
        <w:ind w:leftChars="0" w:left="0" w:right="0"/>
      </w:pPr>
      <w:r>
        <w:t>Οι ΕΟ γνωστοποιούν στην Τράπεζα της Ελλάδος τη σύστασή τους εντός μίας εβδομάδας από την ημερομηνία ανάληψης δραστηριότητας.</w:t>
      </w:r>
    </w:p>
    <w:p>
      <w:pPr>
        <w:pStyle w:val="Body Text"/>
        <w:ind w:leftChars="0" w:left="0" w:right="0"/>
      </w:pPr>
      <w:r>
        <w:t>Διορθώσεις στοιχείων δύναται να γίνουν σε κάθε υποβολή.</w:t>
      </w:r>
    </w:p>
    <w:bookmarkEnd w:id="11"/>
    <w:bookmarkStart w:id="12" w:name="_38b2b945def1cde34d50ac09f0ca166f"/>
    <w:p>
      <w:pPr>
        <w:pStyle w:val="Heading4"/>
        <w:keepNext/>
      </w:pPr>
      <w:r>
        <w:t>Άρθρο 5: Παρεκκλίσεις</w:t>
      </w:r>
    </w:p>
    <w:p>
      <w:pPr>
        <w:pStyle w:val="Body Text"/>
        <w:ind w:leftChars="0" w:left="0" w:right="0"/>
      </w:pPr>
      <w:r>
        <w:t>Για να αποφευχθεί η δυσανάλογη επιβάρυνση μικρών ΕΟ, η Τράπεζα της Ελλάδος, λαμβάνοντας υπόψη το άρθρο 10 του Κανονισμού (ΕΕ) αριθ. 2024/1988 της Ευρωπαϊκής Κεντρικής Τράπεζας (ΕΚΤ/2024/17), δύναται να χορηγεί παρεκκλίσεις.</w:t>
      </w:r>
    </w:p>
    <w:p>
      <w:pPr>
        <w:pStyle w:val="Body Text"/>
        <w:ind w:leftChars="0" w:left="0" w:right="0"/>
      </w:pPr>
      <w:r>
        <w:t>Οι παρεκκλίσεις χορηγούνται για περίοδο ενός ημερολογιακού έτους μετά από τη συμπλήρωση του πίνακα Β19 του παραρτήματος Ι μέχρι την 30η Σεπτεμβρίου κάθε έτους από την ΜΠΣ για κάθε ΕΟ για το οποίο αιτείται παρέκκλιση όπου αναφέρεται το σύνολο του ενεργητικού του ΕΟ, η ημερομηνία αποτίμησης του, η συχνότητα αποτίμησης του ενεργητικού σύμφωνα με τους ισχύοντες λογιστικούς κανόνες και το είδος της αιτούμενης παρέκκλισης.</w:t>
      </w:r>
    </w:p>
    <w:p>
      <w:pPr>
        <w:pStyle w:val="Body Text"/>
        <w:ind w:leftChars="0" w:left="0" w:right="0"/>
      </w:pPr>
      <w:r>
        <w:t>Τα είδη των παρεκκλίσεων είναι δύο:</w:t>
      </w:r>
    </w:p>
    <w:p>
      <w:pPr>
        <w:pStyle w:val="Body Text"/>
        <w:ind w:leftChars="0" w:left="0" w:right="0"/>
      </w:pPr>
      <w:r>
        <w:t>α) Παροχή των στοιχείων αναφοράς των πινάκων Β1-Β4 και Β9, Β10 του παραρτήματος Ι σύμφωνα με τις προθεσμίες υποβολής στοιχείων του Άρθρου 4 και σε τριμηνιαία βάση το λογιστικό πίνακα Α14.</w:t>
      </w:r>
    </w:p>
    <w:p>
      <w:pPr>
        <w:pStyle w:val="Body Text"/>
        <w:ind w:leftChars="0" w:left="0" w:right="0"/>
      </w:pPr>
      <w:r>
        <w:t>β) Παροχή των στοιχείων του άρθρου 3 με βάση τη συχνότητα και την προθεσμία αποτίμησης των στοιχείων του ενεργητικού σύμφωνα με τους ισχύοντες λογιστικούς κανόνες, αλλά κατ᾽ ελάχιστο σε ετήσια βάση και εντός ενός τριμήνου από την ημερομηνία αναφοράς της αποτίμησης των στοιχείων του ενεργητικού.</w:t>
      </w:r>
    </w:p>
    <w:p>
      <w:pPr>
        <w:pStyle w:val="Body Text"/>
        <w:ind w:leftChars="0" w:left="0" w:right="0"/>
      </w:pPr>
      <w:r>
        <w:t>Η πρώτη υποβολή αιτήματος παρέκκλισης (συμπλήρωση πίνακα Β19 τους παραρτήματος Ι) θα υποβληθεί, κατ᾽ εξαίρεση, μέχρι την 30η Ιουνίου 2025.</w:t>
      </w:r>
    </w:p>
    <w:bookmarkEnd w:id="12"/>
    <w:bookmarkStart w:id="13" w:name="_e4011442d0c5a9307f2b89b36689dfdb"/>
    <w:p>
      <w:pPr>
        <w:pStyle w:val="Heading4"/>
        <w:keepNext/>
      </w:pPr>
      <w:r>
        <w:t>Άρθρο 6: Αναλυτικές οδηγίες υποβολής στοιχείων</w:t>
      </w:r>
    </w:p>
    <w:p>
      <w:pPr>
        <w:pStyle w:val="Body Text"/>
        <w:ind w:leftChars="0" w:left="0" w:right="0"/>
      </w:pPr>
      <w:r>
        <w:t xml:space="preserve">Οι αναλυτικές οδηγίες υποβολής στοιχείων βρίσκονται στο σύνδεσμο </w:t>
      </w:r>
      <w:hyperlink xmlns:r="http://schemas.openxmlformats.org/officeDocument/2006/relationships" r:id="rId17">
        <w:r>
          <w:rPr>
            <w:rStyle w:val="Hyperlink"/>
          </w:rPr>
          <w:t>αυτό</w:t>
        </w:r>
      </w:hyperlink>
      <w:bookmarkStart w:id="14" w:name="_4adea93039c33796e1e88577e6a8b2f0"/>
      <w:bookmarkEnd w:id="14"/>
      <w:r>
        <w:t xml:space="preserve">.  Στις αναλυτικές οδηγίες περιλαμβάνονται μεταξύ άλλων το σχήμα αναγγελίας, ο τρόπος υποβολής των στοιχείων καθώς και το μητρώο των ΜΠΣ. Αλλαγές στο σχήμα αναγγελίας είναι δυνατό να γίνονται μια φορά το χρόνο, υπό την προϋπόθεση ότι αυτές δεν μεταβάλλουν το υποκείμενο εννοιολογικό πλαίσιο και δεν επηρεάζουν την επιβάρυνση των ΜΠΣ. Οι αλλαγές θα δημοσιεύονται έως τις 30/6 κάθε έτους στο σύνδεσμο </w:t>
      </w:r>
      <w:hyperlink xmlns:r="http://schemas.openxmlformats.org/officeDocument/2006/relationships" r:id="rId18">
        <w:r>
          <w:rPr>
            <w:rStyle w:val="Hyperlink"/>
          </w:rPr>
          <w:t>αυτό</w:t>
        </w:r>
      </w:hyperlink>
      <w:bookmarkStart w:id="15" w:name="_cac0cc4611e7e6391a7b459032b90eb9"/>
      <w:bookmarkEnd w:id="15"/>
      <w:r>
        <w:t xml:space="preserve"> με εφαρμογή για την περίοδο αναφοράς του Δεκεμβρίου του ίδιου έτους.</w:t>
      </w:r>
    </w:p>
    <w:bookmarkEnd w:id="13"/>
    <w:bookmarkStart w:id="16" w:name="_4c178a0d695c030db4ff5e0917d9e315"/>
    <w:p>
      <w:pPr>
        <w:pStyle w:val="Heading4"/>
        <w:keepNext/>
      </w:pPr>
      <w:r>
        <w:t>Άρθρο 7: Ημερομηνία εφαρμογής</w:t>
      </w:r>
    </w:p>
    <w:p>
      <w:pPr>
        <w:pStyle w:val="Body Text"/>
        <w:ind w:leftChars="0" w:left="0" w:right="0"/>
      </w:pPr>
      <w:r>
        <w:t>Η πρώτη υποβολή στοιχείων θα πραγματοποιηθεί με στοιχεία αναφοράς του Σεπτεμβρίου του 2025, σύμφωνα με τις προθεσμίες που ορίζονται στο ΄Αρθρο 4 της παρούσας πράξης.</w:t>
      </w:r>
    </w:p>
    <w:p>
      <w:pPr>
        <w:pStyle w:val="Body Text"/>
        <w:ind w:leftChars="0" w:left="0" w:right="0"/>
      </w:pPr>
      <w:r>
        <w:t>Από την ημερομηνία εφαρμογής του παρόντος καταργείται η ΠΔΤΕ 2642/16.5.2011 καθώς και η αποστολή Μηνιαίας Λογιστικής Κατάστασης με τα παραρτήματα 1 και 2 της ΠΕΕ 9/10.01.2013.</w:t>
      </w:r>
    </w:p>
    <w:bookmarkEnd w:id="16"/>
    <w:bookmarkStart w:id="17" w:name="_640b031c7582cb417b56b94640db82f2"/>
    <w:p>
      <w:pPr>
        <w:pStyle w:val="Heading4"/>
        <w:keepNext/>
      </w:pPr>
      <w:r>
        <w:t>Άρθρο 8: Κυρώσεις</w:t>
      </w:r>
    </w:p>
    <w:p>
      <w:pPr>
        <w:pStyle w:val="Body Text"/>
        <w:ind w:leftChars="0" w:left="0" w:right="0"/>
      </w:pPr>
      <w:r>
        <w:t>Σε περίπτωση ελλιπούς, εσφαλμένης ή εκπρόθεσμης υποβολής των ως άνω στοιχείων εκ μέρους των Αναγγελλόντων, εφαρμόζονται οι περί κυρώσεων σχετικές διατάξεις του Καταστατικού της Τράπεζας της Ελλάδος (άρθρα 2 και 55 Γ, όπως ισχύουν) και του Κανονισμού (ΕΕ) 2022/1917 της Ευρωπαϊκής Κεντρικής Τράπεζας της 29ης Σεπτεμβρίου 2022 σχετικά με τις διαδικασίες σε περίπτωση παραβάσεων λόγω μη συμμόρφωσης με υποχρεώσεις παροχής στατιστικών στοιχείων και την κατάργηση της απόφασης ΕΚΤ/2010/10 (ΕΚΤ/2022/31) .</w:t>
      </w:r>
    </w:p>
    <w:p>
      <w:pPr>
        <w:pStyle w:val="Body Text"/>
        <w:ind w:leftChars="0" w:left="0" w:right="0"/>
      </w:pPr>
      <w:r>
        <w:t>Ο ΔΙΟΚΗΤΗΣ</w:t>
      </w:r>
    </w:p>
    <w:bookmarkEnd w:id="17"/>
    <w:bookmarkStart w:id="18" w:name="_c2a103f303374c76c6962ad70cd1552c"/>
    <w:p>
      <w:pPr>
        <w:pStyle w:val="Heading4"/>
        <w:keepNext/>
      </w:pPr>
      <w:r>
        <w:t>ΠΑΡΑΡΤΗΜΑ Ι</w:t>
      </w:r>
    </w:p>
    <w:bookmarkStart w:id="19" w:name="_91c1db423aa70abecc61f0dfc995780d"/>
    <w:p>
      <w:pPr>
        <w:pStyle w:val="Heading5"/>
        <w:keepNext/>
      </w:pPr>
      <w:r>
        <w:t>Α. Λογιστικά Στοιχεία</w:t>
      </w:r>
    </w:p>
    <w:bookmarkStart w:id="20" w:name="_29a0ca42d751538dd7b9dc332a0ca247"/>
    <w:p>
      <w:pPr>
        <w:pStyle w:val="Heading 6"/>
        <w:keepNext/>
      </w:pPr>
      <w:r>
        <w:t>Πίνακας Α1: Καταθέσεις και μετρητά</w:t>
      </w:r>
    </w:p>
    <w:p>
      <w:pPr>
        <w:pStyle w:val="ListBullet"/>
        <w:numPr>
          <w:ilvl w:val="0"/>
          <w:numId w:val="2"/>
        </w:numPr>
        <w:ind w:leftChars="0" w:left="480" w:right="0"/>
      </w:pPr>
      <w:r>
        <w:t>Αναγνωριστικός κωδικός κατάθεσης/μετρητών</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bookmarkEnd w:id="20"/>
    <w:bookmarkStart w:id="21" w:name="_58ec7d3dd6bcfd7aa38bb2c8d0e2d3ae"/>
    <w:p>
      <w:pPr>
        <w:pStyle w:val="Heading 6"/>
        <w:keepNext/>
      </w:pPr>
      <w:r>
        <w:t>Πίνακας Α2: Χρεόγραφα που κατέχει ο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 σε αγοραία αξία</w:t>
      </w:r>
    </w:p>
    <w:p>
      <w:pPr>
        <w:pStyle w:val="ListBullet"/>
        <w:numPr>
          <w:ilvl w:val="0"/>
          <w:numId w:val="2"/>
        </w:numPr>
        <w:ind w:leftChars="0" w:left="480" w:right="0"/>
      </w:pPr>
      <w:r>
        <w:t>Συναλλαγές</w:t>
      </w:r>
    </w:p>
    <w:p>
      <w:pPr>
        <w:pStyle w:val="ListBullet"/>
        <w:numPr>
          <w:ilvl w:val="0"/>
          <w:numId w:val="2"/>
        </w:numPr>
        <w:ind w:leftChars="0" w:left="480" w:right="0"/>
      </w:pPr>
      <w:r>
        <w:t>Υπόλοιπο σε ονομαστικής αξία</w:t>
      </w:r>
    </w:p>
    <w:p>
      <w:pPr>
        <w:pStyle w:val="ListBullet"/>
        <w:numPr>
          <w:ilvl w:val="0"/>
          <w:numId w:val="2"/>
        </w:numPr>
        <w:ind w:leftChars="0" w:left="480" w:right="0"/>
      </w:pPr>
      <w:r>
        <w:t>Υπόλοιπο σε ονομαστική αξία σε δάνειο για αντιστρεπτέες πράξεις χρηματοδότησης.</w:t>
      </w:r>
    </w:p>
    <w:p>
      <w:pPr>
        <w:pStyle w:val="ListBullet"/>
        <w:numPr>
          <w:ilvl w:val="0"/>
          <w:numId w:val="2"/>
        </w:numPr>
        <w:ind w:leftChars="0" w:left="480" w:right="0"/>
      </w:pPr>
      <w:r>
        <w:t>Δεδουλευμένοι τόκοι</w:t>
      </w:r>
    </w:p>
    <w:bookmarkEnd w:id="21"/>
    <w:bookmarkStart w:id="22" w:name="_b677fb2b9059e385e26d2078fb26415a"/>
    <w:p>
      <w:pPr>
        <w:pStyle w:val="Heading 6"/>
        <w:keepNext/>
      </w:pPr>
      <w:r>
        <w:t>Πίνακας Α3: Απαιτήσεις από Δάνεια</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p>
      <w:pPr>
        <w:pStyle w:val="ListBullet"/>
        <w:numPr>
          <w:ilvl w:val="0"/>
          <w:numId w:val="2"/>
        </w:numPr>
        <w:ind w:leftChars="0" w:left="480" w:right="0"/>
      </w:pPr>
      <w:r>
        <w:t>Ενδο-ομιλικό δάνειο</w:t>
      </w:r>
    </w:p>
    <w:bookmarkEnd w:id="22"/>
    <w:bookmarkStart w:id="23" w:name="_0836fdc7bb40423ecc909485c3d80c04"/>
    <w:p>
      <w:pPr>
        <w:pStyle w:val="Heading 6"/>
        <w:keepNext/>
      </w:pPr>
      <w:r>
        <w:t>Πίνακας Α4: Μετοχές και Λοιποί Συμμετοχικοί Τίτλοι που Κατέχει ο ΕΟ</w:t>
      </w:r>
    </w:p>
    <w:p>
      <w:pPr>
        <w:pStyle w:val="ListBullet"/>
        <w:numPr>
          <w:ilvl w:val="0"/>
          <w:numId w:val="2"/>
        </w:numPr>
        <w:ind w:leftChars="0" w:left="480" w:right="0"/>
      </w:pPr>
      <w:r>
        <w:t>Αναγνωριστικός κωδικός συμμετοχικού τίτλου</w:t>
      </w:r>
    </w:p>
    <w:p>
      <w:pPr>
        <w:pStyle w:val="ListBullet"/>
        <w:numPr>
          <w:ilvl w:val="0"/>
          <w:numId w:val="2"/>
        </w:numPr>
        <w:ind w:leftChars="0" w:left="480" w:right="0"/>
      </w:pPr>
      <w:r>
        <w:t>Αναγνωριστικός κωδικός του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Ποσότητα</w:t>
      </w:r>
    </w:p>
    <w:p>
      <w:pPr>
        <w:pStyle w:val="ListBullet"/>
        <w:numPr>
          <w:ilvl w:val="0"/>
          <w:numId w:val="2"/>
        </w:numPr>
        <w:ind w:leftChars="0" w:left="480" w:right="0"/>
      </w:pPr>
      <w:r>
        <w:t>Δάνεια για αντιστρεπτέες πράξεις χρηματοδότησης</w:t>
      </w:r>
    </w:p>
    <w:p>
      <w:pPr>
        <w:pStyle w:val="ListBullet"/>
        <w:numPr>
          <w:ilvl w:val="0"/>
          <w:numId w:val="2"/>
        </w:numPr>
        <w:ind w:leftChars="0" w:left="480" w:right="0"/>
      </w:pPr>
      <w:r>
        <w:t>Άμεση Επένδυση</w:t>
      </w:r>
    </w:p>
    <w:bookmarkEnd w:id="23"/>
    <w:bookmarkStart w:id="24" w:name="_d55960c7de6e194f77a1b2e496b83b84"/>
    <w:p>
      <w:pPr>
        <w:pStyle w:val="Heading 6"/>
        <w:keepNext/>
      </w:pPr>
      <w:r>
        <w:t>Πίνακας Α5: Θέσεις σε Χρηματοοικονομικά Παράγωγα</w:t>
      </w:r>
    </w:p>
    <w:p>
      <w:pPr>
        <w:pStyle w:val="ListBullet"/>
        <w:numPr>
          <w:ilvl w:val="0"/>
          <w:numId w:val="2"/>
        </w:numPr>
        <w:ind w:leftChars="0" w:left="480" w:right="0"/>
      </w:pPr>
      <w:r>
        <w:t>Αναγνωριστικός κωδικός παραγώγου</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Ποσότητα</w:t>
      </w:r>
    </w:p>
    <w:bookmarkEnd w:id="24"/>
    <w:bookmarkStart w:id="25" w:name="_1a0df4a16574ce7dd927e6c0c76cf5b4"/>
    <w:p>
      <w:pPr>
        <w:pStyle w:val="Heading 6"/>
        <w:keepNext/>
      </w:pPr>
      <w:r>
        <w:t>Πίνακας Α6: Μη χρηματοοικονομικά Περιουσιακά Στοιχεία (ενσώματα ή άυλα)</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 περιουσιακού στοιχείου</w:t>
      </w:r>
    </w:p>
    <w:p>
      <w:pPr>
        <w:pStyle w:val="ListBullet"/>
        <w:numPr>
          <w:ilvl w:val="0"/>
          <w:numId w:val="2"/>
        </w:numPr>
        <w:ind w:leftChars="0" w:left="480" w:right="0"/>
      </w:pPr>
      <w:r>
        <w:t>Τοποθεσία περιουσιακού στοιχείου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Δεδουλευμένα μισθώματα</w:t>
      </w:r>
    </w:p>
    <w:bookmarkEnd w:id="25"/>
    <w:bookmarkStart w:id="26" w:name="_cfcb1c9bd1f5931296c2973342b5094c"/>
    <w:p>
      <w:pPr>
        <w:pStyle w:val="Heading 6"/>
        <w:keepNext/>
      </w:pPr>
      <w:r>
        <w:t>Πίνακας Α7: Λοιπά Στοιχεία Ενεργητικού</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bookmarkEnd w:id="26"/>
    <w:bookmarkStart w:id="27" w:name="_fe3992333770b4b0694bb169017f80bb"/>
    <w:p>
      <w:pPr>
        <w:pStyle w:val="Heading 6"/>
        <w:keepNext/>
      </w:pPr>
      <w:r>
        <w:t>Πίνακας Α8: Εκδοθέντα Χρεόγραφα</w:t>
      </w:r>
    </w:p>
    <w:p>
      <w:pPr>
        <w:pStyle w:val="ListBullet"/>
        <w:numPr>
          <w:ilvl w:val="0"/>
          <w:numId w:val="2"/>
        </w:numPr>
        <w:ind w:leftChars="0" w:left="480" w:right="0"/>
      </w:pPr>
      <w:r>
        <w:t>Αναγνωριστικός κωδικός εκδοθέντος χρεογράφου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Υπόλοιπο σε ονομαστική αξία</w:t>
      </w:r>
    </w:p>
    <w:p>
      <w:pPr>
        <w:pStyle w:val="ListBullet"/>
        <w:numPr>
          <w:ilvl w:val="0"/>
          <w:numId w:val="2"/>
        </w:numPr>
        <w:ind w:leftChars="0" w:left="480" w:right="0"/>
      </w:pPr>
      <w:r>
        <w:t>Δεδουλευμένοι τόκοι</w:t>
      </w:r>
    </w:p>
    <w:bookmarkEnd w:id="27"/>
    <w:bookmarkStart w:id="28" w:name="_0a382f6cf52fb8e4ec2d7668cf34fe99"/>
    <w:p>
      <w:pPr>
        <w:pStyle w:val="Heading 6"/>
        <w:keepNext/>
      </w:pPr>
      <w:r>
        <w:t>Πίνακας Α9: Ληφθέντα Δάνεια</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p>
      <w:pPr>
        <w:pStyle w:val="ListBullet"/>
        <w:numPr>
          <w:ilvl w:val="0"/>
          <w:numId w:val="2"/>
        </w:numPr>
        <w:ind w:leftChars="0" w:left="480" w:right="0"/>
      </w:pPr>
      <w:r>
        <w:t>Ενδο-ομιλικό δάνειο</w:t>
      </w:r>
    </w:p>
    <w:bookmarkEnd w:id="28"/>
    <w:bookmarkStart w:id="29" w:name="_e2c5b07cb153432294c225da76329819"/>
    <w:p>
      <w:pPr>
        <w:pStyle w:val="Heading 6"/>
        <w:keepNext/>
      </w:pPr>
      <w:r>
        <w:t>Πίνακας Α10: Λοιπά Στοιχεία Παθητικού</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bookmarkEnd w:id="29"/>
    <w:bookmarkStart w:id="30" w:name="_94b9c0922b8723aca46204544aa67478"/>
    <w:p>
      <w:pPr>
        <w:pStyle w:val="Heading 6"/>
        <w:keepNext/>
      </w:pPr>
      <w:r>
        <w:t>Πίνακας Α11: Διακρατήσεις Μετοχών/Μεριδίων Εκδοθέντων από τον ΕΟ</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Αναγνωριστικός κωδικός μετόχου/μεριδιούχου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Ποσότητα</w:t>
      </w:r>
    </w:p>
    <w:p>
      <w:pPr>
        <w:pStyle w:val="ListBullet"/>
        <w:numPr>
          <w:ilvl w:val="0"/>
          <w:numId w:val="2"/>
        </w:numPr>
        <w:ind w:leftChars="0" w:left="480" w:right="0"/>
      </w:pPr>
      <w:r>
        <w:t>Συμμετοχές</w:t>
      </w:r>
    </w:p>
    <w:p>
      <w:pPr>
        <w:pStyle w:val="ListBullet"/>
        <w:numPr>
          <w:ilvl w:val="0"/>
          <w:numId w:val="2"/>
        </w:numPr>
        <w:ind w:leftChars="0" w:left="480" w:right="0"/>
      </w:pPr>
      <w:r>
        <w:t>Εξαγορές</w:t>
      </w:r>
    </w:p>
    <w:bookmarkEnd w:id="30"/>
    <w:bookmarkStart w:id="31" w:name="_3eb1e126f51a0acad2f5487e72f7c225"/>
    <w:p>
      <w:pPr>
        <w:pStyle w:val="Heading 6"/>
        <w:keepNext/>
      </w:pPr>
      <w:r>
        <w:t>Πίνακας Α12: Γενικά Στοιχεία Μετοχών/Μεριδίων εκδοθέντων από τον ΕΟ</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Λογιστική τιμή</w:t>
      </w:r>
    </w:p>
    <w:p>
      <w:pPr>
        <w:pStyle w:val="ListBullet"/>
        <w:numPr>
          <w:ilvl w:val="0"/>
          <w:numId w:val="2"/>
        </w:numPr>
        <w:ind w:leftChars="0" w:left="480" w:right="0"/>
      </w:pPr>
      <w:r>
        <w:t>Εισόδημα</w:t>
      </w:r>
    </w:p>
    <w:bookmarkEnd w:id="31"/>
    <w:bookmarkStart w:id="32" w:name="_552effe0f80d5bdce56052f091105de1"/>
    <w:p>
      <w:pPr>
        <w:pStyle w:val="Heading 6"/>
        <w:keepNext/>
      </w:pPr>
      <w:r>
        <w:t>Πίνακας Α13: Αμοιβές προς τον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Αμοιβές</w:t>
      </w:r>
    </w:p>
    <w:bookmarkEnd w:id="32"/>
    <w:bookmarkStart w:id="33" w:name="_6dd6611dc78af52967d45718e3395a8e"/>
    <w:p>
      <w:pPr>
        <w:pStyle w:val="Heading 6"/>
        <w:keepNext/>
      </w:pPr>
      <w:r>
        <w:t>Πίνακας Α14: Στοιχεία παρέκκλισης τύπου (α)</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Ποσότητα</w:t>
      </w:r>
    </w:p>
    <w:p>
      <w:pPr>
        <w:pStyle w:val="ListBullet"/>
        <w:numPr>
          <w:ilvl w:val="0"/>
          <w:numId w:val="2"/>
        </w:numPr>
        <w:ind w:leftChars="0" w:left="480" w:right="0"/>
      </w:pPr>
      <w:r>
        <w:t>Λογιστική τιμή</w:t>
      </w:r>
    </w:p>
    <w:p>
      <w:pPr>
        <w:pStyle w:val="ListBullet"/>
        <w:numPr>
          <w:ilvl w:val="0"/>
          <w:numId w:val="2"/>
        </w:numPr>
        <w:ind w:leftChars="0" w:left="480" w:right="0"/>
      </w:pPr>
      <w:r>
        <w:t>Συμμετοχές</w:t>
      </w:r>
    </w:p>
    <w:p>
      <w:pPr>
        <w:pStyle w:val="ListBullet"/>
        <w:numPr>
          <w:ilvl w:val="0"/>
          <w:numId w:val="2"/>
        </w:numPr>
        <w:ind w:leftChars="0" w:left="480" w:right="0"/>
      </w:pPr>
      <w:r>
        <w:t>Εξαγορές</w:t>
      </w:r>
    </w:p>
    <w:p>
      <w:pPr>
        <w:pStyle w:val="ListBullet"/>
        <w:numPr>
          <w:ilvl w:val="0"/>
          <w:numId w:val="2"/>
        </w:numPr>
        <w:ind w:leftChars="0" w:left="480" w:right="0"/>
      </w:pPr>
      <w:r>
        <w:t>Εισόδημα</w:t>
      </w:r>
    </w:p>
    <w:bookmarkEnd w:id="33"/>
    <w:bookmarkEnd w:id="19"/>
    <w:bookmarkStart w:id="34" w:name="_399ee6803a6e7b09f240bb1a6809871f"/>
    <w:p>
      <w:pPr>
        <w:pStyle w:val="Heading5"/>
        <w:keepNext/>
      </w:pPr>
      <w:r>
        <w:t>Β. Στοιχεία αναφοράς</w:t>
      </w:r>
    </w:p>
    <w:bookmarkStart w:id="35" w:name="_6adc7363a247bafd32d9334c4df94847"/>
    <w:p>
      <w:pPr>
        <w:pStyle w:val="Heading 6"/>
        <w:keepNext/>
      </w:pPr>
      <w:r>
        <w:t>Πίνακας Β1: Στοιχείων Αναφοράς Διαχειρίστριας Εταιρείας</w:t>
      </w:r>
    </w:p>
    <w:p>
      <w:pPr>
        <w:pStyle w:val="ListBullet"/>
        <w:numPr>
          <w:ilvl w:val="0"/>
          <w:numId w:val="2"/>
        </w:numPr>
        <w:ind w:leftChars="0" w:left="480" w:right="0"/>
      </w:pPr>
      <w:r>
        <w:t>Αναγνωριστικός κωδικός διαχειρίστριας εταιρείας</w:t>
      </w:r>
    </w:p>
    <w:p>
      <w:pPr>
        <w:pStyle w:val="ListBullet"/>
        <w:numPr>
          <w:ilvl w:val="0"/>
          <w:numId w:val="2"/>
        </w:numPr>
        <w:ind w:leftChars="0" w:left="480" w:right="0"/>
      </w:pPr>
      <w:r>
        <w:t>Ημερομηνία έναρξης λειτουργίας</w:t>
      </w:r>
    </w:p>
    <w:p>
      <w:pPr>
        <w:pStyle w:val="ListBullet"/>
        <w:numPr>
          <w:ilvl w:val="0"/>
          <w:numId w:val="2"/>
        </w:numPr>
        <w:ind w:leftChars="0" w:left="480" w:right="0"/>
      </w:pPr>
      <w:r>
        <w:t>Ημερομηνία λήξης λειτουργίας</w:t>
      </w:r>
    </w:p>
    <w:p>
      <w:pPr>
        <w:pStyle w:val="ListBullet"/>
        <w:numPr>
          <w:ilvl w:val="0"/>
          <w:numId w:val="2"/>
        </w:numPr>
        <w:ind w:leftChars="0" w:left="480" w:right="0"/>
      </w:pPr>
      <w:r>
        <w:t>Αναγνωριστικός κωδικός LEI</w:t>
      </w:r>
    </w:p>
    <w:p>
      <w:pPr>
        <w:pStyle w:val="ListBullet"/>
        <w:numPr>
          <w:ilvl w:val="0"/>
          <w:numId w:val="2"/>
        </w:numPr>
        <w:ind w:leftChars="0" w:left="480" w:right="0"/>
      </w:pPr>
      <w:r>
        <w:t>Κωδικός φορολογικού μητρώου</w:t>
      </w:r>
    </w:p>
    <w:p>
      <w:pPr>
        <w:pStyle w:val="ListBullet"/>
        <w:numPr>
          <w:ilvl w:val="0"/>
          <w:numId w:val="2"/>
        </w:numPr>
        <w:ind w:leftChars="0" w:left="480" w:right="0"/>
      </w:pPr>
      <w:r>
        <w:t>Κωδικός εμπορικού μητρώου</w:t>
      </w:r>
    </w:p>
    <w:p>
      <w:pPr>
        <w:pStyle w:val="ListBullet"/>
        <w:numPr>
          <w:ilvl w:val="0"/>
          <w:numId w:val="2"/>
        </w:numPr>
        <w:ind w:leftChars="0" w:left="480" w:right="0"/>
      </w:pPr>
      <w:r>
        <w:t>Δημιουργία από διάσπαση</w:t>
      </w:r>
    </w:p>
    <w:p>
      <w:pPr>
        <w:pStyle w:val="ListBullet"/>
        <w:numPr>
          <w:ilvl w:val="0"/>
          <w:numId w:val="2"/>
        </w:numPr>
        <w:ind w:leftChars="0" w:left="480" w:right="0"/>
      </w:pPr>
      <w:r>
        <w:t>Λήξη λόγω συγχώνευσης</w:t>
      </w:r>
    </w:p>
    <w:bookmarkEnd w:id="35"/>
    <w:bookmarkStart w:id="36" w:name="_6977cbe797e4e9845f3a1b730d8e22f6"/>
    <w:p>
      <w:pPr>
        <w:pStyle w:val="Heading 6"/>
        <w:keepNext/>
      </w:pPr>
      <w:r>
        <w:t>Πίνακας Β2: Μεταβλητά Στοιχεία Αναφοράς Διαχειρίστριας Εταιρείας</w:t>
      </w:r>
    </w:p>
    <w:p>
      <w:pPr>
        <w:pStyle w:val="ListBullet"/>
        <w:numPr>
          <w:ilvl w:val="0"/>
          <w:numId w:val="2"/>
        </w:numPr>
        <w:ind w:leftChars="0" w:left="480" w:right="0"/>
      </w:pPr>
      <w:r>
        <w:t>Αναγνωριστικός Κωδικός Διαχειρίστριας Εταιρείας</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Οδός και αριθμός</w:t>
      </w:r>
    </w:p>
    <w:p>
      <w:pPr>
        <w:pStyle w:val="ListBullet"/>
        <w:numPr>
          <w:ilvl w:val="0"/>
          <w:numId w:val="2"/>
        </w:numPr>
        <w:ind w:leftChars="0" w:left="480" w:right="0"/>
      </w:pPr>
      <w:r>
        <w:t>Οδός με λατινικούς χαρακτήρες</w:t>
      </w:r>
    </w:p>
    <w:p>
      <w:pPr>
        <w:pStyle w:val="ListBullet"/>
        <w:numPr>
          <w:ilvl w:val="0"/>
          <w:numId w:val="2"/>
        </w:numPr>
        <w:ind w:leftChars="0" w:left="480" w:right="0"/>
      </w:pPr>
      <w:r>
        <w:t>Πόλη</w:t>
      </w:r>
    </w:p>
    <w:p>
      <w:pPr>
        <w:pStyle w:val="ListBullet"/>
        <w:numPr>
          <w:ilvl w:val="0"/>
          <w:numId w:val="2"/>
        </w:numPr>
        <w:ind w:leftChars="0" w:left="480" w:right="0"/>
      </w:pPr>
      <w:r>
        <w:t>Πόλη με λατινικούς χαρακτήρες</w:t>
      </w:r>
    </w:p>
    <w:p>
      <w:pPr>
        <w:pStyle w:val="ListBullet"/>
        <w:numPr>
          <w:ilvl w:val="0"/>
          <w:numId w:val="2"/>
        </w:numPr>
        <w:ind w:leftChars="0" w:left="480" w:right="0"/>
      </w:pPr>
      <w:r>
        <w:t>Ταχυδρομικός κώδικας</w:t>
      </w:r>
    </w:p>
    <w:p>
      <w:pPr>
        <w:pStyle w:val="ListBullet"/>
        <w:numPr>
          <w:ilvl w:val="0"/>
          <w:numId w:val="2"/>
        </w:numPr>
        <w:ind w:leftChars="0" w:left="480" w:right="0"/>
      </w:pPr>
      <w:r>
        <w:t>Διαδικτυακή διεύθυνση</w:t>
      </w:r>
    </w:p>
    <w:p>
      <w:pPr>
        <w:pStyle w:val="ListBullet"/>
        <w:numPr>
          <w:ilvl w:val="0"/>
          <w:numId w:val="2"/>
        </w:numPr>
        <w:ind w:leftChars="0" w:left="480" w:right="0"/>
      </w:pPr>
      <w:r>
        <w:t>Ηλεκτρονική διεύθυνση (email)</w:t>
      </w:r>
    </w:p>
    <w:p>
      <w:pPr>
        <w:pStyle w:val="ListBullet"/>
        <w:numPr>
          <w:ilvl w:val="0"/>
          <w:numId w:val="2"/>
        </w:numPr>
        <w:ind w:leftChars="0" w:left="480" w:right="0"/>
      </w:pPr>
      <w:r>
        <w:t>Χώρα κατοικίας</w:t>
      </w:r>
    </w:p>
    <w:bookmarkEnd w:id="36"/>
    <w:bookmarkStart w:id="37" w:name="_8793384e29c5436d504859635ec3f339"/>
    <w:p>
      <w:pPr>
        <w:pStyle w:val="Heading 6"/>
        <w:keepNext/>
      </w:pPr>
      <w:r>
        <w:t>Πίνακας Β3: Στοιχεία Αναφοράς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 σύστασης</w:t>
      </w:r>
    </w:p>
    <w:p>
      <w:pPr>
        <w:pStyle w:val="ListBullet"/>
        <w:numPr>
          <w:ilvl w:val="0"/>
          <w:numId w:val="2"/>
        </w:numPr>
        <w:ind w:leftChars="0" w:left="480" w:right="0"/>
      </w:pPr>
      <w:r>
        <w:t>Ημερομηνία λήξης λειτουργίας</w:t>
      </w:r>
    </w:p>
    <w:p>
      <w:pPr>
        <w:pStyle w:val="ListBullet"/>
        <w:numPr>
          <w:ilvl w:val="0"/>
          <w:numId w:val="2"/>
        </w:numPr>
        <w:ind w:leftChars="0" w:left="480" w:right="0"/>
      </w:pPr>
      <w:r>
        <w:t>Αναγνωριστικός κωδικός LEI</w:t>
      </w:r>
    </w:p>
    <w:p>
      <w:pPr>
        <w:pStyle w:val="ListBullet"/>
        <w:numPr>
          <w:ilvl w:val="0"/>
          <w:numId w:val="2"/>
        </w:numPr>
        <w:ind w:leftChars="0" w:left="480" w:right="0"/>
      </w:pPr>
      <w:r>
        <w:t>Κωδικός φορολογικού μητρώου</w:t>
      </w:r>
    </w:p>
    <w:p>
      <w:pPr>
        <w:pStyle w:val="ListBullet"/>
        <w:numPr>
          <w:ilvl w:val="0"/>
          <w:numId w:val="2"/>
        </w:numPr>
        <w:ind w:leftChars="0" w:left="480" w:right="0"/>
      </w:pPr>
      <w:r>
        <w:t>Κωδικός εμπορικού μητρώου</w:t>
      </w:r>
    </w:p>
    <w:p>
      <w:pPr>
        <w:pStyle w:val="ListBullet"/>
        <w:numPr>
          <w:ilvl w:val="0"/>
          <w:numId w:val="2"/>
        </w:numPr>
        <w:ind w:leftChars="0" w:left="480" w:right="0"/>
      </w:pPr>
      <w:r>
        <w:t>Δημιουργία από διάσπαση</w:t>
      </w:r>
    </w:p>
    <w:p>
      <w:pPr>
        <w:pStyle w:val="ListBullet"/>
        <w:numPr>
          <w:ilvl w:val="0"/>
          <w:numId w:val="2"/>
        </w:numPr>
        <w:ind w:leftChars="0" w:left="480" w:right="0"/>
      </w:pPr>
      <w:r>
        <w:t>Λήξη λόγω συγχώνευσης</w:t>
      </w:r>
    </w:p>
    <w:bookmarkEnd w:id="37"/>
    <w:bookmarkStart w:id="38" w:name="_75a383ebe2bcb8780326dfea817a803e"/>
    <w:p>
      <w:pPr>
        <w:pStyle w:val="Heading 6"/>
        <w:keepNext/>
      </w:pPr>
      <w:r>
        <w:t>Πίνακας Β4: Μεταβλητά Στοιχεία Αναφοράς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ΜΠΣ</w:t>
      </w:r>
    </w:p>
    <w:p>
      <w:pPr>
        <w:pStyle w:val="ListBullet"/>
        <w:numPr>
          <w:ilvl w:val="0"/>
          <w:numId w:val="2"/>
        </w:numPr>
        <w:ind w:leftChars="0" w:left="480" w:right="0"/>
      </w:pPr>
      <w:r>
        <w:t>Διαχειρίστρια εταιρεία</w:t>
      </w:r>
    </w:p>
    <w:p>
      <w:pPr>
        <w:pStyle w:val="ListBullet"/>
        <w:numPr>
          <w:ilvl w:val="0"/>
          <w:numId w:val="2"/>
        </w:numPr>
        <w:ind w:leftChars="0" w:left="480" w:right="0"/>
      </w:pPr>
      <w:r>
        <w:t>Ονομασία</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Χώρα κατοικίας</w:t>
      </w:r>
    </w:p>
    <w:p>
      <w:pPr>
        <w:pStyle w:val="ListBullet"/>
        <w:numPr>
          <w:ilvl w:val="0"/>
          <w:numId w:val="2"/>
        </w:numPr>
        <w:ind w:leftChars="0" w:left="480" w:right="0"/>
      </w:pPr>
      <w:r>
        <w:t>Οδός και αριθμός</w:t>
      </w:r>
    </w:p>
    <w:p>
      <w:pPr>
        <w:pStyle w:val="ListBullet"/>
        <w:numPr>
          <w:ilvl w:val="0"/>
          <w:numId w:val="2"/>
        </w:numPr>
        <w:ind w:leftChars="0" w:left="480" w:right="0"/>
      </w:pPr>
      <w:r>
        <w:t>Οδός και αριθμός με λατινικούς χαρακτήρες</w:t>
      </w:r>
    </w:p>
    <w:p>
      <w:pPr>
        <w:pStyle w:val="ListBullet"/>
        <w:numPr>
          <w:ilvl w:val="0"/>
          <w:numId w:val="2"/>
        </w:numPr>
        <w:ind w:leftChars="0" w:left="480" w:right="0"/>
      </w:pPr>
      <w:r>
        <w:t>Πόλη</w:t>
      </w:r>
    </w:p>
    <w:p>
      <w:pPr>
        <w:pStyle w:val="ListBullet"/>
        <w:numPr>
          <w:ilvl w:val="0"/>
          <w:numId w:val="2"/>
        </w:numPr>
        <w:ind w:leftChars="0" w:left="480" w:right="0"/>
      </w:pPr>
      <w:r>
        <w:t>Πόλη με λατινικούς χαρακτήρες</w:t>
      </w:r>
    </w:p>
    <w:p>
      <w:pPr>
        <w:pStyle w:val="ListBullet"/>
        <w:numPr>
          <w:ilvl w:val="0"/>
          <w:numId w:val="2"/>
        </w:numPr>
        <w:ind w:leftChars="0" w:left="480" w:right="0"/>
      </w:pPr>
      <w:r>
        <w:t>Ταχυδρομικός κώδικας</w:t>
      </w:r>
    </w:p>
    <w:p>
      <w:pPr>
        <w:pStyle w:val="ListBullet"/>
        <w:numPr>
          <w:ilvl w:val="0"/>
          <w:numId w:val="2"/>
        </w:numPr>
        <w:ind w:leftChars="0" w:left="480" w:right="0"/>
      </w:pPr>
      <w:r>
        <w:t>Διαδικτυακή διεύθυνση</w:t>
      </w:r>
    </w:p>
    <w:p>
      <w:pPr>
        <w:pStyle w:val="ListBullet"/>
        <w:numPr>
          <w:ilvl w:val="0"/>
          <w:numId w:val="2"/>
        </w:numPr>
        <w:ind w:leftChars="0" w:left="480" w:right="0"/>
      </w:pPr>
      <w:r>
        <w:t>Ηλεκτρονική διεύθυνση (e-mail)</w:t>
      </w:r>
    </w:p>
    <w:p>
      <w:pPr>
        <w:pStyle w:val="ListBullet"/>
        <w:numPr>
          <w:ilvl w:val="0"/>
          <w:numId w:val="2"/>
        </w:numPr>
        <w:ind w:leftChars="0" w:left="480" w:right="0"/>
      </w:pPr>
      <w:r>
        <w:t>ΕΟ εισηγμένος σε οργανωμένη αγορά</w:t>
      </w:r>
    </w:p>
    <w:p>
      <w:pPr>
        <w:pStyle w:val="ListBullet"/>
        <w:numPr>
          <w:ilvl w:val="0"/>
          <w:numId w:val="2"/>
        </w:numPr>
        <w:ind w:leftChars="0" w:left="480" w:right="0"/>
      </w:pPr>
      <w:r>
        <w:t>ΕΟ σε κατάσταση αδράνειας</w:t>
      </w:r>
    </w:p>
    <w:p>
      <w:pPr>
        <w:pStyle w:val="ListBullet"/>
        <w:numPr>
          <w:ilvl w:val="0"/>
          <w:numId w:val="2"/>
        </w:numPr>
        <w:ind w:leftChars="0" w:left="480" w:right="0"/>
      </w:pPr>
      <w:r>
        <w:t>ΕΟ σε καθεστώς ρευστοποίησης</w:t>
      </w:r>
    </w:p>
    <w:p>
      <w:pPr>
        <w:pStyle w:val="ListBullet"/>
        <w:numPr>
          <w:ilvl w:val="0"/>
          <w:numId w:val="2"/>
        </w:numPr>
        <w:ind w:leftChars="0" w:left="480" w:right="0"/>
      </w:pPr>
      <w:r>
        <w:t>Καθεστώς ελέγχου του ΕΟ</w:t>
      </w:r>
    </w:p>
    <w:p>
      <w:pPr>
        <w:pStyle w:val="ListBullet"/>
        <w:numPr>
          <w:ilvl w:val="0"/>
          <w:numId w:val="2"/>
        </w:numPr>
        <w:ind w:leftChars="0" w:left="480" w:right="0"/>
      </w:pPr>
      <w:r>
        <w:t>Κωδικός Μανδύα</w:t>
      </w:r>
    </w:p>
    <w:p>
      <w:pPr>
        <w:pStyle w:val="ListBullet"/>
        <w:numPr>
          <w:ilvl w:val="0"/>
          <w:numId w:val="2"/>
        </w:numPr>
        <w:ind w:leftChars="0" w:left="480" w:right="0"/>
      </w:pPr>
      <w:r>
        <w:t>Νομική Μορφή:</w:t>
      </w:r>
    </w:p>
    <w:p>
      <w:pPr>
        <w:pStyle w:val="ListBullet"/>
        <w:numPr>
          <w:ilvl w:val="1"/>
          <w:numId w:val="2"/>
        </w:numPr>
        <w:ind w:leftChars="0" w:left="1080" w:right="0"/>
      </w:pPr>
      <w:r>
        <w:t>Συμμορφούμενος με την οδηγία για τους ΟΣΕΚΑ</w:t>
      </w:r>
    </w:p>
    <w:p>
      <w:pPr>
        <w:pStyle w:val="ListBullet"/>
        <w:numPr>
          <w:ilvl w:val="1"/>
          <w:numId w:val="2"/>
        </w:numPr>
        <w:ind w:leftChars="0" w:left="1080" w:right="0"/>
      </w:pPr>
      <w:r>
        <w:t>Συμμορφούμενος με την οδηγία για τους ΟΕΕ (εκτός ΑΕΕΑΠ) με ιδιώτες επενδυτές</w:t>
      </w:r>
    </w:p>
    <w:p>
      <w:pPr>
        <w:pStyle w:val="ListBullet"/>
        <w:numPr>
          <w:ilvl w:val="1"/>
          <w:numId w:val="2"/>
        </w:numPr>
        <w:ind w:leftChars="0" w:left="1080" w:right="0"/>
      </w:pPr>
      <w:r>
        <w:t>Συμμορφούμενο με την οδηγία για τους ΟΕΕ (εκτός ΑΕΕΑΠ) με θεσμικούς επενδυτές</w:t>
      </w:r>
    </w:p>
    <w:p>
      <w:pPr>
        <w:pStyle w:val="ListBullet"/>
        <w:numPr>
          <w:ilvl w:val="1"/>
          <w:numId w:val="2"/>
        </w:numPr>
        <w:ind w:leftChars="0" w:left="1080" w:right="0"/>
      </w:pPr>
      <w:r>
        <w:t>Εταιρεία Επενδύσεων σε Ακίνητη Περιουσία</w:t>
      </w:r>
    </w:p>
    <w:p>
      <w:pPr>
        <w:pStyle w:val="ListBullet"/>
        <w:numPr>
          <w:ilvl w:val="1"/>
          <w:numId w:val="2"/>
        </w:numPr>
        <w:ind w:leftChars="0" w:left="1080" w:right="0"/>
      </w:pPr>
      <w:r>
        <w:t>ΕΟ μη συμμορφούμενος με κάποια από τις προηγούμενες κατηγορίες</w:t>
      </w:r>
    </w:p>
    <w:p>
      <w:pPr>
        <w:pStyle w:val="ListBullet"/>
        <w:numPr>
          <w:ilvl w:val="0"/>
          <w:numId w:val="2"/>
        </w:numPr>
        <w:ind w:leftChars="0" w:left="480" w:right="0"/>
      </w:pPr>
      <w:r>
        <w:t>Επενδυτική πολιτική:</w:t>
      </w:r>
    </w:p>
    <w:p>
      <w:pPr>
        <w:pStyle w:val="ListBullet"/>
        <w:numPr>
          <w:ilvl w:val="1"/>
          <w:numId w:val="2"/>
        </w:numPr>
        <w:ind w:leftChars="0" w:left="1080" w:right="0"/>
      </w:pPr>
      <w:r>
        <w:t>Αμοιβαίο κεφάλαιο χρηματαγοράς</w:t>
      </w:r>
    </w:p>
    <w:p>
      <w:pPr>
        <w:pStyle w:val="ListBullet"/>
        <w:numPr>
          <w:ilvl w:val="1"/>
          <w:numId w:val="2"/>
        </w:numPr>
        <w:ind w:leftChars="0" w:left="1080" w:right="0"/>
      </w:pPr>
      <w:r>
        <w:t>ΕΟ ομολογιακού τύπου</w:t>
      </w:r>
    </w:p>
    <w:p>
      <w:pPr>
        <w:pStyle w:val="ListBullet"/>
        <w:numPr>
          <w:ilvl w:val="1"/>
          <w:numId w:val="2"/>
        </w:numPr>
        <w:ind w:leftChars="0" w:left="1080" w:right="0"/>
      </w:pPr>
      <w:r>
        <w:t>ΕΟ μετοχικού τύπου</w:t>
      </w:r>
    </w:p>
    <w:p>
      <w:pPr>
        <w:pStyle w:val="ListBullet"/>
        <w:numPr>
          <w:ilvl w:val="1"/>
          <w:numId w:val="2"/>
        </w:numPr>
        <w:ind w:leftChars="0" w:left="1080" w:right="0"/>
      </w:pPr>
      <w:r>
        <w:t>ΕΟ μεικτού τύπου</w:t>
      </w:r>
    </w:p>
    <w:p>
      <w:pPr>
        <w:pStyle w:val="ListBullet"/>
        <w:numPr>
          <w:ilvl w:val="1"/>
          <w:numId w:val="2"/>
        </w:numPr>
        <w:ind w:leftChars="0" w:left="1080" w:right="0"/>
      </w:pPr>
      <w:r>
        <w:t>ΕΟ ακίνητης περιουσίας</w:t>
      </w:r>
    </w:p>
    <w:p>
      <w:pPr>
        <w:pStyle w:val="ListBullet"/>
        <w:numPr>
          <w:ilvl w:val="1"/>
          <w:numId w:val="2"/>
        </w:numPr>
        <w:ind w:leftChars="0" w:left="1080" w:right="0"/>
      </w:pPr>
      <w:r>
        <w:t>ΕΟ αντιστάθμισης κινδύνων</w:t>
      </w:r>
    </w:p>
    <w:p>
      <w:pPr>
        <w:pStyle w:val="ListBullet"/>
        <w:numPr>
          <w:ilvl w:val="1"/>
          <w:numId w:val="2"/>
        </w:numPr>
        <w:ind w:leftChars="0" w:left="1080" w:right="0"/>
      </w:pPr>
      <w:r>
        <w:t>Δανειακοί/πιστωτικοί ΕΟ</w:t>
      </w:r>
    </w:p>
    <w:p>
      <w:pPr>
        <w:pStyle w:val="ListBullet"/>
        <w:numPr>
          <w:ilvl w:val="1"/>
          <w:numId w:val="2"/>
        </w:numPr>
        <w:ind w:leftChars="0" w:left="1080" w:right="0"/>
      </w:pPr>
      <w:r>
        <w:t>ΕΟ εμπορευμάτων</w:t>
      </w:r>
    </w:p>
    <w:p>
      <w:pPr>
        <w:pStyle w:val="ListBullet"/>
        <w:numPr>
          <w:ilvl w:val="1"/>
          <w:numId w:val="2"/>
        </w:numPr>
        <w:ind w:leftChars="0" w:left="1080" w:right="0"/>
      </w:pPr>
      <w:r>
        <w:t>ΕΟ υποδομών</w:t>
      </w:r>
    </w:p>
    <w:p>
      <w:pPr>
        <w:pStyle w:val="ListBullet"/>
        <w:numPr>
          <w:ilvl w:val="1"/>
          <w:numId w:val="2"/>
        </w:numPr>
        <w:ind w:leftChars="0" w:left="1080" w:right="0"/>
      </w:pPr>
      <w:r>
        <w:t>Λοιποί ΕΟ</w:t>
      </w:r>
    </w:p>
    <w:p>
      <w:pPr>
        <w:pStyle w:val="ListBullet"/>
        <w:numPr>
          <w:ilvl w:val="0"/>
          <w:numId w:val="2"/>
        </w:numPr>
        <w:ind w:leftChars="0" w:left="480" w:right="0"/>
      </w:pPr>
      <w:r>
        <w:t>Ανοιχτού/κλειστού τύπου</w:t>
      </w:r>
    </w:p>
    <w:p>
      <w:pPr>
        <w:pStyle w:val="ListBullet"/>
        <w:numPr>
          <w:ilvl w:val="0"/>
          <w:numId w:val="2"/>
        </w:numPr>
        <w:ind w:leftChars="0" w:left="480" w:right="0"/>
      </w:pPr>
      <w:r>
        <w:t>Μερισματική Πολιτική:</w:t>
      </w:r>
    </w:p>
    <w:p>
      <w:pPr>
        <w:pStyle w:val="ListBullet"/>
        <w:numPr>
          <w:ilvl w:val="1"/>
          <w:numId w:val="2"/>
        </w:numPr>
        <w:ind w:leftChars="0" w:left="1080" w:right="0"/>
      </w:pPr>
      <w:r>
        <w:t>ΕΟ διανομής μερισμάτων</w:t>
      </w:r>
    </w:p>
    <w:p>
      <w:pPr>
        <w:pStyle w:val="ListBullet"/>
        <w:numPr>
          <w:ilvl w:val="2"/>
          <w:numId w:val="2"/>
        </w:numPr>
        <w:ind w:leftChars="0" w:left="2280" w:right="0"/>
      </w:pPr>
      <w:r>
        <w:t>ΕΟ συσσώρευσης</w:t>
      </w:r>
    </w:p>
    <w:p>
      <w:pPr>
        <w:pStyle w:val="ListBullet"/>
        <w:numPr>
          <w:ilvl w:val="2"/>
          <w:numId w:val="2"/>
        </w:numPr>
        <w:ind w:leftChars="0" w:left="2280" w:right="0"/>
      </w:pPr>
      <w:r>
        <w:t>ΕΟ μεικτής μορφής διανομής μερισμάτων</w:t>
      </w:r>
    </w:p>
    <w:p>
      <w:pPr>
        <w:pStyle w:val="ListBullet"/>
        <w:numPr>
          <w:ilvl w:val="0"/>
          <w:numId w:val="2"/>
        </w:numPr>
        <w:ind w:leftChars="0" w:left="480" w:right="0"/>
      </w:pPr>
      <w:r>
        <w:t>Είδος Μεριδιούχων:</w:t>
      </w:r>
    </w:p>
    <w:p>
      <w:pPr>
        <w:pStyle w:val="ListBullet"/>
        <w:numPr>
          <w:ilvl w:val="1"/>
          <w:numId w:val="2"/>
        </w:numPr>
        <w:ind w:leftChars="0" w:left="1080" w:right="0"/>
      </w:pPr>
      <w:r>
        <w:t>Κατεξοχήν επαγγελματίες επενδυτές</w:t>
      </w:r>
    </w:p>
    <w:p>
      <w:pPr>
        <w:pStyle w:val="ListBullet"/>
        <w:numPr>
          <w:ilvl w:val="2"/>
          <w:numId w:val="2"/>
        </w:numPr>
        <w:ind w:leftChars="0" w:left="2280" w:right="0"/>
      </w:pPr>
      <w:r>
        <w:t>Κατεξοχήν ιδιώτες επενδυτές</w:t>
      </w:r>
    </w:p>
    <w:p>
      <w:pPr>
        <w:pStyle w:val="ListBullet"/>
        <w:numPr>
          <w:ilvl w:val="2"/>
          <w:numId w:val="2"/>
        </w:numPr>
        <w:ind w:leftChars="0" w:left="2280" w:right="0"/>
      </w:pPr>
      <w:r>
        <w:t>Συνδυασμός επαγγελματιών και ιδιωτών επενδυτών</w:t>
      </w:r>
    </w:p>
    <w:p>
      <w:pPr>
        <w:pStyle w:val="ListBullet"/>
        <w:numPr>
          <w:ilvl w:val="0"/>
          <w:numId w:val="2"/>
        </w:numPr>
        <w:ind w:leftChars="0" w:left="480" w:right="0"/>
      </w:pPr>
      <w:r>
        <w:t>Περιβαλλοντική, κοινωνική και σχετική με τη διακυβέρνηση (ΠΚΔ) συμμόρφωση:</w:t>
      </w:r>
    </w:p>
    <w:p>
      <w:pPr>
        <w:pStyle w:val="ListBullet"/>
        <w:numPr>
          <w:ilvl w:val="1"/>
          <w:numId w:val="2"/>
        </w:numPr>
        <w:ind w:leftChars="0" w:left="1080" w:right="0"/>
      </w:pPr>
      <w:r>
        <w:t>Συμμορφούμενοι με το άρθρο 8 του κανονισμού γνωστοποιήσεων αειφορίας χρηματοπιστωτικών υπηρεσιών (SFDR)</w:t>
      </w:r>
    </w:p>
    <w:p>
      <w:pPr>
        <w:pStyle w:val="ListBullet"/>
        <w:numPr>
          <w:ilvl w:val="1"/>
          <w:numId w:val="2"/>
        </w:numPr>
        <w:ind w:leftChars="0" w:left="1080" w:right="0"/>
      </w:pPr>
      <w:r>
        <w:t>Συμμορφούμενοι με το άρθρο 9 του κανονισμού γνωστοποιήσεων αειφορίας χρηματοπιστωτικών υπηρεσιών (SFDR)</w:t>
      </w:r>
    </w:p>
    <w:p>
      <w:pPr>
        <w:pStyle w:val="ListBullet"/>
        <w:numPr>
          <w:ilvl w:val="2"/>
          <w:numId w:val="2"/>
        </w:numPr>
        <w:ind w:leftChars="0" w:left="2280" w:right="0"/>
      </w:pPr>
      <w:r>
        <w:t>Άλλο</w:t>
      </w:r>
    </w:p>
    <w:p>
      <w:pPr>
        <w:pStyle w:val="ListBullet"/>
        <w:numPr>
          <w:ilvl w:val="0"/>
          <w:numId w:val="2"/>
        </w:numPr>
        <w:ind w:leftChars="0" w:left="480" w:right="0"/>
      </w:pPr>
      <w:r>
        <w:t>Επενδυτική προσέγγιση:</w:t>
      </w:r>
    </w:p>
    <w:p>
      <w:pPr>
        <w:pStyle w:val="ListBullet"/>
        <w:numPr>
          <w:ilvl w:val="1"/>
          <w:numId w:val="2"/>
        </w:numPr>
        <w:ind w:leftChars="0" w:left="1080" w:right="0"/>
      </w:pPr>
      <w:r>
        <w:t>Ενεργητική</w:t>
      </w:r>
    </w:p>
    <w:p>
      <w:pPr>
        <w:pStyle w:val="ListBullet"/>
        <w:numPr>
          <w:ilvl w:val="2"/>
          <w:numId w:val="2"/>
        </w:numPr>
        <w:ind w:leftChars="0" w:left="2280" w:right="0"/>
      </w:pPr>
      <w:r>
        <w:t>Παθητική συνθετική</w:t>
      </w:r>
    </w:p>
    <w:p>
      <w:pPr>
        <w:pStyle w:val="ListBullet"/>
        <w:numPr>
          <w:ilvl w:val="2"/>
          <w:numId w:val="2"/>
        </w:numPr>
        <w:ind w:leftChars="0" w:left="2280" w:right="0"/>
      </w:pPr>
      <w:r>
        <w:t>Παθητική φυσική</w:t>
      </w:r>
    </w:p>
    <w:p>
      <w:pPr>
        <w:pStyle w:val="ListBullet"/>
        <w:numPr>
          <w:ilvl w:val="0"/>
          <w:numId w:val="2"/>
        </w:numPr>
        <w:ind w:leftChars="0" w:left="480" w:right="0"/>
      </w:pPr>
      <w:r>
        <w:t>Γεωγραφική εστίαση:</w:t>
      </w:r>
    </w:p>
    <w:p>
      <w:pPr>
        <w:pStyle w:val="ListBullet"/>
        <w:numPr>
          <w:ilvl w:val="1"/>
          <w:numId w:val="2"/>
        </w:numPr>
        <w:ind w:leftChars="0" w:left="1080" w:right="0"/>
      </w:pPr>
      <w:r>
        <w:t>Εσωτερικό</w:t>
      </w:r>
    </w:p>
    <w:p>
      <w:pPr>
        <w:pStyle w:val="ListBullet"/>
        <w:numPr>
          <w:ilvl w:val="2"/>
          <w:numId w:val="2"/>
        </w:numPr>
        <w:ind w:leftChars="0" w:left="2280" w:right="0"/>
      </w:pPr>
      <w:r>
        <w:t>Ευρώπη [Ευρωπαϊκός Οικονομικός Χώρος (ΕΟΧ)]</w:t>
      </w:r>
    </w:p>
    <w:p>
      <w:pPr>
        <w:pStyle w:val="ListBullet"/>
        <w:numPr>
          <w:ilvl w:val="2"/>
          <w:numId w:val="2"/>
        </w:numPr>
        <w:ind w:leftChars="0" w:left="2280" w:right="0"/>
      </w:pPr>
      <w:r>
        <w:t>Ευρώπη πλην του ΕΟΧ</w:t>
      </w:r>
    </w:p>
    <w:p>
      <w:pPr>
        <w:pStyle w:val="ListBullet"/>
        <w:numPr>
          <w:ilvl w:val="2"/>
          <w:numId w:val="2"/>
        </w:numPr>
        <w:ind w:leftChars="0" w:left="2280" w:right="0"/>
      </w:pPr>
      <w:r>
        <w:t>Βόρεια Αμερική</w:t>
      </w:r>
    </w:p>
    <w:p>
      <w:pPr>
        <w:pStyle w:val="ListBullet"/>
        <w:numPr>
          <w:ilvl w:val="2"/>
          <w:numId w:val="2"/>
        </w:numPr>
        <w:ind w:leftChars="0" w:left="2280" w:right="0"/>
      </w:pPr>
      <w:r>
        <w:t>Νότια Αμερική</w:t>
      </w:r>
    </w:p>
    <w:p>
      <w:pPr>
        <w:pStyle w:val="ListBullet"/>
        <w:numPr>
          <w:ilvl w:val="2"/>
          <w:numId w:val="2"/>
        </w:numPr>
        <w:ind w:leftChars="0" w:left="2280" w:right="0"/>
      </w:pPr>
      <w:r>
        <w:t>Ασία / Ειρηνικός</w:t>
      </w:r>
    </w:p>
    <w:p>
      <w:pPr>
        <w:pStyle w:val="ListBullet"/>
        <w:numPr>
          <w:ilvl w:val="2"/>
          <w:numId w:val="2"/>
        </w:numPr>
        <w:ind w:leftChars="0" w:left="2280" w:right="0"/>
      </w:pPr>
      <w:r>
        <w:t>Μέση Ανατολή</w:t>
      </w:r>
    </w:p>
    <w:p>
      <w:pPr>
        <w:pStyle w:val="ListBullet"/>
        <w:numPr>
          <w:ilvl w:val="2"/>
          <w:numId w:val="2"/>
        </w:numPr>
        <w:ind w:leftChars="0" w:left="2280" w:right="0"/>
      </w:pPr>
      <w:r>
        <w:t>Αφρική</w:t>
      </w:r>
    </w:p>
    <w:p>
      <w:pPr>
        <w:pStyle w:val="ListBullet"/>
        <w:numPr>
          <w:ilvl w:val="2"/>
          <w:numId w:val="2"/>
        </w:numPr>
        <w:ind w:leftChars="0" w:left="2280" w:right="0"/>
      </w:pPr>
      <w:r>
        <w:t>Υπερεθνική / πολλαπλή περιφέρεια</w:t>
      </w:r>
    </w:p>
    <w:p>
      <w:pPr>
        <w:pStyle w:val="ListBullet"/>
        <w:numPr>
          <w:ilvl w:val="0"/>
          <w:numId w:val="2"/>
        </w:numPr>
        <w:ind w:leftChars="0" w:left="480" w:right="0"/>
      </w:pPr>
      <w:r>
        <w:t>Εστίαση των ομολογιακών ΕΟ:</w:t>
      </w:r>
    </w:p>
    <w:p>
      <w:pPr>
        <w:pStyle w:val="ListBullet"/>
        <w:numPr>
          <w:ilvl w:val="1"/>
          <w:numId w:val="2"/>
        </w:numPr>
        <w:ind w:leftChars="0" w:left="1080" w:right="0"/>
      </w:pPr>
      <w:r>
        <w:t>Εταιρικά ομόλογα</w:t>
      </w:r>
    </w:p>
    <w:p>
      <w:pPr>
        <w:pStyle w:val="ListBullet"/>
        <w:numPr>
          <w:ilvl w:val="2"/>
          <w:numId w:val="2"/>
        </w:numPr>
        <w:ind w:leftChars="0" w:left="2280" w:right="0"/>
      </w:pPr>
      <w:r>
        <w:t>Κρατικά ομόλογα</w:t>
      </w:r>
    </w:p>
    <w:p>
      <w:pPr>
        <w:pStyle w:val="ListBullet"/>
        <w:numPr>
          <w:ilvl w:val="1"/>
          <w:numId w:val="2"/>
        </w:numPr>
        <w:ind w:leftChars="0" w:left="1080" w:right="0"/>
      </w:pPr>
      <w:r>
        <w:t>Μεικτά εταιρικά και κρατικά ομόλογα</w:t>
      </w:r>
    </w:p>
    <w:p>
      <w:pPr>
        <w:pStyle w:val="ListBullet"/>
        <w:numPr>
          <w:ilvl w:val="0"/>
          <w:numId w:val="2"/>
        </w:numPr>
        <w:ind w:leftChars="0" w:left="480" w:right="0"/>
      </w:pPr>
      <w:r>
        <w:t>Τύπος εταιρείας επενδύσεων σε ακίνητα:</w:t>
      </w:r>
    </w:p>
    <w:p>
      <w:pPr>
        <w:pStyle w:val="ListBullet"/>
        <w:numPr>
          <w:ilvl w:val="1"/>
          <w:numId w:val="2"/>
        </w:numPr>
        <w:ind w:leftChars="0" w:left="1080" w:right="0"/>
      </w:pPr>
      <w:r>
        <w:t>Οικιστικά ακίνητα</w:t>
      </w:r>
    </w:p>
    <w:p>
      <w:pPr>
        <w:pStyle w:val="ListBullet"/>
        <w:numPr>
          <w:ilvl w:val="2"/>
          <w:numId w:val="2"/>
        </w:numPr>
        <w:ind w:leftChars="0" w:left="2280" w:right="0"/>
      </w:pPr>
      <w:r>
        <w:t>Εμπορικά</w:t>
      </w:r>
    </w:p>
    <w:p>
      <w:pPr>
        <w:pStyle w:val="ListBullet"/>
        <w:numPr>
          <w:ilvl w:val="2"/>
          <w:numId w:val="2"/>
        </w:numPr>
        <w:ind w:leftChars="0" w:left="2280" w:right="0"/>
      </w:pPr>
      <w:r>
        <w:t>Βιομηχανικά</w:t>
      </w:r>
    </w:p>
    <w:p>
      <w:pPr>
        <w:pStyle w:val="ListBullet"/>
        <w:numPr>
          <w:ilvl w:val="2"/>
          <w:numId w:val="2"/>
        </w:numPr>
        <w:ind w:leftChars="0" w:left="2280" w:right="0"/>
      </w:pPr>
      <w:r>
        <w:t>Πολλαπλών στρατηγικών</w:t>
      </w:r>
    </w:p>
    <w:p>
      <w:pPr>
        <w:pStyle w:val="ListBullet"/>
        <w:numPr>
          <w:ilvl w:val="1"/>
          <w:numId w:val="2"/>
        </w:numPr>
        <w:ind w:leftChars="0" w:left="1080" w:right="0"/>
      </w:pPr>
      <w:r>
        <w:t>Γραφεία</w:t>
      </w:r>
    </w:p>
    <w:p>
      <w:pPr>
        <w:pStyle w:val="ListBullet"/>
        <w:numPr>
          <w:ilvl w:val="2"/>
          <w:numId w:val="2"/>
        </w:numPr>
        <w:ind w:leftChars="0" w:left="2280" w:right="0"/>
      </w:pPr>
      <w:r>
        <w:t>Λοιπά</w:t>
      </w:r>
    </w:p>
    <w:p>
      <w:pPr>
        <w:pStyle w:val="ListBullet"/>
        <w:numPr>
          <w:ilvl w:val="0"/>
          <w:numId w:val="2"/>
        </w:numPr>
        <w:ind w:leftChars="0" w:left="480" w:right="0"/>
      </w:pPr>
      <w:r>
        <w:t>Ένδειξη επενδύσεων του ΕΟ σε άλλους ΕΟ</w:t>
      </w:r>
    </w:p>
    <w:p>
      <w:pPr>
        <w:pStyle w:val="ListBullet"/>
        <w:numPr>
          <w:ilvl w:val="0"/>
          <w:numId w:val="2"/>
        </w:numPr>
        <w:ind w:leftChars="0" w:left="480" w:right="0"/>
      </w:pPr>
      <w:r>
        <w:t>Ένδειξη περί διαπραγματεύσιμου αμοιβαίου κεφαλαίου</w:t>
      </w:r>
    </w:p>
    <w:p>
      <w:pPr>
        <w:pStyle w:val="ListBullet"/>
        <w:numPr>
          <w:ilvl w:val="0"/>
          <w:numId w:val="2"/>
        </w:numPr>
        <w:ind w:leftChars="0" w:left="480" w:right="0"/>
      </w:pPr>
      <w:r>
        <w:t>Ένδειξη περί ιδιωτικού επενδυτικού κεφαλαίου</w:t>
      </w:r>
    </w:p>
    <w:p>
      <w:pPr>
        <w:pStyle w:val="ListBullet"/>
        <w:numPr>
          <w:ilvl w:val="0"/>
          <w:numId w:val="2"/>
        </w:numPr>
        <w:ind w:leftChars="0" w:left="480" w:right="0"/>
      </w:pPr>
      <w:r>
        <w:t>Νόμισμα αποτίμησης του ΕΟ</w:t>
      </w:r>
    </w:p>
    <w:bookmarkEnd w:id="38"/>
    <w:bookmarkStart w:id="39" w:name="_e7ad0a9c717f0156a50a1a7bbcbf8de8"/>
    <w:p>
      <w:pPr>
        <w:pStyle w:val="Heading 6"/>
        <w:keepNext/>
      </w:pPr>
      <w:r>
        <w:t>Πίνακας Β5: Στοιχεία Αναφοράς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w:t>
      </w:r>
    </w:p>
    <w:p>
      <w:pPr>
        <w:pStyle w:val="ListBullet"/>
        <w:numPr>
          <w:ilvl w:val="0"/>
          <w:numId w:val="2"/>
        </w:numPr>
        <w:ind w:leftChars="0" w:left="480" w:right="0"/>
      </w:pPr>
      <w:r>
        <w:t>Αρχική ημερομηνία λήξης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Τιμή έκδοσης</w:t>
      </w:r>
    </w:p>
    <w:p>
      <w:pPr>
        <w:pStyle w:val="ListBullet"/>
        <w:numPr>
          <w:ilvl w:val="0"/>
          <w:numId w:val="2"/>
        </w:numPr>
        <w:ind w:leftChars="0" w:left="480" w:right="0"/>
      </w:pPr>
      <w:r>
        <w:t>Τιμή εξόφλησης</w:t>
      </w:r>
    </w:p>
    <w:p>
      <w:pPr>
        <w:pStyle w:val="ListBullet"/>
        <w:numPr>
          <w:ilvl w:val="0"/>
          <w:numId w:val="2"/>
        </w:numPr>
        <w:ind w:leftChars="0" w:left="480" w:right="0"/>
      </w:pPr>
      <w:r>
        <w:t>Αγορά διαπραγμάτευσης</w:t>
      </w:r>
    </w:p>
    <w:p>
      <w:pPr>
        <w:pStyle w:val="ListBullet"/>
        <w:numPr>
          <w:ilvl w:val="0"/>
          <w:numId w:val="2"/>
        </w:numPr>
        <w:ind w:leftChars="0" w:left="480" w:right="0"/>
      </w:pPr>
      <w:r>
        <w:t>Αρχική ημερομηνία συσσώρευσης δεδουλευμένων τόκων</w:t>
      </w:r>
    </w:p>
    <w:p>
      <w:pPr>
        <w:pStyle w:val="ListBullet"/>
        <w:numPr>
          <w:ilvl w:val="0"/>
          <w:numId w:val="2"/>
        </w:numPr>
        <w:ind w:leftChars="0" w:left="480" w:right="0"/>
      </w:pPr>
      <w:r>
        <w:t>Είδος</w:t>
      </w:r>
    </w:p>
    <w:p>
      <w:pPr>
        <w:pStyle w:val="ListBullet"/>
        <w:numPr>
          <w:ilvl w:val="0"/>
          <w:numId w:val="2"/>
        </w:numPr>
        <w:ind w:leftChars="0" w:left="480" w:right="0"/>
      </w:pPr>
      <w:r>
        <w:t>Επίπεδο εγγύησης</w:t>
      </w:r>
    </w:p>
    <w:p>
      <w:pPr>
        <w:pStyle w:val="ListBullet"/>
        <w:numPr>
          <w:ilvl w:val="0"/>
          <w:numId w:val="2"/>
        </w:numPr>
        <w:ind w:leftChars="0" w:left="480" w:right="0"/>
      </w:pPr>
      <w:r>
        <w:t>Είδος κατάταξης</w:t>
      </w:r>
    </w:p>
    <w:p>
      <w:pPr>
        <w:pStyle w:val="ListBullet"/>
        <w:numPr>
          <w:ilvl w:val="0"/>
          <w:numId w:val="2"/>
        </w:numPr>
        <w:ind w:leftChars="0" w:left="480" w:right="0"/>
      </w:pPr>
      <w:r>
        <w:t>Επίπεδο ασφάλισης</w:t>
      </w:r>
    </w:p>
    <w:p>
      <w:pPr>
        <w:pStyle w:val="ListBullet"/>
        <w:numPr>
          <w:ilvl w:val="0"/>
          <w:numId w:val="2"/>
        </w:numPr>
        <w:ind w:leftChars="0" w:left="480" w:right="0"/>
      </w:pPr>
      <w:r>
        <w:t>Ένδειξη καλυμμένης ομολογίας</w:t>
      </w:r>
    </w:p>
    <w:p>
      <w:pPr>
        <w:pStyle w:val="ListBullet"/>
        <w:numPr>
          <w:ilvl w:val="0"/>
          <w:numId w:val="2"/>
        </w:numPr>
        <w:ind w:leftChars="0" w:left="480" w:right="0"/>
      </w:pPr>
      <w:r>
        <w:t>Είδος καλυμμένης ομολογίας</w:t>
      </w:r>
    </w:p>
    <w:p>
      <w:pPr>
        <w:pStyle w:val="ListBullet"/>
        <w:numPr>
          <w:ilvl w:val="0"/>
          <w:numId w:val="2"/>
        </w:numPr>
        <w:ind w:leftChars="0" w:left="480" w:right="0"/>
      </w:pPr>
      <w:r>
        <w:t>Είδος τοκομεριδίου</w:t>
      </w:r>
    </w:p>
    <w:p>
      <w:pPr>
        <w:pStyle w:val="ListBullet"/>
        <w:numPr>
          <w:ilvl w:val="0"/>
          <w:numId w:val="2"/>
        </w:numPr>
        <w:ind w:leftChars="0" w:left="480" w:right="0"/>
      </w:pPr>
      <w:r>
        <w:t>Νόμισμα τοκομεριδίου</w:t>
      </w:r>
    </w:p>
    <w:p>
      <w:pPr>
        <w:pStyle w:val="ListBullet"/>
        <w:numPr>
          <w:ilvl w:val="0"/>
          <w:numId w:val="2"/>
        </w:numPr>
        <w:ind w:leftChars="0" w:left="480" w:right="0"/>
      </w:pPr>
      <w:r>
        <w:t>Συχνότητα πληρωμής τοκομεριδίου</w:t>
      </w:r>
    </w:p>
    <w:p>
      <w:pPr>
        <w:pStyle w:val="ListBullet"/>
        <w:numPr>
          <w:ilvl w:val="0"/>
          <w:numId w:val="2"/>
        </w:numPr>
        <w:ind w:leftChars="0" w:left="480" w:right="0"/>
      </w:pPr>
      <w:r>
        <w:t>Περιθώριο επιτοκίου</w:t>
      </w:r>
    </w:p>
    <w:p>
      <w:pPr>
        <w:pStyle w:val="ListBullet"/>
        <w:numPr>
          <w:ilvl w:val="0"/>
          <w:numId w:val="2"/>
        </w:numPr>
        <w:ind w:leftChars="0" w:left="480" w:right="0"/>
      </w:pPr>
      <w:r>
        <w:t>Πολλαπλασιαστής επιτοκίου</w:t>
      </w:r>
    </w:p>
    <w:p>
      <w:pPr>
        <w:pStyle w:val="ListBullet"/>
        <w:numPr>
          <w:ilvl w:val="0"/>
          <w:numId w:val="2"/>
        </w:numPr>
        <w:ind w:leftChars="0" w:left="480" w:right="0"/>
      </w:pPr>
      <w:r>
        <w:t>Μέγιστη τιμή τοκομεριδίου</w:t>
      </w:r>
    </w:p>
    <w:p>
      <w:pPr>
        <w:pStyle w:val="ListBullet"/>
        <w:numPr>
          <w:ilvl w:val="0"/>
          <w:numId w:val="2"/>
        </w:numPr>
        <w:ind w:leftChars="0" w:left="480" w:right="0"/>
      </w:pPr>
      <w:r>
        <w:t>Ελάχιστη τιμή τοκομεριδίου</w:t>
      </w:r>
    </w:p>
    <w:p>
      <w:pPr>
        <w:pStyle w:val="ListBullet"/>
        <w:numPr>
          <w:ilvl w:val="0"/>
          <w:numId w:val="2"/>
        </w:numPr>
        <w:ind w:leftChars="0" w:left="480" w:right="0"/>
      </w:pPr>
      <w:r>
        <w:t>Ημερομηνία πρώτου τοκομεριδίου</w:t>
      </w:r>
    </w:p>
    <w:p>
      <w:pPr>
        <w:pStyle w:val="ListBullet"/>
        <w:numPr>
          <w:ilvl w:val="0"/>
          <w:numId w:val="2"/>
        </w:numPr>
        <w:ind w:leftChars="0" w:left="480" w:right="0"/>
      </w:pPr>
      <w:r>
        <w:t>Ημερομηνία τελευταίου τοκομεριδίου</w:t>
      </w:r>
    </w:p>
    <w:p>
      <w:pPr>
        <w:pStyle w:val="ListBullet"/>
        <w:numPr>
          <w:ilvl w:val="0"/>
          <w:numId w:val="2"/>
        </w:numPr>
        <w:ind w:leftChars="0" w:left="480" w:right="0"/>
      </w:pPr>
      <w:r>
        <w:t>Προϊόν βάσης</w:t>
      </w:r>
    </w:p>
    <w:p>
      <w:pPr>
        <w:pStyle w:val="ListBullet"/>
        <w:numPr>
          <w:ilvl w:val="0"/>
          <w:numId w:val="2"/>
        </w:numPr>
        <w:ind w:leftChars="0" w:left="480" w:right="0"/>
      </w:pPr>
      <w:r>
        <w:t>Ελάχιστο ποσό επένδυσης</w:t>
      </w:r>
    </w:p>
    <w:p>
      <w:pPr>
        <w:pStyle w:val="ListBullet"/>
        <w:numPr>
          <w:ilvl w:val="0"/>
          <w:numId w:val="2"/>
        </w:numPr>
        <w:ind w:leftChars="0" w:left="480" w:right="0"/>
      </w:pPr>
      <w:r>
        <w:t>Ένδειξη ιδιωτικής τοποθέτησης</w:t>
      </w:r>
    </w:p>
    <w:p>
      <w:pPr>
        <w:pStyle w:val="ListBullet"/>
        <w:numPr>
          <w:ilvl w:val="0"/>
          <w:numId w:val="2"/>
        </w:numPr>
        <w:ind w:leftChars="0" w:left="480" w:right="0"/>
      </w:pPr>
      <w:r>
        <w:t>Αναδιάρθρωση σε</w:t>
      </w:r>
    </w:p>
    <w:p>
      <w:pPr>
        <w:pStyle w:val="ListBullet"/>
        <w:numPr>
          <w:ilvl w:val="0"/>
          <w:numId w:val="2"/>
        </w:numPr>
        <w:ind w:leftChars="0" w:left="480" w:right="0"/>
      </w:pPr>
      <w:r>
        <w:t>Αναδιάρθρωση από</w:t>
      </w:r>
    </w:p>
    <w:bookmarkEnd w:id="39"/>
    <w:bookmarkStart w:id="40" w:name="_7e9e38e9c12de24cedec2e52fe43dfb2"/>
    <w:p>
      <w:pPr>
        <w:pStyle w:val="Heading 6"/>
        <w:keepNext/>
      </w:pPr>
      <w:r>
        <w:t>Πίνακας Β6: Μεταβλητά Στοιχεία Αναφοράς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 χρεογράφου</w:t>
      </w:r>
    </w:p>
    <w:p>
      <w:pPr>
        <w:pStyle w:val="ListBullet"/>
        <w:numPr>
          <w:ilvl w:val="0"/>
          <w:numId w:val="2"/>
        </w:numPr>
        <w:ind w:leftChars="0" w:left="480" w:right="0"/>
      </w:pPr>
      <w:r>
        <w:t>Κατάσταση</w:t>
      </w:r>
    </w:p>
    <w:p>
      <w:pPr>
        <w:pStyle w:val="ListBullet"/>
        <w:numPr>
          <w:ilvl w:val="0"/>
          <w:numId w:val="2"/>
        </w:numPr>
        <w:ind w:leftChars="0" w:left="480" w:right="0"/>
      </w:pPr>
      <w:r>
        <w:t>Ημερομηνία λήξης</w:t>
      </w:r>
    </w:p>
    <w:p>
      <w:pPr>
        <w:pStyle w:val="ListBullet"/>
        <w:numPr>
          <w:ilvl w:val="0"/>
          <w:numId w:val="2"/>
        </w:numPr>
        <w:ind w:leftChars="0" w:left="480" w:right="0"/>
      </w:pPr>
      <w:r>
        <w:t>Εκδόθηκε από</w:t>
      </w:r>
    </w:p>
    <w:p>
      <w:pPr>
        <w:pStyle w:val="ListBullet"/>
        <w:numPr>
          <w:ilvl w:val="0"/>
          <w:numId w:val="2"/>
        </w:numPr>
        <w:ind w:leftChars="0" w:left="480" w:right="0"/>
      </w:pPr>
      <w:r>
        <w:t>Κωδικός χρηματοοικονομικού μέσου</w:t>
      </w:r>
    </w:p>
    <w:bookmarkEnd w:id="40"/>
    <w:bookmarkStart w:id="41" w:name="_a6de9bedf3187c0599917a1a37bd562a"/>
    <w:p>
      <w:pPr>
        <w:pStyle w:val="Heading 6"/>
        <w:keepNext/>
      </w:pPr>
      <w:r>
        <w:t>Πίνακας Β7: Μεταβολή της Εναπομένουσας Αξίας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Λόγος μεταβολής</w:t>
      </w:r>
    </w:p>
    <w:p>
      <w:pPr>
        <w:pStyle w:val="ListBullet"/>
        <w:numPr>
          <w:ilvl w:val="0"/>
          <w:numId w:val="2"/>
        </w:numPr>
        <w:ind w:leftChars="0" w:left="480" w:right="0"/>
      </w:pPr>
      <w:r>
        <w:t>Ημερομηνία μεταβολής</w:t>
      </w:r>
    </w:p>
    <w:p>
      <w:pPr>
        <w:pStyle w:val="ListBullet"/>
        <w:numPr>
          <w:ilvl w:val="0"/>
          <w:numId w:val="2"/>
        </w:numPr>
        <w:ind w:leftChars="0" w:left="480" w:right="0"/>
      </w:pPr>
      <w:r>
        <w:t>Ποσό μεταβολής</w:t>
      </w:r>
    </w:p>
    <w:p>
      <w:pPr>
        <w:pStyle w:val="ListBullet"/>
        <w:numPr>
          <w:ilvl w:val="0"/>
          <w:numId w:val="2"/>
        </w:numPr>
        <w:ind w:leftChars="0" w:left="480" w:right="0"/>
      </w:pPr>
      <w:r>
        <w:t>Τιμή</w:t>
      </w:r>
    </w:p>
    <w:bookmarkEnd w:id="41"/>
    <w:bookmarkStart w:id="42" w:name="_9d0d222c155fba5bc3842afcf97eeca2"/>
    <w:p>
      <w:pPr>
        <w:pStyle w:val="Heading 6"/>
        <w:keepNext/>
      </w:pPr>
      <w:r>
        <w:t>Πίνακας Β8: Στοιχεία Τοκομεριδίων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πληρωμής</w:t>
      </w:r>
    </w:p>
    <w:p>
      <w:pPr>
        <w:pStyle w:val="ListBullet"/>
        <w:numPr>
          <w:ilvl w:val="0"/>
          <w:numId w:val="2"/>
        </w:numPr>
        <w:ind w:leftChars="0" w:left="480" w:right="0"/>
      </w:pPr>
      <w:r>
        <w:t>Επιτόκιο</w:t>
      </w:r>
    </w:p>
    <w:bookmarkEnd w:id="42"/>
    <w:bookmarkStart w:id="43" w:name="_da9918576b71fe5b313562646f1f0503"/>
    <w:p>
      <w:pPr>
        <w:pStyle w:val="Heading 6"/>
        <w:keepNext/>
      </w:pPr>
      <w:r>
        <w:t>Πίνακας Β9: Στοιχεία Αναφοράς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λήξης/ολικής ρευστοποίησης</w:t>
      </w:r>
    </w:p>
    <w:p>
      <w:pPr>
        <w:pStyle w:val="ListBullet"/>
        <w:numPr>
          <w:ilvl w:val="0"/>
          <w:numId w:val="2"/>
        </w:numPr>
        <w:ind w:leftChars="0" w:left="480" w:right="0"/>
      </w:pPr>
      <w:r>
        <w:t>Νόμισμα έκδοσης</w:t>
      </w:r>
    </w:p>
    <w:p>
      <w:pPr>
        <w:pStyle w:val="ListBullet"/>
        <w:numPr>
          <w:ilvl w:val="0"/>
          <w:numId w:val="2"/>
        </w:numPr>
        <w:ind w:leftChars="0" w:left="480" w:right="0"/>
      </w:pPr>
      <w:r>
        <w:t>Αγορά διαπραγμάτευσης</w:t>
      </w:r>
    </w:p>
    <w:p>
      <w:pPr>
        <w:pStyle w:val="ListBullet"/>
        <w:numPr>
          <w:ilvl w:val="0"/>
          <w:numId w:val="2"/>
        </w:numPr>
        <w:ind w:leftChars="0" w:left="480" w:right="0"/>
      </w:pPr>
      <w:r>
        <w:t>Αναδιάρθρωση σε</w:t>
      </w:r>
    </w:p>
    <w:bookmarkEnd w:id="43"/>
    <w:bookmarkStart w:id="44" w:name="_bee3e12fe99e1625cf8bed1c5872b305"/>
    <w:p>
      <w:pPr>
        <w:pStyle w:val="Heading 6"/>
        <w:keepNext/>
      </w:pPr>
      <w:r>
        <w:t>Πίνακας Β10: Μεταβλητά Στοιχεία Αναφοράς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Εκδόθηκε από</w:t>
      </w:r>
    </w:p>
    <w:p>
      <w:pPr>
        <w:pStyle w:val="ListBullet"/>
        <w:numPr>
          <w:ilvl w:val="0"/>
          <w:numId w:val="2"/>
        </w:numPr>
        <w:ind w:leftChars="0" w:left="480" w:right="0"/>
      </w:pPr>
      <w:r>
        <w:t>Ονομαστική τιμή</w:t>
      </w:r>
    </w:p>
    <w:p>
      <w:pPr>
        <w:pStyle w:val="ListBullet"/>
        <w:numPr>
          <w:ilvl w:val="0"/>
          <w:numId w:val="2"/>
        </w:numPr>
        <w:ind w:leftChars="0" w:left="480" w:right="0"/>
      </w:pPr>
      <w:r>
        <w:t>Κωδικός χρηματοοικονομικού μέσου</w:t>
      </w:r>
    </w:p>
    <w:p>
      <w:pPr>
        <w:pStyle w:val="ListBullet"/>
        <w:numPr>
          <w:ilvl w:val="0"/>
          <w:numId w:val="2"/>
        </w:numPr>
        <w:ind w:leftChars="0" w:left="480" w:right="0"/>
      </w:pPr>
      <w:r>
        <w:t>Συχνότητα εξόφλησης</w:t>
      </w:r>
    </w:p>
    <w:p>
      <w:pPr>
        <w:pStyle w:val="ListBullet"/>
        <w:numPr>
          <w:ilvl w:val="0"/>
          <w:numId w:val="2"/>
        </w:numPr>
        <w:ind w:leftChars="0" w:left="480" w:right="0"/>
      </w:pPr>
      <w:r>
        <w:t>Ελάχιστο ποσό συμμετοχής</w:t>
      </w:r>
    </w:p>
    <w:p>
      <w:pPr>
        <w:pStyle w:val="ListBullet"/>
        <w:numPr>
          <w:ilvl w:val="0"/>
          <w:numId w:val="2"/>
        </w:numPr>
        <w:ind w:leftChars="0" w:left="480" w:right="0"/>
      </w:pPr>
      <w:r>
        <w:t>Είδος μετοχής/μεριδίου</w:t>
      </w:r>
    </w:p>
    <w:bookmarkEnd w:id="44"/>
    <w:bookmarkStart w:id="45" w:name="_6a375ad2af57f72907882f5cc20341af"/>
    <w:p>
      <w:pPr>
        <w:pStyle w:val="Heading 6"/>
        <w:keepNext/>
      </w:pPr>
      <w:r>
        <w:t>Πίνακας Β11: Μερίσματα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 καταγραφής</w:t>
      </w:r>
    </w:p>
    <w:p>
      <w:pPr>
        <w:pStyle w:val="ListBullet"/>
        <w:numPr>
          <w:ilvl w:val="0"/>
          <w:numId w:val="2"/>
        </w:numPr>
        <w:ind w:leftChars="0" w:left="480" w:right="0"/>
      </w:pPr>
      <w:r>
        <w:t>Επόμενη ημερομηνία</w:t>
      </w:r>
    </w:p>
    <w:p>
      <w:pPr>
        <w:pStyle w:val="ListBullet"/>
        <w:numPr>
          <w:ilvl w:val="0"/>
          <w:numId w:val="2"/>
        </w:numPr>
        <w:ind w:leftChars="0" w:left="480" w:right="0"/>
      </w:pPr>
      <w:r>
        <w:t>Ημερομηνία αναγγελίας</w:t>
      </w:r>
    </w:p>
    <w:p>
      <w:pPr>
        <w:pStyle w:val="ListBullet"/>
        <w:numPr>
          <w:ilvl w:val="0"/>
          <w:numId w:val="2"/>
        </w:numPr>
        <w:ind w:leftChars="0" w:left="480" w:right="0"/>
      </w:pPr>
      <w:r>
        <w:t>Ημερομηνία πληρωμής</w:t>
      </w:r>
    </w:p>
    <w:p>
      <w:pPr>
        <w:pStyle w:val="ListBullet"/>
        <w:numPr>
          <w:ilvl w:val="0"/>
          <w:numId w:val="2"/>
        </w:numPr>
        <w:ind w:leftChars="0" w:left="480" w:right="0"/>
      </w:pPr>
      <w:r>
        <w:t>Συχνότητα διανομής μερίσματος</w:t>
      </w:r>
    </w:p>
    <w:p>
      <w:pPr>
        <w:pStyle w:val="ListBullet"/>
        <w:numPr>
          <w:ilvl w:val="0"/>
          <w:numId w:val="2"/>
        </w:numPr>
        <w:ind w:leftChars="0" w:left="480" w:right="0"/>
      </w:pPr>
      <w:r>
        <w:t>Είδος</w:t>
      </w:r>
    </w:p>
    <w:p>
      <w:pPr>
        <w:pStyle w:val="ListBullet"/>
        <w:numPr>
          <w:ilvl w:val="0"/>
          <w:numId w:val="2"/>
        </w:numPr>
        <w:ind w:leftChars="0" w:left="480" w:right="0"/>
      </w:pPr>
      <w:r>
        <w:t>Νόμισμα</w:t>
      </w:r>
    </w:p>
    <w:p>
      <w:pPr>
        <w:pStyle w:val="ListBullet"/>
        <w:numPr>
          <w:ilvl w:val="0"/>
          <w:numId w:val="2"/>
        </w:numPr>
        <w:ind w:leftChars="0" w:left="480" w:right="0"/>
      </w:pPr>
      <w:r>
        <w:t>Ποσό</w:t>
      </w:r>
    </w:p>
    <w:bookmarkEnd w:id="45"/>
    <w:bookmarkStart w:id="46" w:name="_4d81b3d8b14aa8c17b76982b8c6a2448"/>
    <w:p>
      <w:pPr>
        <w:pStyle w:val="Heading 6"/>
        <w:keepNext/>
      </w:pPr>
      <w:r>
        <w:t>Πίνακας Β12: Διασπάσεις/Συμπτύξεις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w:t>
      </w:r>
    </w:p>
    <w:p>
      <w:pPr>
        <w:pStyle w:val="ListBullet"/>
        <w:numPr>
          <w:ilvl w:val="0"/>
          <w:numId w:val="2"/>
        </w:numPr>
        <w:ind w:leftChars="0" w:left="480" w:right="0"/>
      </w:pPr>
      <w:r>
        <w:t>Συντελεστής</w:t>
      </w:r>
    </w:p>
    <w:bookmarkEnd w:id="46"/>
    <w:bookmarkStart w:id="47" w:name="_462092f7e11d6d0059acd465acb65f13"/>
    <w:p>
      <w:pPr>
        <w:pStyle w:val="Heading 6"/>
        <w:keepNext/>
      </w:pPr>
      <w:r>
        <w:t>Πίνακας Β13: Στοιχεία Αναφοράς Αντισυμβαλλόμενων</w:t>
      </w:r>
    </w:p>
    <w:p>
      <w:pPr>
        <w:pStyle w:val="ListBullet"/>
        <w:numPr>
          <w:ilvl w:val="0"/>
          <w:numId w:val="2"/>
        </w:numPr>
        <w:ind w:leftChars="0" w:left="480" w:right="0"/>
      </w:pPr>
      <w:r>
        <w:t>Αναγνωριστικός κωδικός αντισυμβαλλόμενου</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Χώρα κατοικίας</w:t>
      </w:r>
    </w:p>
    <w:p>
      <w:pPr>
        <w:pStyle w:val="ListBullet"/>
        <w:numPr>
          <w:ilvl w:val="0"/>
          <w:numId w:val="2"/>
        </w:numPr>
        <w:ind w:leftChars="0" w:left="480" w:right="0"/>
      </w:pPr>
      <w:r>
        <w:t>Θεσμικός τομέας (όπως περιγράφονται στο παράρτημα ΙΙΙ)</w:t>
      </w:r>
    </w:p>
    <w:bookmarkEnd w:id="47"/>
    <w:bookmarkStart w:id="48" w:name="_6aec5eb92c6fee60cc71d555393da0ab"/>
    <w:p>
      <w:pPr>
        <w:pStyle w:val="Heading 6"/>
        <w:keepNext/>
      </w:pPr>
      <w:r>
        <w:t>Πίνακας Β14: Στοιχεία Αναφοράς Καταθετικών Λογαριασμών</w:t>
      </w:r>
    </w:p>
    <w:p>
      <w:pPr>
        <w:pStyle w:val="ListBullet"/>
        <w:numPr>
          <w:ilvl w:val="0"/>
          <w:numId w:val="2"/>
        </w:numPr>
        <w:ind w:leftChars="0" w:left="480" w:right="0"/>
      </w:pPr>
      <w:r>
        <w:t>Αναγνωριστικός κωδικός καταθετικού λογαριασμού</w:t>
      </w:r>
    </w:p>
    <w:p>
      <w:pPr>
        <w:pStyle w:val="ListBullet"/>
        <w:numPr>
          <w:ilvl w:val="0"/>
          <w:numId w:val="2"/>
        </w:numPr>
        <w:ind w:leftChars="0" w:left="480" w:right="0"/>
      </w:pPr>
      <w:r>
        <w:t>Ημερομηνία δημιουργίας καταθετικού λογαριασμού</w:t>
      </w:r>
    </w:p>
    <w:p>
      <w:pPr>
        <w:pStyle w:val="ListBullet"/>
        <w:numPr>
          <w:ilvl w:val="0"/>
          <w:numId w:val="2"/>
        </w:numPr>
        <w:ind w:leftChars="0" w:left="480" w:right="0"/>
      </w:pPr>
      <w:r>
        <w:t>Ημερομηνία λήξης</w:t>
      </w:r>
    </w:p>
    <w:p>
      <w:pPr>
        <w:pStyle w:val="ListBullet"/>
        <w:numPr>
          <w:ilvl w:val="0"/>
          <w:numId w:val="2"/>
        </w:numPr>
        <w:ind w:leftChars="0" w:left="480" w:right="0"/>
      </w:pPr>
      <w:r>
        <w:t>Είδος</w:t>
      </w:r>
    </w:p>
    <w:p>
      <w:pPr>
        <w:pStyle w:val="ListBullet"/>
        <w:numPr>
          <w:ilvl w:val="0"/>
          <w:numId w:val="2"/>
        </w:numPr>
        <w:ind w:leftChars="0" w:left="480" w:right="0"/>
      </w:pPr>
      <w:r>
        <w:t>Χρόνος προειδοποίησης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Αναγνωριστικός κωδικός αντισυμβαλλόμενου πιστωτικού ιδρύματος</w:t>
      </w:r>
    </w:p>
    <w:bookmarkEnd w:id="48"/>
    <w:bookmarkStart w:id="49" w:name="_2a96a32aa0ff07837632a1fd2902a5b5"/>
    <w:p>
      <w:pPr>
        <w:pStyle w:val="Heading 6"/>
        <w:keepNext/>
      </w:pPr>
      <w:r>
        <w:t>Πίνακας Β15: Στοιχεία Αναφοράς Χρεογράφων χωρίς ISIN που κατέχει ο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λήξης/ολικής εξόφλησης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Κωδικός Εκδότη</w:t>
      </w:r>
    </w:p>
    <w:bookmarkEnd w:id="49"/>
    <w:bookmarkStart w:id="50" w:name="_7ab447a2396956b098fd314040dfffdb"/>
    <w:p>
      <w:pPr>
        <w:pStyle w:val="Heading 6"/>
        <w:keepNext/>
      </w:pPr>
      <w:r>
        <w:t>Πίνακας Β16: Στοιχεία Αναφοράς Δανείων</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 δημιουργίας</w:t>
      </w:r>
    </w:p>
    <w:p>
      <w:pPr>
        <w:pStyle w:val="ListBullet"/>
        <w:numPr>
          <w:ilvl w:val="0"/>
          <w:numId w:val="2"/>
        </w:numPr>
        <w:ind w:leftChars="0" w:left="480" w:right="0"/>
      </w:pPr>
      <w:r>
        <w:t>Καταληκτική ημερομηνία εξόφλησης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Είδος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Αναγνωριστικός κωδικός αντισυμβαλλόμενου</w:t>
      </w:r>
    </w:p>
    <w:bookmarkEnd w:id="50"/>
    <w:bookmarkStart w:id="51" w:name="_5900f7501e95e75a12f60aa064ce2be9"/>
    <w:p>
      <w:pPr>
        <w:pStyle w:val="Heading 6"/>
        <w:keepNext/>
      </w:pPr>
      <w:r>
        <w:t>Πίνακας Β17: Στοιχεία Αναφοράς Μετοχών και Λοιπών Συμμετοχικών Τίτλων χωρίς ISIN που Κατέχει ο ΕΟ</w:t>
      </w:r>
    </w:p>
    <w:p>
      <w:pPr>
        <w:pStyle w:val="ListBullet"/>
        <w:numPr>
          <w:ilvl w:val="0"/>
          <w:numId w:val="2"/>
        </w:numPr>
        <w:ind w:leftChars="0" w:left="480" w:right="0"/>
      </w:pPr>
      <w:r>
        <w:t>Αναγνωριστικός κωδικός συμμετοχικού τίτλου</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Είδος</w:t>
      </w:r>
    </w:p>
    <w:p>
      <w:pPr>
        <w:pStyle w:val="ListBullet"/>
        <w:numPr>
          <w:ilvl w:val="0"/>
          <w:numId w:val="2"/>
        </w:numPr>
        <w:ind w:leftChars="0" w:left="480" w:right="0"/>
      </w:pPr>
      <w:r>
        <w:t>Κωδικός Εκδότη</w:t>
      </w:r>
    </w:p>
    <w:bookmarkEnd w:id="51"/>
    <w:bookmarkStart w:id="52" w:name="_e833e0fa7b870807cb820adf5f777b4e"/>
    <w:p>
      <w:pPr>
        <w:pStyle w:val="Heading 6"/>
        <w:keepNext/>
      </w:pPr>
      <w:r>
        <w:t>Πίνακας Β18: Στοιχεία Αναφοράς Χρηματοοικονομικών Παραγώγων</w:t>
      </w:r>
    </w:p>
    <w:p>
      <w:pPr>
        <w:pStyle w:val="ListBullet"/>
        <w:numPr>
          <w:ilvl w:val="0"/>
          <w:numId w:val="2"/>
        </w:numPr>
        <w:ind w:leftChars="0" w:left="480" w:right="0"/>
      </w:pPr>
      <w:r>
        <w:t>Αναγνωριστικός κωδικός παραγώγου</w:t>
      </w:r>
    </w:p>
    <w:p>
      <w:pPr>
        <w:pStyle w:val="ListBullet"/>
        <w:numPr>
          <w:ilvl w:val="0"/>
          <w:numId w:val="2"/>
        </w:numPr>
        <w:ind w:leftChars="0" w:left="480" w:right="0"/>
      </w:pPr>
      <w:r>
        <w:t>Ημερομηνία έναρξης</w:t>
      </w:r>
    </w:p>
    <w:p>
      <w:pPr>
        <w:pStyle w:val="ListBullet"/>
        <w:numPr>
          <w:ilvl w:val="0"/>
          <w:numId w:val="2"/>
        </w:numPr>
        <w:ind w:leftChars="0" w:left="480" w:right="0"/>
      </w:pPr>
      <w:r>
        <w:t>Ημερομηνία λήξης</w:t>
      </w:r>
    </w:p>
    <w:p>
      <w:pPr>
        <w:pStyle w:val="ListBullet"/>
        <w:numPr>
          <w:ilvl w:val="0"/>
          <w:numId w:val="2"/>
        </w:numPr>
        <w:ind w:leftChars="0" w:left="480" w:right="0"/>
      </w:pPr>
      <w:r>
        <w:t>Διακριτικός τίτλος παραγώγου</w:t>
      </w:r>
    </w:p>
    <w:p>
      <w:pPr>
        <w:pStyle w:val="ListBullet"/>
        <w:numPr>
          <w:ilvl w:val="0"/>
          <w:numId w:val="2"/>
        </w:numPr>
        <w:ind w:leftChars="0" w:left="480" w:right="0"/>
      </w:pPr>
      <w:r>
        <w:t>Σύμβολο</w:t>
      </w:r>
    </w:p>
    <w:p>
      <w:pPr>
        <w:pStyle w:val="ListBullet"/>
        <w:numPr>
          <w:ilvl w:val="0"/>
          <w:numId w:val="2"/>
        </w:numPr>
        <w:ind w:leftChars="0" w:left="480" w:right="0"/>
      </w:pPr>
      <w:r>
        <w:t>Είδος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Κωδικός αγοράς διαπραγμάτευσης</w:t>
      </w:r>
    </w:p>
    <w:p>
      <w:pPr>
        <w:pStyle w:val="ListBullet"/>
        <w:numPr>
          <w:ilvl w:val="0"/>
          <w:numId w:val="2"/>
        </w:numPr>
        <w:ind w:leftChars="0" w:left="480" w:right="0"/>
      </w:pPr>
      <w:r>
        <w:t>Κωδικός αντισυμβαλλόμενου</w:t>
      </w:r>
    </w:p>
    <w:bookmarkEnd w:id="52"/>
    <w:bookmarkStart w:id="53" w:name="_3d6c749c175fc429f1f898ff3e650c72"/>
    <w:p>
      <w:pPr>
        <w:pStyle w:val="Heading 6"/>
        <w:keepNext/>
      </w:pPr>
      <w:r>
        <w:t>Πίνακας Β19: Παρεκκλίσεις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 αναφοράς αποτίμησης ενεργητικού</w:t>
      </w:r>
    </w:p>
    <w:p>
      <w:pPr>
        <w:pStyle w:val="ListBullet"/>
        <w:numPr>
          <w:ilvl w:val="0"/>
          <w:numId w:val="2"/>
        </w:numPr>
        <w:ind w:leftChars="0" w:left="480" w:right="0"/>
      </w:pPr>
      <w:r>
        <w:t>Συνολικό ενεργητικό</w:t>
      </w:r>
    </w:p>
    <w:p>
      <w:pPr>
        <w:pStyle w:val="ListBullet"/>
        <w:numPr>
          <w:ilvl w:val="0"/>
          <w:numId w:val="2"/>
        </w:numPr>
        <w:ind w:leftChars="0" w:left="480" w:right="0"/>
      </w:pPr>
      <w:r>
        <w:t>Συχνότητα αποτίμησης</w:t>
      </w:r>
    </w:p>
    <w:p>
      <w:pPr>
        <w:pStyle w:val="ListBullet"/>
        <w:numPr>
          <w:ilvl w:val="0"/>
          <w:numId w:val="2"/>
        </w:numPr>
        <w:ind w:leftChars="0" w:left="480" w:right="0"/>
      </w:pPr>
      <w:r>
        <w:t>Είδος αιτούμενης παρέκκλισης</w:t>
      </w:r>
    </w:p>
    <w:p>
      <w:pPr>
        <w:pStyle w:val="ListBullet"/>
        <w:numPr>
          <w:ilvl w:val="0"/>
          <w:numId w:val="2"/>
        </w:numPr>
        <w:ind w:leftChars="0" w:left="480" w:right="0"/>
      </w:pPr>
      <w:r>
        <w:t>Έτος αιτούμενης παρέκκλισης</w:t>
      </w:r>
    </w:p>
    <w:p>
      <w:pPr>
        <w:pStyle w:val="ListBullet"/>
        <w:numPr>
          <w:ilvl w:val="0"/>
          <w:numId w:val="2"/>
        </w:numPr>
        <w:ind w:leftChars="0" w:left="480" w:right="0"/>
      </w:pPr>
      <w:r>
        <w:t>Σχόλιο της ΜΠΣ</w:t>
      </w:r>
    </w:p>
    <w:bookmarkEnd w:id="53"/>
    <w:bookmarkEnd w:id="34"/>
    <w:bookmarkEnd w:id="18"/>
    <w:bookmarkStart w:id="54" w:name="_05aba300af1bf7f9ad28e4b454497734"/>
    <w:p>
      <w:pPr>
        <w:pStyle w:val="Heading4"/>
        <w:keepNext/>
      </w:pPr>
      <w:r>
        <w:t>ΠΑΡΑΡΤΗΜΑ ΙΙ</w:t>
      </w:r>
    </w:p>
    <w:p>
      <w:pPr>
        <w:pStyle w:val="Body Text"/>
        <w:ind w:leftChars="0" w:left="0" w:right="0"/>
      </w:pPr>
      <w:r>
        <w:t>Περιγραφή των κατηγοριών μέσων του ενεργητικού και του παθητικού των ΕΟ και πληροφορίες σχετικά με το εισόδημα και τις αμοιβές</w:t>
      </w:r>
    </w:p>
    <w:bookmarkStart w:id="55" w:name="_f53082779d54bfd66d26206cd0d90050"/>
    <w:p>
      <w:pPr>
        <w:pStyle w:val="Heading5"/>
        <w:keepNext/>
      </w:pPr>
      <w:r>
        <w:t>Καταθέσεις και μετρητά</w:t>
      </w:r>
    </w:p>
    <w:p>
      <w:pPr>
        <w:pStyle w:val="Body Text"/>
        <w:ind w:leftChars="0" w:left="0" w:right="0"/>
      </w:pPr>
      <w:r>
        <w:t>Η παρούσα κατηγορία περιλαμβάνει:</w:t>
      </w:r>
    </w:p>
    <w:p>
      <w:pPr>
        <w:pStyle w:val="ListBullet"/>
        <w:numPr>
          <w:ilvl w:val="0"/>
          <w:numId w:val="2"/>
        </w:numPr>
        <w:ind w:leftChars="0" w:left="480" w:right="0"/>
      </w:pPr>
      <w:r>
        <w:t>καταθέσεις των ΕΟ, όπως καταθέσεις μίας ημέρας, καταθέσεις προθεσμίας και καταθέσεις υπό προειδοποίηση</w:t>
      </w:r>
    </w:p>
    <w:p>
      <w:pPr>
        <w:pStyle w:val="ListBullet"/>
        <w:numPr>
          <w:ilvl w:val="0"/>
          <w:numId w:val="2"/>
        </w:numPr>
        <w:ind w:leftChars="0" w:left="480" w:right="0"/>
      </w:pPr>
      <w:r>
        <w:t>μη διαπραγματεύσιμους τίτλους (πιστοποιητικά καταθέσεων)</w:t>
      </w:r>
    </w:p>
    <w:p>
      <w:pPr>
        <w:pStyle w:val="ListBullet"/>
        <w:numPr>
          <w:ilvl w:val="0"/>
          <w:numId w:val="2"/>
        </w:numPr>
        <w:ind w:leftChars="0" w:left="480" w:right="0"/>
      </w:pPr>
      <w:r>
        <w:t>διαθέσιμα σε τραπεζογραμμάτια και κέρματα σε ευρώ και ξένο νόμισμα</w:t>
      </w:r>
    </w:p>
    <w:bookmarkEnd w:id="55"/>
    <w:bookmarkStart w:id="56" w:name="_80435c3b8b229f2a2b31436f5a01aa6e"/>
    <w:p>
      <w:pPr>
        <w:pStyle w:val="Heading5"/>
        <w:keepNext/>
      </w:pPr>
      <w:r>
        <w:t>Απαιτήσεις από δάνεια</w:t>
      </w:r>
    </w:p>
    <w:p>
      <w:pPr>
        <w:pStyle w:val="Body Text"/>
        <w:ind w:leftChars="0" w:left="0" w:right="0"/>
      </w:pPr>
      <w:r>
        <w:t>Κεφάλαια χορηγούμενα από ΕΟ σε δανειολήπτες ή δάνεια που λαμβάνονται από ΕΟ, τα οποία τεκμηριώνονται με μη διαπραγματεύσιμα έγγραφα ή δεν τεκμηριώνονται με έγγραφα.  Περιλαμβάνονται και οι απαιτήσεις από αντιστρεπτέες πράξεις επαναγοράς, δηλαδή μετρητά που καταβάλλονται ως αντάλλαγμα για την αγορά τίτλων από ΕΟ σε δεδομένη τιμή υπό τη ρητή δέσμευση της επαναπώλησης των ίδιων ή παρόμοιων τίτλων σε μία προκαθορισμένη τιμή και σε μία καθορισμένη μελλοντική ημερομηνία.</w:t>
      </w:r>
    </w:p>
    <w:bookmarkEnd w:id="56"/>
    <w:bookmarkStart w:id="57" w:name="_646026020105e758b3f52ad5a4a38964"/>
    <w:p>
      <w:pPr>
        <w:pStyle w:val="Heading5"/>
        <w:keepNext/>
      </w:pPr>
      <w:r>
        <w:t>Χρεόγραφα που κατέχει ο ΕΟ</w:t>
      </w:r>
    </w:p>
    <w:p>
      <w:pPr>
        <w:pStyle w:val="Body Text"/>
        <w:ind w:leftChars="0" w:left="0" w:right="0"/>
      </w:pPr>
      <w:r>
        <w:t>Διαθέσιμα σε χρεόγραφα, τα οποία είναι διαπραγματεύσιμα χρηματοοικονομικά μέσα τα οποία πιστοποιούν τη δημιουργία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Τίτλοι που πωλούνται βάσει συμφωνίας επαναγοράς εξακολουθούν να καταχωρίζονται στη λογιστική κατάσταση του αρχικού κυρίου (και δεν καταχωρίζονται στη λογιστική κατάσταση του προσωρινώς αποκτώντος ΕΟ), όταν υπάρχει ρητή δέσμευση για αντιστροφή της πράξης, και όχι απλά σχετικό δικαίωμα προαίρεσης. Στην περίπτωση που ο προσωρινώς αποκτών ΕΟ πωλήσει τους τίτλους που έλαβε, η πώληση πρέπει να καταχωριστεί ως οριστική (outright) συναλλαγή επί τίτλων και να εγγραφεί στη λογιστική κατάσταση του προσωρινώς αποκτώντος ΕΟ ως αρνητική θέση στο χαρτοφυλάκιο τίτλων.</w:t>
      </w:r>
    </w:p>
    <w:bookmarkEnd w:id="57"/>
    <w:bookmarkStart w:id="58" w:name="_129636987b5ca031bfecb43f458034f8"/>
    <w:p>
      <w:pPr>
        <w:pStyle w:val="Heading5"/>
        <w:keepNext/>
      </w:pPr>
      <w:r>
        <w:t>Μετοχές και λοιποί συμμετοχικοί τίτλοι που κατέχει ο ΕΟ</w:t>
      </w:r>
    </w:p>
    <w:p>
      <w:pPr>
        <w:pStyle w:val="Body Text"/>
        <w:ind w:leftChars="0" w:left="0" w:right="0"/>
      </w:pPr>
      <w:r>
        <w:t>Χρηματοοικονομικά στοιχεία του ενεργητικού που αντιπροσωπεύουν δικαιώματα ιδιοκτησίας σε εταιρείες. Τα εν λόγω χρηματοοικονομικά στοιχεία του ενεργητικού κατά κανόνα δίνουν στους κατόχους τους το δικαίωμα συμμετοχής στα κέρδη των εταιρειών και μεριδίου στο καθαρό ενεργητικό τους σε περίπτωση εκκαθάρισης. Η παρούσα κατηγορία περιλαμβάνει εισηγμένες και μη εισηγμένες μετοχές και λοιπούς συμμετοχικούς τίτλους. Οι εισηγμένες μετοχές είναι συμμετοχικοί τίτλοι οι οποίοι έχουν εισαχθεί σε χρηματιστήριο. Το χρηματιστήριο αυτό μπορεί να είναι αναγνωρισμένο χρηματιστήριο ή οποιαδήποτε άλλη μορφή δευτερογενούς αγοράς. Η ύπαρξη δημοσιευμένων τιμών για τις μετοχές που είναι εισηγμένες σε χρηματιστήριο σημαίνει ότι οι τρέχουσες αγοραίες τιμές είναι συνήθως άμεσα διαθέσιμες. Οι μη εισηγμένες μετοχές είναι συμμετοχικοί τίτλοι οι οποίοι δεν έχουν εισαχθεί σε χρηματιστήριο. Οι λοιποί συμμετοχικοί τίτλοι περιλαμβάνουν όλες τις μορφές συμμετοχικών τίτλων πλην αυτών που ταξινομούνται στις υποκατηγορίες εισηγμένες μετοχές και μη εισηγμένες μετοχές. Χαρακτηριστικό παράδειγμα της κατηγορίας αυτής είναι τα μερίδια αμοιβαίων κεφαλαίων και οι συνεταιριστικές μερίδες.</w:t>
      </w:r>
    </w:p>
    <w:bookmarkEnd w:id="58"/>
    <w:bookmarkStart w:id="59" w:name="_02dc58382b179c10f66a7e6d3abd548e"/>
    <w:p>
      <w:pPr>
        <w:pStyle w:val="Heading5"/>
        <w:keepNext/>
      </w:pPr>
      <w:r>
        <w:t>Χρηματοοικονομικά παράγωγα</w:t>
      </w:r>
    </w:p>
    <w:p>
      <w:pPr>
        <w:pStyle w:val="Body Text"/>
        <w:ind w:leftChars="0" w:left="0" w:right="0"/>
      </w:pPr>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αγοραπωλησία συγκεκριμένων χρηματοοικονομικών κινδύνων αυτόνομα σε χρηματοοικονομικές αγορές. Η παρούσα κατηγορία περιλαμβάνει:</w:t>
      </w:r>
    </w:p>
    <w:p>
      <w:pPr>
        <w:pStyle w:val="ListBullet"/>
        <w:numPr>
          <w:ilvl w:val="0"/>
          <w:numId w:val="2"/>
        </w:numPr>
        <w:ind w:leftChars="0" w:left="960" w:right="0"/>
      </w:pPr>
      <w:r>
        <w:t>δικαιώματα προαίρεσης (options)·</w:t>
      </w:r>
    </w:p>
    <w:p>
      <w:pPr>
        <w:pStyle w:val="ListBullet"/>
        <w:numPr>
          <w:ilvl w:val="0"/>
          <w:numId w:val="2"/>
        </w:numPr>
        <w:ind w:leftChars="0" w:left="960" w:right="0"/>
      </w:pPr>
      <w:r>
        <w:t>παραστατικά μελλοντικής αγοράς αξιογράφων (warrants)·</w:t>
      </w:r>
    </w:p>
    <w:p>
      <w:pPr>
        <w:pStyle w:val="ListBullet"/>
        <w:numPr>
          <w:ilvl w:val="0"/>
          <w:numId w:val="2"/>
        </w:numPr>
        <w:ind w:leftChars="0" w:left="960" w:right="0"/>
      </w:pPr>
      <w:r>
        <w:t>συμβόλαια μελλοντικής εκπλήρωσης (futures)·</w:t>
      </w:r>
    </w:p>
    <w:p>
      <w:pPr>
        <w:pStyle w:val="ListBullet"/>
        <w:numPr>
          <w:ilvl w:val="0"/>
          <w:numId w:val="2"/>
        </w:numPr>
        <w:ind w:leftChars="0" w:left="960" w:right="0"/>
      </w:pPr>
      <w:r>
        <w:t>προθεσμιακά συμβόλαια (forwards)·</w:t>
      </w:r>
    </w:p>
    <w:p>
      <w:pPr>
        <w:pStyle w:val="ListBullet"/>
        <w:numPr>
          <w:ilvl w:val="0"/>
          <w:numId w:val="2"/>
        </w:numPr>
        <w:ind w:leftChars="0" w:left="960" w:right="0"/>
      </w:pPr>
      <w:r>
        <w:t>συμφωνίες ανταλλαγής (swaps)·</w:t>
      </w:r>
    </w:p>
    <w:p>
      <w:pPr>
        <w:pStyle w:val="ListBullet"/>
        <w:numPr>
          <w:ilvl w:val="0"/>
          <w:numId w:val="2"/>
        </w:numPr>
        <w:ind w:leftChars="0" w:left="960" w:right="0"/>
      </w:pPr>
      <w:r>
        <w:t>πιστωτικά παράγωγα.</w:t>
      </w:r>
    </w:p>
    <w:bookmarkEnd w:id="59"/>
    <w:bookmarkStart w:id="60" w:name="_b89e7d429a6d5ad527ebd24258992e5e"/>
    <w:p>
      <w:pPr>
        <w:pStyle w:val="Heading5"/>
        <w:keepNext/>
      </w:pPr>
      <w:r>
        <w:t>Μη χρηματοοικονομικά Περιουσιακά Στοιχεία (ενσώματα ή άυλα)</w:t>
      </w:r>
    </w:p>
    <w:p>
      <w:pPr>
        <w:pStyle w:val="Body Text"/>
        <w:ind w:leftChars="0" w:left="0" w:right="0"/>
      </w:pPr>
      <w:r>
        <w:t>Ενσώματα ή άυλα στοιχεία του ενεργητικού πλην των χρηματοοικονομικών στοιχείων του ενεργητικού. Η παρούσα κατηγορία περιλαμβάνει κατοικίες, λοιπά κτήρια και κατασκευές, μηχανήματα και εξοπλισμό, τιμαλφή και προϊόντα πνευματικής ιδιοκτησίας, όπως λογισμικό ηλεκτρονικών υπολογιστών, βάσεις δεδομένων, εικονικά περιουσιακά στοιχεία και κρυπτοστοιχεία που δεν αντιστοιχούν σε υποχρέωση.</w:t>
      </w:r>
    </w:p>
    <w:p>
      <w:pPr>
        <w:pStyle w:val="Body Text"/>
        <w:ind w:leftChars="0" w:left="0" w:right="0"/>
      </w:pPr>
      <w:r>
        <w:t>Στα ενσώματα περιουσιακά στοιχεία περιλαμβάνονται:</w:t>
      </w:r>
    </w:p>
    <w:p>
      <w:pPr>
        <w:pStyle w:val="DefinitionTerm"/>
        <w:ind w:leftChars="0" w:left="0" w:right="0"/>
        <w:keepNext/>
      </w:pPr>
      <w:r>
        <w:t>Ακίνητα κατοικίας:</w:t>
      </w:r>
    </w:p>
    <w:p>
      <w:pPr>
        <w:pStyle w:val="Definition"/>
        <w:ind w:leftChars="0" w:left="480" w:right="0"/>
      </w:pPr>
      <w:r>
        <w:t>Ως ακίνητο κατοικίας νοείται η κατοικία που καταλαμβάνει ο ιδιοκτήτης ή ο μισθωτής αυτής·</w:t>
      </w:r>
    </w:p>
    <w:p>
      <w:pPr>
        <w:pStyle w:val="DefinitionTerm"/>
        <w:ind w:leftChars="0" w:left="0" w:right="0"/>
        <w:keepNext/>
      </w:pPr>
      <w:r>
        <w:t>Εμπορικά ακίνητα:</w:t>
      </w:r>
    </w:p>
    <w:p>
      <w:pPr>
        <w:pStyle w:val="Definition"/>
        <w:ind w:leftChars="0" w:left="480" w:right="0"/>
      </w:pPr>
      <w:r>
        <w:t>Ως εμπορικό ακίνητο νοείται το ακίνητο όπου παρέχονται αγαθά ή υπηρεσίες σε πελάτες (π.χ. ξενοδοχεία, εστιατόρια, λιανικό εμπόριο)·</w:t>
      </w:r>
    </w:p>
    <w:p>
      <w:pPr>
        <w:pStyle w:val="DefinitionTerm"/>
        <w:ind w:leftChars="0" w:left="0" w:right="0"/>
        <w:keepNext/>
      </w:pPr>
      <w:r>
        <w:t>Βιομηχανικά ακίνητα:</w:t>
      </w:r>
    </w:p>
    <w:p>
      <w:pPr>
        <w:pStyle w:val="Definition"/>
        <w:ind w:leftChars="0" w:left="480" w:right="0"/>
      </w:pPr>
      <w:r>
        <w:t>Ως βιομηχανικό ακίνητο νοείται το ακίνητο που χρησιμοποιείται για βιομηχανικούς σκοπούς, όπως τα ακίνητα που χρησιμοποιούνται ως εργοστάσια, κέντρα εφοδιαστικής και αποθηκευτικός χώρος·</w:t>
      </w:r>
    </w:p>
    <w:p>
      <w:pPr>
        <w:pStyle w:val="Body Text"/>
        <w:ind w:leftChars="0" w:left="0" w:right="0"/>
      </w:pPr>
      <w:r>
        <w:t>Γραφεία</w:t>
      </w:r>
    </w:p>
    <w:p>
      <w:pPr>
        <w:pStyle w:val="DefinitionTerm"/>
        <w:ind w:leftChars="0" w:left="0" w:right="0"/>
        <w:keepNext/>
      </w:pPr>
      <w:r>
        <w:t>Λοιπά ακίνητα:</w:t>
      </w:r>
    </w:p>
    <w:p>
      <w:pPr>
        <w:pStyle w:val="Definition"/>
        <w:ind w:leftChars="0" w:left="480" w:right="0"/>
      </w:pPr>
      <w:r>
        <w:t>Ακίνητα πλην των ακινήτων κατοικίας, των εμπορικών και των βιομηχανικών ακινήτων. Η παρούσα κατηγορία περιλαμβάνει γραφεία.</w:t>
      </w:r>
    </w:p>
    <w:bookmarkEnd w:id="60"/>
    <w:bookmarkStart w:id="61" w:name="_9fa695e6a2c20a94f04602b83d5de3cf"/>
    <w:p>
      <w:pPr>
        <w:pStyle w:val="Heading5"/>
        <w:keepNext/>
      </w:pPr>
      <w:r>
        <w:t>Λοιπά Στοιχεία Ενεργητικού</w:t>
      </w:r>
    </w:p>
    <w:p>
      <w:pPr>
        <w:pStyle w:val="Body Text"/>
        <w:ind w:leftChars="0" w:left="0" w:right="0"/>
      </w:pPr>
      <w:r>
        <w:t>Αυτή είναι η υπολειπόμενη κατηγορία στοιχείων του σκέλους του ενεργητικού της λογιστικής κατάστασης, το οποίο ορίζεται ως «στοιχεία του ενεργητικού που δεν περιλαμβάνονται αλλού». Υπό την παρούσα κατηγορία περιλαμβάνονται και τα ακόλουθα:</w:t>
      </w:r>
    </w:p>
    <w:p>
      <w:pPr>
        <w:pStyle w:val="ListBullet"/>
        <w:numPr>
          <w:ilvl w:val="0"/>
          <w:numId w:val="2"/>
        </w:numPr>
        <w:ind w:leftChars="0" w:left="480" w:right="0"/>
      </w:pPr>
      <w:r>
        <w:t>εισπρακτέους δεδουλευμένους τόκους καταθέσεων και δανείων</w:t>
      </w:r>
    </w:p>
    <w:p>
      <w:pPr>
        <w:pStyle w:val="ListBullet"/>
        <w:numPr>
          <w:ilvl w:val="0"/>
          <w:numId w:val="2"/>
        </w:numPr>
        <w:ind w:leftChars="0" w:left="480" w:right="0"/>
      </w:pPr>
      <w:r>
        <w:t>δεδουλευμένους τόκους επί διακρατήσεων χρεογράφων</w:t>
      </w:r>
    </w:p>
    <w:p>
      <w:pPr>
        <w:pStyle w:val="ListBullet"/>
        <w:numPr>
          <w:ilvl w:val="0"/>
          <w:numId w:val="2"/>
        </w:numPr>
        <w:ind w:leftChars="0" w:left="480" w:right="0"/>
      </w:pPr>
      <w:r>
        <w:t>εισπρακτέα δεδουλευμένα μισθώματα</w:t>
      </w:r>
    </w:p>
    <w:p>
      <w:pPr>
        <w:pStyle w:val="ListBullet"/>
        <w:numPr>
          <w:ilvl w:val="0"/>
          <w:numId w:val="2"/>
        </w:numPr>
        <w:ind w:leftChars="0" w:left="480" w:right="0"/>
      </w:pPr>
      <w:r>
        <w:t>εισπρακτέα ποσά που δεν σχετίζονται με την κύρια δραστηριότητα των ΕΟ</w:t>
      </w:r>
    </w:p>
    <w:bookmarkEnd w:id="61"/>
    <w:bookmarkStart w:id="62" w:name="_542ca7c04aee728f0ed29569e91f615c"/>
    <w:p>
      <w:pPr>
        <w:pStyle w:val="Heading5"/>
        <w:keepNext/>
      </w:pPr>
      <w:r>
        <w:t>Εκδοθέντα Χρεόγραφα</w:t>
      </w:r>
    </w:p>
    <w:p>
      <w:pPr>
        <w:pStyle w:val="Body Text"/>
        <w:ind w:leftChars="0" w:left="0" w:right="0"/>
      </w:pPr>
      <w:r>
        <w:t>Ποσά που οφείλονται στους ομολογιούχους.</w:t>
      </w:r>
    </w:p>
    <w:bookmarkEnd w:id="62"/>
    <w:bookmarkStart w:id="63" w:name="_ba7a4881c4add492721422cc747989c2"/>
    <w:p>
      <w:pPr>
        <w:pStyle w:val="Heading5"/>
        <w:keepNext/>
      </w:pPr>
      <w:r>
        <w:t>Ληφθέντα Δάνεια</w:t>
      </w:r>
    </w:p>
    <w:p>
      <w:pPr>
        <w:pStyle w:val="Body Text"/>
        <w:ind w:leftChars="0" w:left="0" w:right="0"/>
      </w:pPr>
      <w:r>
        <w:t>Ποσά που οφείλονται από τον ΕΟ σε πιστωτές, εκτός από εκείνα που προκύπτουν από την έκδοση διαπραγματεύσιμων τίτλων.</w:t>
      </w:r>
    </w:p>
    <w:p>
      <w:pPr>
        <w:pStyle w:val="Body Text"/>
        <w:ind w:leftChars="0" w:left="0" w:right="0"/>
      </w:pPr>
      <w:r>
        <w:t>Η παρούσα κατηγορία αποτελείται από δάνεια που χορηγήθηκαν στους ΕΟ τα οποία είτε τεκμηριώνονται με μη διαπραγματεύσιμα έγγραφα είτε δεν τεκμηριώνονται με έγγραφα.</w:t>
      </w:r>
    </w:p>
    <w:p>
      <w:pPr>
        <w:pStyle w:val="Body Text"/>
        <w:ind w:leftChars="0" w:left="0" w:right="0"/>
      </w:pPr>
      <w:r>
        <w:t>Η παρούσα κατηγορία περιλαμβάνει και τα ανακυκλούμενα δάνεια και τις υπεραναλήψεις.</w:t>
      </w:r>
    </w:p>
    <w:p>
      <w:pPr>
        <w:pStyle w:val="Body Text"/>
        <w:ind w:leftChars="0" w:left="0" w:right="0"/>
      </w:pPr>
      <w:r>
        <w:t>Τα ανακυκλούμενα δάνεια είναι δάνεια που εμφανίζουν σωρευτικά τα ακόλουθα χαρακτηριστικά: i) ο δανειολήπτης μπορεί να χρησιμοποιεί ή να αναλαμβάνει κεφάλαια έως ένα προεγκεκριμένο πιστωτικό όριο χωρίς προηγούμενη ειδοποίηση του δανειστή· ii) το ποσό της διαθέσιμης πίστωσης μπορεί να αυξομειώνεται, καθώς τα κεφάλαια λαμβάνονται και εξοφλούνται· iii) η πίστωση μπορεί να χρησιμοποιείται επανειλημμένα.</w:t>
      </w:r>
    </w:p>
    <w:p>
      <w:pPr>
        <w:pStyle w:val="Body Text"/>
        <w:ind w:leftChars="0" w:left="0" w:right="0"/>
      </w:pPr>
      <w:r>
        <w:t>Τα ανακυκλούμενα δάνεια περιλαμβάνουν τα ποσά που έχουν ληφθεί βάσει πιστωτικού ορίου (line of credit) και δεν έχουν ακόμη αποπληρωθεί (ανεξόφλητα ποσά). Το πιστωτικό όριο αποτελεί συμφωνία μεταξύ δανειστή και δανειολήπτη που επιτρέπει στον δεύτερο να λάβει χορηγήσεις εντός καθορισμένης διάρκειας και έως ορισμένο όριο και να τις εξοφλήσει κατά την κρίση του πριν από την παρέλευση της συγκεκριμένης ημερομηνίας. Ποσά διαθέσιμα βάσει πιστωτικού ορίου, τα οποία δεν έχουν αναληφθεί ή έχουν ήδη εξοφληθεί, δεν λαμβάνονται υπόψη σε καμία κατηγορία στοιχείων της λογιστικής κατάστασης.</w:t>
      </w:r>
    </w:p>
    <w:p>
      <w:pPr>
        <w:pStyle w:val="Body Text"/>
        <w:ind w:leftChars="0" w:left="0" w:right="0"/>
      </w:pPr>
      <w:r>
        <w:t>Οι υπεραναλήψεις αποτελούν χρεωστικά υπόλοιπα σε τρεχούμενους λογαριασμούς. Αναγγέλλεται το συνολικό οφειλόμενο ποσό, είτε βρίσκεται εντός είτε εκτός του ορίου που τυχόν συμφωνείται εκ των προτέρων μεταξύ αυτού και του δανειστή όσον αφορά το ύψος και/ή τη μέγιστη διάρκεια του δανείου.</w:t>
      </w:r>
    </w:p>
    <w:bookmarkEnd w:id="63"/>
    <w:bookmarkStart w:id="64" w:name="_eb8f2d9fdd943c3be05347a874e25fc1"/>
    <w:p>
      <w:pPr>
        <w:pStyle w:val="Heading5"/>
        <w:keepNext/>
      </w:pPr>
      <w:r>
        <w:t>Μετοχές/μερίδια που έχουν εκδοθεί από ΕΟ</w:t>
      </w:r>
    </w:p>
    <w:p>
      <w:pPr>
        <w:pStyle w:val="Body Text"/>
        <w:ind w:leftChars="0" w:left="0" w:right="0"/>
      </w:pPr>
      <w:r>
        <w:t>Η παρούσα κατηγορία αντιπροσωπεύει τις συνολικές υποχρεώσεις των ΕΟ προς τους μεριδιούχους/μετόχους τους. Στην περίπτωση ΕΟ που είναι νομικές οντότητες, στις μετοχές περιλαμβάνονται επίσης τα κεφάλαια που προκύπτουν από μη διανεμηθέντα κέρδη ή τα κεφάλαια που έχουν δεσμευτεί από τον ΕΟ εν αναμονή πιθανών μελλοντικών πληρωμών και υποχρεώσεων (αποθεματικά, αποτελέσματα εις νέον).</w:t>
      </w:r>
    </w:p>
    <w:bookmarkEnd w:id="64"/>
    <w:bookmarkStart w:id="65" w:name="_0225dede97b883f5b1dfcfe0962e3ea7"/>
    <w:p>
      <w:pPr>
        <w:pStyle w:val="Heading5"/>
        <w:keepNext/>
      </w:pPr>
      <w:r>
        <w:t>Λοιπές υποχρεώσεις</w:t>
      </w:r>
    </w:p>
    <w:p>
      <w:pPr>
        <w:pStyle w:val="Body Text"/>
        <w:ind w:leftChars="0" w:left="0" w:right="0"/>
      </w:pPr>
      <w:r>
        <w:t>Αυτή είναι η υπολειπόμενη κατηγορία στοιχείων του σκέλους του παθητικού της λογιστικής κατάστασης το οποίο αποτυπώνει τις «υποχρεώσεις που δεν περιλαμβάνονται αλλού».</w:t>
      </w:r>
    </w:p>
    <w:p>
      <w:pPr>
        <w:pStyle w:val="Body Text"/>
        <w:ind w:leftChars="0" w:left="0" w:right="0"/>
      </w:pPr>
      <w:r>
        <w:t>Υπό την παρούσα κατηγορία περιλαμβάνονται:</w:t>
      </w:r>
    </w:p>
    <w:p>
      <w:pPr>
        <w:pStyle w:val="ListBullet"/>
        <w:numPr>
          <w:ilvl w:val="0"/>
          <w:numId w:val="2"/>
        </w:numPr>
        <w:ind w:leftChars="0" w:left="480" w:right="0"/>
      </w:pPr>
      <w:r>
        <w:t>πληρωτέους δεδουλευμένους τόκους δανείων</w:t>
      </w:r>
    </w:p>
    <w:p>
      <w:pPr>
        <w:pStyle w:val="ListBullet"/>
        <w:numPr>
          <w:ilvl w:val="0"/>
          <w:numId w:val="2"/>
        </w:numPr>
        <w:ind w:leftChars="0" w:left="480" w:right="0"/>
      </w:pPr>
      <w:r>
        <w:t>πληρωτέους δεδουλευμένους τόκους χρεογράφων που έχει εκδώσει ο ΕΟ·</w:t>
      </w:r>
    </w:p>
    <w:p>
      <w:pPr>
        <w:pStyle w:val="ListBullet"/>
        <w:numPr>
          <w:ilvl w:val="0"/>
          <w:numId w:val="2"/>
        </w:numPr>
        <w:ind w:leftChars="0" w:left="480" w:right="0"/>
      </w:pPr>
      <w:r>
        <w:t>πληρωτέα ποσά που δεν σχετίζονται με την κύρια δραστηριότητα του ΕΟ, δηλαδή ποσά οφειλόμενα σε προμηθευτές, φόρους, μισθούς, ασφαλιστικές εισφορές κ.λπ.·</w:t>
      </w:r>
    </w:p>
    <w:p>
      <w:pPr>
        <w:pStyle w:val="ListBullet"/>
        <w:numPr>
          <w:ilvl w:val="0"/>
          <w:numId w:val="2"/>
        </w:numPr>
        <w:ind w:leftChars="0" w:left="480" w:right="0"/>
      </w:pPr>
      <w:r>
        <w:t>προβλέψεις που αντιπροσωπεύουν υποχρεώσεις έναντι τρίτων, δηλαδή συντάξεις, μερίσματα κ.λπ.·</w:t>
      </w:r>
    </w:p>
    <w:bookmarkEnd w:id="65"/>
    <w:bookmarkStart w:id="66" w:name="_0e5415053e4cd9bc36d94d4ba8f1f47a"/>
    <w:p>
      <w:pPr>
        <w:pStyle w:val="Heading5"/>
        <w:keepNext/>
      </w:pPr>
      <w:r>
        <w:t>Εισπραττόμενο εισόδημα</w:t>
      </w:r>
    </w:p>
    <w:p>
      <w:pPr>
        <w:pStyle w:val="Body Text"/>
        <w:ind w:leftChars="0" w:left="0" w:right="0"/>
      </w:pPr>
      <w:r>
        <w:t>Καθαρό εισόδημα το οποίο εισπράττει ο ΕΟ κατά τη διάρκεια της περιόδου και το οποίο κατανέμεται σε κάθε κατηγορία μετοχών που εκδίδει.</w:t>
      </w:r>
    </w:p>
    <w:bookmarkEnd w:id="66"/>
    <w:bookmarkStart w:id="67" w:name="_0600da9f43d6cac0d72258c5d9e79a5a"/>
    <w:p>
      <w:pPr>
        <w:pStyle w:val="Heading5"/>
        <w:keepNext/>
      </w:pPr>
      <w:r>
        <w:t>Καταβαλλόμενα μερίσματα</w:t>
      </w:r>
    </w:p>
    <w:p>
      <w:pPr>
        <w:pStyle w:val="Body Text"/>
        <w:ind w:leftChars="0" w:left="0" w:right="0"/>
      </w:pPr>
      <w:r>
        <w:t>Ποσά τα οποία καταβάλλει ο ΕΟ στους μετόχους του με τη μορφή μερισμάτων ή άλλων ισοδύναμων διανεμόμενων ποσών κατά τη διάρκεια της περιόδου και τα οποία κατανέμονται σε κάθε κατηγορία μετοχών που εκδίδει ο ΕΟ.</w:t>
      </w:r>
    </w:p>
    <w:bookmarkEnd w:id="67"/>
    <w:bookmarkStart w:id="68" w:name="_655804e8912142d1359cc8251ef2882e"/>
    <w:p>
      <w:pPr>
        <w:pStyle w:val="Heading5"/>
        <w:keepNext/>
      </w:pPr>
      <w:r>
        <w:t>Αμοιβές που καταβάλλουν οι μέτοχοι/μεριδιούχοι στον ΕΟ</w:t>
      </w:r>
    </w:p>
    <w:p>
      <w:pPr>
        <w:pStyle w:val="Body Text"/>
        <w:ind w:leftChars="0" w:left="0" w:right="0"/>
      </w:pPr>
      <w:r>
        <w:t>Αμοιβές που καταβάλλουν οι μέτοχοι στον ΕΟ κατά τη διάρκεια της περιόδου με τη μορφή πληρωμών αφαιρούμενων από το ενεργητικό τoυ EO και εξαιρουμένων των αμοιβών τις οποίες οι μέτοχοι καταβάλλουν απευθείας σε τρίτους πλην των ΕΟ. Οι αμοιβές αποτελούνται από τους τύπους «επαναλαμβανόμενο κόστος» και «πρόσθετο κόστος» του ΕΟ, όπως περιγράφονται στο παράρτημα VI του κατ’ εξουσιοδότηση κανονισμού (ΕΕ) 2017/653 της Επιτροπής.</w:t>
      </w:r>
    </w:p>
    <w:bookmarkEnd w:id="68"/>
    <w:bookmarkEnd w:id="54"/>
    <w:bookmarkStart w:id="69" w:name="_f736be3ecf10ab6299d069c87204a7b7"/>
    <w:p>
      <w:pPr>
        <w:pStyle w:val="Heading4"/>
        <w:keepNext/>
      </w:pPr>
      <w:r>
        <w:t>ΠΑΡΑΡΤΗΜΑ ΙΙΙ</w:t>
      </w:r>
    </w:p>
    <w:p>
      <w:pPr>
        <w:pStyle w:val="Body Text"/>
        <w:ind w:leftChars="0" w:left="0" w:right="0"/>
      </w:pPr>
      <w:r>
        <w:t>Περιγραφή θεσμικών τομέων</w:t>
      </w:r>
    </w:p>
    <w:bookmarkStart w:id="70" w:name="_f0c91bcfce1250d8a75b4e86c4e099cc"/>
    <w:p>
      <w:pPr>
        <w:pStyle w:val="Heading5"/>
        <w:keepNext/>
      </w:pPr>
      <w:r>
        <w:t>Κεντρική Τράπεζα (S121)</w:t>
      </w:r>
    </w:p>
    <w:p>
      <w:pPr>
        <w:pStyle w:val="Body Text"/>
        <w:ind w:leftChars="0" w:left="0" w:right="0"/>
      </w:pPr>
      <w:r>
        <w:t>Περιλαμβάνει όλες τις χρηματοοικονομικές εταιρείες και οιονεί εταιρείες, κύρια λειτουργία των οποίων είναι η έκδοση νομίσματος, η διατήρηση της εσωτερικής και εξωτερικής αξίας του νομίσματος και η τήρηση του συνόλου ή μέρους των διεθνών (συναλλαγματικών) αποθεμάτων της χώρας.</w:t>
      </w:r>
    </w:p>
    <w:bookmarkEnd w:id="70"/>
    <w:bookmarkStart w:id="71" w:name="_8b5ade8a6e5523b76629a77699657ee3"/>
    <w:p>
      <w:pPr>
        <w:pStyle w:val="Heading5"/>
        <w:keepNext/>
      </w:pPr>
      <w:r>
        <w:t>Εταιρείες που δέχονται καταθέσεις, εκτός από τις κεντρικές τράπεζες  (S122)</w:t>
      </w:r>
    </w:p>
    <w:p>
      <w:pPr>
        <w:pStyle w:val="Body Text"/>
        <w:ind w:leftChars="0" w:left="0" w:right="0"/>
      </w:pPr>
      <w:r>
        <w:t>Περιλαμβάνει οποιεσδήποτε από τις ακόλουθες οντότητες: α) πιστωτικά ιδρύματα που ασκούν δραστηριότητα κατά τις αναφορές του άρθρου 4 παράγραφος 1 σημείο 1) στοιχείο α) του κανονισμού (ΕΕ) αριθ. 575/2013, β) χρηματοπιστωτικά ιδρύματα εκτός εκείνων του ως άνω στοιχείου α), τα οποία δραστηριοποιούνται κατά κύριο λόγο στη χρηματοοικονομική διαμεσολάβηση κατά τις αναφορές της παραγράφου 2.56 του παραρτήματος A του κανονισμού (ΕΕ) αριθ. 549/2013 του Ευρωπαϊκού Κοινοβουλίου και του Συμβουλίου (11) και των οποίων η δραστηριότητα συνίσταται στην αποδοχή καταθέσεων ή/και συγγενών υποκατάστατων καταθέσεων κατά τις αναφορές του πρώτου μέρους του παραρτήματος I από θεσμικές μονάδες, περιλαμβανομένων των πιστωτικών ιδρυμάτων που δεν αποτελούν ΝΧΙ, και στη χορήγηση δανείων ή/και πραγματοποίηση επενδύσεων σε τίτλους για ίδιο λογαριασμό, γ) ιδρύματα ηλεκτρονικού χρήματος που δραστηριοποιούνται κατά κύριο λόγο στη χρηματοοικονομική διαμεσολάβηση κατά τις αναφορές του ως άνω στοιχείου β) υπό τη μορφή της έκδοσης ηλεκτρονικού χρήματος.</w:t>
      </w:r>
    </w:p>
    <w:bookmarkEnd w:id="71"/>
    <w:bookmarkStart w:id="72" w:name="_982671bbe0e1490c9a64f9f579e607a2"/>
    <w:p>
      <w:pPr>
        <w:pStyle w:val="Heading5"/>
        <w:keepNext/>
      </w:pPr>
      <w:r>
        <w:t>Αμοιβαία κεφάλαια χρηματαγοράς (S123)</w:t>
      </w:r>
    </w:p>
    <w:p>
      <w:pPr>
        <w:pStyle w:val="Body Text"/>
        <w:ind w:leftChars="0" w:left="0" w:right="0"/>
      </w:pPr>
      <w:r>
        <w:t>Περιλαμβάνει τους οργανισμούς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bookmarkEnd w:id="72"/>
    <w:bookmarkStart w:id="73" w:name="_926ca6ff0522a03155c9721cf2f3fd90"/>
    <w:p>
      <w:pPr>
        <w:pStyle w:val="Heading5"/>
        <w:keepNext/>
      </w:pPr>
      <w:r>
        <w:t>Γενική κυβέρνηση (S13)</w:t>
      </w:r>
    </w:p>
    <w:p>
      <w:pPr>
        <w:pStyle w:val="Body Text"/>
        <w:ind w:leftChars="0" w:left="0" w:right="0"/>
      </w:pPr>
      <w:r>
        <w:t>Περιλαμβάνει όλες τις θεσμικές μονάδες που είναι παραγωγοί λοιπού μη εμπορεύσιμου προϊόντος των οποίων η παραγωγή προορίζεται για ατομική και συλλογική κατανάλωση και που χρηματοδοτούνται κυρίως από υποχρεωτικές πληρωμές εκ μέρους μονάδων που ανήκουν σε άλλους τομείς, καθώς και τις θεσμικές μονάδες που ασχολούνται κυρίως με την αναδιανομή του εθνικού εισοδήματος και πλούτου (ΕΣΛ 2010, παράγραφοι 2.111 έως 2.113).</w:t>
      </w:r>
    </w:p>
    <w:bookmarkEnd w:id="73"/>
    <w:bookmarkStart w:id="74" w:name="_57c45289d2c6ddba76d9b5a9349196d9"/>
    <w:p>
      <w:pPr>
        <w:pStyle w:val="Heading5"/>
        <w:keepNext/>
      </w:pPr>
      <w:r>
        <w:t>Κεντρική κυβέρνηση (S1311)</w:t>
      </w:r>
    </w:p>
    <w:p>
      <w:pPr>
        <w:pStyle w:val="Body Text"/>
        <w:ind w:leftChars="0" w:left="0" w:right="0"/>
      </w:pPr>
      <w:r>
        <w:t>Περιλαμβάνει όλες τις διοικητικές υπηρεσίες του κράτους και τους λοιπούς κεντρικούς φορείς, η αρμοδιότητα των οποίων εκτείνεται κατά κανόνα σε όλη την οικονομική επικράτεια, εκτός από τη διοίκηση των οργανισμών κοινωνικής ασφάλισης (ΕΣΛ 2010, παράγραφος 2.114). Για τους σκοπούς του παρόντος κανονισμού, η κεντρική κυβέρνηση περιλαμβάνει επίσης όργανα και οργανισμούς της Ένωσης που ταξινομούνται στον τομέα της γενικής κυβέρνησης.</w:t>
      </w:r>
    </w:p>
    <w:bookmarkEnd w:id="74"/>
    <w:bookmarkStart w:id="75" w:name="_729bf996c2515bcc3b794f301ab890b6"/>
    <w:p>
      <w:pPr>
        <w:pStyle w:val="Heading5"/>
        <w:keepNext/>
      </w:pPr>
      <w:r>
        <w:t>Κυβέρνηση ομόσπονδου κράτους (S1312)</w:t>
      </w:r>
    </w:p>
    <w:p>
      <w:pPr>
        <w:pStyle w:val="Body Text"/>
        <w:ind w:leftChars="0" w:left="0" w:right="0"/>
      </w:pPr>
      <w:r>
        <w:t>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bookmarkEnd w:id="75"/>
    <w:bookmarkStart w:id="76" w:name="_0b73b813c2fee705bd73f2dc816ff715"/>
    <w:p>
      <w:pPr>
        <w:pStyle w:val="Heading5"/>
        <w:keepNext/>
      </w:pPr>
      <w:r>
        <w:t>Τοπική αυτοδιοίκηση (S1313)</w:t>
      </w:r>
    </w:p>
    <w:p>
      <w:pPr>
        <w:pStyle w:val="Body Text"/>
        <w:ind w:leftChars="0" w:left="0" w:right="0"/>
      </w:pPr>
      <w:r>
        <w:t>Περιλαμβάνει εκείνες τις μορφές της δημόσιας διοίκησης, η αρμοδιότητα των οποίων εκτείνεται σε μέρος μόνο της οικονομικής επικράτειας, εκτός από τα τοπικά γραφεία των οργανισμών κοινωνικής ασφάλισης (ΕΣΛ 2010, παράγραφος 2.116).</w:t>
      </w:r>
    </w:p>
    <w:bookmarkEnd w:id="76"/>
    <w:bookmarkStart w:id="77" w:name="_3e6a5cc139fdf8e14a74c7eeea5fabd1"/>
    <w:p>
      <w:pPr>
        <w:pStyle w:val="Heading5"/>
        <w:keepNext/>
      </w:pPr>
      <w:r>
        <w:t>Οργανισμοί κοινωνικής ασφάλισης (S1314)</w:t>
      </w:r>
    </w:p>
    <w:p>
      <w:pPr>
        <w:pStyle w:val="Body Text"/>
        <w:ind w:leftChars="0" w:left="0" w:right="0"/>
      </w:pPr>
      <w:r>
        <w:t>Περιλαμβάνει όλες τις θεσμικές μονάδες (κεντρικές, ομόσπονδων κρατών και τοπικές), η κύρια δραστηριότητα των οποίων είναι να προσφέρουν κοινωνικές παροχές και οι οποίες πληρούν και τα δύο παρακάτω κριτήρια: α) με νόμο ή με κανονιστική ρύθμιση ορισμένες ομάδες πληθυσμού υποχρεώνονται να συμμετέχουν στο σύστημα ή να καταβάλλουν εισφορές· και β) η γενική κυβέρνηση είναι υπεύθυνη για τη διαχείριση του οργανισμού, όσον αφορά τον καθορισμό ή την έγκριση των εισφορών και των παροχών, ανεξάρτητα από τον ρόλο της ως εποπτικού φορέα ή εργοδότη. Συνήθως δεν υπάρχει άμεση σχέση μεταξύ του ύψους των εισφορών που καταβάλλει ένα άτομο και του κινδύνου στον οποίο αυτό το άτομο εκτίθεται (ΕΣΛ 2010, παράγραφος 2.117).</w:t>
      </w:r>
    </w:p>
    <w:bookmarkEnd w:id="77"/>
    <w:bookmarkStart w:id="78" w:name="_92b4b5aaf361b6bf07f5ac7d518555d0"/>
    <w:p>
      <w:pPr>
        <w:pStyle w:val="Heading5"/>
        <w:keepNext/>
      </w:pPr>
      <w:r>
        <w:t>Επενδυτικοί Οργανισμοί εκτός από τα αμοιβαία κεφάλαια χρηματαγοράς (S124)</w:t>
      </w:r>
    </w:p>
    <w:p>
      <w:pPr>
        <w:pStyle w:val="Body Text"/>
        <w:ind w:leftChars="0" w:left="0" w:right="0"/>
      </w:pPr>
      <w:r>
        <w:t>Περιλαμβάνει τους επενδυτικούς οργανισμούς, όπως ορίζονται στο άρθρο 2 του κανονισμού (ΕΕ) 2024/1988.</w:t>
      </w:r>
    </w:p>
    <w:bookmarkEnd w:id="78"/>
    <w:bookmarkStart w:id="79" w:name="_bcdbc71b2bfaa3886427fbe87c7a3bfe"/>
    <w:p>
      <w:pPr>
        <w:pStyle w:val="Heading5"/>
        <w:keepNext/>
      </w:pPr>
      <w:r>
        <w:t>Λοιποί ενδιάμεσοι χρηματοοικονομικοί οργανισμοί, εκτός από τις ασφαλιστικές εταιρείες και τα συνταξιοδοτικά ταμεία (S125)</w:t>
      </w:r>
    </w:p>
    <w:p>
      <w:pPr>
        <w:pStyle w:val="Body Text"/>
        <w:ind w:leftChars="0" w:left="0" w:right="0"/>
      </w:pPr>
      <w:r>
        <w:t>Περιλαμβάνει όλες τις χρηματοοικονομικές εταιρείες οι οποίες έχουν ως κύρια δραστηριότητα τη χρηματοοικονομική διαμεσολάβηση μέσω της σύναψης υποχρεώσεων υπό μορφή διαφορετική από το νόμισμα, τις καταθέσεις (ή παραπλήσια υποκατάστατα καταθέσεων), ή τις μετοχές ΕΟ (ΕΣΛ 2010, παράγραφοι 2.86 έως 2.94).</w:t>
      </w:r>
    </w:p>
    <w:bookmarkEnd w:id="79"/>
    <w:bookmarkStart w:id="80" w:name="_1e3d327e4730e78478af2ef12805b3d0"/>
    <w:p>
      <w:pPr>
        <w:pStyle w:val="Heading5"/>
        <w:keepNext/>
      </w:pPr>
      <w:r>
        <w:t>Επικουρικοί χρηματοοικονομικοί οργανισμοί και φορείς (S126)</w:t>
      </w:r>
    </w:p>
    <w:p>
      <w:pPr>
        <w:pStyle w:val="Body Text"/>
        <w:ind w:leftChars="0" w:left="0" w:right="0"/>
      </w:pPr>
      <w:r>
        <w:t>Περιλαμβάνει όλες τις χρηματοοικονομικές εταιρείες οι οποίες ασχολούνται κατά κύριο λόγο με δραστηριότητες που συνδέονται στενά με τη χρηματοοικονομική διαμεσολάβηση, χωρίς όμως να είναι ενδιάμεσοι χρηματοοικονομικοί οργανισμοί. Ο παρών υποτομέας περιλαμβάνει επίσης τα κεντρικά γραφεία των οποίων όλες οι θυγατρικές ή οι περισσότερες απ’ αυτές είναι χρηματοοικονομικές εταιρείες (ΕΣΛ 2010, παράγραφοι 2.95 έως 2.97).</w:t>
      </w:r>
    </w:p>
    <w:bookmarkEnd w:id="80"/>
    <w:bookmarkStart w:id="81" w:name="_7cc1b034b93e3307a1dfbc589cdca11e"/>
    <w:p>
      <w:pPr>
        <w:pStyle w:val="Heading5"/>
        <w:keepNext/>
      </w:pPr>
      <w:r>
        <w:t>Θυγατρικοί χρηματοοικονομικοί οργανισμοί και δανειστές χρημάτων (S127)</w:t>
      </w:r>
    </w:p>
    <w:p>
      <w:pPr>
        <w:pStyle w:val="Body Text"/>
        <w:ind w:leftChars="0" w:left="0" w:right="0"/>
      </w:pPr>
      <w:r>
        <w:t>Περιλαμβάνει το σύνολο των χρηματοοικονομικών εταιρειών που δεν ασχολούνται με τη χρηματοοικονομική διαμεσολάβηση ούτε με την παροχή επικουρικών χρηματοοικονομικών υπηρεσιών και των οποίων το μεγαλύτερο μέρος είτε των στοιχείων του ενεργητικού ή του παθητικού δεν αποτελεί αντικείμενο συναλλαγής στις ανοιχτές αγορές. Περιλαμβάνονται εταιρείες χαρτοφυλακίου που έχουν στην κυριότητά τους πάνω από το 50 % του μετοχικού κεφαλαίου μιας ομάδας θυγατρικών εταιρειών και των οποίων η βασική δραστηριότητα έγκειται στο να έχουν την ομάδα στην κυριότητά τους, χωρίς να παρέχουν οιαδήποτε άλλη υπηρεσία στις επιχειρήσεις στις οποίες ανήκει το μετοχικό κεφάλαιο, δηλαδή ούτε διοικούν ούτε διαχειρίζονται άλλες μονάδες (ΕΣΛ 2010, παράγραφοι 2.98 έως 2.99).</w:t>
      </w:r>
    </w:p>
    <w:bookmarkEnd w:id="81"/>
    <w:bookmarkStart w:id="82" w:name="_b305c7fdd94d969401423a9c9604e33b"/>
    <w:p>
      <w:pPr>
        <w:pStyle w:val="Heading5"/>
        <w:keepNext/>
      </w:pPr>
      <w:r>
        <w:t>Ασφαλιστικές εταιρείες (S128)</w:t>
      </w:r>
    </w:p>
    <w:p>
      <w:pPr>
        <w:pStyle w:val="Body Text"/>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κυρίως υπό τη μορφή της άμεσης ασφάλισης ή της αντασφάλισης (ΕΣΛ 2010, παράγραφοι 2.100 έως 2.104).</w:t>
      </w:r>
    </w:p>
    <w:bookmarkEnd w:id="82"/>
    <w:bookmarkStart w:id="83" w:name="_8830f6c6922c930c828213eeb07ff4e1"/>
    <w:p>
      <w:pPr>
        <w:pStyle w:val="Heading5"/>
        <w:keepNext/>
      </w:pPr>
      <w:r>
        <w:t>Συνταξιοδοτικά ταμεία (S129)</w:t>
      </w:r>
    </w:p>
    <w:p>
      <w:pPr>
        <w:pStyle w:val="Body Text"/>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και των αναγκών των ασφαλισμένων (κοινωνική ασφάλιση). Τα συνταξιοδοτικά ταμεία ως συστήματα κοινωνικής ασφάλισης παρέχουν εισόδημα κατά τη συνταξιοδότηση και, πολλές φορές, επιδόματα θανάτου και αναπηρίας (ΕΣΛ 2010, παράγραφοι 2.105 έως 2.110).</w:t>
      </w:r>
    </w:p>
    <w:bookmarkEnd w:id="83"/>
    <w:bookmarkStart w:id="84" w:name="_ec279312b3c29af1cc0176f865b8f9d0"/>
    <w:p>
      <w:pPr>
        <w:pStyle w:val="Heading5"/>
        <w:keepNext/>
      </w:pPr>
      <w:r>
        <w:t>Μη χρηματοοικονομικές εταιρείες (S11)</w:t>
      </w:r>
    </w:p>
    <w:p>
      <w:pPr>
        <w:pStyle w:val="Body Text"/>
        <w:ind w:leftChars="0" w:left="0" w:right="0"/>
      </w:pPr>
      <w:r>
        <w:t>Περιλαμβάνει τις θεσμικές μονάδες που είναι ανεξάρτητες νομικές οντότητες και παραγωγοί εμπορεύσιμου προϊόντος, και των οποίων η κύρια δραστηριότητα συνίσταται στην παραγωγή αγαθών και μη χρηματοοικονομικών υπηρεσιών (ΕΣΛ 2010, παράγραφοι 2.45 έως 2.50).</w:t>
      </w:r>
    </w:p>
    <w:bookmarkEnd w:id="84"/>
    <w:bookmarkStart w:id="85" w:name="_fecf42cc78355fc1b7345973337a7125"/>
    <w:p>
      <w:pPr>
        <w:pStyle w:val="Heading5"/>
        <w:keepNext/>
      </w:pPr>
      <w:r>
        <w:t>Νοικοκυριά (S14)</w:t>
      </w:r>
    </w:p>
    <w:p>
      <w:pPr>
        <w:pStyle w:val="Body Text"/>
        <w:ind w:leftChars="0" w:left="0" w:right="0"/>
      </w:pPr>
      <w:r>
        <w:t>Περιλαμβάνει φυσικά πρόσωπα (ΕΣΛ 2010, παράγραφοι 2.118 έως 2.128).</w:t>
      </w:r>
    </w:p>
    <w:bookmarkEnd w:id="85"/>
    <w:bookmarkStart w:id="86" w:name="_7e13ba8086419aea334b950f57cc46a1"/>
    <w:p>
      <w:pPr>
        <w:pStyle w:val="Heading5"/>
        <w:keepNext/>
      </w:pPr>
      <w:r>
        <w:t>Μη κερδοσκοπικά ιδρύματα που εξυπηρετούν νοικοκυριά (S15)</w:t>
      </w:r>
    </w:p>
    <w:p>
      <w:pPr>
        <w:pStyle w:val="Body Text"/>
        <w:ind w:leftChars="0" w:left="0" w:right="0"/>
      </w:pPr>
      <w:r>
        <w:t>Περιλαμβάνει μη κερδοσκοπικά ιδρύματα τα οποία είναι χωριστές νομικές οντότητες, εξυπηρετούν νοικοκυριά και είναι ιδιωτικοί παραγωγοί μη εμπορεύσιμου προϊόντος. Οι κύριοι πόροι τους προέρχονται από προαιρετικές εισφορές σε χρήμα ή σε είδος νοικοκυριών υπό την ιδιότητά τους ως καταναλωτών, από πληρωμές εκ μέρους της γενικής κυβέρνησης, καθώς και από εισόδημα περιουσίας (ΕΣΛ 2010, παράγραφοι 2.129 έως 2.130).</w:t>
      </w:r>
    </w:p>
    <w:bookmarkEnd w:id="86"/>
    <w:bookmarkEnd w:id="69"/>
    <w:bookmarkStart w:id="87" w:name="_8f4a609c4e1dac77b2c28fd66ecef8aa"/>
    <w:p>
      <w:pPr>
        <w:pStyle w:val="Heading4"/>
        <w:keepNext/>
      </w:pPr>
      <w:r>
        <w:t>ΠΑΡΑΡΤΗΜΑ IV</w:t>
      </w:r>
    </w:p>
    <w:p>
      <w:pPr>
        <w:pStyle w:val="Body Text"/>
        <w:ind w:leftChars="0" w:left="0" w:right="0"/>
      </w:pPr>
      <w:r>
        <w:t>Περιγραφή χαρακτηριστικών ταξινόμησης των ΕΟ</w:t>
      </w:r>
    </w:p>
    <w:bookmarkStart w:id="88" w:name="_b431c8684a2ec04d8b957062fa94c63a"/>
    <w:p>
      <w:pPr>
        <w:pStyle w:val="Heading5"/>
        <w:keepNext/>
      </w:pPr>
      <w:r>
        <w:t>Όνομα</w:t>
      </w:r>
    </w:p>
    <w:p>
      <w:pPr>
        <w:pStyle w:val="Body Text"/>
        <w:ind w:leftChars="0" w:left="0" w:right="0"/>
      </w:pPr>
      <w:r>
        <w:t>Πλήρης νομική επωνυμία του ΕΟ.</w:t>
      </w:r>
    </w:p>
    <w:bookmarkEnd w:id="88"/>
    <w:bookmarkStart w:id="89" w:name="_8a3cd713ff012887848858f1ce24f2ee"/>
    <w:p>
      <w:pPr>
        <w:pStyle w:val="Heading5"/>
        <w:keepNext/>
      </w:pPr>
      <w:r>
        <w:t>Ημερομηνία σύστασης</w:t>
      </w:r>
    </w:p>
    <w:p>
      <w:pPr>
        <w:pStyle w:val="Body Text"/>
        <w:ind w:leftChars="0" w:left="0" w:right="0"/>
      </w:pPr>
      <w:r>
        <w:t>Ημερομηνία κατά την οποία συστάθηκε ο ΕΟ για πρώτη φορά.</w:t>
      </w:r>
    </w:p>
    <w:bookmarkEnd w:id="89"/>
    <w:bookmarkStart w:id="90" w:name="_74244b9ffd96efb0feec7c9db3456e94"/>
    <w:p>
      <w:pPr>
        <w:pStyle w:val="Heading5"/>
        <w:keepNext/>
      </w:pPr>
      <w:r>
        <w:t>Εταιρεία διαχείρισης</w:t>
      </w:r>
    </w:p>
    <w:p>
      <w:pPr>
        <w:pStyle w:val="Body Text"/>
        <w:ind w:leftChars="0" w:left="0" w:right="0"/>
      </w:pPr>
      <w:r>
        <w:t>Κάθε εταιρεία της οποίας οι συνήθεις δραστηριότητες συνίστανται στη διαχείριση του επενδυτικού οργανισμού.</w:t>
      </w:r>
    </w:p>
    <w:bookmarkEnd w:id="90"/>
    <w:bookmarkStart w:id="91" w:name="_8d7e1052bdd31a4d4a2b75b80e9f2ee9"/>
    <w:p>
      <w:pPr>
        <w:pStyle w:val="Heading5"/>
        <w:keepNext/>
      </w:pPr>
      <w:r>
        <w:t>Πολιτική διανομής μερισμάτων</w:t>
      </w:r>
    </w:p>
    <w:p>
      <w:pPr>
        <w:pStyle w:val="Body Text"/>
        <w:ind w:leftChars="0" w:left="0" w:right="0"/>
      </w:pPr>
      <w:r>
        <w:t>Ως ΕΟ διανομής μερισμάτων (distribution fund) νοείται ο ΕΟ ο οποίος κατά κύριο λόγο (άνω του 50 %) καταβάλλει στους μετόχους του σε μετρητά το εισόδημα που εισπράττει.</w:t>
      </w:r>
    </w:p>
    <w:p>
      <w:pPr>
        <w:pStyle w:val="Body Text"/>
        <w:ind w:leftChars="0" w:left="0" w:right="0"/>
      </w:pPr>
      <w:r>
        <w:t>Ως ΕΟ συσσώρευσης (cumulative fund) νοείται ο ΕΟ ο οποίος κατά κύριο λόγο (άνω του 50 %) επανεπενδύει το εισόδημα που εισπράττει σύμφωνα με το επενδυτικό προϊόν του.</w:t>
      </w:r>
    </w:p>
    <w:p>
      <w:pPr>
        <w:pStyle w:val="Body Text"/>
        <w:ind w:leftChars="0" w:left="0" w:right="0"/>
      </w:pPr>
      <w:r>
        <w:t>Ως μεικτός ΕΟ διανομής μερισμάτων (mixed dividend distribution fund) νοείται ο ΕΟ ο οποίος χρησιμοποιεί το εισόδημα που εισπράττει για να το καταβάλει στους μετόχους του σε μετρητά και για να το επανεπενδύσει σύμφωνα με το επενδυτικό προϊόν του.</w:t>
      </w:r>
    </w:p>
    <w:bookmarkEnd w:id="91"/>
    <w:bookmarkStart w:id="92" w:name="_a1a0b0b67fced6d0a6203b0b14549df7"/>
    <w:p>
      <w:pPr>
        <w:pStyle w:val="Heading5"/>
        <w:keepNext/>
      </w:pPr>
      <w:r>
        <w:t>Επενδυτικοί οργανισμοί με επιμέρους οργανισμούς</w:t>
      </w:r>
    </w:p>
    <w:p>
      <w:pPr>
        <w:pStyle w:val="Body Text"/>
        <w:ind w:leftChars="0" w:left="0" w:right="0"/>
      </w:pPr>
      <w:r>
        <w:t>Ως οργανισμός τύπου «μανδύα» (umbrella fund) νοείται η οντότητα η οποία διαχωρίζει τα στοιχεία του ενεργητικού της σε διαφορετικές μονάδες [επιμέρους οργανισμούς (sub-funds)] κατά τρόπο ώστε οι μετοχές/μερίδια που αντιστοιχούν σε κάθε μονάδα να καλύπτονται ανεξάρτητα από διαφορετικά στοιχεία του ενεργητικού.</w:t>
      </w:r>
    </w:p>
    <w:p>
      <w:pPr>
        <w:pStyle w:val="Body Text"/>
        <w:ind w:leftChars="0" w:left="0" w:right="0"/>
      </w:pPr>
      <w:r>
        <w:t>Ως επιμέρους οργανισμός (sub-fund) ενός οργανισμού τύπου «μανδύα» νοείται η μονάδα η οποία διακρατεί διαχωρισμένα στοιχεία του ενεργητικού ενός οργανισμού τύπου «μανδύα» τα οποία καλύπτουν μετοχές/μερίδια που εκδίδει ο επιμέρους οργανισμός.</w:t>
      </w:r>
    </w:p>
    <w:bookmarkEnd w:id="92"/>
    <w:bookmarkStart w:id="93" w:name="_0586b4f92933eb63be04bad7c6d0655e"/>
    <w:p>
      <w:pPr>
        <w:pStyle w:val="Heading5"/>
        <w:keepNext/>
      </w:pPr>
      <w:r>
        <w:t>Επενδυτική πολιτική</w:t>
      </w:r>
    </w:p>
    <w:p>
      <w:pPr>
        <w:pStyle w:val="Body Text"/>
        <w:ind w:leftChars="0" w:left="0" w:right="0"/>
      </w:pPr>
      <w:r>
        <w:t>Ως αμοιβαία κεφάλαια χρηματαγοράς (ΑΚΧΑ) νοούνται οι ΕΟ που λειτουργούν σύμφωνα με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p>
      <w:pPr>
        <w:pStyle w:val="Body Text"/>
        <w:ind w:leftChars="0" w:left="0" w:right="0"/>
      </w:pPr>
      <w:r>
        <w:t>Ως μετοχικοί ΕΟ νοούνται οι ΕΟ που επενδύουν κατά κύριο λόγο σε μετοχές.</w:t>
      </w:r>
    </w:p>
    <w:p>
      <w:pPr>
        <w:pStyle w:val="Body Text"/>
        <w:ind w:leftChars="0" w:left="0" w:right="0"/>
      </w:pPr>
      <w:r>
        <w:t>Ως ομολογιακοί ΕΟ νοούνται οι ΕΟ που επενδύουν κατά κύριο λόγο σε χρεόγραφα.</w:t>
      </w:r>
    </w:p>
    <w:p>
      <w:pPr>
        <w:pStyle w:val="Body Text"/>
        <w:ind w:leftChars="0" w:left="0" w:right="0"/>
      </w:pPr>
      <w:r>
        <w:t>Ως μεικτοί ΕΟ νοούνται οι ΕΟ που επενδύουν εξίσου σε μετοχές και χρεόγραφα χωρίς υπεροχή της επένδυσης στο ένα ή το άλλο μέσο.</w:t>
      </w:r>
    </w:p>
    <w:p>
      <w:pPr>
        <w:pStyle w:val="Body Text"/>
        <w:ind w:leftChars="0" w:left="0" w:right="0"/>
      </w:pPr>
      <w:r>
        <w:t>Ως ΕΟ ακίνητης περιουσίας νοούνται οι ΕΟ που επενδύουν κατά κύριο λόγο σε ακίνητη περιουσία.</w:t>
      </w:r>
    </w:p>
    <w:p>
      <w:pPr>
        <w:pStyle w:val="Body Text"/>
        <w:ind w:leftChars="0" w:left="0" w:right="0"/>
      </w:pPr>
      <w:r>
        <w:t>Ως ΕΟ αντιστάθμισης κινδύνων (hedge funds) νοείται κάθε οργανισμός συλλογικών επενδύσεων, ανεξαρτήτως της νομικής του διάρθρωσης κατά το εθνικό δίκαιο, ο οποίος εφαρμόζει σχετικά απεριόριστες επενδυτικές στρατηγικές με σκοπό επίτευξης θετικής απόλυτης απόδοσης. Εκτός από τις αποδοχές τους για τη διαχείριση, οι διαχειριστές του αμοιβαίου κεφαλαίου αποζημιώνονται ανάλογα με την απόδοσή του. Για τον λόγο αυτόν τα αμοιβαία κεφάλαια αντιστάθμισης κινδύνων υπόκεινται σε λίγους περιορισμούς ως προς το είδος των χρηματοπιστωτικών μέσων στα οποία μπορούν να επενδύσουν και, επομένως, μπορούν να εφαρμόζουν με ευελιξία ένα ευρύ φάσμα χρηματοπιστωτικών τεχνικών όπως μόχλευση, ανοιχτές πωλήσεις ή οποιαδήποτε άλλη τεχνική. Ο παρών ορισμός καλύπτει επίσης τους ΕΟ που επενδύουν, εν όλω ή εν μέρει, σε άλλα αμοιβαία κεφάλαια αντιστάθμισης κινδύνων, εφόσον κατά τα λοιπά συνάδουν με τον εν λόγω ορισμό.</w:t>
      </w:r>
    </w:p>
    <w:p>
      <w:pPr>
        <w:pStyle w:val="Body Text"/>
        <w:ind w:leftChars="0" w:left="0" w:right="0"/>
      </w:pPr>
      <w:r>
        <w:t>Ως δανειακοί / πιστωτικοί ΕΟ (loan / credit funds) νοούνται οι ΕΟ που επενδύουν κατά κύριο λόγο σε δάνεια.</w:t>
      </w:r>
    </w:p>
    <w:p>
      <w:pPr>
        <w:pStyle w:val="Body Text"/>
        <w:ind w:leftChars="0" w:left="0" w:right="0"/>
      </w:pPr>
      <w:r>
        <w:t>Ως ΕΟ εμπορευμάτων (commodity funds) νοούνται οι ΕΟ που επενδύουν κατά κύριο λόγο σε εμπορεύματα.</w:t>
      </w:r>
    </w:p>
    <w:p>
      <w:pPr>
        <w:pStyle w:val="Body Text"/>
        <w:ind w:leftChars="0" w:left="0" w:right="0"/>
      </w:pPr>
      <w:r>
        <w:t>Ως ΕΟ υποδομών (infrastructure funds) νοούνται οι ΕΟ που επενδύουν κατά κύριο λόγο σε δημόσιες κτιριακές υποδομές, όπως σχολεία, νοσοκομεία ή φυλακές, σε κοινωνικές υποδομές, όπως κοινωνική στέγαση, σε υποδομές μεταφορών, όπως δρόμοι, συστήματα μαζικής μεταφοράς ή αερολιμένες, σε υποδομές ενέργειας, όπως ενεργειακά δίκτυα, έργα σχετικά με την προσαρμογή στην κλιματική αλλαγή και τον μετριασμό της, σταθμοί παραγωγής ενέργειας ή αγωγοί, σε υποδομές διαχείρισης υδάτων, όπως συστήματα ύδρευσης, συστήματα λυμάτων ή άρδευσης και αποχέτευσης, σε υποδομές επικοινωνιών, όπως δίκτυα, και σε υποδομές διαχείρισης αποβλήτων, όπως συστήματα ανακύκλωσης ή συλλογής.</w:t>
      </w:r>
    </w:p>
    <w:p>
      <w:pPr>
        <w:pStyle w:val="Body Text"/>
        <w:ind w:leftChars="0" w:left="0" w:right="0"/>
      </w:pPr>
      <w:r>
        <w:t>Ως λοιποί ΕΟ νοούνται οι ΕΟ πλην των ΑΚΧΑ, των ομολογιακών, των μετοχικών, των μεικτών, των ΕΟ ακίνητης περιουσίας, των αμοιβαίων κεφαλαίων αντιστάθμισης κινδύνων, των δανειακών / πιστωτικών αμοιβαίων κεφαλαίων, των αμοιβαίων κεφαλαίων εμπορευμάτων ή των αμοιβαίων κεφαλαίων υποδομών.</w:t>
      </w:r>
    </w:p>
    <w:bookmarkEnd w:id="93"/>
    <w:bookmarkStart w:id="94" w:name="_6d5c263f2a3a71d11f4c9566020cbdc1"/>
    <w:p>
      <w:pPr>
        <w:pStyle w:val="Heading5"/>
        <w:keepNext/>
      </w:pPr>
      <w:r>
        <w:t>Επενδυτική προσέγγιση</w:t>
      </w:r>
    </w:p>
    <w:p>
      <w:pPr>
        <w:pStyle w:val="Body Text"/>
        <w:ind w:leftChars="0" w:left="0" w:right="0"/>
      </w:pPr>
      <w:r>
        <w:t>Ως ενεργητικοί ΕΟ (active IFs) νοούνται οι ΕΟ στη διακριτική ευχέρεια των διαχειριστών των οποίων εναπόκειται η λήψη επενδυτικών αποφάσεων. Οι εν λόγω ΕΟ μπορούν, αλλά δεν υποχρεούνται, να τελούν υπό διαχείριση αναφορικά με ορισμένο δείκτη συγκριτικής αξιολόγησης.</w:t>
      </w:r>
    </w:p>
    <w:p>
      <w:pPr>
        <w:pStyle w:val="Body Text"/>
        <w:ind w:leftChars="0" w:left="0" w:right="0"/>
      </w:pPr>
      <w:r>
        <w:t>Οι παθητικοί συνθετικοί ΕΟ (passive synthetic IFs) αποσκοπούν στην παρακολούθηση ορισμένου δείκτη μέσω συνθετικής αναπαραγωγής χρησιμοποιώντας χρηματοοικονομικά παράγωγα, όπως συμφωνίες ανταλλαγής, με σκοπό την αναπαραγωγή της απόδοσης του δείκτη που παρακολουθούν.</w:t>
      </w:r>
    </w:p>
    <w:p>
      <w:pPr>
        <w:pStyle w:val="Body Text"/>
        <w:ind w:leftChars="0" w:left="0" w:right="0"/>
      </w:pPr>
      <w:r>
        <w:t>Οι παθητικοί φυσικοί ΕΟ (passive physical IFs) αποσκοπούν στην παρακολούθηση ορισμένου δείκτη μέσω φυσικής αναπαραγωγής διακρατώντας τα στοιχεία του ενεργητικού ή δείγμα των στοιχείων του ενεργητικού στα οποία στηρίζεται ο δείκτης που παρακολουθούν.</w:t>
      </w:r>
    </w:p>
    <w:bookmarkEnd w:id="94"/>
    <w:bookmarkStart w:id="95" w:name="_d5ff40ea5bf685f32a314eab79c134d8"/>
    <w:p>
      <w:pPr>
        <w:pStyle w:val="Heading5"/>
        <w:keepNext/>
      </w:pPr>
      <w:r>
        <w:t>Γεωγραφική εστίαση</w:t>
      </w:r>
    </w:p>
    <w:p>
      <w:pPr>
        <w:pStyle w:val="Body Text"/>
        <w:ind w:leftChars="0" w:left="0" w:right="0"/>
      </w:pPr>
      <w:r>
        <w:t>Η περιφέρεια της επένδυσης καθορίζεται βάσει του κύριου (άνω του 50 %) τόπου στον οποίο βρίσκονται τα διακρατούμενα στοιχεία του ενεργητικού, όσον αφορά την αξία τους.</w:t>
      </w:r>
    </w:p>
    <w:p>
      <w:pPr>
        <w:pStyle w:val="Body Text"/>
        <w:ind w:leftChars="0" w:left="0" w:right="0"/>
      </w:pPr>
      <w:r>
        <w:t>Ως «εσωτερικό» νοείται ο ΕΟ ο οποίος επενδύει κατά κύριο λόγο σε στοιχεία του ενεργητικού που εκδίδουν κάτοικοι της χώρας στην οποία κατοικεί ο επενδυτικός οργανισμός.</w:t>
      </w:r>
    </w:p>
    <w:p>
      <w:pPr>
        <w:pStyle w:val="Body Text"/>
        <w:ind w:leftChars="0" w:left="0" w:right="0"/>
      </w:pPr>
      <w:r>
        <w:t>Οι όροι Ευρώπη (ΕΟΧ), Ευρώπη (πλην του ΕΟΧ), Βόρεια Αμερική, Νότια Αμερική, Ασία / Ειρηνικός, Μέση Ανατολή και Αφρική νοούνται όπως και στις κατευθυντήριες γραμμές της Ευρωπαϊκής Αρχής Κινητών Αξιών και Αγορών (ΕΑΚΑΑ) (ESMA/2014/869EN).</w:t>
      </w:r>
    </w:p>
    <w:p>
      <w:pPr>
        <w:pStyle w:val="Body Text"/>
        <w:ind w:leftChars="0" w:left="0" w:right="0"/>
      </w:pPr>
      <w:r>
        <w:t>Ως υπερεθνική / πολλαπλή περιφέρεια νοείται ο ΕΟ ο οποίος επενδύει κατά κύριο λόγο σε στοιχεία του ενεργητικού έκδοσης υπερεθνικών οντοτήτων ή ο οποίος δεν επενδύει κατά κύριο λόγο σε καμία γεωγραφική περιφέρεια από τις καθοριζόμενες ανωτέρω.</w:t>
      </w:r>
    </w:p>
    <w:bookmarkEnd w:id="95"/>
    <w:bookmarkStart w:id="96" w:name="_acb9b013e801c38c1d0953004f2c4b29"/>
    <w:p>
      <w:pPr>
        <w:pStyle w:val="Heading5"/>
        <w:keepNext/>
      </w:pPr>
      <w:r>
        <w:t>Ανοικτού / κλειστού τύπου</w:t>
      </w:r>
    </w:p>
    <w:p>
      <w:pPr>
        <w:pStyle w:val="Body Text"/>
        <w:ind w:leftChars="0" w:left="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w:t>
      </w:r>
    </w:p>
    <w:p>
      <w:pPr>
        <w:pStyle w:val="Body Text"/>
        <w:ind w:leftChars="0" w:left="0" w:right="0"/>
      </w:pPr>
      <w:r>
        <w:t>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w:t>
      </w:r>
    </w:p>
    <w:bookmarkEnd w:id="96"/>
    <w:bookmarkStart w:id="97" w:name="_28fbadfaed01e42a804005b8fc94cafe"/>
    <w:p>
      <w:pPr>
        <w:pStyle w:val="Heading5"/>
        <w:keepNext/>
      </w:pPr>
      <w:r>
        <w:t>Εστίαση των ομολογιακών ΕΟ</w:t>
      </w:r>
    </w:p>
    <w:p>
      <w:pPr>
        <w:pStyle w:val="Body Text"/>
        <w:ind w:leftChars="0" w:left="0" w:right="0"/>
      </w:pPr>
      <w:r>
        <w:t>Οι ΕΟ ομολογιακού τύπου αποτελούν «ΕΟ σε κρατικά ομόλογα» (government bond funds) αν κατά κύριο λόγο (άνω του 50 %) επενδύουν σε χρεόγραφα έκδοσης κυβερνήσεων.</w:t>
      </w:r>
    </w:p>
    <w:p>
      <w:pPr>
        <w:pStyle w:val="Body Text"/>
        <w:ind w:leftChars="0" w:left="0" w:right="0"/>
      </w:pPr>
      <w:r>
        <w:t>Οι ΕΟ ομολογιακού τύπου αποτελούν «ΕΟ σε εταιρικά ομόλογα» (corporate bond funds) αν κατά κύριο λόγο (άνω του 50 %) επενδύουν σε χρεόγραφα έκδοσης χρηματοοικονομικών και μη χρηματοοικονομικών εταιρειών.</w:t>
      </w:r>
    </w:p>
    <w:bookmarkEnd w:id="97"/>
    <w:bookmarkStart w:id="98" w:name="_5f0df5d92ca8f35ead01149f57522ae9"/>
    <w:p>
      <w:pPr>
        <w:pStyle w:val="Heading5"/>
        <w:keepNext/>
      </w:pPr>
      <w:r>
        <w:t>Ιδιότητα εισηγμένου / μη εισηγμένου σε οργανωμένη αγορά</w:t>
      </w:r>
    </w:p>
    <w:p>
      <w:pPr>
        <w:pStyle w:val="Body Text"/>
        <w:ind w:leftChars="0" w:left="0" w:right="0"/>
      </w:pPr>
      <w:r>
        <w:t>Οι εισηγμένοι ΕΟ έχουν μετοχές οι οποίες έχουν εισαχθεί σε χρηματιστήριο ή άλλη οργανωμένη αγορά.</w:t>
      </w:r>
    </w:p>
    <w:p>
      <w:pPr>
        <w:pStyle w:val="Body Text"/>
        <w:ind w:leftChars="0" w:left="0" w:right="0"/>
      </w:pPr>
      <w:r>
        <w:t>Οι μη εισηγμένοι ΕΟ δεν έχουν μετοχές εισηγμένες σε χρηματιστήριο ή άλλη οργανωμένη αγορά.</w:t>
      </w:r>
    </w:p>
    <w:bookmarkEnd w:id="98"/>
    <w:bookmarkStart w:id="99" w:name="_0752670371f7a040be450b53a96281ea"/>
    <w:p>
      <w:pPr>
        <w:pStyle w:val="Heading5"/>
        <w:keepNext/>
      </w:pPr>
      <w:r>
        <w:t>Νομική μορφή</w:t>
      </w:r>
    </w:p>
    <w:p>
      <w:pPr>
        <w:pStyle w:val="Body Text"/>
        <w:ind w:leftChars="0" w:left="0" w:right="0"/>
      </w:pPr>
      <w:r>
        <w:t>Οι οργανισμοί συλλογικών επενδύσεων σε κινητές αξίες (ΟΣΕΚΑ) είναι ΕΟ που έχουν συσταθεί σύμφωνα με την οδηγία 2009/65/EK.</w:t>
      </w:r>
    </w:p>
    <w:p>
      <w:pPr>
        <w:pStyle w:val="Body Text"/>
        <w:ind w:leftChars="0" w:left="0" w:right="0"/>
      </w:pPr>
      <w:r>
        <w:t>EO που έχουν συσταθεί σύμφωνα με την οδηγία 2011/61/EE οι οποίοι δεν είναι εταιρείες επενδύσεων σε ακίνητα και απευθύνονται σε ιδιώτες επενδυτές.</w:t>
      </w:r>
    </w:p>
    <w:p>
      <w:pPr>
        <w:pStyle w:val="Body Text"/>
        <w:ind w:leftChars="0" w:left="0" w:right="0"/>
      </w:pPr>
      <w:r>
        <w:t>ΕΟ που έχουν συσταθεί σύμφωνα με την οδηγία 2011/61/EE οι οποίοι δεν είναι εταιρείες επενδύσεων σε ακίνητα και απευθύνονται σε θεσμικούς επενδυτές.</w:t>
      </w:r>
    </w:p>
    <w:p>
      <w:pPr>
        <w:pStyle w:val="Body Text"/>
        <w:ind w:leftChars="0" w:left="0" w:right="0"/>
      </w:pPr>
      <w:r>
        <w:t>Οι εταιρείες επενδύσεων σε ακίνητη περιουσία νοούνται οι ΕΟ που κατέχουν ή χρηματοδοτούν ακίνητα που παράγουν εισόδημα και οι οποίοι υπόκεινται σε ορισμένο εθνικό νομικό πλαίσιο που καθορίζει τη νομική μορφή, τα επιλέξιμα περιουσιακά στοιχεία και το φορολογικό καθεστώς τους.</w:t>
      </w:r>
    </w:p>
    <w:p>
      <w:pPr>
        <w:pStyle w:val="Body Text"/>
        <w:ind w:leftChars="0" w:left="0" w:right="0"/>
      </w:pPr>
      <w:r>
        <w:t>Οι λοιποί ΕΟ είναι οργανισμοί που δεν ανήκουν σε καμία από τις παραπάνω κατηγοριές.</w:t>
      </w:r>
    </w:p>
    <w:bookmarkEnd w:id="99"/>
    <w:bookmarkStart w:id="100" w:name="_1c61bc55623cf93ed173dc11b389335f"/>
    <w:p>
      <w:pPr>
        <w:pStyle w:val="Heading5"/>
        <w:keepNext/>
      </w:pPr>
      <w:r>
        <w:t>Είδος μεριδιούχων</w:t>
      </w:r>
    </w:p>
    <w:p>
      <w:pPr>
        <w:pStyle w:val="Body Text"/>
        <w:ind w:leftChars="0" w:left="0" w:right="0"/>
      </w:pPr>
      <w:r>
        <w:t>Το είδος μεριδιούχων καθορίζεται με κριτήριο τον τύπο μετόχων που κυριαρχεί (άνω του 50 %), ως προς την αξία τους.</w:t>
      </w:r>
    </w:p>
    <w:p>
      <w:pPr>
        <w:pStyle w:val="Body Text"/>
        <w:ind w:leftChars="0" w:left="0" w:right="0"/>
      </w:pPr>
      <w:r>
        <w:t>Ως «επαγγελματίας επενδυτής» νοείται οντότητα που πληροί τα κριτήρια του επαγγελματία πελάτη κατά το παράρτημα II της οδηγίας 2014/65/ΕΕ.</w:t>
      </w:r>
    </w:p>
    <w:p>
      <w:pPr>
        <w:pStyle w:val="Body Text"/>
        <w:ind w:leftChars="0" w:left="0" w:right="0"/>
      </w:pPr>
      <w:r>
        <w:t>Ως «ιδιώτης επενδυτής» νοείται πελάτης που δεν είναι «επαγγελματίας επενδυτής».</w:t>
      </w:r>
    </w:p>
    <w:bookmarkEnd w:id="100"/>
    <w:bookmarkStart w:id="101" w:name="_e2143b4fb6d512036f40fb7ea735cd4a"/>
    <w:p>
      <w:pPr>
        <w:pStyle w:val="Heading5"/>
        <w:keepNext/>
      </w:pPr>
      <w:r>
        <w:t>Είδος ΕΟ ακίνητης περιουσίας</w:t>
      </w:r>
    </w:p>
    <w:p>
      <w:pPr>
        <w:pStyle w:val="Body Text"/>
        <w:ind w:leftChars="0" w:left="0" w:right="0"/>
      </w:pPr>
      <w:r>
        <w:t>Οι ΕΟ ακινήτων κατοικίας (residential real estate funds) κατά κύριο λόγο (άνω του 50 %) επενδύουν σε ακίνητα κατοικίας.</w:t>
      </w:r>
    </w:p>
    <w:p>
      <w:pPr>
        <w:pStyle w:val="Body Text"/>
        <w:ind w:leftChars="0" w:left="0" w:right="0"/>
      </w:pPr>
      <w:r>
        <w:t>Το ακίνητο κατοικίας είναι η κατοικία που καταλαμβάνει ο ιδιοκτήτης ή ο μισθωτής αυτής. [Άρθρο 4 παράγραφος 1 σημείο 75) του κανονισμού (ΕΕ) αριθ. 575/2013 του Ευρωπαϊκού Κοινοβουλίου και του Συμβουλίου)]</w:t>
      </w:r>
    </w:p>
    <w:p>
      <w:pPr>
        <w:pStyle w:val="Body Text"/>
        <w:ind w:leftChars="0" w:left="0" w:right="0"/>
      </w:pPr>
      <w:r>
        <w:t>Οι ΕΟ εμπορικών ακινήτων (commercial real estate funds) κατά κύριο λόγο (άνω του 50 %) επενδύουν σε ακίνητα που χρησιμοποιούνται για εμπορικούς σκοπούς, όπως λιανικό εμπόριο και ξενοδοχεία.</w:t>
      </w:r>
    </w:p>
    <w:p>
      <w:pPr>
        <w:pStyle w:val="Body Text"/>
        <w:ind w:leftChars="0" w:left="0" w:right="0"/>
      </w:pPr>
      <w:r>
        <w:t>Οι ΕΟ βιομηχανικών ακινήτων (industrial real estate funds) κατά κύριο λόγο (άνω του 50 %) επενδύουν σε ακίνητα που χρησιμοποιούνται για την κατασκευή, παραγωγή, αποθήκευση και διανομή αγαθών.</w:t>
      </w:r>
    </w:p>
    <w:p>
      <w:pPr>
        <w:pStyle w:val="Body Text"/>
        <w:ind w:leftChars="0" w:left="0" w:right="0"/>
      </w:pPr>
      <w:r>
        <w:t>Οι ΕΟ ακίνητης περιουσίας πολλαπλών στρατηγικών (multi-strategy real estate funds) επενδύουν σε ακίνητα κατοικίας, καθώς και σε εμπορικά και βιομηχανικά ακίνητα, χωρίς να επικεντρώνονται σε κάποιο από αυτά.</w:t>
      </w:r>
    </w:p>
    <w:p>
      <w:pPr>
        <w:pStyle w:val="Body Text"/>
        <w:ind w:leftChars="0" w:left="0" w:right="0"/>
      </w:pPr>
      <w:r>
        <w:t>Οι ΕΟ γραφείων (office real estate funds) κατά κύριο λόγο (άνω του 50%) επενδύουν σε ακίνητα που χρησιμοποιούνται ως γραφεία.</w:t>
      </w:r>
    </w:p>
    <w:p>
      <w:pPr>
        <w:pStyle w:val="Body Text"/>
        <w:ind w:leftChars="0" w:left="0" w:right="0"/>
      </w:pPr>
      <w:r>
        <w:t>Ως λοιποί ΕΟ ακίνητης περιουσίας (other real estate funds) νοούνται οι ΕΟ ακίνητης περιουσίας που δεν είναι ΕΟ ακινήτων κατοικίας, εμπορικών ακινήτων, βιομηχανικών ακινήτων ή περιουσίας πολλαπλών στρατηγικών.</w:t>
      </w:r>
    </w:p>
    <w:bookmarkEnd w:id="101"/>
    <w:bookmarkStart w:id="102" w:name="_7493e2a8d888bed32ef86cf6f6199c59"/>
    <w:p>
      <w:pPr>
        <w:pStyle w:val="Heading5"/>
        <w:keepNext/>
      </w:pPr>
      <w:r>
        <w:t>Διαπραγματεύσιμο αμοιβαίο κεφάλαιο</w:t>
      </w:r>
    </w:p>
    <w:p>
      <w:pPr>
        <w:pStyle w:val="Body Text"/>
        <w:ind w:leftChars="0" w:left="0" w:right="0"/>
      </w:pPr>
      <w:r>
        <w:t>Ως διαπραγματεύσιμο αμοιβαίο κεφάλαιο (ΔΑΚ) (exchange traded fund — ETF) νοείται το «ΔΑΚ ΟΣΕΚΑ» κατά τα οριζόμενα στην παράγραφο 3 τέταρτο εδάφιο των κατευθυντήριων γραμμών της ΕΑΚΑΑ (ESMA/2012/832). Σύμφωνα με τον ορισμό της ΕΑΚΑΑ, ΔΑΚ ΟΣΕΚΑ είναι ένας ΟΣΕΚΑ του οποίου τουλάχιστον ένα μερίδιο ή μία κατηγορία μεριδίου αποτελεί αντικείμενο διαπραγμάτευσης καθ’ όλη τη διάρκεια της ημέρας σε μία τουλάχιστον οργανωμένη αγορά ή σε ένα τουλάχιστον πολυμερή μηχανισμό διαπραγμάτευσης με έναν τουλάχιστον ειδικό διαπραγματευτή ο οποίος λαμβάνει μέτρα ώστε η χρηματιστηριακή αξία των μεριδίων του να μην διαφέρει σημαντικά από την καθαρή αξία ενεργητικού του και, ανάλογα με την περίπτωση, από την ενδεικτική καθαρή αξία ενεργητικού του. Θα πρέπει να συμπεριλαμβάνονται στην κατηγορία αυτή ΕΟ οι οποίοι δεν είναι ΟΣΕΚΑ και ανταποκρίνονται στον ορισμό της ΕΑΚΑΑ για τα ΔΑΚ.</w:t>
      </w:r>
    </w:p>
    <w:bookmarkEnd w:id="102"/>
    <w:bookmarkStart w:id="103" w:name="_807c0ddcbe29e5aad416895b3060fcd4"/>
    <w:p>
      <w:pPr>
        <w:pStyle w:val="Heading5"/>
        <w:keepNext/>
      </w:pPr>
      <w:r>
        <w:t>Ιδιωτικό επενδυτικό κεφάλαιο</w:t>
      </w:r>
    </w:p>
    <w:p>
      <w:pPr>
        <w:pStyle w:val="Body Text"/>
        <w:ind w:leftChars="0" w:left="0" w:right="0"/>
      </w:pPr>
      <w:r>
        <w:t>Ως ιδιωτικά επενδυτικά κεφάλαια (ΙΕΚ) (private equity funds — PEFs ) νοούνται ΕΟ χωρίς μόχλευση, οι οποίοι επενδύουν κυρίως σε συμμετοχικούς τίτλους και άλλα μέσα, παρεμφερή από οικονομικής απόψεως με αυτούς, έκδοσης μη εισηγμένων εταιρειών. Υποκατηγορία των ΙΕΚ είναι τα αμοιβαία κεφάλαια επιχειρηματικών συμμετοχών (ΑΚΕΣ), τα οποία επενδύουν σε νέες επιχειρήσεις. Τα ΙΕΚ (συμπεριλαμβανομένων των ΑΚΕΣ) συνήθως συνιστώνται ως αμοιβαία κεφάλαια κλειστού τύπου ή ετερόρρυθμες εταιρείες υπό τη διαχείριση εταιρειών ιδιωτικών επενδυτικών κεφαλαίων (ΕΙΕΚ) ή εταιρειών κεφαλαίου επιχειρηματικών συμμετοχών (ΕΚΕΣ) στην περίπτωση των ΑΚΕΣ. Παρόλο που τα ΙΕΚ (συμπεριλαμβανομένων των ΑΚΕΣ) ταξινομούνται στους ΕΟ σύμφωνα με το άρθρο 2 του παρόντος κανονισμού, οι ΕΙΕΚ και οι ΕΚΕΣ ταξινομούνται στους επικουρικούς χρηματοοικονομικούς οργανισμούς και φορείς (ΕΣΛ 2010, υποτομέας S.126) εάν απλά διαχειρίζονται στοιχεία του ενεργητικού των ΙΕΚ και ΑΚΕΣ και στους λοιπούς ενδιάμεσους χρηματοοικονομικούς οργανισμούς (ΕΣΛ 2010, υποτομέας S.125) εάν επενδύουν για ίδιο λογαριασμό σε μετοχικούς τίτλους εταιρειών που δεν είναι εισηγμένες στο χρηματιστήριο.</w:t>
      </w:r>
    </w:p>
    <w:bookmarkEnd w:id="103"/>
    <w:bookmarkStart w:id="104" w:name="_20c25dbaa5f90ed450f6de7845cf0efa"/>
    <w:p>
      <w:pPr>
        <w:pStyle w:val="Heading5"/>
        <w:keepNext/>
      </w:pPr>
      <w:r>
        <w:t>Συχνότητα εξόφλησης</w:t>
      </w:r>
    </w:p>
    <w:p>
      <w:pPr>
        <w:pStyle w:val="Body Text"/>
        <w:ind w:leftChars="0" w:left="0" w:right="0"/>
      </w:pPr>
      <w:r>
        <w:t>Η συχνότητα εξόφλησης προσδιορίζει το χρονοδιάγραμμα βάσει του οποίου οι επενδυτές στον ΕΟ μπορούν να εξοφλούν τις μετοχές/μερίδιά τους.</w:t>
      </w:r>
    </w:p>
    <w:bookmarkEnd w:id="104"/>
    <w:bookmarkStart w:id="105" w:name="_c5c4cc58169613f22311aafcf32ff7cf"/>
    <w:p>
      <w:pPr>
        <w:pStyle w:val="Heading5"/>
        <w:keepNext/>
      </w:pPr>
      <w:r>
        <w:t>Είδος με βάση την περιβαλλοντική, κοινωνική και σχετική με τη διακυβέρνηση (ΠΚΔ) συμμόρφωση</w:t>
      </w:r>
    </w:p>
    <w:p>
      <w:pPr>
        <w:pStyle w:val="Body Text"/>
        <w:ind w:leftChars="0" w:left="0" w:right="0"/>
      </w:pPr>
      <w:r>
        <w:t>Οι συμμορφούμενοι με το άρθρο 8 του κανονισμού γνωστοποιήσεων αειφορίας χρηματοπιστωτικών υπηρεσιών (SFDR) ΕΟ συμμορφώνονται με το άρθρο 8 του κανονισμού (ΕΕ) 2019/2088, προωθώντας, κατ’ αυτόν τον τρόπο, περιβαλλοντικά ή κοινωνικά χαρακτηριστικά. Οι συμμορφούμενοι με το άρθρο 9 του κανονισμού γνωστοποιήσεων αειφορίας χρηματοπιστωτικών υπηρεσιών (SFDR) ΕΟ συμμορφώνονται με το άρθρο 9 του κανονισμού (ΕΕ) 2019/2088, έχοντας, κατ’ αυτόν τον τρόπο, ως στόχο τους αειφόρες επενδύσεις. Οι λοιποί ΕΟ δεν συμμορφώνονται με το άρθρο 8 ούτε με το άρθρο 9 του κανονισμού (ΕΕ) 2019/2088.</w:t>
      </w:r>
    </w:p>
    <w:bookmarkEnd w:id="105"/>
    <w:bookmarkEnd w:id="87"/>
    <w:bookmarkEnd w:id="6"/>
    <w:bookmarkEnd w:id="5"/>
    <w:bookmarkStart w:id="106" w:name="_c14d9bf81a1758ecfa63ad49c7d2ec2e"/>
    <w:bookmarkStart w:id="107" w:name="_03e8ea5aa2ddc3cc93afda5ee3b6082d"/>
    <w:p>
      <w:pPr>
        <w:pStyle w:val="Heading3"/>
        <w:keepNext/>
      </w:pPr>
      <w:r>
        <w:t>Πίνακες</w:t>
      </w:r>
    </w:p>
    <w:p>
      <w:pPr>
        <w:pStyle w:val="Body Text"/>
        <w:ind w:leftChars="0" w:left="0" w:right="0"/>
      </w:pPr>
      <w:r>
        <w:t>Ακολουθεί αναλυτική περιγραφή των πινάκων ανά κατηγορία δεδομένων: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"_2a93ae0e5f42a54788ade0037a361aef" \h \z \u </w:instrText>
          </w:r>
          <w:r>
            <w:fldChar w:fldCharType="separate"/>
          </w:r>
          <w:hyperlink w:anchor="_4673aab7675e73da16ee3bad513d49b6" w:history="1">
            <w:r>
              <w:t>A. Κατηγορία Πινάκων με Λογιστικά Στοιχεία (ACC)</w:t>
            </w:r>
            <w:r>
              <w:rPr>
                <w:webHidden/>
              </w:rPr>
              <w:tab/>
            </w:r>
            <w:r>
              <w:fldChar w:fldCharType="begin"/>
            </w:r>
            <w:r>
              <w:rPr>
                <w:webHidden/>
              </w:rPr>
              <w:instrText xml:space="preserve"> PAGEREF _4673aab7675e73da16ee3bad513d49b6 \h </w:instrText>
            </w:r>
            <w:r>
              <w:fldChar w:fldCharType="separate"/>
            </w:r>
            <w:r>
              <w:rPr>
                <w:webHidden/>
              </w:rPr>
              <w:t>X</w:t>
            </w:r>
            <w:r>
              <w:fldChar w:fldCharType="end"/>
            </w:r>
          </w:hyperlink>
        </w:p>
        <w:p>
          <w:pPr>
            <w:pStyle w:val="toc 1"/>
            <w:tabs>
              <w:tab w:val="right" w:leader="dot" w:pos="8488"/>
            </w:tabs>
            <w:rPr>
              <w:b w:val="0"/>
              <w:noProof/>
            </w:rPr>
          </w:pPr>
          <w:hyperlink w:anchor="_d41cb2830bf31e940fa24de172809d2f" w:history="1">
            <w:r>
              <w:t>B. Στοιχεία Αναφοράς (REF)</w:t>
            </w:r>
            <w:r>
              <w:rPr>
                <w:webHidden/>
              </w:rPr>
              <w:tab/>
            </w:r>
            <w:r>
              <w:fldChar w:fldCharType="begin"/>
            </w:r>
            <w:r>
              <w:rPr>
                <w:webHidden/>
              </w:rPr>
              <w:instrText xml:space="preserve"> PAGEREF _d41cb2830bf31e940fa24de172809d2f \h </w:instrText>
            </w:r>
            <w:r>
              <w:fldChar w:fldCharType="separate"/>
            </w:r>
            <w:r>
              <w:rPr>
                <w:webHidden/>
              </w:rPr>
              <w:t>X</w:t>
            </w:r>
            <w:r>
              <w:fldChar w:fldCharType="end"/>
            </w:r>
          </w:hyperlink>
        </w:p>
        <w:p>
          <w:r>
            <w:fldChar w:fldCharType="end"/>
          </w:r>
        </w:p>
      </w:sdtContent>
    </w:sdt>
    <w:bookmarkStart w:id="108" w:name="_2a93ae0e5f42a54788ade0037a361aef"/>
    <w:bookmarkStart w:id="109" w:name="_4673aab7675e73da16ee3bad513d49b6"/>
    <w:bookmarkStart w:id="110" w:name="_7b63c6d4e52f51790b7220c55bfdb8fe"/>
    <w:p>
      <w:pPr>
        <w:pStyle w:val="Heading4"/>
        <w:keepNext/>
      </w:pPr>
      <w:r>
        <w:t>A. Κατηγορία Πινάκων με Λογιστικά Στοιχεία (ACC)</w:t>
      </w:r>
    </w:p>
    <w:p>
      <w:pPr>
        <w:pStyle w:val="Body Text"/>
        <w:ind w:leftChars="0" w:left="0" w:right="0"/>
      </w:pPr>
      <w:r>
        <w:t xml:space="preserve">Χρησιμοποιείται για την υποβολή λογιστικών στοιχείων.  Όλες οι νομισματικές μεταβλητές αναγγέλλονται σε Ευρώ εκτός και αν αναφέρεται κάτι διαφορετικό στον ορισμό της μεταβλητής.  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 και 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  Σε κάθε πίνακα όλες οι μετρήσεις είναι υποχρεωτικές να συμπληρωθούν.</w:t>
      </w:r>
    </w:p>
    <w:p>
      <w:pPr>
        <w:pStyle w:val="Body Text"/>
        <w:ind w:leftChars="0" w:left="0" w:right="0"/>
      </w:pPr>
      <w:r>
        <w:t>Η κατηγορία ACC περιλαμβάνει τους ακόλουθους πίνακες:</w:t>
      </w:r>
    </w:p>
    <w:p>
      <w:pPr>
        <w:pStyle w:val="ListNumber"/>
        <w:numPr>
          <w:ilvl w:val="0"/>
          <w:numId w:val="6"/>
        </w:numPr>
        <w:ind w:leftChars="0" w:left="480" w:right="0"/>
      </w:pPr>
      <w:hyperlink w:anchor="_201e5e00e48bbfaa27f0bda7bad1a2a2">
        <w:r>
          <w:rPr>
            <w:rStyle w:val="Hyperlink"/>
          </w:rPr>
          <w:t>Πίνακας A1: Καταθέσεις και μετρητά (DPST)</w:t>
        </w:r>
      </w:hyperlink>
    </w:p>
    <w:p>
      <w:pPr>
        <w:pStyle w:val="ListNumber"/>
        <w:numPr>
          <w:ilvl w:val="0"/>
          <w:numId w:val="6"/>
        </w:numPr>
        <w:ind w:leftChars="0" w:left="480" w:right="0"/>
      </w:pPr>
      <w:hyperlink w:anchor="_e1b27402d342dcfa9f35f35b74c08450">
        <w:r>
          <w:rPr>
            <w:rStyle w:val="Hyperlink"/>
          </w:rPr>
          <w:t>Πίνακας A2: Χρεόγραφα που κατέχει ο ΕΟ (ASST_DBT)</w:t>
        </w:r>
      </w:hyperlink>
    </w:p>
    <w:p>
      <w:pPr>
        <w:pStyle w:val="ListNumber"/>
        <w:numPr>
          <w:ilvl w:val="0"/>
          <w:numId w:val="6"/>
        </w:numPr>
        <w:ind w:leftChars="0" w:left="480" w:right="0"/>
      </w:pPr>
      <w:hyperlink w:anchor="_52a049520a35b5b2572072a15ef09765">
        <w:r>
          <w:rPr>
            <w:rStyle w:val="Hyperlink"/>
          </w:rPr>
          <w:t>Πίνακας A3: Απαιτήσεις από Δάνεια (ASST_LN)</w:t>
        </w:r>
      </w:hyperlink>
    </w:p>
    <w:p>
      <w:pPr>
        <w:pStyle w:val="ListNumber"/>
        <w:numPr>
          <w:ilvl w:val="0"/>
          <w:numId w:val="6"/>
        </w:numPr>
        <w:ind w:leftChars="0" w:left="480" w:right="0"/>
      </w:pPr>
      <w:hyperlink w:anchor="_3f5832f5bce4f5e7fcd519e0233f5682">
        <w:r>
          <w:rPr>
            <w:rStyle w:val="Hyperlink"/>
          </w:rPr>
          <w:t>Πίνακας A4: Μετοχές και Λοιποί Συμμετοχικοί Τίτλοι που Κατέχει ο ΕΟ (SHR)</w:t>
        </w:r>
      </w:hyperlink>
    </w:p>
    <w:p>
      <w:pPr>
        <w:pStyle w:val="ListNumber"/>
        <w:numPr>
          <w:ilvl w:val="0"/>
          <w:numId w:val="6"/>
        </w:numPr>
        <w:ind w:leftChars="0" w:left="480" w:right="0"/>
      </w:pPr>
      <w:hyperlink w:anchor="_6cc444e2890303fe0cc913d467a782ea">
        <w:r>
          <w:rPr>
            <w:rStyle w:val="Hyperlink"/>
          </w:rPr>
          <w:t>Πίνακας A5: Θέσεις σε Χρηματοοικονομικά Παράγωγα (DER)</w:t>
        </w:r>
      </w:hyperlink>
    </w:p>
    <w:p>
      <w:pPr>
        <w:pStyle w:val="ListNumber"/>
        <w:numPr>
          <w:ilvl w:val="0"/>
          <w:numId w:val="6"/>
        </w:numPr>
        <w:ind w:leftChars="0" w:left="480" w:right="0"/>
      </w:pPr>
      <w:hyperlink w:anchor="_7962e4dd03304ae9b2567bc06b65e9c8">
        <w:r>
          <w:rPr>
            <w:rStyle w:val="Hyperlink"/>
          </w:rPr>
          <w:t>Πίνακας A6: Μη χρηματοοικονομικά Περιουσιακά Στοιχεία (ενσώματα ή άυλα) (ASST_NN_FNNCL)</w:t>
        </w:r>
      </w:hyperlink>
    </w:p>
    <w:p>
      <w:pPr>
        <w:pStyle w:val="ListNumber"/>
        <w:numPr>
          <w:ilvl w:val="0"/>
          <w:numId w:val="6"/>
        </w:numPr>
        <w:ind w:leftChars="0" w:left="480" w:right="0"/>
      </w:pPr>
      <w:hyperlink w:anchor="_a075e140ab554dc987b1306a8a69f931">
        <w:r>
          <w:rPr>
            <w:rStyle w:val="Hyperlink"/>
          </w:rPr>
          <w:t>Πίνακας A7: Λοιπά Στοιχεία Ενεργητικού (ASST_RMNNG)</w:t>
        </w:r>
      </w:hyperlink>
    </w:p>
    <w:p>
      <w:pPr>
        <w:pStyle w:val="ListNumber"/>
        <w:numPr>
          <w:ilvl w:val="0"/>
          <w:numId w:val="6"/>
        </w:numPr>
        <w:ind w:leftChars="0" w:left="480" w:right="0"/>
      </w:pPr>
      <w:hyperlink w:anchor="_d0ff45dc17a5a9faafbd980e1141aded">
        <w:r>
          <w:rPr>
            <w:rStyle w:val="Hyperlink"/>
          </w:rPr>
          <w:t>Πίνακας A8: Εκδοθέντα Χρεογράφα (LBLTY_DBT)</w:t>
        </w:r>
      </w:hyperlink>
    </w:p>
    <w:p>
      <w:pPr>
        <w:pStyle w:val="ListNumber"/>
        <w:numPr>
          <w:ilvl w:val="0"/>
          <w:numId w:val="6"/>
        </w:numPr>
        <w:ind w:leftChars="0" w:left="480" w:right="0"/>
      </w:pPr>
      <w:hyperlink w:anchor="_ccfb4a7471fd06e9e5f49155a21eb600">
        <w:r>
          <w:rPr>
            <w:rStyle w:val="Hyperlink"/>
          </w:rPr>
          <w:t>Πίνακας A9: Ληφθέντα Δάνεια (LBLTY_LN)</w:t>
        </w:r>
      </w:hyperlink>
    </w:p>
    <w:p>
      <w:pPr>
        <w:pStyle w:val="ListNumber"/>
        <w:numPr>
          <w:ilvl w:val="0"/>
          <w:numId w:val="6"/>
        </w:numPr>
        <w:ind w:leftChars="0" w:left="480" w:right="0"/>
      </w:pPr>
      <w:hyperlink w:anchor="_ad149e08b7d34de4166c6f52969e31c2">
        <w:r>
          <w:rPr>
            <w:rStyle w:val="Hyperlink"/>
          </w:rPr>
          <w:t>Πίνακας A10: Λοιπά Στοιχεία Παθητικού (LBLTY_RMNNG)</w:t>
        </w:r>
      </w:hyperlink>
    </w:p>
    <w:p>
      <w:pPr>
        <w:pStyle w:val="ListNumber"/>
        <w:numPr>
          <w:ilvl w:val="0"/>
          <w:numId w:val="6"/>
        </w:numPr>
        <w:ind w:leftChars="0" w:left="480" w:right="0"/>
      </w:pPr>
      <w:hyperlink w:anchor="_12cac3242a5947990e11de15a78264c7">
        <w:r>
          <w:rPr>
            <w:rStyle w:val="Hyperlink"/>
          </w:rPr>
          <w:t>Πίνακας Α11: Διακρατήσεις Μετοχών/Μεριδίων Eκδοθέντων από τον ΕΟ (HLDR)</w:t>
        </w:r>
      </w:hyperlink>
    </w:p>
    <w:p>
      <w:pPr>
        <w:pStyle w:val="ListNumber"/>
        <w:numPr>
          <w:ilvl w:val="0"/>
          <w:numId w:val="6"/>
        </w:numPr>
        <w:ind w:leftChars="0" w:left="480" w:right="0"/>
      </w:pPr>
      <w:hyperlink w:anchor="_a3b2f9cee988dd0750d74d4acc8e3271">
        <w:r>
          <w:rPr>
            <w:rStyle w:val="Hyperlink"/>
          </w:rPr>
          <w:t>Πίνακας A12: Γενικά Στοιχεία Μετοχών/Μεριδίων Εκδοθέντων από τον ΕΟ (KEY)</w:t>
        </w:r>
      </w:hyperlink>
    </w:p>
    <w:p>
      <w:pPr>
        <w:pStyle w:val="ListNumber"/>
        <w:numPr>
          <w:ilvl w:val="0"/>
          <w:numId w:val="6"/>
        </w:numPr>
        <w:ind w:leftChars="0" w:left="480" w:right="0"/>
      </w:pPr>
      <w:hyperlink w:anchor="_b79110dd4ae86963b102188936e42e39">
        <w:r>
          <w:rPr>
            <w:rStyle w:val="Hyperlink"/>
          </w:rPr>
          <w:t>Πίνακας A13: Αμοιβές προς τον ΕΟ</w:t>
        </w:r>
      </w:hyperlink>
    </w:p>
    <w:p>
      <w:pPr>
        <w:pStyle w:val="ListNumber"/>
        <w:numPr>
          <w:ilvl w:val="0"/>
          <w:numId w:val="6"/>
        </w:numPr>
        <w:ind w:leftChars="0" w:left="480" w:right="0"/>
      </w:pPr>
      <w:hyperlink w:anchor="_57928d5bed936d8edc39bef23f3866e4">
        <w:r>
          <w:rPr>
            <w:rStyle w:val="Hyperlink"/>
          </w:rPr>
          <w:t>Πίνακας Α14: Στοιχεία παρέκκλισης τύπου (α)</w:t>
        </w:r>
      </w:hyperlink>
    </w:p>
    <w:bookmarkStart w:id="111" w:name="_909c3bb922b42120b57fb3e212bf10f9"/>
    <w:bookmarkStart w:id="112" w:name="_201e5e00e48bbfaa27f0bda7bad1a2a2"/>
    <w:bookmarkStart w:id="113" w:name="_0c5334a99ec95fa9ecd5c5cf3d985c85"/>
    <w:p>
      <w:pPr>
        <w:pStyle w:val="Heading5"/>
        <w:keepNext/>
      </w:pPr>
      <w:r>
        <w:t xml:space="preserve">1 </w:t>
      </w:r>
      <w:r>
        <w:t>Πίνακας A1: Καταθέσεις και μετρητά (DPST)</w:t>
      </w:r>
    </w:p>
    <w:p>
      <w:pPr>
        <w:pStyle w:val="Body Text"/>
        <w:ind w:leftChars="0" w:left="0" w:right="0"/>
      </w:pPr>
      <w:r>
        <w:t>Χρησιμοποιείται για την παροχή λογιστικών στοιχείων των καταθέσεων και χρηματικών διαθεσίμων του ΕΟ.</w:t>
      </w:r>
    </w:p>
    <w:p>
      <w:pPr>
        <w:pStyle w:val="Body Text"/>
        <w:ind w:leftChars="0" w:left="0" w:right="0"/>
      </w:pPr>
      <w:r>
        <w:t xml:space="preserve">Για τον ορισμό της κατάθεσης δείτε </w:t>
      </w:r>
      <w:hyperlink w:anchor="_f011dce9af42168b667edbf06a1ecd71">
        <w:r>
          <w:rPr>
            <w:rStyle w:val="Hyperlink"/>
          </w:rPr>
          <w:t>εδώ</w:t>
        </w:r>
      </w:hyperlink>
      <w:r>
        <w:t>.</w:t>
      </w:r>
    </w:p>
    <w:p>
      <w:pPr>
        <w:pStyle w:val="Body Text"/>
        <w:ind w:leftChars="0" w:left="0" w:right="0"/>
      </w:pPr>
      <w:r>
        <w:t xml:space="preserve">Προϋπόθεση συμπλήρωσης των στοιχείων καταθέσεων είναι να έχει συμπληρωθεί ο πίνακας </w:t>
      </w:r>
      <w:r>
        <w:rPr>
          <w:b/>
          <w:bCs/>
        </w:rPr>
        <w:t>REF:DPST</w:t>
      </w:r>
      <w:r>
        <w:t xml:space="preserve"> που περιλαμβάνει τα πληροφοριακά στοιχεία του κάθε καταθετικού λογαριασμού.</w:t>
      </w:r>
    </w:p>
    <w:p>
      <w:pPr>
        <w:pStyle w:val="Body Text"/>
        <w:ind w:leftChars="0" w:left="0" w:right="0"/>
      </w:pPr>
      <w:r>
        <w:t>Ακολουθεί περιγραφή των μεταβλητών του πίνακα:</w:t>
      </w:r>
    </w:p>
    <w:bookmarkStart w:id="114" w:name="_b79b0350d0cf248bfb2dde75550522fa"/>
    <w:p>
      <w:pPr>
        <w:pStyle w:val="Heading 6"/>
        <w:keepNext/>
      </w:pPr>
      <w:r>
        <w:t xml:space="preserve">1.1 </w:t>
      </w:r>
      <w:r>
        <w:t>ΔΙΑΣΤΑΣΕΙΣ</w:t>
      </w:r>
    </w:p>
    <w:p>
      <w:pPr>
        <w:pStyle w:val="DefinitionTerm"/>
        <w:ind w:leftChars="0" w:left="0" w:right="0"/>
        <w:keepNext/>
      </w:pPr>
      <w:r>
        <w:t>Αναγνωριστικός κωδικός κατάθεσης/μετρητών (IID)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p>
      <w:pPr>
        <w:pStyle w:val="Definition"/>
        <w:ind w:leftChars="0" w:left="480" w:right="0"/>
      </w:pPr>
      <w:r>
        <w:t xml:space="preserve">Στην περίπτωση χρηματικών διαθεσίμων ο κωδικός </w:t>
      </w:r>
      <w:r>
        <w:rPr>
          <w:b/>
          <w:bCs/>
        </w:rPr>
        <w:t>IID</w:t>
      </w:r>
      <w:r>
        <w:t xml:space="preserve"> συμπληρώνεται χρησιμοποιώντας  την μορφή κωδικού </w:t>
      </w:r>
      <w:r>
        <w:rPr>
          <w:b/>
          <w:bCs/>
        </w:rPr>
        <w:t>_{ΝΝΝ}{ESCB_ID}</w:t>
      </w:r>
      <w:r>
        <w:t xml:space="preserve"> όπου η θέση </w:t>
      </w:r>
      <w:r>
        <w:rPr>
          <w:b/>
          <w:bCs/>
        </w:rPr>
        <w:t>ΝΝΝ</w:t>
      </w:r>
      <w:r>
        <w:t xml:space="preserve"> αντικαθίσταται με το νόμισμα των χρηματικών διαθεσίμων επιλέγοντας από τη λίστα τιμών </w:t>
      </w:r>
      <w:hyperlink w:anchor="_6201aa4d7e76fbd6b080361f324d593c">
        <w:r>
          <w:rPr>
            <w:rStyle w:val="Hyperlink"/>
          </w:rPr>
          <w:t>GEN_CRRNCY</w:t>
        </w:r>
      </w:hyperlink>
      <w:r>
        <w:t xml:space="preserve"> και η θέση </w:t>
      </w:r>
      <w:r>
        <w:rPr>
          <w:b/>
          <w:bCs/>
        </w:rPr>
        <w:t>ESCB_ID</w:t>
      </w:r>
      <w:r>
        <w:t xml:space="preserve"> αντικαθίσταται με τον αναγνωριστικό κωδικό ESCB_ID του ΕΟ.  Για παράδειγμα για μετρητά σε δολάρια του ΕΟ με κωδικό ESCB_ID </w:t>
      </w:r>
      <w:r>
        <w:rPr>
          <w:b/>
          <w:bCs/>
        </w:rPr>
        <w:t>GRAK00000</w:t>
      </w:r>
      <w:r>
        <w:t xml:space="preserve"> o κωδικός IID είναι ο </w:t>
      </w:r>
      <w:r>
        <w:rPr>
          <w:b/>
          <w:bCs/>
        </w:rPr>
        <w:t>_USDGRAK00000</w:t>
      </w:r>
      <w:r>
        <w:t>.</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14"/>
    <w:bookmarkStart w:id="115" w:name="_4310d6817f6e78dc4a362fb4c20c8da6"/>
    <w:p>
      <w:pPr>
        <w:pStyle w:val="Heading 6"/>
        <w:keepNext/>
      </w:pPr>
      <w:r>
        <w:t xml:space="preserve">1.2 </w:t>
      </w:r>
      <w:r>
        <w:t>ΜΕΤΑΒΛΗΤΕΣ</w:t>
      </w:r>
    </w:p>
    <w:p>
      <w:pPr>
        <w:pStyle w:val="DefinitionTerm"/>
        <w:ind w:leftChars="0" w:left="0" w:right="0"/>
        <w:keepNext/>
      </w:pPr>
      <w:r>
        <w:t>Υπόλοιπο (STCK)</w:t>
      </w:r>
    </w:p>
    <w:p>
      <w:pPr>
        <w:pStyle w:val="Definition"/>
        <w:ind w:leftChars="0" w:left="480" w:right="0"/>
      </w:pPr>
      <w:r>
        <w:t>Αξία υπολοίπου σε Ευρώ καθαρή από τυχόν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Στην περίπτωση χρηματικών διαθεσίμων συμπληρώνονται μηδενικοί 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15"/>
    <w:bookmarkEnd w:id="113"/>
    <w:bookmarkEnd w:id="112"/>
    <w:bookmarkStart w:id="116" w:name="_e1b27402d342dcfa9f35f35b74c08450"/>
    <w:bookmarkStart w:id="117" w:name="_254500502ed85905aa3467d04150f8d6"/>
    <w:p>
      <w:pPr>
        <w:pStyle w:val="Heading5"/>
        <w:keepNext/>
      </w:pPr>
      <w:r>
        <w:t xml:space="preserve">2 </w:t>
      </w:r>
      <w:r>
        <w:t>Πίνακας A2: Χρεόγραφα που κατέχει ο ΕΟ (ASST_DBT)</w:t>
      </w:r>
    </w:p>
    <w:p>
      <w:pPr>
        <w:pStyle w:val="Body Text"/>
        <w:ind w:leftChars="0" w:left="0" w:right="0"/>
      </w:pPr>
      <w:r>
        <w:t>Χρησιμοποιείται για την παροχή λογιστικών στοιχείων των χρεογράφων που κατέχει ο ΕΟ.</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REF:DBT</w:t>
      </w:r>
      <w:r>
        <w:t xml:space="preserve"> που περιλαμβάνει τα πληροφοριακά στοιχεία χρεογράφων.</w:t>
      </w:r>
    </w:p>
    <w:p>
      <w:pPr>
        <w:pStyle w:val="Body Text"/>
        <w:ind w:leftChars="0" w:left="0" w:right="0"/>
      </w:pPr>
      <w:r>
        <w:t>Ακολουθούν οι μεταβλητές του πίνακα:</w:t>
      </w:r>
    </w:p>
    <w:bookmarkStart w:id="118" w:name="_4b2549857789fa788f3cadb327137e5d"/>
    <w:p>
      <w:pPr>
        <w:pStyle w:val="Heading 6"/>
        <w:keepNext/>
      </w:pPr>
      <w:r>
        <w:t xml:space="preserve">2.1 </w:t>
      </w:r>
      <w:r>
        <w:t>ΔΙΑΣΤΑΣΕΙΣ</w:t>
      </w:r>
    </w:p>
    <w:p>
      <w:pPr>
        <w:pStyle w:val="DefinitionTerm"/>
        <w:ind w:leftChars="0" w:left="0" w:right="0"/>
        <w:keepNext/>
      </w:pPr>
      <w:r>
        <w:t>Αναγνωριστικός κωδικός χρεογράφου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στην κατοχή της ο ΕΟ.</w:t>
      </w:r>
    </w:p>
    <w:p>
      <w:pPr>
        <w:pStyle w:val="DefinitionTerm"/>
        <w:ind w:leftChars="0" w:left="0" w:right="0"/>
        <w:keepNext/>
      </w:pPr>
      <w:r>
        <w:t>Αναγνωριστικός κωδικός EO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LND_FR_SFT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18"/>
    <w:bookmarkStart w:id="119" w:name="_0d050923d77915ee2aef49a5c1e794c1"/>
    <w:p>
      <w:pPr>
        <w:pStyle w:val="Heading 6"/>
        <w:keepNext/>
      </w:pPr>
      <w:r>
        <w:t xml:space="preserve">2.2 </w:t>
      </w:r>
      <w:r>
        <w:t>ΜΕΤΑΒΛΗΤΕΣ</w:t>
      </w:r>
    </w:p>
    <w:p>
      <w:pPr>
        <w:pStyle w:val="DefinitionTerm"/>
        <w:ind w:leftChars="0" w:left="0" w:right="0"/>
        <w:keepNext/>
      </w:pPr>
      <w:r>
        <w:t>Υπόλοιπο σε αγοραία αξία (STCK)</w:t>
      </w:r>
    </w:p>
    <w:p>
      <w:pPr>
        <w:pStyle w:val="Definition"/>
        <w:ind w:leftChars="0" w:left="480" w:right="0"/>
      </w:pPr>
      <w:r>
        <w:t>Αγοραία αξία υπολοίπου καθαρή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Start w:id="120" w:name="_06fa44917cc3f0786ad85cc6f9c99a1f"/>
    <w:p>
      <w:pPr>
        <w:pStyle w:val="DefinitionTerm"/>
        <w:ind w:leftChars="0" w:left="0" w:right="0"/>
        <w:keepNext/>
      </w:pPr>
      <w:r>
        <w:t>Υπόλοιπο σε ονομαστική αξία (NMNL_STCK)</w:t>
      </w:r>
    </w:p>
    <w:p>
      <w:pPr>
        <w:pStyle w:val="Definition"/>
        <w:ind w:leftChars="0" w:left="480" w:right="0"/>
      </w:pPr>
      <w:r>
        <w:t xml:space="preserve">Ονομαστική αξία εκφρασμένη στο </w:t>
      </w:r>
      <w:hyperlink w:anchor="_d0fd39ab375bfb7ae416463457a358c3">
        <w:r>
          <w:rPr>
            <w:rStyle w:val="Hyperlink"/>
          </w:rPr>
          <w:t>νόμισμα</w:t>
        </w:r>
      </w:hyperlink>
      <w:r>
        <w:t xml:space="preserve"> του χρεογράφου.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Υπόλοιπο σε ονομαστική αξία σε δάνειο για αντιστρεπτέες πράξεις (LND_FR_SFT)</w:t>
      </w:r>
    </w:p>
    <w:p>
      <w:pPr>
        <w:pStyle w:val="Definition"/>
        <w:ind w:leftChars="0" w:left="480" w:right="0"/>
      </w:pPr>
      <w:r>
        <w:t xml:space="preserve">Ποσό του </w:t>
      </w:r>
      <w:hyperlink w:anchor="_06fa44917cc3f0786ad85cc6f9c99a1f">
        <w:r>
          <w:rPr>
            <w:rStyle w:val="Hyperlink"/>
          </w:rPr>
          <w:t>debt_nominal</w:t>
        </w:r>
      </w:hyperlink>
      <w:r>
        <w:t xml:space="preserve"> που έχει δανείσει ο ΕΟ σε αντιστρεπτέες συναλλαγές χρηματοδότησης.  Δεν συνηθίζεται στην ελληνική πρακτική για τους ΕΟ.</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Οι συνολικοί δεδουλευμένοι τόκοι των χρεογράφων ως υπόλοιπα συμπληρώνονται στα λοιπά στοιχεία ενεργητικού και εκεί συμπληρώνονται και οι συναλλαγές τους.  Στα έντοκα γραμμάτια γίνεται η παραδοχή ότι οι δεδουλευμένοι τόκοι που προκύπτουν από τη διαφορά της τιμής έκδοσης και της τιμής αποπληρωμής πληρώνονται σε συνεχή βάση κάτι που αυξάνει το υπόλοιπο στο έντοκο γραμμάτιο και δημιουργεί αρνητικές συναλλαγές στα λοιπά στοιχεία ενεργητικού.  Στην μεταβλητή αυτή όμως οι δεδουλευμένοι τόκοι από έντοκα γραμμάτια δεν υπάρχουν αφού τοκίζονται στο υπόλοιπο διαρκή βάση.</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20"/>
    <w:bookmarkEnd w:id="119"/>
    <w:bookmarkEnd w:id="117"/>
    <w:bookmarkEnd w:id="116"/>
    <w:bookmarkStart w:id="121" w:name="_52a049520a35b5b2572072a15ef09765"/>
    <w:bookmarkStart w:id="122" w:name="_0a7e36158745a19580ebd1f42ff9ec71"/>
    <w:p>
      <w:pPr>
        <w:pStyle w:val="Heading5"/>
        <w:keepNext/>
      </w:pPr>
      <w:r>
        <w:t xml:space="preserve">3 </w:t>
      </w:r>
      <w:r>
        <w:t>Πίνακας A3: Απαιτήσεις από Δάνεια (ASST_LN)</w:t>
      </w:r>
    </w:p>
    <w:p>
      <w:pPr>
        <w:pStyle w:val="Body Text"/>
        <w:ind w:leftChars="0" w:left="0" w:right="0"/>
      </w:pPr>
      <w:r>
        <w:t>Χρησιμοποιείται για την παροχή λογιστικών στοιχείων δανείων που έχει δώσει ο ΕΟ.</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ο πίνακας </w:t>
      </w:r>
      <w:r>
        <w:rPr>
          <w:b/>
          <w:bCs/>
        </w:rPr>
        <w:t>REF:LN</w:t>
      </w:r>
      <w:r>
        <w:t xml:space="preserve"> που περιλαμβάνει τα πληροφοριακά στοιχεία για κάθε δάνειο.</w:t>
      </w:r>
    </w:p>
    <w:p>
      <w:pPr>
        <w:pStyle w:val="Body Text"/>
        <w:ind w:leftChars="0" w:left="0" w:right="0"/>
      </w:pPr>
      <w:r>
        <w:t>Ακολουθεί η περιγραφή των μεταβλητών του πίνακα:</w:t>
      </w:r>
    </w:p>
    <w:bookmarkStart w:id="123" w:name="_dd025da95508b80dfa43a9219efb0665"/>
    <w:p>
      <w:pPr>
        <w:pStyle w:val="Heading 6"/>
        <w:keepNext/>
      </w:pPr>
      <w:r>
        <w:t xml:space="preserve">3.1 </w:t>
      </w:r>
      <w:r>
        <w:t>ΔΙΑΣΤΑΣΕΙΣ</w:t>
      </w:r>
    </w:p>
    <w:p>
      <w:pPr>
        <w:pStyle w:val="DefinitionTerm"/>
        <w:ind w:leftChars="0" w:left="0" w:right="0"/>
        <w:keepNext/>
      </w:pPr>
      <w:r>
        <w:t>Αναγνωριστικός κωδικός δανείου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23"/>
    <w:bookmarkStart w:id="124" w:name="_19071d7c2a89e4e50499729f60223a9d"/>
    <w:p>
      <w:pPr>
        <w:pStyle w:val="Heading 6"/>
        <w:keepNext/>
      </w:pPr>
      <w:r>
        <w:t xml:space="preserve">3.2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ΕΟ.</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24"/>
    <w:bookmarkEnd w:id="122"/>
    <w:bookmarkEnd w:id="121"/>
    <w:bookmarkStart w:id="125" w:name="_3f5832f5bce4f5e7fcd519e0233f5682"/>
    <w:bookmarkStart w:id="126" w:name="_29300b6bce35e131f485687bf0ad530f"/>
    <w:p>
      <w:pPr>
        <w:pStyle w:val="Heading5"/>
        <w:keepNext/>
      </w:pPr>
      <w:r>
        <w:t xml:space="preserve">4 </w:t>
      </w:r>
      <w:r>
        <w:t>Πίνακας A4: Μετοχές και Λοιποί Συμμετοχικοί Τίτλοι που Κατέχει ο ΕΟ (SHR)</w:t>
      </w:r>
    </w:p>
    <w:p>
      <w:pPr>
        <w:pStyle w:val="Body Text"/>
        <w:ind w:leftChars="0" w:left="0" w:right="0"/>
      </w:pPr>
      <w:r>
        <w:t>Χρησιμοποιείται για την παροχή λογιστικών στοιχείων συμμετοχικών τίτλων που κατέχει ο ΕΟ.</w:t>
      </w:r>
    </w:p>
    <w:p>
      <w:pPr>
        <w:pStyle w:val="Body Text"/>
        <w:ind w:leftChars="0" w:left="0" w:right="0"/>
      </w:pPr>
      <w:r>
        <w:t xml:space="preserve">Για τον ορισμό του συμμετοχικού τίτλου δείτε </w:t>
      </w:r>
      <w:hyperlink w:anchor="_ea0d8623fb6a23229781ffb1843de537">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REF:SHR</w:t>
      </w:r>
      <w:r>
        <w:t xml:space="preserve"> που περιλαμβάνει τα πληροφοριακά στοιχεία .</w:t>
      </w:r>
    </w:p>
    <w:p>
      <w:pPr>
        <w:pStyle w:val="Body Text"/>
        <w:ind w:leftChars="0" w:left="0" w:right="0"/>
      </w:pPr>
      <w:r>
        <w:t>Ακολουθεί περιγραφή των μεταβλητών του πίνακα:</w:t>
      </w:r>
    </w:p>
    <w:bookmarkStart w:id="127" w:name="_157f40877e6e2b7f422cdabd993beaed"/>
    <w:p>
      <w:pPr>
        <w:pStyle w:val="Heading 6"/>
        <w:keepNext/>
      </w:pPr>
      <w:r>
        <w:t xml:space="preserve">4.1 </w:t>
      </w:r>
      <w:r>
        <w:t>ΔΙΑΣΤΑΣΕΙΣ</w:t>
      </w:r>
    </w:p>
    <w:p>
      <w:pPr>
        <w:pStyle w:val="DefinitionTerm"/>
        <w:ind w:leftChars="0" w:left="0" w:right="0"/>
        <w:keepNext/>
      </w:pPr>
      <w:r>
        <w:t>Αναγνωριστικός κωδικός συμμετοχικού τίτλου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κατέχει ο ΕΟ.</w:t>
      </w:r>
    </w:p>
    <w:p>
      <w:pPr>
        <w:pStyle w:val="DefinitionTerm"/>
        <w:ind w:leftChars="0" w:left="0" w:right="0"/>
        <w:keepNext/>
      </w:pPr>
      <w:r>
        <w:t>Αναγνωριστικός κωδικός του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 LND_FR_SFT και IS_DRCT_INVSTMNT.</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27"/>
    <w:bookmarkStart w:id="128" w:name="_b013d3048275f383975095992d40193e"/>
    <w:p>
      <w:pPr>
        <w:pStyle w:val="Heading 6"/>
        <w:keepNext/>
      </w:pPr>
      <w:r>
        <w:t xml:space="preserve">4.2 </w:t>
      </w:r>
      <w:r>
        <w:t>ΜΕΤΑΒΛΗΤΕΣ</w:t>
      </w:r>
    </w:p>
    <w:bookmarkStart w:id="129" w:name="_32a3101adb41769e09371836e582f478"/>
    <w:p>
      <w:pPr>
        <w:pStyle w:val="DefinitionTerm"/>
        <w:ind w:leftChars="0" w:left="0" w:right="0"/>
        <w:keepNext/>
      </w:pPr>
      <w:r>
        <w:t>Υπόλοιπο (STCK)</w:t>
      </w:r>
    </w:p>
    <w:p>
      <w:pPr>
        <w:pStyle w:val="Definition"/>
        <w:ind w:leftChars="0" w:left="480" w:right="0"/>
      </w:pPr>
      <w:r>
        <w:t>Αγοραία αξία σε Ευρώ για διαπραγματεύσιμα αξιόγραφα, αξία εξαγοράς σε Ευρώ για μη διαπραγματεύσιμα μερίδια αμοιβαίων κεφαλαίων, ή εύλογη αξία σε Ευρώ για τα υπόλοιπα.  Η εύλογη αξία εκτιμάται με έναν από τους ακόλουθους τρόπους:</w:t>
      </w:r>
    </w:p>
    <w:p>
      <w:pPr>
        <w:pStyle w:val="ListBullet"/>
        <w:numPr>
          <w:ilvl w:val="0"/>
          <w:numId w:val="2"/>
        </w:numPr>
        <w:ind w:leftChars="0" w:left="960" w:right="0"/>
      </w:pPr>
      <w:r>
        <w:t>με βάση την αξία των εισηγμένων μετοχών κατά περίπτωση</w:t>
      </w:r>
    </w:p>
    <w:p>
      <w:pPr>
        <w:pStyle w:val="ListBullet"/>
        <w:numPr>
          <w:ilvl w:val="0"/>
          <w:numId w:val="2"/>
        </w:numPr>
        <w:ind w:leftChars="0" w:left="960" w:right="0"/>
      </w:pPr>
      <w:r>
        <w:t>με βάση την αξία των ιδίων κεφαλαίων·</w:t>
      </w:r>
    </w:p>
    <w:p>
      <w:pPr>
        <w:pStyle w:val="ListBullet"/>
        <w:numPr>
          <w:ilvl w:val="0"/>
          <w:numId w:val="2"/>
        </w:numPr>
        <w:ind w:leftChars="0" w:left="960" w:right="0"/>
      </w:pPr>
      <w:r>
        <w:t>προεξοφλώντας μελλοντικά κέρδη εφαρμόζοντας τον κατάλληλο λόγο: αγοραία τιμή / κέρδη.</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29"/>
    <w:bookmarkStart w:id="130" w:name="_4cf2b6edb914492d72cb2e67a8781323"/>
    <w:p>
      <w:pPr>
        <w:pStyle w:val="DefinitionTerm"/>
        <w:ind w:leftChars="0" w:left="0" w:right="0"/>
        <w:keepNext/>
      </w:pPr>
      <w:r>
        <w:t>Ποσότητα (QNTTY)</w:t>
      </w:r>
    </w:p>
    <w:p>
      <w:pPr>
        <w:pStyle w:val="Definition"/>
        <w:ind w:leftChars="0" w:left="480" w:right="0"/>
      </w:pPr>
      <w:r>
        <w:t>Αριθμός μετοχών/μεριδίων του συμμετοχικού τίτλου.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Δάνεια για αντιστρεπτέες πράξεις χρηματοδότησης (LND_FR_SFT)</w:t>
      </w:r>
    </w:p>
    <w:p>
      <w:pPr>
        <w:pStyle w:val="Definition"/>
        <w:ind w:leftChars="0" w:left="480" w:right="0"/>
      </w:pPr>
      <w:r>
        <w:t xml:space="preserve">Ποσό του </w:t>
      </w:r>
      <w:hyperlink w:anchor="_4cf2b6edb914492d72cb2e67a8781323">
        <w:r>
          <w:rPr>
            <w:rStyle w:val="Hyperlink"/>
          </w:rPr>
          <w:t>share_nominal</w:t>
        </w:r>
      </w:hyperlink>
      <w:r>
        <w:t xml:space="preserve"> που έχει δανείσει ο ΕΟ σε συναλλαγές χρηματοδότησης αξιογράφων</w:t>
      </w:r>
    </w:p>
    <w:p>
      <w:pPr>
        <w:pStyle w:val="DefinitionTerm"/>
        <w:ind w:leftChars="0" w:left="0" w:right="0"/>
        <w:keepNext/>
      </w:pPr>
      <w:r>
        <w:t>Άμεση Επένδυση (IS_DRCT_INVSTMNT)</w:t>
      </w:r>
    </w:p>
    <w:p>
      <w:pPr>
        <w:pStyle w:val="Definition"/>
        <w:ind w:leftChars="0" w:left="480" w:right="0"/>
      </w:pPr>
      <w:r>
        <w:t>Ένδειξη για άμεση επένδυση του ΕΟ στην οντότητα που έχει εκδώσει το συμμετοχικό τίτλο (&gt;10%).</w:t>
      </w:r>
    </w:p>
    <w:p>
      <w:pPr>
        <w:pStyle w:val="Definition"/>
        <w:ind w:leftChars="0" w:left="480" w:right="0"/>
      </w:pPr>
      <w:r>
        <w:t xml:space="preserve">Το είδος της τιμής είναι </w:t>
      </w:r>
      <w:hyperlink w:anchor="_9f71f2f1472809ca16ff89b53e97b566">
        <w:r>
          <w:rPr>
            <w:rStyle w:val="Hyperlink"/>
          </w:rPr>
          <w:t>BOOL_EXT</w:t>
        </w:r>
      </w:hyperlink>
      <w:r>
        <w:t>.</w:t>
      </w:r>
    </w:p>
    <w:bookmarkEnd w:id="130"/>
    <w:bookmarkEnd w:id="128"/>
    <w:bookmarkEnd w:id="126"/>
    <w:bookmarkEnd w:id="125"/>
    <w:bookmarkStart w:id="131" w:name="_6cc444e2890303fe0cc913d467a782ea"/>
    <w:bookmarkStart w:id="132" w:name="_edc3388472ffd28080fe2b79722df7ea"/>
    <w:p>
      <w:pPr>
        <w:pStyle w:val="Heading5"/>
        <w:keepNext/>
      </w:pPr>
      <w:r>
        <w:t xml:space="preserve">5 </w:t>
      </w:r>
      <w:r>
        <w:t>Πίνακας A5: Θέσεις σε Χρηματοοικονομικά Παράγωγα (DER)</w:t>
      </w:r>
    </w:p>
    <w:p>
      <w:pPr>
        <w:pStyle w:val="Body Text"/>
        <w:ind w:leftChars="0" w:left="0" w:right="0"/>
      </w:pPr>
      <w:r>
        <w:t>Χρησιμοποιείται για την παροχή λογιστικών στοιχείων διαπραγματεύσεων χρηματοοικονομικών παραγώγων που συναλλάσσεται ο ΕΟ.</w:t>
      </w:r>
    </w:p>
    <w:p>
      <w:pPr>
        <w:pStyle w:val="Body Text"/>
        <w:ind w:leftChars="0" w:left="0" w:right="0"/>
      </w:pPr>
      <w:r>
        <w:t xml:space="preserve">Για τον ορισμό των παραγώγων δείτε </w:t>
      </w:r>
      <w:hyperlink w:anchor="_e03d00258b5b3956a7d5a72ef65f365e">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REF:DER</w:t>
      </w:r>
      <w:r>
        <w:t xml:space="preserve"> που περιλαμβάνει τα πληροφοριακά στοιχεία.</w:t>
      </w:r>
    </w:p>
    <w:p>
      <w:pPr>
        <w:pStyle w:val="Body Text"/>
        <w:ind w:leftChars="0" w:left="0" w:right="0"/>
      </w:pPr>
      <w:r>
        <w:t>Ακολουθεί περιγραφή των μεταβλητών του πίνακα:</w:t>
      </w:r>
    </w:p>
    <w:bookmarkStart w:id="133" w:name="_d25c3745676ae5091945e075e3dbf60e"/>
    <w:p>
      <w:pPr>
        <w:pStyle w:val="Heading 6"/>
        <w:keepNext/>
      </w:pPr>
      <w:r>
        <w:t xml:space="preserve">5.1 </w:t>
      </w:r>
      <w:r>
        <w:t>ΔΙΑΣΤΑΣΕΙΣ</w:t>
      </w:r>
    </w:p>
    <w:p>
      <w:pPr>
        <w:pStyle w:val="DefinitionTerm"/>
        <w:ind w:leftChars="0" w:left="0" w:right="0"/>
        <w:keepNext/>
      </w:pPr>
      <w:r>
        <w:t>Αναγνωριστικός κωδικός παραγώγου (IID)</w:t>
      </w:r>
    </w:p>
    <w:p>
      <w:pPr>
        <w:pStyle w:val="Definition"/>
        <w:ind w:leftChars="0" w:left="480" w:right="0"/>
      </w:pPr>
      <w:r>
        <w:t xml:space="preserve">Ο αναγνωριστικός κωδικός </w:t>
      </w:r>
      <w:hyperlink w:anchor="_e03d00258b5b3956a7d5a72ef65f365e">
        <w:r>
          <w:rPr>
            <w:rStyle w:val="Hyperlink"/>
          </w:rPr>
          <w:t>DER</w:t>
        </w:r>
      </w:hyperlink>
      <w:r>
        <w:t xml:space="preserve"> του παραγώγου.</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33"/>
    <w:bookmarkStart w:id="134" w:name="_7d8530db36a22c76776ed3e150b25250"/>
    <w:p>
      <w:pPr>
        <w:pStyle w:val="Heading 6"/>
        <w:keepNext/>
      </w:pPr>
      <w:r>
        <w:t xml:space="preserve">5.2 </w:t>
      </w:r>
      <w:r>
        <w:t>ΜΕΤΑΒΛΗΤΕΣ</w:t>
      </w:r>
    </w:p>
    <w:p>
      <w:pPr>
        <w:pStyle w:val="DefinitionTerm"/>
        <w:ind w:leftChars="0" w:left="0" w:right="0"/>
        <w:keepNext/>
      </w:pPr>
      <w:r>
        <w:t>Υπόλοιπο (STCK)</w:t>
      </w:r>
    </w:p>
    <w:p>
      <w:pPr>
        <w:pStyle w:val="Definition"/>
        <w:ind w:leftChars="0" w:left="480" w:right="0"/>
      </w:pPr>
      <w:r>
        <w:t>Τρέχουσα αγοραία αξία σε Ευρώ.</w:t>
      </w:r>
    </w:p>
    <w:p>
      <w:pPr>
        <w:pStyle w:val="Definition"/>
        <w:ind w:leftChars="0" w:left="480" w:right="0"/>
      </w:pPr>
      <w:r>
        <w:t>Η αξία των προθεσμιακών συμβολαίων καθώς και των swaps μπορεί να αλλάζει μεταξύ θετικής και αρνητικής ανάλογα με τις μεταβολές της τιμής των υποκείμενων στοιχείων και κατά συνέπεια τα εν λόγω προϊόντα μπορεί να είναι άλλοτε περιουσιακά στοιχεία και άλλοτε υποχρεώσεις για τους εκδότες και τους κατόχους. Ορισμένα από τα δικαιώματα προαίρεσης και τα προθεσμιακά συμβόλαια λειτουργούν με κατάθεση περιθωρίου, όπου τα κέρδη και οι ζημιές καταγράφονται καθημερινά.  Στις περιπτώσεις αυτές η αξία τους είναι μηδενική.</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Συναλλαγές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Στις συναλλαγές περιλαμβάνονται και οι συναλλαγές στα προϊόντα όπου τα κέρδη ή οι ζημιές τους καταγράφονται καθημερινά με πίστωση ή χρέωση ενός καταθετικού λογαριασμού περιθωρίου και άρα η αξία τους είναι μηδενική.  Σε αυτή την περίπτωση τα κέρδη αποτυπώνονται με αρνητικές ροές και οι ζημιές με θετικές ροές.</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Ποσότητα (QNTTY)</w:t>
      </w:r>
    </w:p>
    <w:p>
      <w:pPr>
        <w:pStyle w:val="Definition"/>
        <w:ind w:leftChars="0" w:left="480" w:right="0"/>
      </w:pPr>
      <w:r>
        <w:t>Αριθμός τυποποιημένων συμβολαίων του παραγώγου.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34"/>
    <w:bookmarkEnd w:id="132"/>
    <w:bookmarkEnd w:id="131"/>
    <w:bookmarkStart w:id="135" w:name="_7962e4dd03304ae9b2567bc06b65e9c8"/>
    <w:bookmarkStart w:id="136" w:name="_b2f8d868fc144a07ee039a9a4392ae9e"/>
    <w:p>
      <w:pPr>
        <w:pStyle w:val="Heading5"/>
        <w:keepNext/>
      </w:pPr>
      <w:r>
        <w:t xml:space="preserve">6 </w:t>
      </w:r>
      <w:r>
        <w:t>Πίνακας A6: Μη χρηματοοικονομικά Περιουσιακά Στοιχεία (ενσώματα ή άυλα) (ASST_NN_FNNCL)</w:t>
      </w:r>
    </w:p>
    <w:p>
      <w:pPr>
        <w:pStyle w:val="Body Text"/>
        <w:ind w:leftChars="0" w:left="0" w:right="0"/>
      </w:pPr>
      <w:r>
        <w:t>Χρησιμοποιείται για την παροχή μη χρηματοοικονομικών περιουσιακών στοιχείων του ΕΟ.</w:t>
      </w:r>
    </w:p>
    <w:p>
      <w:pPr>
        <w:pStyle w:val="Body Text"/>
        <w:ind w:leftChars="0" w:left="0" w:right="0"/>
      </w:pPr>
      <w:r>
        <w:t>Ακολουθεί η περιγραφή των μεταβλητών του πίνακα:</w:t>
      </w:r>
    </w:p>
    <w:bookmarkStart w:id="137" w:name="_33172d80370a48796bfcdd894283d2f2"/>
    <w:p>
      <w:pPr>
        <w:pStyle w:val="Heading 6"/>
        <w:keepNext/>
      </w:pPr>
      <w:r>
        <w:t xml:space="preserve">6.1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περιουσιακού στοιχείου (TYP)</w:t>
      </w:r>
    </w:p>
    <w:p>
      <w:pPr>
        <w:pStyle w:val="Definition"/>
        <w:ind w:leftChars="0" w:left="480" w:right="0"/>
      </w:pPr>
      <w:r>
        <w:t>Είδος μη χρηματοοικονομικού περιουσιακού στοιχείου.</w:t>
      </w:r>
    </w:p>
    <w:p>
      <w:pPr>
        <w:pStyle w:val="Definition"/>
        <w:ind w:leftChars="0" w:left="480" w:right="0"/>
      </w:pPr>
      <w:r>
        <w:t xml:space="preserve">Η τιμή επιλέγεται από τη λίστα τιμών </w:t>
      </w:r>
      <w:hyperlink w:anchor="_490ddd2d50d5f6326fb99977c95548f9">
        <w:r>
          <w:rPr>
            <w:rStyle w:val="Hyperlink"/>
          </w:rPr>
          <w:t>ASST_NN_FNNCL</w:t>
        </w:r>
      </w:hyperlink>
    </w:p>
    <w:p>
      <w:pPr>
        <w:pStyle w:val="DefinitionTerm"/>
        <w:ind w:leftChars="0" w:left="0" w:right="0"/>
        <w:keepNext/>
      </w:pPr>
      <w:r>
        <w:t>Τοποθεσία περιουσιακού στοιχείου (CNTRY)</w:t>
      </w:r>
    </w:p>
    <w:p>
      <w:pPr>
        <w:pStyle w:val="Definition"/>
        <w:ind w:leftChars="0" w:left="480" w:right="0"/>
      </w:pPr>
      <w:r>
        <w:t>Χώρα τοποθεσίας του περιουσιακού στοιχείου.</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37"/>
    <w:bookmarkStart w:id="138" w:name="_bd383482ff3357839d911a61d8d40480"/>
    <w:p>
      <w:pPr>
        <w:pStyle w:val="Heading 6"/>
        <w:keepNext/>
      </w:pPr>
      <w:r>
        <w:t xml:space="preserve">6.2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(αγοροπωλησίες, ανακαινίσεις, βελτιώσεις) μικτές από προμήθειες/φόρους των συναλλαγών κατά τη διάρκεια της περιόδου αναφοράς.</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Δεδουλευμένα μισθώματα (ACCRLS)</w:t>
      </w:r>
    </w:p>
    <w:p>
      <w:pPr>
        <w:pStyle w:val="Definition"/>
        <w:ind w:leftChars="0" w:left="480" w:right="0"/>
      </w:pPr>
      <w:r>
        <w:t xml:space="preserve">Δεδουλευμένα μισθώματα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38"/>
    <w:bookmarkEnd w:id="136"/>
    <w:bookmarkEnd w:id="135"/>
    <w:bookmarkStart w:id="139" w:name="_a075e140ab554dc987b1306a8a69f931"/>
    <w:bookmarkStart w:id="140" w:name="_62d92a17c6f42ac480bd9c925129dafc"/>
    <w:p>
      <w:pPr>
        <w:pStyle w:val="Heading5"/>
        <w:keepNext/>
      </w:pPr>
      <w:r>
        <w:t xml:space="preserve">7 </w:t>
      </w:r>
      <w:r>
        <w:t>Πίνακας A7: Λοιπά Στοιχεία Ενεργητικού (ASST_RMNNG)</w:t>
      </w:r>
    </w:p>
    <w:p>
      <w:pPr>
        <w:pStyle w:val="Body Text"/>
        <w:ind w:leftChars="0" w:left="0" w:right="0"/>
      </w:pPr>
      <w:r>
        <w:t>Χρησιμοποιείται για την παροχή λοιπών στοιχείων ενεργητικού του ΕΟ. Περιλαμβάνονται οι δεδουλευμένοι τόκοι και τα δεδουλευμένα μισθώματα του ενεργητικού.</w:t>
      </w:r>
    </w:p>
    <w:p>
      <w:pPr>
        <w:pStyle w:val="Body Text"/>
        <w:ind w:leftChars="0" w:left="0" w:right="0"/>
      </w:pPr>
      <w:r>
        <w:t>Ακολουθεί η περιγραφή των μεταβλητών του πίνακα:</w:t>
      </w:r>
    </w:p>
    <w:bookmarkStart w:id="141" w:name="_386263e9293a5dcec7bd4b32f34f2d43"/>
    <w:p>
      <w:pPr>
        <w:pStyle w:val="Heading 6"/>
        <w:keepNext/>
      </w:pPr>
      <w:r>
        <w:t xml:space="preserve">7.1 </w:t>
      </w:r>
      <w:r>
        <w:t>ΔΙΑΣΤΑΣΕΙΣ</w:t>
      </w:r>
    </w:p>
    <w:p>
      <w:pPr>
        <w:pStyle w:val="DefinitionTerm"/>
        <w:ind w:leftChars="0" w:left="0" w:right="0"/>
        <w:keepNext/>
      </w:pPr>
      <w:r>
        <w:t>Αναγνωριστικός kωδικός EO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(TYP)</w:t>
      </w:r>
    </w:p>
    <w:p>
      <w:pPr>
        <w:pStyle w:val="Definition"/>
        <w:ind w:leftChars="0" w:left="480" w:right="0"/>
      </w:pPr>
      <w:r>
        <w:t>Είδος λοιπών στοιχείων ενεργητικού.</w:t>
      </w:r>
    </w:p>
    <w:p>
      <w:pPr>
        <w:pStyle w:val="Definition"/>
        <w:ind w:leftChars="0" w:left="480" w:right="0"/>
      </w:pPr>
      <w:r>
        <w:t xml:space="preserve">Η τιμή επιλέγεται από τη λίστα τιμών </w:t>
      </w:r>
      <w:hyperlink w:anchor="_2ab02e31c1110b606a3786b6ee14e2d1">
        <w:r>
          <w:rPr>
            <w:rStyle w:val="Hyperlink"/>
          </w:rPr>
          <w:t>REM_ASSET</w:t>
        </w:r>
      </w:hyperlink>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1"/>
    <w:bookmarkStart w:id="142" w:name="_7a4cb1dc3f6aa3ad61317e028c61dc6f"/>
    <w:p>
      <w:pPr>
        <w:pStyle w:val="Heading 6"/>
        <w:keepNext/>
      </w:pPr>
      <w:r>
        <w:t xml:space="preserve">7.2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42"/>
    <w:bookmarkEnd w:id="140"/>
    <w:bookmarkEnd w:id="139"/>
    <w:bookmarkStart w:id="143" w:name="_d0ff45dc17a5a9faafbd980e1141aded"/>
    <w:bookmarkStart w:id="144" w:name="_003bf492ca976c960a7d1379bbde5e3d"/>
    <w:p>
      <w:pPr>
        <w:pStyle w:val="Heading5"/>
        <w:keepNext/>
      </w:pPr>
      <w:r>
        <w:t xml:space="preserve">8 </w:t>
      </w:r>
      <w:r>
        <w:t>Πίνακας A8: Εκδοθέντα Χρεογράφα (LBLTY_DBT)</w:t>
      </w:r>
    </w:p>
    <w:p>
      <w:pPr>
        <w:pStyle w:val="Body Text"/>
        <w:ind w:leftChars="0" w:left="0" w:right="0"/>
      </w:pPr>
      <w:r>
        <w:t>Χρησιμοποιείται για την παροχή λογιστικών στοιχείων των χρεογράφων που έχει εκδώσει ο ΕΟ.</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REF:SELF_DBT</w:t>
      </w:r>
      <w:r>
        <w:t xml:space="preserve"> και </w:t>
      </w:r>
      <w:r>
        <w:rPr>
          <w:b/>
          <w:bCs/>
        </w:rPr>
        <w:t>REF:SELF_DBT_DYNMC</w:t>
      </w:r>
      <w:r>
        <w:t xml:space="preserve"> που περιλαμβάνουν πληροφοριακά στοιχεία των χρεογράφων αλλά και ο πίνακας </w:t>
      </w:r>
      <w:r>
        <w:rPr>
          <w:b/>
          <w:bCs/>
        </w:rPr>
        <w:t>REF:CNTRPRTY</w:t>
      </w:r>
      <w:r>
        <w:t xml:space="preserve"> που περιλαμβάνει πληροφοριακά στοιχεία των ομολογιούχων.</w:t>
      </w:r>
    </w:p>
    <w:p>
      <w:pPr>
        <w:pStyle w:val="Body Text"/>
        <w:ind w:leftChars="0" w:left="0" w:right="0"/>
      </w:pPr>
      <w:r>
        <w:t>Ακολουθεί περιγραφή των μεταβλητών του πίνακα:</w:t>
      </w:r>
    </w:p>
    <w:bookmarkStart w:id="145" w:name="_98e5d33ed20468238607756dcd63303e"/>
    <w:p>
      <w:pPr>
        <w:pStyle w:val="Heading 6"/>
        <w:keepNext/>
      </w:pPr>
      <w:r>
        <w:t xml:space="preserve">8.1 </w:t>
      </w:r>
      <w:r>
        <w:t>ΔΙΑΣΤΑΣΕΙΣ</w:t>
      </w:r>
    </w:p>
    <w:p>
      <w:pPr>
        <w:pStyle w:val="DefinitionTerm"/>
        <w:ind w:leftChars="0" w:left="0" w:right="0"/>
        <w:keepNext/>
      </w:pPr>
      <w:r>
        <w:t>Αναγνωριστικός κωδικός εκδοθέντος χρεογράφου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ο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5"/>
    <w:bookmarkStart w:id="146" w:name="_1f46ed7ef9e90578c3eb5bb1c27e44bd"/>
    <w:p>
      <w:pPr>
        <w:pStyle w:val="Heading 6"/>
        <w:keepNext/>
      </w:pPr>
      <w:r>
        <w:t xml:space="preserve">8.2 </w:t>
      </w:r>
      <w:r>
        <w:t>ΜΕΤΑΒΛΗΤΕΣ</w:t>
      </w:r>
    </w:p>
    <w:p>
      <w:pPr>
        <w:pStyle w:val="DefinitionTerm"/>
        <w:ind w:leftChars="0" w:left="0" w:right="0"/>
        <w:keepNext/>
      </w:pPr>
      <w:r>
        <w:t>Υπόλοιπο (STCK)</w:t>
      </w:r>
    </w:p>
    <w:p>
      <w:pPr>
        <w:pStyle w:val="Definition"/>
        <w:ind w:leftChars="0" w:left="480" w:right="0"/>
      </w:pPr>
      <w:r>
        <w:t>Αγοραία αξία υπολοίπου καθαρή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Υπόλοιπο σε ονομαστική αξία (NMNL_STCK)</w:t>
      </w:r>
    </w:p>
    <w:p>
      <w:pPr>
        <w:pStyle w:val="Definition"/>
        <w:ind w:leftChars="0" w:left="480" w:right="0"/>
      </w:pPr>
      <w:r>
        <w:t xml:space="preserve">Ονομαστική αξία εκφρασμένη στο </w:t>
      </w:r>
      <w:hyperlink w:anchor="_d0fd39ab375bfb7ae416463457a358c3">
        <w:r>
          <w:rPr>
            <w:rStyle w:val="Hyperlink"/>
          </w:rPr>
          <w:t>νόμισμα</w:t>
        </w:r>
      </w:hyperlink>
      <w:r>
        <w:t xml:space="preserve"> του χρεογράφου.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46"/>
    <w:bookmarkEnd w:id="144"/>
    <w:bookmarkEnd w:id="143"/>
    <w:bookmarkStart w:id="147" w:name="_ccfb4a7471fd06e9e5f49155a21eb600"/>
    <w:bookmarkStart w:id="148" w:name="_da5c21c576b92bc80451dc07dada95cf"/>
    <w:p>
      <w:pPr>
        <w:pStyle w:val="Heading5"/>
        <w:keepNext/>
      </w:pPr>
      <w:r>
        <w:t xml:space="preserve">9 </w:t>
      </w:r>
      <w:r>
        <w:t>Πίνακας A9: Ληφθέντα Δάνεια (LBLTY_LN)</w:t>
      </w:r>
    </w:p>
    <w:p>
      <w:pPr>
        <w:pStyle w:val="Body Text"/>
        <w:ind w:leftChars="0" w:left="0" w:right="0"/>
      </w:pPr>
      <w:r>
        <w:t>Χρησιμοποιείται για την παροχή λογιστικών στοιχείων των δανείων που έχει λάβει ο ΕΟ.</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ο πίνακας </w:t>
      </w:r>
      <w:r>
        <w:rPr>
          <w:b/>
          <w:bCs/>
        </w:rPr>
        <w:t>REF:LN</w:t>
      </w:r>
      <w:r>
        <w:t xml:space="preserve"> που περιλαμβάνει τα πληροφοριακά στοιχεία για κάθε δάνειο.</w:t>
      </w:r>
    </w:p>
    <w:p>
      <w:pPr>
        <w:pStyle w:val="Body Text"/>
        <w:ind w:leftChars="0" w:left="0" w:right="0"/>
      </w:pPr>
      <w:r>
        <w:t>Ακολουθεί περιγραφή των μεταβλητών του πίνακα:</w:t>
      </w:r>
    </w:p>
    <w:bookmarkStart w:id="149" w:name="_1f8f9ca40e43b7a60515ab2fb6746cdd"/>
    <w:p>
      <w:pPr>
        <w:pStyle w:val="Heading 6"/>
        <w:keepNext/>
      </w:pPr>
      <w:r>
        <w:t xml:space="preserve">9.1 </w:t>
      </w:r>
      <w:r>
        <w:t>ΔΙΑΣΤΑΣΕΙΣ</w:t>
      </w:r>
    </w:p>
    <w:p>
      <w:pPr>
        <w:pStyle w:val="DefinitionTerm"/>
        <w:ind w:leftChars="0" w:left="0" w:right="0"/>
        <w:keepNext/>
      </w:pPr>
      <w:r>
        <w:t>Αναγνωριστικός κωδικός δανείου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9"/>
    <w:bookmarkStart w:id="150" w:name="_ded5c78abeaf444632733aecc6dcf321"/>
    <w:p>
      <w:pPr>
        <w:pStyle w:val="Heading 6"/>
        <w:keepNext/>
      </w:pPr>
      <w:r>
        <w:t xml:space="preserve">9.2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ΠΜ.</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50"/>
    <w:bookmarkEnd w:id="148"/>
    <w:bookmarkEnd w:id="147"/>
    <w:bookmarkStart w:id="151" w:name="_ad149e08b7d34de4166c6f52969e31c2"/>
    <w:bookmarkStart w:id="152" w:name="_d3db3c59abd0fd7075c351f9ec65b217"/>
    <w:p>
      <w:pPr>
        <w:pStyle w:val="Heading5"/>
        <w:keepNext/>
      </w:pPr>
      <w:r>
        <w:t xml:space="preserve">10 </w:t>
      </w:r>
      <w:r>
        <w:t>Πίνακας A10: Λοιπά Στοιχεία Παθητικού (LBLTY_RMNNG)</w:t>
      </w:r>
    </w:p>
    <w:p>
      <w:pPr>
        <w:pStyle w:val="Body Text"/>
        <w:ind w:leftChars="0" w:left="0" w:right="0"/>
      </w:pPr>
      <w:r>
        <w:t>Χρησιμοποιείται για την παροχή λοιπών στοιχείων παθητικού του ΕΟ. Περιλαμβάνονται οι δεδουλευμένοι τόκοι και τα δεδουλευμένα μισθώματα του ενεργητικού.</w:t>
      </w:r>
    </w:p>
    <w:p>
      <w:pPr>
        <w:pStyle w:val="Body Text"/>
        <w:ind w:leftChars="0" w:left="0" w:right="0"/>
      </w:pPr>
      <w:r>
        <w:t>Ακολουθεί περιγραφή των μεταβλητών του πίνακα:</w:t>
      </w:r>
    </w:p>
    <w:bookmarkStart w:id="153" w:name="_a4d2f5940d5330b1679b123fc331c054"/>
    <w:p>
      <w:pPr>
        <w:pStyle w:val="Heading 6"/>
        <w:keepNext/>
      </w:pPr>
      <w:r>
        <w:t xml:space="preserve">10.1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(TYP)</w:t>
      </w:r>
    </w:p>
    <w:p>
      <w:pPr>
        <w:pStyle w:val="Definition"/>
        <w:ind w:leftChars="0" w:left="480" w:right="0"/>
      </w:pPr>
      <w:r>
        <w:t>Είδος λοιπών στοιχείων παθητικού.</w:t>
      </w:r>
    </w:p>
    <w:p>
      <w:pPr>
        <w:pStyle w:val="Definition"/>
        <w:ind w:leftChars="0" w:left="480" w:right="0"/>
      </w:pPr>
      <w:r>
        <w:t xml:space="preserve">Η τιμή επιλέγεται από τη λίστα τιμών </w:t>
      </w:r>
      <w:hyperlink w:anchor="_c2f9f7c8df59a49b999605620d9ef24a">
        <w:r>
          <w:rPr>
            <w:rStyle w:val="Hyperlink"/>
          </w:rPr>
          <w:t>REM_LIAB</w:t>
        </w:r>
      </w:hyperlink>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53"/>
    <w:bookmarkStart w:id="154" w:name="_eab138cea04927f61de3c30bcdaccae1"/>
    <w:p>
      <w:pPr>
        <w:pStyle w:val="Heading 6"/>
        <w:keepNext/>
      </w:pPr>
      <w:r>
        <w:t xml:space="preserve">10.2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54"/>
    <w:bookmarkEnd w:id="152"/>
    <w:bookmarkEnd w:id="151"/>
    <w:bookmarkStart w:id="155" w:name="_12cac3242a5947990e11de15a78264c7"/>
    <w:bookmarkStart w:id="156" w:name="_7809f25de6189bd4f696cbc2626f4cd0"/>
    <w:p>
      <w:pPr>
        <w:pStyle w:val="Heading5"/>
        <w:keepNext/>
      </w:pPr>
      <w:r>
        <w:t xml:space="preserve">11 </w:t>
      </w:r>
      <w:r>
        <w:t>Πίνακας Α11: Διακρατήσεις Μετοχών/Μεριδίων Eκδοθέντων από τον ΕΟ (HLDR)</w:t>
      </w:r>
    </w:p>
    <w:p>
      <w:pPr>
        <w:pStyle w:val="Body Text"/>
        <w:ind w:leftChars="0" w:left="0" w:right="0"/>
      </w:pPr>
      <w:r>
        <w:t>Χρησιμοποιείται για την καταγραφή των μετόχων/μεριδιούχων του ΕΟ.</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REF:SELF_SHR</w:t>
      </w:r>
      <w:r>
        <w:t xml:space="preserve"> και </w:t>
      </w:r>
      <w:r>
        <w:rPr>
          <w:b/>
          <w:bCs/>
        </w:rPr>
        <w:t>REF:SELF_SHR_DYNMC</w:t>
      </w:r>
      <w:r>
        <w:t xml:space="preserve"> που περιλαμβάνουν πληροφοριακά στοιχεία των συμμετοχικών τίτλων που έχει εκδώσει ο ΕΟ αλλά και ο πίνακας </w:t>
      </w:r>
      <w:r>
        <w:rPr>
          <w:b/>
          <w:bCs/>
        </w:rPr>
        <w:t>REF:CNTRPRTY</w:t>
      </w:r>
      <w:r>
        <w:t xml:space="preserve"> που περιλαμβάνει πληροφοριακά στοιχεία των μετόχων/μεριδιούχων.</w:t>
      </w:r>
    </w:p>
    <w:p>
      <w:pPr>
        <w:pStyle w:val="Body Text"/>
        <w:ind w:leftChars="0" w:left="0" w:right="0"/>
      </w:pPr>
      <w:r>
        <w:t>Ακολουθεί περιγραφή των μεταβλητών του πίνακα:</w:t>
      </w:r>
    </w:p>
    <w:bookmarkStart w:id="157" w:name="_a303fae96d47e5e3fc5d8b1f86a8f29d"/>
    <w:p>
      <w:pPr>
        <w:pStyle w:val="Heading 6"/>
        <w:keepNext/>
      </w:pPr>
      <w:r>
        <w:t xml:space="preserve">11.1 </w:t>
      </w:r>
      <w:r>
        <w:t>ΔΙΑΣΤΑΣΕΙΣ</w:t>
      </w:r>
    </w:p>
    <w:p>
      <w:pPr>
        <w:pStyle w:val="DefinitionTerm"/>
        <w:ind w:leftChars="0" w:left="0" w:right="0"/>
        <w:keepNext/>
      </w:pPr>
      <w:r>
        <w:t>Αναγνωριστικός κωδικός μετοχής/μεριδίου εκδοθέντος από τον ΕΟ(IID)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μετοχής/μεριδίου του ΕΟ.</w:t>
      </w:r>
    </w:p>
    <w:p>
      <w:pPr>
        <w:pStyle w:val="DefinitionTerm"/>
        <w:ind w:leftChars="0" w:left="0" w:right="0"/>
        <w:keepNext/>
      </w:pPr>
      <w:r>
        <w:t>Αναγνωριστικός κωδικός μετόχου/μεριδιούχου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κατόχου.  Στις περιπτώσεις που οι κάτοχοι αναγνωρίζονται με εσωτερικό κωδικό θα πρέπει να έχει συμπληρωθεί και ο πίνακας REF.CNTRPRTY. Οι κάτοχοι που αποτελούν φυσικά πρόσωπα μπορούν να αναγγέλλονται συγκεντρωτικά ανά χώρα χρησιμοποιώντας ως αναγνωριστικό κωδικό </w:t>
      </w:r>
      <w:r>
        <w:rPr>
          <w:rFonts w:ascii="Consolas" w:eastAsia="ＭＳ ゴシック" w:hansitheme="majorhansi"/>
          <w:color w:val="E74C3C"/>
          <w:sz w:val="20"/>
          <w:szCs w:val="20"/>
          <w:noProof/>
        </w:rPr>
        <w:t>_{CC}</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των κατόχων.</w:t>
      </w:r>
    </w:p>
    <w:p>
      <w:pPr>
        <w:pStyle w:val="DefinitionTerm"/>
        <w:ind w:leftChars="0" w:left="0" w:right="0"/>
        <w:keepNext/>
      </w:pPr>
      <w:r>
        <w:t>Ημερομηνία (DT)</w:t>
      </w:r>
    </w:p>
    <w:p>
      <w:pPr>
        <w:pStyle w:val="Definition"/>
        <w:ind w:leftChars="0" w:left="480" w:right="0"/>
      </w:pPr>
      <w:r>
        <w:t>Ημερομηνία που ισχύουν η τιμή της μεταβλητής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ισχύουν οι τιμές των μεταβλητών SBSCRPTNS και RDMPTNS.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57"/>
    <w:bookmarkStart w:id="158" w:name="_03a550c558354320443c2a4393d73c4d"/>
    <w:p>
      <w:pPr>
        <w:pStyle w:val="Heading 6"/>
        <w:keepNext/>
      </w:pPr>
      <w:r>
        <w:t xml:space="preserve">11.2 </w:t>
      </w:r>
      <w:r>
        <w:t>ΜΕΤΑΒΛΗΤΕΣ</w:t>
      </w:r>
    </w:p>
    <w:p>
      <w:pPr>
        <w:pStyle w:val="DefinitionTerm"/>
        <w:ind w:leftChars="0" w:left="0" w:right="0"/>
        <w:keepNext/>
      </w:pPr>
      <w:r>
        <w:t>Ποσότητα (QNTTY)</w:t>
      </w:r>
    </w:p>
    <w:p>
      <w:pPr>
        <w:pStyle w:val="Definition"/>
        <w:ind w:leftChars="0" w:left="480" w:right="0"/>
      </w:pPr>
      <w:r>
        <w:t>Αριθμός μονάδων (μετοχών/μεριδίων)·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Συμμετοχές (SBSCRPTNS)</w:t>
      </w:r>
    </w:p>
    <w:p>
      <w:pPr>
        <w:pStyle w:val="Definition"/>
        <w:ind w:leftChars="0" w:left="480" w:right="0"/>
      </w:pPr>
      <w:r>
        <w:t>Συμμετοχές σε νέα μερίδια ή σε αυξήσεις μετοχικού κεφαλαίου.</w:t>
      </w:r>
    </w:p>
    <w:p>
      <w:pPr>
        <w:pStyle w:val="Definition"/>
        <w:ind w:leftChars="0" w:left="480" w:right="0"/>
      </w:pPr>
      <w:r>
        <w:t>Στο ποσό δεν περιλαμβάνονται οι προμήθειες συμμετοχής (διάθεσης).</w:t>
      </w:r>
    </w:p>
    <w:p>
      <w:pPr>
        <w:pStyle w:val="Definition"/>
        <w:ind w:leftChars="0" w:left="480" w:right="0"/>
      </w:pPr>
      <w:r>
        <w:t xml:space="preserve">Συμμετοχές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Εξαγορές (RDMPTNS)</w:t>
      </w:r>
    </w:p>
    <w:p>
      <w:pPr>
        <w:pStyle w:val="Definition"/>
        <w:ind w:leftChars="0" w:left="480" w:right="0"/>
      </w:pPr>
      <w:r>
        <w:t>Εξαγορές μεριδίων ή μείωση μετοχικού κεφαλαίου.</w:t>
      </w:r>
    </w:p>
    <w:p>
      <w:pPr>
        <w:pStyle w:val="Definition"/>
        <w:ind w:leftChars="0" w:left="480" w:right="0"/>
      </w:pPr>
      <w:r>
        <w:t>Από το ποσό δεν αφαιρούνται οι προμήθειες εξαγοράς.</w:t>
      </w:r>
    </w:p>
    <w:p>
      <w:pPr>
        <w:pStyle w:val="Definition"/>
        <w:ind w:leftChars="0" w:left="480" w:right="0"/>
      </w:pPr>
      <w:r>
        <w:t xml:space="preserve">Εξαγορές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58"/>
    <w:bookmarkEnd w:id="156"/>
    <w:bookmarkEnd w:id="155"/>
    <w:bookmarkStart w:id="159" w:name="_a3b2f9cee988dd0750d74d4acc8e3271"/>
    <w:bookmarkStart w:id="160" w:name="_3c57f75aa4b094e4f39b498706ba1591"/>
    <w:p>
      <w:pPr>
        <w:pStyle w:val="Heading5"/>
        <w:keepNext/>
      </w:pPr>
      <w:r>
        <w:t xml:space="preserve">12 </w:t>
      </w:r>
      <w:r>
        <w:t>Πίνακας A12: Γενικά Στοιχεία Μετοχών/Μεριδίων Εκδοθέντων από τον ΕΟ (KEY)</w:t>
      </w:r>
    </w:p>
    <w:p>
      <w:pPr>
        <w:pStyle w:val="Body Text"/>
        <w:ind w:leftChars="0" w:left="0" w:right="0"/>
      </w:pPr>
      <w:r>
        <w:t>Χρησιμοποιείται για την παροχή γενικών στοιχείων κλειδιών ανά συμμετοχικό τίτλο του ΕΟ.</w:t>
      </w:r>
    </w:p>
    <w:p>
      <w:pPr>
        <w:pStyle w:val="Body Text"/>
        <w:ind w:leftChars="0" w:left="0" w:right="0"/>
      </w:pPr>
      <w:r>
        <w:t>Ακολουθεί περιγραφή των μεταβλητών του πίνακα:</w:t>
      </w:r>
    </w:p>
    <w:bookmarkStart w:id="161" w:name="_c36cb7b64d6301d9100f245c217523bf"/>
    <w:p>
      <w:pPr>
        <w:pStyle w:val="Heading 6"/>
        <w:keepNext/>
      </w:pPr>
      <w:r>
        <w:t xml:space="preserve">12.1 </w:t>
      </w:r>
      <w:r>
        <w:t>ΔΙΑΣΤΑΣΕΙΣ</w:t>
      </w:r>
    </w:p>
    <w:p>
      <w:pPr>
        <w:pStyle w:val="DefinitionTerm"/>
        <w:ind w:leftChars="0" w:left="0" w:right="0"/>
        <w:keepNext/>
      </w:pPr>
      <w:r>
        <w:t>Αναγνωριστικός κωδικός μετοχής/μεριδίου εκδοθέντος από τον ΕΟ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μετοχής/μεριδίου του ΕΟ.</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INCM.</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1"/>
    <w:bookmarkStart w:id="162" w:name="_99ec49c19fd77f9f12a8183250435af3"/>
    <w:p>
      <w:pPr>
        <w:pStyle w:val="Heading 6"/>
        <w:keepNext/>
      </w:pPr>
      <w:r>
        <w:t xml:space="preserve">12.2 </w:t>
      </w:r>
      <w:r>
        <w:t>ΜΕΤΑΒΛΗΤΕΣ</w:t>
      </w:r>
    </w:p>
    <w:p>
      <w:pPr>
        <w:pStyle w:val="DefinitionTerm"/>
        <w:ind w:leftChars="0" w:left="0" w:right="0"/>
        <w:keepNext/>
      </w:pPr>
      <w:r>
        <w:t>Λογιστική τιμή (BK_PRC)</w:t>
      </w:r>
    </w:p>
    <w:p>
      <w:pPr>
        <w:pStyle w:val="Definition"/>
        <w:ind w:leftChars="0" w:left="480" w:right="0"/>
      </w:pPr>
      <w:r>
        <w:t>Λογιστική/καθαρή τιμή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Εισόδημα (INCM)</w:t>
      </w:r>
    </w:p>
    <w:p>
      <w:pPr>
        <w:pStyle w:val="Definition"/>
        <w:ind w:leftChars="0" w:left="480" w:right="0"/>
      </w:pPr>
      <w:r>
        <w:t>Εισόδημα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62"/>
    <w:bookmarkEnd w:id="160"/>
    <w:bookmarkEnd w:id="159"/>
    <w:bookmarkStart w:id="163" w:name="_b79110dd4ae86963b102188936e42e39"/>
    <w:bookmarkStart w:id="164" w:name="_33e773d73e26a1bf712fd6591b0cd9f6"/>
    <w:p>
      <w:pPr>
        <w:pStyle w:val="Heading5"/>
        <w:keepNext/>
      </w:pPr>
      <w:r>
        <w:t xml:space="preserve">13 </w:t>
      </w:r>
      <w:r>
        <w:t>Πίνακας A13: Αμοιβές προς τον ΕΟ</w:t>
      </w:r>
    </w:p>
    <w:p>
      <w:pPr>
        <w:pStyle w:val="Body Text"/>
        <w:ind w:leftChars="0" w:left="0" w:right="0"/>
      </w:pPr>
      <w:r>
        <w:t>Χρησιμοποιείται για την παροχή στοιχείων αμοιβών.</w:t>
      </w:r>
    </w:p>
    <w:p>
      <w:pPr>
        <w:pStyle w:val="Body Text"/>
        <w:ind w:leftChars="0" w:left="0" w:right="0"/>
      </w:pPr>
      <w:r>
        <w:t>Ακολουθεί περιγραφή των μεταβλητών του πίνακα:</w:t>
      </w:r>
    </w:p>
    <w:bookmarkStart w:id="165" w:name="_e4d96fa3b2c334edc6a3ebc553c14873"/>
    <w:p>
      <w:pPr>
        <w:pStyle w:val="Heading 6"/>
        <w:keepNext/>
      </w:pPr>
      <w:r>
        <w:t xml:space="preserve">13.1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FEES.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5"/>
    <w:bookmarkStart w:id="166" w:name="_d343970f99c1e0fadc58fe3e4d9ba7da"/>
    <w:p>
      <w:pPr>
        <w:pStyle w:val="Heading 6"/>
        <w:keepNext/>
      </w:pPr>
      <w:r>
        <w:t xml:space="preserve">13.2 </w:t>
      </w:r>
      <w:r>
        <w:t>ΜΕΤΑΒΛΗΤΕΣ</w:t>
      </w:r>
    </w:p>
    <w:p>
      <w:pPr>
        <w:pStyle w:val="DefinitionTerm"/>
        <w:ind w:leftChars="0" w:left="0" w:right="0"/>
        <w:keepNext/>
      </w:pPr>
      <w:r>
        <w:t>Αμοιβές (INCM)</w:t>
      </w:r>
    </w:p>
    <w:p>
      <w:pPr>
        <w:pStyle w:val="Definition"/>
        <w:ind w:leftChars="0" w:left="480" w:right="0"/>
      </w:pPr>
      <w:r>
        <w:t>Αμοιβές που καταβάλλουν οι μέτοχοι στον ΕΟ κατά τη διάρκεια της περίοδου με τη μορφή πληρωμών αφαιρούμενων από το ενεργητικό του ΕΟ και εξαιρούμενων των αμοιβών τις οποίες οι μέτοχοι καταβάλλουν απευθείας σε τρίτους πλην των ΕΟ.  Οι αμοιβές αποτελούνται από τους τύπους «επαναλαμβανόμενο κόστος» και «πρόσθετο κόστος» του ΕΟ, όπως περιγράφονται στο παράρτημα VI του κατ᾽ εξουσιοδότηση κανονισμού (ΕΕ) 2017/653 της επιτροπής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66"/>
    <w:bookmarkEnd w:id="164"/>
    <w:bookmarkEnd w:id="163"/>
    <w:bookmarkStart w:id="167" w:name="_57928d5bed936d8edc39bef23f3866e4"/>
    <w:bookmarkStart w:id="168" w:name="_0519225621cca682c0c704792b2716aa"/>
    <w:p>
      <w:pPr>
        <w:pStyle w:val="Heading5"/>
        <w:keepNext/>
      </w:pPr>
      <w:r>
        <w:t xml:space="preserve">14 </w:t>
      </w:r>
      <w:r>
        <w:t>Πίνακας Α14: Στοιχεία παρέκκλισης τύπου (α)</w:t>
      </w:r>
    </w:p>
    <w:p>
      <w:pPr>
        <w:pStyle w:val="Body Text"/>
        <w:ind w:leftChars="0" w:left="0" w:right="0"/>
      </w:pPr>
      <w:r>
        <w:t>Χρησιμοποιείται για την παροχή στοιχείων αναφοράς παρεκκλίσεων.</w:t>
      </w:r>
    </w:p>
    <w:p>
      <w:pPr>
        <w:pStyle w:val="Body Text"/>
        <w:ind w:leftChars="0" w:left="0" w:right="0"/>
      </w:pPr>
      <w:r>
        <w:t>Ακολουθεί περιγραφή των μεταβλητών του πίνακα:</w:t>
      </w:r>
    </w:p>
    <w:bookmarkStart w:id="169" w:name="_6ea664c20570e2874d5e8dc3a11852ad"/>
    <w:p>
      <w:pPr>
        <w:pStyle w:val="Heading 6"/>
        <w:keepNext/>
      </w:pPr>
      <w:r>
        <w:t xml:space="preserve">14.1 </w:t>
      </w:r>
      <w:r>
        <w:t>ΔΙΑΣΤΑΣΕΙΣ</w:t>
      </w:r>
    </w:p>
    <w:p>
      <w:pPr>
        <w:pStyle w:val="DefinitionTerm"/>
        <w:ind w:leftChars="0" w:left="0" w:right="0"/>
        <w:keepNext/>
      </w:pPr>
      <w:r>
        <w:t>Αναγνωριστικός κωδικός μετοχής/μεριδίου εκδοθέντος από τον ΕΟ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μετοχής/μεριδίου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QNTTY και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SBSCRPTNS, RDMPTNS και INCM.</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9"/>
    <w:bookmarkStart w:id="170" w:name="_46948a43ce5800692df2cc2b0fa46d94"/>
    <w:p>
      <w:pPr>
        <w:pStyle w:val="Heading 6"/>
        <w:keepNext/>
      </w:pPr>
      <w:r>
        <w:t xml:space="preserve">14.2 </w:t>
      </w:r>
      <w:r>
        <w:t>ΜΕΤΑΒΛΗΤΕΣ</w:t>
      </w:r>
    </w:p>
    <w:p>
      <w:pPr>
        <w:pStyle w:val="DefinitionTerm"/>
        <w:ind w:leftChars="0" w:left="0" w:right="0"/>
        <w:keepNext/>
      </w:pPr>
      <w:r>
        <w:t>Ποσότητα (QNTTY)</w:t>
      </w:r>
    </w:p>
    <w:p>
      <w:pPr>
        <w:pStyle w:val="Definition"/>
        <w:ind w:leftChars="0" w:left="480" w:right="0"/>
      </w:pPr>
      <w:r>
        <w:t>Αριθμός μετοχών/μεριδίων του συμμετοχικού τίτλου.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Λογιστική τιμή (BK_PRC)</w:t>
      </w:r>
    </w:p>
    <w:p>
      <w:pPr>
        <w:pStyle w:val="Definition"/>
        <w:ind w:leftChars="0" w:left="480" w:right="0"/>
      </w:pPr>
      <w:r>
        <w:t>Λογιστική/καθαρή τιμή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Συμμετοχές (SBSCRPTNS)</w:t>
      </w:r>
    </w:p>
    <w:p>
      <w:pPr>
        <w:pStyle w:val="Definition"/>
        <w:ind w:leftChars="0" w:left="480" w:right="0"/>
      </w:pPr>
      <w:r>
        <w:t>Συμμετοχές σε νέα μερίδια ή σε αυξήσεις μετοχικού κεφαλαίου.</w:t>
      </w:r>
    </w:p>
    <w:p>
      <w:pPr>
        <w:pStyle w:val="Definition"/>
        <w:ind w:leftChars="0" w:left="480" w:right="0"/>
      </w:pPr>
      <w:r>
        <w:t>Στο ποσό δεν περιλαμβάνονται οι προμήθειες συμμετοχής (διάθεσης).</w:t>
      </w:r>
    </w:p>
    <w:p>
      <w:pPr>
        <w:pStyle w:val="Definition"/>
        <w:ind w:leftChars="0" w:left="480" w:right="0"/>
      </w:pPr>
      <w:r>
        <w:t xml:space="preserve">Συμμετοχές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Εξαγορές (RDMPTNS)</w:t>
      </w:r>
    </w:p>
    <w:p>
      <w:pPr>
        <w:pStyle w:val="Definition"/>
        <w:ind w:leftChars="0" w:left="480" w:right="0"/>
      </w:pPr>
      <w:r>
        <w:t>Εξαγορές μεριδίων ή μείωση μετοχικού κεφαλαίου.</w:t>
      </w:r>
    </w:p>
    <w:p>
      <w:pPr>
        <w:pStyle w:val="Definition"/>
        <w:ind w:leftChars="0" w:left="480" w:right="0"/>
      </w:pPr>
      <w:r>
        <w:t>Από το ποσό δεν αφαιρούνται οι προμήθειες εξαγοράς.</w:t>
      </w:r>
    </w:p>
    <w:p>
      <w:pPr>
        <w:pStyle w:val="Definition"/>
        <w:ind w:leftChars="0" w:left="480" w:right="0"/>
      </w:pPr>
      <w:r>
        <w:t xml:space="preserve">Εξαγορές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Εισόδημα (INCM)</w:t>
      </w:r>
    </w:p>
    <w:p>
      <w:pPr>
        <w:pStyle w:val="Definition"/>
        <w:ind w:leftChars="0" w:left="480" w:right="0"/>
      </w:pPr>
      <w:r>
        <w:t>Εισόδημα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70"/>
    <w:bookmarkEnd w:id="168"/>
    <w:bookmarkEnd w:id="167"/>
    <w:bookmarkEnd w:id="111"/>
    <w:bookmarkEnd w:id="110"/>
    <w:bookmarkEnd w:id="109"/>
    <w:bookmarkStart w:id="171" w:name="_d41cb2830bf31e940fa24de172809d2f"/>
    <w:bookmarkStart w:id="172" w:name="_41988901838d7c6bfabc8f669493d71b"/>
    <w:p>
      <w:pPr>
        <w:pStyle w:val="Heading4"/>
        <w:keepNext/>
      </w:pPr>
      <w:r>
        <w:t>B. Στοιχεία Αναφοράς (REF)</w:t>
      </w:r>
    </w:p>
    <w:p>
      <w:pPr>
        <w:pStyle w:val="Body Text"/>
        <w:ind w:leftChars="0" w:left="0" w:right="0"/>
      </w:pPr>
      <w:r>
        <w:t>Παρέχονται στοιχεία αναφοράς σε σχέση με τους Επενδυτικούς Οργανισμούς, τις ιδίες εκδόσεις τους, τις διακρατήσεις στο χαρτοφυλάκιο τους και τους νόμιμους εκπροσώπους των Επενδυτικών Οργανισμών.</w:t>
      </w:r>
    </w:p>
    <w:p>
      <w:pPr>
        <w:pStyle w:val="Body Text"/>
        <w:ind w:leftChars="0" w:left="0" w:right="0"/>
      </w:pPr>
      <w:r>
        <w:t>Τα στοιχεία αναφοράς αναγγέλλονται όταν υπάρχουν νέα στοιχεία που δεν έχουν υποβληθεί στο παρελθόν και όταν υπάρχουν μεταβολές/διορθώσεις σε υποβληθέντα στοιχεία.</w:t>
      </w:r>
    </w:p>
    <w:p>
      <w:pPr>
        <w:pStyle w:val="Body Text"/>
        <w:ind w:leftChars="0" w:left="0" w:right="0"/>
      </w:pPr>
      <w:r>
        <w:t>Για κάθε πίνακα όλες οι μεταβλητές τύπου μετρήσεων είναι προαιρετικές.  Θα πρέπει όμως να συμπληρωθεί τουλάχιστον μία μέτρηση για κάθε παρατήρηση.</w:t>
      </w:r>
    </w:p>
    <w:p>
      <w:pPr>
        <w:pStyle w:val="Body Text"/>
        <w:ind w:leftChars="0" w:left="0" w:right="0"/>
      </w:pPr>
      <w:r>
        <w:t>Ακολουθεί η αναλυτική περιγραφή των μεταβλητών ανά πίνακα:</w:t>
      </w:r>
    </w:p>
    <w:p>
      <w:pPr>
        <w:pStyle w:val="ListNumber"/>
        <w:numPr>
          <w:ilvl w:val="0"/>
          <w:numId w:val="7"/>
        </w:numPr>
        <w:ind w:leftChars="0" w:left="480" w:right="0"/>
      </w:pPr>
      <w:hyperlink w:anchor="_2f7853ffd47efd9f44f6c777ab043bce">
        <w:r>
          <w:rPr>
            <w:rStyle w:val="Hyperlink"/>
          </w:rPr>
          <w:t>Πίνακας B1: Στοιχείων Αναφοράς Διαχειρίστριας Εταιρείας (MNGMNT)</w:t>
        </w:r>
      </w:hyperlink>
    </w:p>
    <w:p>
      <w:pPr>
        <w:pStyle w:val="ListNumber"/>
        <w:numPr>
          <w:ilvl w:val="0"/>
          <w:numId w:val="7"/>
        </w:numPr>
        <w:ind w:leftChars="0" w:left="480" w:right="0"/>
      </w:pPr>
      <w:hyperlink w:anchor="_2f37d3d6949fd41abd543f73b69fed41">
        <w:r>
          <w:rPr>
            <w:rStyle w:val="Hyperlink"/>
          </w:rPr>
          <w:t>Πίνακας B2: Μεταβλητά Στοιχεία Αναφοράς Διαχειρίστριας Εταιρείας (MNGMNT_DYNMC)</w:t>
        </w:r>
      </w:hyperlink>
    </w:p>
    <w:p>
      <w:pPr>
        <w:pStyle w:val="ListNumber"/>
        <w:numPr>
          <w:ilvl w:val="0"/>
          <w:numId w:val="7"/>
        </w:numPr>
        <w:ind w:leftChars="0" w:left="480" w:right="0"/>
      </w:pPr>
      <w:hyperlink w:anchor="_3dccd54e3508072130027d829a254e7e">
        <w:r>
          <w:rPr>
            <w:rStyle w:val="Hyperlink"/>
          </w:rPr>
          <w:t>Πίνακας B3: Στοιχεία Αναφοράς ΕΟ (FND)</w:t>
        </w:r>
      </w:hyperlink>
    </w:p>
    <w:p>
      <w:pPr>
        <w:pStyle w:val="ListNumber"/>
        <w:numPr>
          <w:ilvl w:val="0"/>
          <w:numId w:val="7"/>
        </w:numPr>
        <w:ind w:leftChars="0" w:left="480" w:right="0"/>
      </w:pPr>
      <w:hyperlink w:anchor="_b1317d7c44a2380a84528f988d059674">
        <w:r>
          <w:rPr>
            <w:rStyle w:val="Hyperlink"/>
          </w:rPr>
          <w:t>Πίνακας B4: Μεταβλητά Στοιχεία Αναφοράς ΕΟ (FND_DYNMC)</w:t>
        </w:r>
      </w:hyperlink>
    </w:p>
    <w:p>
      <w:pPr>
        <w:pStyle w:val="ListNumber"/>
        <w:numPr>
          <w:ilvl w:val="0"/>
          <w:numId w:val="7"/>
        </w:numPr>
        <w:ind w:leftChars="0" w:left="480" w:right="0"/>
      </w:pPr>
      <w:hyperlink w:anchor="_51e38bac31a4d8ca598d6199de6e5f78">
        <w:r>
          <w:rPr>
            <w:rStyle w:val="Hyperlink"/>
          </w:rPr>
          <w:t>Πίνακας B5: Στοιχεία Αναφοράς Χρεογράφων Εκδοθέντων από των ΕΟ (SELF_DBT)</w:t>
        </w:r>
      </w:hyperlink>
    </w:p>
    <w:p>
      <w:pPr>
        <w:pStyle w:val="ListNumber"/>
        <w:numPr>
          <w:ilvl w:val="0"/>
          <w:numId w:val="7"/>
        </w:numPr>
        <w:ind w:leftChars="0" w:left="480" w:right="0"/>
      </w:pPr>
      <w:hyperlink w:anchor="_ef5d0779159cc1b9902bb97a37537da6">
        <w:r>
          <w:rPr>
            <w:rStyle w:val="Hyperlink"/>
          </w:rPr>
          <w:t>Πίνακας B6: Μεταβλητά Στοιχεία Αναφοράς Χρεογράφων Εκδοθέντων από τον ΕΟ (SELF_DBT)</w:t>
        </w:r>
      </w:hyperlink>
    </w:p>
    <w:p>
      <w:pPr>
        <w:pStyle w:val="ListNumber"/>
        <w:numPr>
          <w:ilvl w:val="0"/>
          <w:numId w:val="7"/>
        </w:numPr>
        <w:ind w:leftChars="0" w:left="480" w:right="0"/>
      </w:pPr>
      <w:hyperlink w:anchor="_3fc4cd73a2aa8bd98ce747c7a832ba3c">
        <w:r>
          <w:rPr>
            <w:rStyle w:val="Hyperlink"/>
          </w:rPr>
          <w:t>Πίνακας B7: Μεταβολή της Εναπομείνουσας Αξίας Χρεογράφων Εκδοθέντων από τον ΕΟ (SELF_DBT_OUTSTNDNG_CHNG)</w:t>
        </w:r>
      </w:hyperlink>
    </w:p>
    <w:p>
      <w:pPr>
        <w:pStyle w:val="ListNumber"/>
        <w:numPr>
          <w:ilvl w:val="0"/>
          <w:numId w:val="7"/>
        </w:numPr>
        <w:ind w:leftChars="0" w:left="480" w:right="0"/>
      </w:pPr>
      <w:hyperlink w:anchor="_470c176349f3afb6f39c4c133db4d606">
        <w:r>
          <w:rPr>
            <w:rStyle w:val="Hyperlink"/>
          </w:rPr>
          <w:t>Πίνακας B8: Στοιχεία Τοκομεριδίων Χρεογράφων Εκδοθέντων από τον ΕΟ (SELF_DBT_CPN)</w:t>
        </w:r>
      </w:hyperlink>
    </w:p>
    <w:p>
      <w:pPr>
        <w:pStyle w:val="ListNumber"/>
        <w:numPr>
          <w:ilvl w:val="0"/>
          <w:numId w:val="7"/>
        </w:numPr>
        <w:ind w:leftChars="0" w:left="480" w:right="0"/>
      </w:pPr>
      <w:hyperlink w:anchor="_d1760c3ac166f31d7699f29e9852974e">
        <w:r>
          <w:rPr>
            <w:rStyle w:val="Hyperlink"/>
          </w:rPr>
          <w:t>Πίνακας B9: Στοιχεία Αναφοράς Μετοχών/Μεριδίων Εκδοθέντων από τον ΕΟ (SELF_SHR)</w:t>
        </w:r>
      </w:hyperlink>
    </w:p>
    <w:p>
      <w:pPr>
        <w:pStyle w:val="ListNumber"/>
        <w:numPr>
          <w:ilvl w:val="0"/>
          <w:numId w:val="7"/>
        </w:numPr>
        <w:ind w:leftChars="0" w:left="480" w:right="0"/>
      </w:pPr>
      <w:hyperlink w:anchor="_8988216e00c2a37c505672d4bc724ef0">
        <w:r>
          <w:rPr>
            <w:rStyle w:val="Hyperlink"/>
          </w:rPr>
          <w:t>Πίνακας B10: Μεταβλητά Στοιχεία Αναφοράς Μετοχών/Μεριδίων εκδοθέντων από τον ΕΟ (SELF_SHR_DYNMC)</w:t>
        </w:r>
      </w:hyperlink>
    </w:p>
    <w:p>
      <w:pPr>
        <w:pStyle w:val="ListNumber"/>
        <w:numPr>
          <w:ilvl w:val="0"/>
          <w:numId w:val="7"/>
        </w:numPr>
        <w:ind w:leftChars="0" w:left="480" w:right="0"/>
      </w:pPr>
      <w:hyperlink w:anchor="_b187cb41847357fd7e991043daf506e8">
        <w:r>
          <w:rPr>
            <w:rStyle w:val="Hyperlink"/>
          </w:rPr>
          <w:t>Πίνακας B11: Μερίσματα Μετοχών/Μεριδίων Εκδοθέντων από τον ΕΟ (SELF_SHR_DVDND)</w:t>
        </w:r>
      </w:hyperlink>
    </w:p>
    <w:p>
      <w:pPr>
        <w:pStyle w:val="ListNumber"/>
        <w:numPr>
          <w:ilvl w:val="0"/>
          <w:numId w:val="7"/>
        </w:numPr>
        <w:ind w:leftChars="0" w:left="480" w:right="0"/>
      </w:pPr>
      <w:hyperlink w:anchor="_e7f6696c8e817506b10b9e42c2015d68">
        <w:r>
          <w:rPr>
            <w:rStyle w:val="Hyperlink"/>
          </w:rPr>
          <w:t>Πίνακας B12: Διασπάσεις/Συμπτήξεις Μετοχών/Μεριδίων Εκδοθέντων από τον ΕΟ (SELF_SHR_SPLT)</w:t>
        </w:r>
      </w:hyperlink>
    </w:p>
    <w:p>
      <w:pPr>
        <w:pStyle w:val="ListNumber"/>
        <w:numPr>
          <w:ilvl w:val="0"/>
          <w:numId w:val="7"/>
        </w:numPr>
        <w:ind w:leftChars="0" w:left="480" w:right="0"/>
      </w:pPr>
      <w:hyperlink w:anchor="_047a1f5a50becfc15453308882d7f69e">
        <w:r>
          <w:rPr>
            <w:rStyle w:val="Hyperlink"/>
          </w:rPr>
          <w:t>Πίνακας B13: Στοιχεία Αναφοράς Αντισυμβαλλόμενων (CNTRPRTY)</w:t>
        </w:r>
      </w:hyperlink>
    </w:p>
    <w:p>
      <w:pPr>
        <w:pStyle w:val="ListNumber"/>
        <w:numPr>
          <w:ilvl w:val="0"/>
          <w:numId w:val="7"/>
        </w:numPr>
        <w:ind w:leftChars="0" w:left="480" w:right="0"/>
      </w:pPr>
      <w:hyperlink w:anchor="_fa124600a77afe452bc98c6f34f4356a">
        <w:r>
          <w:rPr>
            <w:rStyle w:val="Hyperlink"/>
          </w:rPr>
          <w:t>Πίνακας B14: Στοιχεία Αναφοράς Καταθετικών Λογαριασμών (DPST)</w:t>
        </w:r>
      </w:hyperlink>
    </w:p>
    <w:p>
      <w:pPr>
        <w:pStyle w:val="ListNumber"/>
        <w:numPr>
          <w:ilvl w:val="0"/>
          <w:numId w:val="7"/>
        </w:numPr>
        <w:ind w:leftChars="0" w:left="480" w:right="0"/>
      </w:pPr>
      <w:hyperlink w:anchor="_effef8a7a910cce005846817f55dc805">
        <w:r>
          <w:rPr>
            <w:rStyle w:val="Hyperlink"/>
          </w:rPr>
          <w:t>Πίνακας B15: Στοιχεία Αναφοράς Χρεογράφων Χωρίς ISIN που κατέχει ο ΕΟ (DBT)</w:t>
        </w:r>
      </w:hyperlink>
    </w:p>
    <w:p>
      <w:pPr>
        <w:pStyle w:val="ListNumber"/>
        <w:numPr>
          <w:ilvl w:val="0"/>
          <w:numId w:val="7"/>
        </w:numPr>
        <w:ind w:leftChars="0" w:left="480" w:right="0"/>
      </w:pPr>
      <w:hyperlink w:anchor="_12dd719fa46041f9e1bf7d8d895a8d65">
        <w:r>
          <w:rPr>
            <w:rStyle w:val="Hyperlink"/>
          </w:rPr>
          <w:t>Πίνακας B16: Στοιχεία Αναφοράς Δανείων (LN)</w:t>
        </w:r>
      </w:hyperlink>
    </w:p>
    <w:p>
      <w:pPr>
        <w:pStyle w:val="ListNumber"/>
        <w:numPr>
          <w:ilvl w:val="0"/>
          <w:numId w:val="7"/>
        </w:numPr>
        <w:ind w:leftChars="0" w:left="480" w:right="0"/>
      </w:pPr>
      <w:hyperlink w:anchor="_51fa4378120bc81130c61a6df544374d">
        <w:r>
          <w:rPr>
            <w:rStyle w:val="Hyperlink"/>
          </w:rPr>
          <w:t>Πίνακας B17: Στοιχεία Αναφοράς Μετοχών και Λοιπών Συμμετοχικών Τίτλων Χωρίς ISIN που κατέχει ο ΕΟ (SHR)</w:t>
        </w:r>
      </w:hyperlink>
    </w:p>
    <w:p>
      <w:pPr>
        <w:pStyle w:val="ListNumber"/>
        <w:numPr>
          <w:ilvl w:val="0"/>
          <w:numId w:val="7"/>
        </w:numPr>
        <w:ind w:leftChars="0" w:left="480" w:right="0"/>
      </w:pPr>
      <w:hyperlink w:anchor="_35933ca7efbac670f2405247834dbd72">
        <w:r>
          <w:rPr>
            <w:rStyle w:val="Hyperlink"/>
          </w:rPr>
          <w:t>Πίνακας B18: Στοιχεία Αναφοράς Χρηματοοικονομικών Παραγώγων (DER)</w:t>
        </w:r>
      </w:hyperlink>
    </w:p>
    <w:p>
      <w:pPr>
        <w:pStyle w:val="ListNumber"/>
        <w:numPr>
          <w:ilvl w:val="0"/>
          <w:numId w:val="7"/>
        </w:numPr>
        <w:ind w:leftChars="0" w:left="480" w:right="0"/>
      </w:pPr>
      <w:hyperlink w:anchor="_83c2b53e1ec394e8298b9e72cd4386bc">
        <w:r>
          <w:rPr>
            <w:rStyle w:val="Hyperlink"/>
          </w:rPr>
          <w:t>Πίνακας B14: Στοιχεία Αναφοράς Καταθετικών Λογαριασμών (DPST)</w:t>
        </w:r>
      </w:hyperlink>
    </w:p>
    <w:bookmarkStart w:id="173" w:name="_5518fa85cb1a1fdc66fbf3c6f32787b5"/>
    <w:bookmarkStart w:id="174" w:name="_3dccd54e3508072130027d829a254e7e"/>
    <w:bookmarkStart w:id="175" w:name="_4dc965a0bf22e60f6d0bd994f05252ea"/>
    <w:p>
      <w:pPr>
        <w:pStyle w:val="Heading5"/>
        <w:keepNext/>
      </w:pPr>
      <w:r>
        <w:t xml:space="preserve">1 </w:t>
      </w:r>
      <w:r>
        <w:t>Πίνακας B3: Στοιχεία Αναφοράς ΕΟ (FND)</w:t>
      </w:r>
    </w:p>
    <w:p>
      <w:pPr>
        <w:pStyle w:val="Body Text"/>
        <w:ind w:leftChars="0" w:left="0" w:right="0"/>
      </w:pPr>
      <w:r>
        <w:t>Στον πίνακα αυτό αναγράφονται τα στοιχεία αναφοράς ενός ή περισσότερων ΕΟ και περιλαμβάνει μεταβλητές που μπορούν να λάβουν μόνο μία τιμή κατά τη διάρκεια του κύκλου ζωής του ΕΟ.</w:t>
      </w:r>
    </w:p>
    <w:p>
      <w:pPr>
        <w:pStyle w:val="Body Text"/>
        <w:ind w:leftChars="0" w:left="0" w:right="0"/>
      </w:pPr>
      <w:r>
        <w:t>Ακολουθεί η περιγραφή των μεταβλητών του πίνακα:</w:t>
      </w:r>
    </w:p>
    <w:bookmarkStart w:id="176" w:name="_56e5e38836255bce6e03bae5aa0060c9"/>
    <w:p>
      <w:pPr>
        <w:pStyle w:val="Heading 6"/>
        <w:keepNext/>
      </w:pPr>
      <w:r>
        <w:t xml:space="preserve">1.1 </w:t>
      </w:r>
      <w:r>
        <w:t>ΔΙΑΣΤΑΣH</w:t>
      </w:r>
    </w:p>
    <w:p>
      <w:pPr>
        <w:pStyle w:val="DefinitionTerm"/>
        <w:ind w:leftChars="0" w:left="0" w:right="0"/>
        <w:keepNext/>
      </w:pPr>
      <w:r>
        <w:t>Αναγνωριστικός κωδικός ΕΟ (ID)</w:t>
      </w:r>
    </w:p>
    <w:p>
      <w:pPr>
        <w:pStyle w:val="Definition"/>
        <w:ind w:leftChars="0" w:left="480" w:right="0"/>
      </w:pPr>
      <w:r>
        <w:t>Αναγράφεται ο αναγνωριστικός κωδικός του ΕΟ.</w:t>
      </w:r>
    </w:p>
    <w:p>
      <w:pPr>
        <w:pStyle w:val="Definition"/>
        <w:ind w:leftChars="0" w:left="480" w:right="0"/>
      </w:pPr>
      <w:r>
        <w:t xml:space="preserve">Η τιμή της μεταβλητής αυτής είναι της μορφής </w:t>
      </w:r>
      <w:hyperlink w:anchor="_99f2ef9e87f68849087a15b72cb02467">
        <w:r>
          <w:rPr>
            <w:rStyle w:val="Hyperlink"/>
          </w:rPr>
          <w:t>ORG</w:t>
        </w:r>
      </w:hyperlink>
    </w:p>
    <w:bookmarkEnd w:id="176"/>
    <w:bookmarkStart w:id="177" w:name="_d47a06bdef03291f74219089ad0c6975"/>
    <w:p>
      <w:pPr>
        <w:pStyle w:val="Heading 6"/>
        <w:keepNext/>
      </w:pPr>
      <w:r>
        <w:t xml:space="preserve">1.2 </w:t>
      </w:r>
      <w:r>
        <w:t>ΜΕΤΡΗΣΕΙΣ</w:t>
      </w:r>
    </w:p>
    <w:p>
      <w:pPr>
        <w:pStyle w:val="DefinitionTerm"/>
        <w:ind w:leftChars="0" w:left="0" w:right="0"/>
        <w:keepNext/>
      </w:pPr>
      <w:r>
        <w:t>Ημερομηνία σύστασης (DT_BRTH)</w:t>
      </w:r>
    </w:p>
    <w:p>
      <w:pPr>
        <w:pStyle w:val="Definition"/>
        <w:ind w:leftChars="0" w:left="480" w:right="0"/>
      </w:pPr>
      <w:r>
        <w:t>Αναγράφεται η ημερομηνία σύστασης του ΕΟ.</w:t>
      </w:r>
    </w:p>
    <w:p>
      <w:pPr>
        <w:pStyle w:val="Definition"/>
        <w:ind w:leftChars="0" w:left="480" w:right="0"/>
      </w:pPr>
      <w:r>
        <w:t xml:space="preserve">Η τιμή της μεταβλητής αυτής είναι ημερομηνία της μορφής </w:t>
      </w:r>
      <w:hyperlink w:anchor="_cc518be27be13f83fbaffa8d5f04a5b9">
        <w:r>
          <w:rPr>
            <w:rStyle w:val="Hyperlink"/>
          </w:rPr>
          <w:t>DATETIME</w:t>
        </w:r>
      </w:hyperlink>
      <w:r>
        <w:t>.</w:t>
      </w:r>
    </w:p>
    <w:p>
      <w:pPr>
        <w:pStyle w:val="DefinitionTerm"/>
        <w:ind w:leftChars="0" w:left="0" w:right="0"/>
        <w:keepNext/>
      </w:pPr>
      <w:r>
        <w:t>Ημερομηνία λήξης λειτουργίας (DT_CLS)</w:t>
      </w:r>
    </w:p>
    <w:p>
      <w:pPr>
        <w:pStyle w:val="Definition"/>
        <w:ind w:leftChars="0" w:left="480" w:right="0"/>
      </w:pPr>
      <w:r>
        <w:t>Αναγράφεται η ημερομηνία λήξης λειτουργίας ή η ημερομηνία λύσης του ΕΟ.</w:t>
      </w:r>
    </w:p>
    <w:p>
      <w:pPr>
        <w:pStyle w:val="Definition"/>
        <w:ind w:leftChars="0" w:left="480" w:right="0"/>
      </w:pPr>
      <w:r>
        <w:t>Τιμή συμπληρώνεται μόνο στην περίπτωση που κλείσει ή παύσει η λειτουργία του ΕΟ.</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του ΕΟ.</w:t>
      </w:r>
    </w:p>
    <w:p>
      <w:pPr>
        <w:pStyle w:val="Definition"/>
        <w:ind w:leftChars="0" w:left="480" w:right="0"/>
      </w:pPr>
      <w:r>
        <w:t>Ο κωδικός διαμορφώνεται με βάση το πρότυπο ISO-17442.</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abcdd1ea94e323144d8d95b499091299">
        <w:r>
          <w:rPr>
            <w:rStyle w:val="Hyperlink"/>
          </w:rPr>
          <w:t>LEI</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συμπληρώνεται με το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του ΕΟ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ο ΕΟ.</w:t>
      </w:r>
    </w:p>
    <w:p>
      <w:pPr>
        <w:pStyle w:val="Definition"/>
        <w:ind w:leftChars="0" w:left="480" w:right="0"/>
      </w:pPr>
      <w:r>
        <w:t>Συμπληρώνεται μόνο στην περίπτωση που ο ΕΟ ιδρύθηκε με διάσπαση από άλλη θεσμική μονάδα.  Σε αυτή την περίπτωση το DT_BRTH συμπληρώνεται με την ημερομηνία της διάσπασης.</w:t>
      </w:r>
    </w:p>
    <w:p>
      <w:pPr>
        <w:pStyle w:val="DefinitionTerm"/>
        <w:ind w:leftChars="0" w:left="0" w:right="0"/>
        <w:keepNext/>
      </w:pPr>
      <w:r>
        <w:t>Λήξη λόγω συγχώνευσης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ο ΕΟ συγχωνεύτηκε.</w:t>
      </w:r>
    </w:p>
    <w:p>
      <w:pPr>
        <w:pStyle w:val="Definition"/>
        <w:ind w:leftChars="0" w:left="480" w:right="0"/>
      </w:pPr>
      <w:r>
        <w:t>Συμπληρώνεται μόνο στην περίπτωση που ο ΕΟ έπαυσε τη λειτουργία του με συγχώνευση με άλλη θεσμική μονάδα.  Σε αυτή την περίπτωση το  DT_CLS συμπληρώνεται με την ημερομηνία της συγχώνευσης.</w:t>
      </w:r>
    </w:p>
    <w:bookmarkEnd w:id="177"/>
    <w:bookmarkEnd w:id="175"/>
    <w:bookmarkEnd w:id="174"/>
    <w:bookmarkStart w:id="178" w:name="_b1317d7c44a2380a84528f988d059674"/>
    <w:bookmarkStart w:id="179" w:name="_e0c155cb98de733cf9fda47151aa72be"/>
    <w:p>
      <w:pPr>
        <w:pStyle w:val="Heading5"/>
        <w:keepNext/>
      </w:pPr>
      <w:r>
        <w:t xml:space="preserve">2 </w:t>
      </w:r>
      <w:r>
        <w:t>Πίνακας B4: Μεταβλητά Στοιχεία Αναφοράς ΕΟ (FND_DYNMC)</w:t>
      </w:r>
    </w:p>
    <w:p>
      <w:pPr>
        <w:pStyle w:val="Body Text"/>
        <w:ind w:leftChars="0" w:left="0" w:right="0"/>
      </w:pPr>
      <w:r>
        <w:t>Χρησιμοποιείται για τη συμπλήρωση στοιχείων αναφοράς ΕΟ και περιλαμβάνει μεταβλητές που οι τιμές τους δύναται να μεταβληθούν κατά τη διάρκεια του κύκλου ζωής των ΕΟ.</w:t>
      </w:r>
    </w:p>
    <w:p>
      <w:pPr>
        <w:pStyle w:val="Body Text"/>
        <w:ind w:leftChars="0" w:left="0" w:right="0"/>
      </w:pPr>
      <w:r>
        <w:t>Ακολουθεί η περιγραφή των μεταβλητών του πίνακα:</w:t>
      </w:r>
    </w:p>
    <w:bookmarkStart w:id="180" w:name="_0a35d5487de6c8924cfd9062f90bdfac"/>
    <w:p>
      <w:pPr>
        <w:pStyle w:val="Heading 6"/>
        <w:keepNext/>
      </w:pPr>
      <w:r>
        <w:t xml:space="preserve">2.1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μετρήσεων.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μέχρι την οποία ισχύουν οι τιμές των παρεχόμενων μετρήσεων.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80"/>
    <w:bookmarkStart w:id="181" w:name="_0df28a18f95179d5486352f31d125530"/>
    <w:p>
      <w:pPr>
        <w:pStyle w:val="Heading 6"/>
        <w:keepNext/>
      </w:pPr>
      <w:r>
        <w:t xml:space="preserve">2.2 </w:t>
      </w:r>
      <w:r>
        <w:t>ΜΕΤΡΗΣΕΙΣ</w:t>
      </w:r>
    </w:p>
    <w:p>
      <w:pPr>
        <w:pStyle w:val="DefinitionTerm"/>
        <w:ind w:leftChars="0" w:left="0" w:right="0"/>
        <w:keepNext/>
      </w:pPr>
      <w:r>
        <w:t>ΜΠΣ (RPRTD_BY)</w:t>
      </w:r>
    </w:p>
    <w:p>
      <w:pPr>
        <w:pStyle w:val="Definition"/>
        <w:ind w:leftChars="0" w:left="480" w:right="0"/>
      </w:pPr>
      <w:r>
        <w:t>Αναγνωριστικός κωδικός της μονάδας παροχής στοιχείων IFDat</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Διαχειρίστρια εταιρεία (MNGD_BY)</w:t>
      </w:r>
    </w:p>
    <w:p>
      <w:pPr>
        <w:pStyle w:val="Definition"/>
        <w:ind w:leftChars="0" w:left="480" w:right="0"/>
      </w:pPr>
      <w:r>
        <w:t>Αναγνωριστικός κωδικός της διαχειρίστριας εταιρείας</w:t>
      </w:r>
    </w:p>
    <w:p>
      <w:pPr>
        <w:pStyle w:val="Definition"/>
        <w:ind w:leftChars="0" w:left="480" w:right="0"/>
      </w:pPr>
      <w:r>
        <w:t>Συμπληρώνεται εφόσον ο ΕΟ είναι αμοιβαίο κεφάλαιο.</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Ονομασία (NM)</w:t>
      </w:r>
    </w:p>
    <w:p>
      <w:pPr>
        <w:pStyle w:val="Definition"/>
        <w:ind w:leftChars="0" w:left="480" w:right="0"/>
      </w:pPr>
      <w:r>
        <w:t>Επωνυμία/Ονομασία του ΕΟ.</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ΕΟ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Σύντομη ονομασία (NM_SHRT)</w:t>
      </w:r>
    </w:p>
    <w:p>
      <w:pPr>
        <w:pStyle w:val="Definition"/>
        <w:ind w:leftChars="0" w:left="480" w:right="0"/>
      </w:pPr>
      <w:r>
        <w:t>Διακριτική ή σύντομη επωνυμία του ΕΟ.</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Χώρα κατοικίας (CNTRY_RSDNC)</w:t>
      </w:r>
    </w:p>
    <w:p>
      <w:pPr>
        <w:pStyle w:val="Definition"/>
        <w:ind w:leftChars="0" w:left="480" w:right="0"/>
      </w:pPr>
      <w:r>
        <w:t>Χώρα κατοικίας (καταγωγής αν αφορά Αμοιβαίο Κεφάλαιο) του ΕΟ.</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Οδός και αριθμός (STRT)</w:t>
      </w:r>
    </w:p>
    <w:p>
      <w:pPr>
        <w:pStyle w:val="Definition"/>
        <w:ind w:leftChars="0" w:left="480" w:right="0"/>
      </w:pPr>
      <w:r>
        <w:t>Οδός και αριθμός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Οδός και αριθμός με λατινικούς χαρακτήρες (STRT_LTN)</w:t>
      </w:r>
    </w:p>
    <w:p>
      <w:pPr>
        <w:pStyle w:val="Definition"/>
        <w:ind w:leftChars="0" w:left="480" w:right="0"/>
      </w:pPr>
      <w:r>
        <w:t>Οδός και αριθμός της ταχυδρομικής διεύθυνσης του ΕΟ με λατινικούς χαρακτήρες</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Πόλη (CTY)</w:t>
      </w:r>
    </w:p>
    <w:p>
      <w:pPr>
        <w:pStyle w:val="Definition"/>
        <w:ind w:leftChars="0" w:left="480" w:right="0"/>
      </w:pPr>
      <w:r>
        <w:t>Πόλη/χωριό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ταχυδρομικής διεύθυνσης του ΕΟ με λατινικούς χαρακτήρες.</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8a73238720f95e6f9b50e9033dfe386b">
        <w:r>
          <w:rPr>
            <w:rStyle w:val="Hyperlink"/>
          </w:rPr>
          <w:t>LATIN_EXTENDED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του ΕΟ.</w:t>
      </w:r>
    </w:p>
    <w:p>
      <w:pPr>
        <w:pStyle w:val="Definition"/>
        <w:ind w:leftChars="0" w:left="480" w:right="0"/>
      </w:pPr>
      <w:r>
        <w:t>Συμπληρώνεται εφόσον είναι διαθέσιμη.</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 e-mail (EMAIL)</w:t>
      </w:r>
    </w:p>
    <w:p>
      <w:pPr>
        <w:pStyle w:val="Definition"/>
        <w:ind w:leftChars="0" w:left="480" w:right="0"/>
      </w:pPr>
      <w:r>
        <w:t>Ηλεκτρονική διεύθυνση αλληλογραφίας.</w:t>
      </w:r>
    </w:p>
    <w:p>
      <w:pPr>
        <w:pStyle w:val="Definition"/>
        <w:ind w:leftChars="0" w:left="480" w:right="0"/>
      </w:pPr>
      <w:r>
        <w:t>Συμπληρώνεται εφόσον είναι διαθέσιμη.</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Body Text"/>
        <w:ind w:leftChars="0" w:left="0" w:right="0"/>
      </w:pPr>
      <w:r>
        <w:t>ΕΟ Εισηγμένος σε οργανωμένη αγορά (IS_LSTD)</w:t>
      </w:r>
    </w:p>
    <w:p>
      <w:pPr>
        <w:pStyle w:val="Body Text"/>
        <w:ind w:leftChars="0" w:left="480" w:right="0"/>
      </w:pPr>
      <w:r>
        <w:t>Οι εισηγμένοι ΕΟ έχουν μετοχές οι οποίες έχουν εισαχθεί σε χρηματιστήριο ή άλλη οργανωμένη αγορά. Οι μη εισηγμένοι ΕΟ δεν έχουν μετοχές εισηγμένες σε χρηματιστήριο ή άλλη οργανωμένη αγορά.  Συμπληρώνεται με την τιμή T εάν πρόκειται για εισηγμένο ΕΟ.</w:t>
      </w:r>
    </w:p>
    <w:p>
      <w:pPr>
        <w:pStyle w:val="Body Text"/>
        <w:ind w:leftChars="0" w:left="480" w:right="0"/>
      </w:pPr>
      <w:r>
        <w:t xml:space="preserve">Το είδος της τιμής είναι </w:t>
      </w:r>
      <w:hyperlink w:anchor="_27f6c2d0bb2cfc6f7b831c7306fa90a4">
        <w:r>
          <w:rPr>
            <w:rStyle w:val="Hyperlink"/>
          </w:rPr>
          <w:t>BOOL</w:t>
        </w:r>
      </w:hyperlink>
    </w:p>
    <w:p>
      <w:pPr>
        <w:pStyle w:val="DefinitionTerm"/>
        <w:ind w:leftChars="0" w:left="0" w:right="0"/>
        <w:keepNext/>
      </w:pPr>
      <w:r>
        <w:t>ΕΟ σε κατάσταση αδράνειας (IS_INCTV)</w:t>
      </w:r>
    </w:p>
    <w:p>
      <w:pPr>
        <w:pStyle w:val="Definition"/>
        <w:ind w:leftChars="0" w:left="480" w:right="0"/>
      </w:pPr>
      <w:r>
        <w:t>Ένδειξη ότι ο ΕΟ βρίσκεται σε κατάσταση αδράνειας.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ΕΟ σε καθεστώς ρευστοποίησης (IS_UNDR_LQDTN)</w:t>
      </w:r>
    </w:p>
    <w:p>
      <w:pPr>
        <w:pStyle w:val="Definition"/>
        <w:ind w:leftChars="0" w:left="480" w:right="0"/>
      </w:pPr>
      <w:r>
        <w:t>Ένδειξη ότι ο ΕΟ βρίσκεται σε καθεστώς ρευστοποίησης.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Καθεστώς ελέγχου του ΕΟ (INSTTTNL_SCTR_CNTRL)</w:t>
      </w:r>
    </w:p>
    <w:p>
      <w:pPr>
        <w:pStyle w:val="Definition"/>
        <w:ind w:leftChars="0" w:left="480" w:right="0"/>
      </w:pPr>
      <w:r>
        <w:t>Μορφή θεσμικού ελέγχου στον ΕΟ.</w:t>
      </w:r>
    </w:p>
    <w:p>
      <w:pPr>
        <w:pStyle w:val="Definition"/>
        <w:ind w:leftChars="0" w:left="480" w:right="0"/>
      </w:pPr>
      <w:r>
        <w:t>Για την έννοια του θεσμικού ελέγχου δείτε το Κεφάλαιο 2 του ΕΣΛ.</w:t>
      </w:r>
    </w:p>
    <w:p>
      <w:pPr>
        <w:pStyle w:val="Definition"/>
        <w:ind w:leftChars="0" w:left="480" w:right="0"/>
      </w:pPr>
      <w:r>
        <w:t xml:space="preserve">Η τιμή επιλέγεται από τη λίστα τιμών </w:t>
      </w:r>
      <w:hyperlink w:anchor="_9562ea3e71f4c35afbb4aa0a84b5b552">
        <w:r>
          <w:rPr>
            <w:rStyle w:val="Hyperlink"/>
          </w:rPr>
          <w:t>ORG_INSTTTNL_SCTR_CNTRL</w:t>
        </w:r>
      </w:hyperlink>
    </w:p>
    <w:p>
      <w:pPr>
        <w:pStyle w:val="DefinitionTerm"/>
        <w:ind w:leftChars="0" w:left="0" w:right="0"/>
        <w:keepNext/>
      </w:pPr>
      <w:r>
        <w:t>Κωδικός Μανδύα (UNDR_UMBRLL_BY)</w:t>
      </w:r>
    </w:p>
    <w:p>
      <w:pPr>
        <w:pStyle w:val="Definition"/>
        <w:ind w:leftChars="0" w:left="480" w:right="0"/>
      </w:pPr>
      <w:r>
        <w:t>Ο αναγνωριστικός κωδικός του ΕΟ μορφής μανδύα (umbrella fund) που ανήκει ο ΕΟ.</w:t>
      </w:r>
    </w:p>
    <w:p>
      <w:pPr>
        <w:pStyle w:val="Definition"/>
        <w:ind w:leftChars="0" w:left="480" w:right="0"/>
      </w:pPr>
      <w:r>
        <w:t>Ως οργανισμός τύπου «μανδύα» (umbrella fund) νοείται η οντότητα η οποία διαχωρίζει τα στοιχεία του ενεργητικού της σε διαφορετικές μονάδες [επιμέρους οργανισμούς (sub-funds)] κατά τρόπο ώστε οι μετοχές/μερίδια που αντιστοιχούν σε κάθε μονάδα να καλύπτονται ανεξάρτητα από διαφορετικά στοιχεία του ενεργητικού.</w:t>
      </w:r>
    </w:p>
    <w:p>
      <w:pPr>
        <w:pStyle w:val="Definition"/>
        <w:ind w:leftChars="0" w:left="480" w:right="0"/>
      </w:pPr>
      <w:r>
        <w:t>Ως επιμέρους οργανισμός (sub-fund) ενός οργανισμού τύπου «μανδύα» νοείται η μονάδα η οποία διακρατεί διαχωρισμένα στοιχεία του ενεργητικού ενός οργανισμού τύπου «μανδύα» τα οποία καλύπτουν μετοχές/μερίδια που εκδίδει ο επιμέρους οργανισμός.</w:t>
      </w:r>
    </w:p>
    <w:p>
      <w:pPr>
        <w:pStyle w:val="Definition"/>
        <w:ind w:leftChars="0" w:left="480" w:right="0"/>
      </w:pPr>
      <w:r>
        <w:t>Η μεταβλητή συμπληρώνεται μόνο για τον ΕΟ που ανήκει σε ΕΟ που έχει τη μορφή μανδύα (umbrella fund).</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Νομική Μορφή (LGL_TYP)</w:t>
      </w:r>
    </w:p>
    <w:p>
      <w:pPr>
        <w:pStyle w:val="Definition"/>
        <w:ind w:leftChars="0" w:left="480" w:right="0"/>
      </w:pPr>
      <w:r>
        <w:t>Νομική μορφή του ΕΟ.</w:t>
      </w:r>
    </w:p>
    <w:p>
      <w:pPr>
        <w:pStyle w:val="Definition"/>
        <w:ind w:leftChars="0" w:left="480" w:right="0"/>
      </w:pPr>
      <w:r>
        <w:t xml:space="preserve">Η τιμή επιλέγεται από τη λίστα τιμών </w:t>
      </w:r>
      <w:hyperlink w:anchor="_50c537c8f1a8dcff4bf156b897a63101">
        <w:r>
          <w:rPr>
            <w:rStyle w:val="Hyperlink"/>
          </w:rPr>
          <w:t>FND_LGL_TYP</w:t>
        </w:r>
      </w:hyperlink>
    </w:p>
    <w:p>
      <w:pPr>
        <w:pStyle w:val="DefinitionTerm"/>
        <w:ind w:leftChars="0" w:left="0" w:right="0"/>
        <w:keepNext/>
      </w:pPr>
      <w:r>
        <w:t>Επενδυτική πολιτική (INVSTMNT_PLCY)</w:t>
      </w:r>
    </w:p>
    <w:p>
      <w:pPr>
        <w:pStyle w:val="Definition"/>
        <w:ind w:leftChars="0" w:left="480" w:right="0"/>
      </w:pPr>
      <w:r>
        <w:t>Επενδυτική πολιτική του ΕΟ</w:t>
      </w:r>
    </w:p>
    <w:p>
      <w:pPr>
        <w:pStyle w:val="Definition"/>
        <w:ind w:leftChars="0" w:left="480" w:right="0"/>
      </w:pPr>
      <w:r>
        <w:t xml:space="preserve">Η τιμή επιλέγεται από τη λίστα τιμών </w:t>
      </w:r>
      <w:hyperlink w:anchor="_54122ec04b7acee317cdb0198b8d29ae">
        <w:r>
          <w:rPr>
            <w:rStyle w:val="Hyperlink"/>
          </w:rPr>
          <w:t>FND_INVSTMNT_PLCY</w:t>
        </w:r>
      </w:hyperlink>
    </w:p>
    <w:p>
      <w:pPr>
        <w:pStyle w:val="DefinitionTerm"/>
        <w:ind w:leftChars="0" w:left="0" w:right="0"/>
        <w:keepNext/>
      </w:pPr>
      <w:r>
        <w:t>Ανοικτού / κλειστού τύπου (EQTY_TYP)</w:t>
      </w:r>
    </w:p>
    <w:p>
      <w:pPr>
        <w:pStyle w:val="Definition"/>
        <w:ind w:leftChars="0" w:left="48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 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 Κεφαλαιακή μορφή του ΕΟ.</w:t>
      </w:r>
    </w:p>
    <w:p>
      <w:pPr>
        <w:pStyle w:val="Definition"/>
        <w:ind w:leftChars="0" w:left="480" w:right="0"/>
      </w:pPr>
      <w:r>
        <w:t xml:space="preserve">Η τιμή επιλέγεται από τη λίστα τιμών </w:t>
      </w:r>
      <w:hyperlink w:anchor="_92cd5fd51603b96a1af46143a8630f7c">
        <w:r>
          <w:rPr>
            <w:rStyle w:val="Hyperlink"/>
          </w:rPr>
          <w:t>FND_EQTY_TYP</w:t>
        </w:r>
      </w:hyperlink>
    </w:p>
    <w:p>
      <w:pPr>
        <w:pStyle w:val="DefinitionTerm"/>
        <w:ind w:leftChars="0" w:left="0" w:right="0"/>
        <w:keepNext/>
      </w:pPr>
      <w:r>
        <w:t>Μερισματική Πολιτική (DSTRBTN_PLCY)</w:t>
      </w:r>
    </w:p>
    <w:p>
      <w:pPr>
        <w:pStyle w:val="Definition"/>
        <w:ind w:leftChars="0" w:left="480" w:right="0"/>
      </w:pPr>
      <w:r>
        <w:t>Μερισματική πολιτική του ΕΟ.</w:t>
      </w:r>
    </w:p>
    <w:p>
      <w:pPr>
        <w:pStyle w:val="Definition"/>
        <w:ind w:leftChars="0" w:left="480" w:right="0"/>
      </w:pPr>
      <w:r>
        <w:t xml:space="preserve">Η τιμή επιλέγεται από τη λίστα τιμών </w:t>
      </w:r>
      <w:hyperlink w:anchor="_0108603fe11e1777ff45ce74e6ef3f1c">
        <w:r>
          <w:rPr>
            <w:rStyle w:val="Hyperlink"/>
          </w:rPr>
          <w:t>FND_DSTRBTN_PLCY</w:t>
        </w:r>
      </w:hyperlink>
    </w:p>
    <w:p>
      <w:pPr>
        <w:pStyle w:val="DefinitionTerm"/>
        <w:ind w:leftChars="0" w:left="0" w:right="0"/>
        <w:keepNext/>
      </w:pPr>
      <w:r>
        <w:t>Είδος μεριδιούχων (INVSTR_TYP)</w:t>
      </w:r>
    </w:p>
    <w:p>
      <w:pPr>
        <w:pStyle w:val="Definition"/>
        <w:ind w:leftChars="0" w:left="480" w:right="0"/>
      </w:pPr>
      <w:r>
        <w:t>Το είδος μεριδιούχων καθορίζεται με κριτήριο τον τύπο μετόχων που κυριαρχεί (άνω του 50 %), ως προς την αξία τους.</w:t>
      </w:r>
    </w:p>
    <w:p>
      <w:pPr>
        <w:pStyle w:val="Definition"/>
        <w:ind w:leftChars="0" w:left="480" w:right="0"/>
      </w:pPr>
      <w:r>
        <w:t xml:space="preserve">Η τιμή επιλέγεται από τη λίστα τιμών </w:t>
      </w:r>
      <w:hyperlink w:anchor="_a25bcfd2b94cf464c514b3093dd11033">
        <w:r>
          <w:rPr>
            <w:rStyle w:val="Hyperlink"/>
          </w:rPr>
          <w:t>FND_INVSTR_TYP</w:t>
        </w:r>
      </w:hyperlink>
    </w:p>
    <w:p>
      <w:pPr>
        <w:pStyle w:val="DefinitionTerm"/>
        <w:ind w:leftChars="0" w:left="0" w:right="0"/>
        <w:keepNext/>
      </w:pPr>
      <w:r>
        <w:t>Περιβαλλοντική, κοινωνική και σχετική με τη διακυβέρνηση (ΠΚΔ) συμμόρφωση (GRN_TYP)</w:t>
      </w:r>
    </w:p>
    <w:p>
      <w:pPr>
        <w:pStyle w:val="Definition"/>
        <w:ind w:leftChars="0" w:left="480" w:right="0"/>
      </w:pPr>
      <w:r>
        <w:t>Περιβαλλοντική μορφή του ΕΟ.</w:t>
      </w:r>
    </w:p>
    <w:p>
      <w:pPr>
        <w:pStyle w:val="Definition"/>
        <w:ind w:leftChars="0" w:left="480" w:right="0"/>
      </w:pPr>
      <w:r>
        <w:t xml:space="preserve">Η τιμή επιλέγεται από τη λίστα τιμών </w:t>
      </w:r>
      <w:hyperlink w:anchor="_5f78fc9f0b12cb68b4485020940bf044">
        <w:r>
          <w:rPr>
            <w:rStyle w:val="Hyperlink"/>
          </w:rPr>
          <w:t>FND_GRN_TYP</w:t>
        </w:r>
      </w:hyperlink>
    </w:p>
    <w:p>
      <w:pPr>
        <w:pStyle w:val="DefinitionTerm"/>
        <w:ind w:leftChars="0" w:left="0" w:right="0"/>
        <w:keepNext/>
      </w:pPr>
      <w:r>
        <w:t>Επενδυτική προσέγγιση (STRTGY)</w:t>
      </w:r>
    </w:p>
    <w:p>
      <w:pPr>
        <w:pStyle w:val="Definition"/>
        <w:ind w:leftChars="0" w:left="480" w:right="0"/>
      </w:pPr>
      <w:r>
        <w:t>Επενδυτική προσέγγιση του ΕΟ.</w:t>
      </w:r>
    </w:p>
    <w:p>
      <w:pPr>
        <w:pStyle w:val="Definition"/>
        <w:ind w:leftChars="0" w:left="480" w:right="0"/>
      </w:pPr>
      <w:r>
        <w:t>Ως ενεργητικοί ΕΟ (active IFs) νοούνται οι ΕΟ στη διακριτική ευχέρεια των διαχειριστών των οποίων εναπόκειται η λήψη επενδυτικών αποφάσεων. Οι εν λόγω ΕΟ μπορούν, αλλά δεν υποχρεούνται, να τελούν υπό διαχείριση αναφορικά με ορισμένο δείκτη συγκριτικής αξιολόγησης. Οι παθητικοί συνθετικοί ΕΟ (passive synthetic IFs) αποσκοπούν στην παρακολούθηση ορισμένου δείκτη μέσω συνθετικής αναπαραγωγής χρησιμοποιώντας χρηματοοικονομικά παράγωγα, όπως συμφωνίες ανταλλαγής, με σκοπό την αναπαραγωγή της απόδοσης του δείκτη που παρακολουθούν. Οι παθητικοί φυσικοί ΕΟ (passive physical IFs) αποσκοπούν στην παρακολούθηση ορισμένου δείκτη μέσω φυσικής αναπαραγωγής διακρατώντας τα στοιχεία του ενεργητικού ή δείγμα των στοιχείων του ενεργητικού στα οποία στηρίζεται ο δείκτης που παρακολουθούν.</w:t>
      </w:r>
    </w:p>
    <w:p>
      <w:pPr>
        <w:pStyle w:val="Definition"/>
        <w:ind w:leftChars="0" w:left="480" w:right="0"/>
      </w:pPr>
      <w:r>
        <w:t xml:space="preserve">Η τιμή επιλέγεται από τη λίστα τιμών </w:t>
      </w:r>
      <w:hyperlink w:anchor="_4d24309c58d333234b758df903ceb0a8">
        <w:r>
          <w:rPr>
            <w:rStyle w:val="Hyperlink"/>
          </w:rPr>
          <w:t>FND_STRTGY</w:t>
        </w:r>
      </w:hyperlink>
    </w:p>
    <w:p>
      <w:pPr>
        <w:pStyle w:val="DefinitionTerm"/>
        <w:ind w:leftChars="0" w:left="0" w:right="0"/>
        <w:keepNext/>
      </w:pPr>
      <w:r>
        <w:t>Γεωγραφική εστίαση (GGPHCL_FCS)</w:t>
      </w:r>
    </w:p>
    <w:p>
      <w:pPr>
        <w:pStyle w:val="Definition"/>
        <w:ind w:leftChars="0" w:left="480" w:right="0"/>
      </w:pPr>
      <w:r>
        <w:t>Επικρατέστερη (άνω του 50%) γεωγραφική εστίαση των επενδύσεων του ΕΟ.</w:t>
      </w:r>
    </w:p>
    <w:p>
      <w:pPr>
        <w:pStyle w:val="Definition"/>
        <w:ind w:leftChars="0" w:left="480" w:right="0"/>
      </w:pPr>
      <w:r>
        <w:t>Η περιφέρεια της επένδυσης καθορίζεται βάσει του κύριου (άνω του 50 %) τόπου στον οποίο βρίσκονται τα διακρατούμενα στοιχεία του ενεργητικού, όσον αφορά την αξία τους.</w:t>
      </w:r>
    </w:p>
    <w:p>
      <w:pPr>
        <w:pStyle w:val="Definition"/>
        <w:ind w:leftChars="0" w:left="480" w:right="0"/>
      </w:pPr>
      <w:r>
        <w:t>Ως «εσωτερικό» νοείται ο ΕΟ ο οποίος επενδύει κατά κύριο λόγο σε στοιχεία του ενεργητικού που εκδίδουν κάτοικοι της χώρας στην οποία κατοικεί ο επενδυτικός οργανισμός.</w:t>
      </w:r>
    </w:p>
    <w:p>
      <w:pPr>
        <w:pStyle w:val="Definition"/>
        <w:ind w:leftChars="0" w:left="480" w:right="0"/>
      </w:pPr>
      <w:r>
        <w:t>Οι όροι Ευρώπη (ΕΟΧ), Ευρώπη (πλην του ΕΟΧ), Βόρεια Αμερική, Νότια Αμερική, Ασία / Ειρηνικός, Μέση Ανατολή και Αφρική νοούνται όπως και στις κατευθυντήριες γραμμές της Ευρωπαϊκής Αρχής Κινητών Αξιών και Αγορών (ΕΑΚΑΑ) (ESMA/2014/869EN).</w:t>
      </w:r>
    </w:p>
    <w:p>
      <w:pPr>
        <w:pStyle w:val="Definition"/>
        <w:ind w:leftChars="0" w:left="480" w:right="0"/>
      </w:pPr>
      <w:r>
        <w:t>Ως υπερεθνική / πολλαπλή περιφέρεια νοείται ο ΕΟ ο οποίος επενδύει κατά κύριο λόγο σε στοιχεία του ενεργητικού έκδοσης υπερεθνικών οντοτήτων ή ο οποίος δεν επενδύει κατά κύριο λόγο σε καμία γεωγραφική περιφέρεια από τις καθοριζόμενες ανωτέρω.</w:t>
      </w:r>
    </w:p>
    <w:p>
      <w:pPr>
        <w:pStyle w:val="Definition"/>
        <w:ind w:leftChars="0" w:left="480" w:right="0"/>
      </w:pPr>
      <w:r>
        <w:t xml:space="preserve">Η τιμή επιλέγεται από τη λίστα τιμών </w:t>
      </w:r>
      <w:hyperlink w:anchor="_19a3682718afa1abfef6b6ad94ba0897">
        <w:r>
          <w:rPr>
            <w:rStyle w:val="Hyperlink"/>
          </w:rPr>
          <w:t>FND_GGRPHCL_FCS</w:t>
        </w:r>
      </w:hyperlink>
    </w:p>
    <w:p>
      <w:pPr>
        <w:pStyle w:val="DefinitionTerm"/>
        <w:ind w:leftChars="0" w:left="0" w:right="0"/>
        <w:keepNext/>
      </w:pPr>
      <w:r>
        <w:t>Εστίαση των ομολογιακών ΕΟ (BND_FCS)</w:t>
      </w:r>
    </w:p>
    <w:p>
      <w:pPr>
        <w:pStyle w:val="Definition"/>
        <w:ind w:leftChars="0" w:left="480" w:right="0"/>
      </w:pPr>
      <w:r>
        <w:t>Επικρατέστερο (άνω του 50%) είδος επενδύσεων των ΕΟ με ομολογιακή επενδυτική πολιτική.</w:t>
      </w:r>
    </w:p>
    <w:p>
      <w:pPr>
        <w:pStyle w:val="Definition"/>
        <w:ind w:leftChars="0" w:left="480" w:right="0"/>
      </w:pPr>
      <w:r>
        <w:t>Τιμή συμπληρώνεται μόνο όταν η μεταβλητή INVSTMNT_PLCY λαμβάνει την τιμή BON.</w:t>
      </w:r>
    </w:p>
    <w:p>
      <w:pPr>
        <w:pStyle w:val="Definition"/>
        <w:ind w:leftChars="0" w:left="480" w:right="0"/>
      </w:pPr>
      <w:r>
        <w:t xml:space="preserve">Η τιμή επιλέγεται από τη λίστα τιμών </w:t>
      </w:r>
      <w:hyperlink w:anchor="_6d9338b7305c3e1f15e50d3c4423448b">
        <w:r>
          <w:rPr>
            <w:rStyle w:val="Hyperlink"/>
          </w:rPr>
          <w:t>FND_BND_FCS</w:t>
        </w:r>
      </w:hyperlink>
    </w:p>
    <w:p>
      <w:pPr>
        <w:pStyle w:val="DefinitionTerm"/>
        <w:ind w:leftChars="0" w:left="0" w:right="0"/>
        <w:keepNext/>
      </w:pPr>
      <w:r>
        <w:t>Τύπος εταιρείας επενδύσεων σε ακίνητα (RL_ESTT_TYP)</w:t>
      </w:r>
    </w:p>
    <w:p>
      <w:pPr>
        <w:pStyle w:val="Definition"/>
        <w:ind w:leftChars="0" w:left="480" w:right="0"/>
      </w:pPr>
      <w:r>
        <w:t>Επικρατέστερο (άνω του 50%) είδος επενδύσεων των ΠΜ που επενδύουν σε ακίνητα.</w:t>
      </w:r>
    </w:p>
    <w:p>
      <w:pPr>
        <w:pStyle w:val="Definition"/>
        <w:ind w:leftChars="0" w:left="480" w:right="0"/>
      </w:pPr>
      <w:r>
        <w:t>Τιμή συμπληρώνεται μόνο όταν η μεταβλητή INVSTMNT_PLCY λαμβάνει την τιμή RES.</w:t>
      </w:r>
    </w:p>
    <w:p>
      <w:pPr>
        <w:pStyle w:val="Definition"/>
        <w:ind w:leftChars="0" w:left="480" w:right="0"/>
      </w:pPr>
      <w:r>
        <w:t xml:space="preserve">Η τιμή επιλέγεται από τη λίστα τιμών </w:t>
      </w:r>
      <w:hyperlink w:anchor="_e772f01debb4814be06b599f43de1382">
        <w:r>
          <w:rPr>
            <w:rStyle w:val="Hyperlink"/>
          </w:rPr>
          <w:t>FND_RL_ESTT_TYP</w:t>
        </w:r>
      </w:hyperlink>
    </w:p>
    <w:p>
      <w:pPr>
        <w:pStyle w:val="DefinitionTerm"/>
        <w:ind w:leftChars="0" w:left="0" w:right="0"/>
        <w:keepNext/>
      </w:pPr>
      <w:r>
        <w:t>Ένδειξη επενδύσεων του ΕΟ σε άλλους ΕΟ (IS_FOF)</w:t>
      </w:r>
    </w:p>
    <w:p>
      <w:pPr>
        <w:pStyle w:val="Definition"/>
        <w:ind w:leftChars="0" w:left="480" w:right="0"/>
      </w:pPr>
      <w:r>
        <w:t>Ένδειξη ότι το επικρατέστερο (άνω του 50%) είδος επενδύσεων του ΕΟ είναι σε άλλους ΕΟ (fund of fund).</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διαπραγματεύσιμου αμοιβαίου κεφαλαίου (IS_ETF)</w:t>
      </w:r>
    </w:p>
    <w:p>
      <w:pPr>
        <w:pStyle w:val="Definition"/>
        <w:ind w:leftChars="0" w:left="480" w:right="0"/>
      </w:pPr>
      <w:r>
        <w:t>Ένδειξη ότι ο ΕΟ αποτελεί διαπραγματεύσιμο αμοιβαίο κεφάλαιο (ΔΑΚ).</w:t>
      </w:r>
    </w:p>
    <w:p>
      <w:pPr>
        <w:pStyle w:val="Definition"/>
        <w:ind w:leftChars="0" w:left="480" w:right="0"/>
      </w:pPr>
      <w:r>
        <w:t>Ως διαπραγματεύσιμο αμοιβαίο κεφάλαιο (ΔΑΚ) (exchange traded fund — ETF) νοείται το «ΔΑΚ ΟΣΕΚΑ» κατά τα οριζόμενα στην παράγραφο 3 τέταρτο εδάφιο των κατευθυντήριων γραμμών της ΕΑΚΑΑ (ESMA/2012/832). Σύμφωνα με τον ορισμό της ΕΑΚΑΑ, ΔΑΚ ΟΣΕΚΑ είναι ένας ΟΣΕΚΑ του οποίου τουλάχιστον ένα μερίδιο ή μία κατηγορία μεριδίου αποτελεί αντικείμενο διαπραγμάτευσης καθ’ όλη τη διάρκεια της ημέρας σε μία τουλάχιστον οργανωμένη αγορά ή σε ένα τουλάχιστον πολυμερή μηχανισμό διαπραγμάτευσης με έναν τουλάχιστον ειδικό διαπραγματευτή ο οποίος λαμβάνει μέτρα ώστε η χρηματιστηριακή αξία των μεριδίων του να μην διαφέρει σημαντικά από την καθαρή αξία ενεργητικού του και, ανάλογα με την περίπτωση, από την ενδεικτική καθαρή αξία ενεργητικού του. Θα πρέπει να συμπεριλαμβάνονται στην κατηγορία αυτή ΕΟ οι οποίοι δεν είναι ΟΣΕΚΑ και ανταποκρίνονται στον ορισμό της ΕΑΚΑΑ για τα ΔΑΚ.</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ιδιωτικού επενδυτικού κεφαλαίου (IS_PEF)</w:t>
      </w:r>
    </w:p>
    <w:p>
      <w:pPr>
        <w:pStyle w:val="Definition"/>
        <w:ind w:leftChars="0" w:left="480" w:right="0"/>
      </w:pPr>
      <w:r>
        <w:t>Ένδειξη ότι ο ΕΟ έχει τη μορφή ιδιωτικού επενδυτικού κεφαλαίου.</w:t>
      </w:r>
    </w:p>
    <w:p>
      <w:pPr>
        <w:pStyle w:val="Definition"/>
        <w:ind w:leftChars="0" w:left="480" w:right="0"/>
      </w:pPr>
      <w:r>
        <w:t>Ως ιδιωτικά επενδυτικά κεφάλαια (ΙΕΚ) (private equity funds — PEFs ) νοούνται ΕΟ χωρίς μόχλευση, οι οποίοι επενδύουν κυρίως σε συμμετοχικούς τίτλους και άλλα μέσα, παρεμφερή από οικονομικής απόψεως με αυτούς, έκδοσης μη εισηγμένων εταιρειών. Υποκατηγορία των ΙΕΚ είναι τα αμοιβαία κεφάλαια επιχειρηματικών συμμετοχών (ΑΚΕΣ), τα οποία επενδύουν σε νέες επιχειρήσεις. Τα ΙΕΚ (συμπεριλαμβανομένων των ΑΚΕΣ) συνήθως συνιστώνται ως αμοιβαία κεφάλαια κλειστού τύπου ή ετερόρρυθμες εταιρείες υπό τη διαχείριση εταιρειών ιδιωτικών επενδυτικών κεφαλαίων (ΕΙΕΚ) ή εταιρειών κεφαλαίου επιχειρηματικών συμμετοχών (ΕΚΕΣ) στην περίπτωση των ΑΚΕΣ. Παρόλο που τα ΙΕΚ (συμπεριλαμβανομένων των ΑΚΕΣ) ταξινομούνται στους ΕΟ σύμφωνα με το άρθρο 2 του παρόντος κανονισμού, οι ΕΙΕΚ και οι ΕΚΕΣ ταξινομούνται στους επικουρικούς χρηματοοικονομικούς οργανισμούς και φορείς (ΕΣΛ 2010, υποτομέας S.126) εάν απλά διαχειρίζονται στοιχεία του ενεργητικού των ΙΕΚ και ΑΚΕΣ και στους λοιπούς ενδιάμεσους χρηματοοικονομικούς οργανισμούς (ΕΣΛ 2010, υποτομέας S.125) εάν επενδύουν για ίδιο λογαριασμό σε μετοχικούς τίτλους εταιρειών που δεν είναι εισηγμένες στο χρηματιστήριο.</w:t>
      </w:r>
    </w:p>
    <w:p>
      <w:pPr>
        <w:pStyle w:val="Definition"/>
        <w:ind w:leftChars="0" w:left="480" w:right="0"/>
      </w:pPr>
      <w:r>
        <w:t xml:space="preserve">Το είδος της τιμής είναι </w:t>
      </w:r>
      <w:hyperlink w:anchor="_61475e06de6a7be1f8dfa817f566b5a6">
        <w:r>
          <w:rPr>
            <w:rStyle w:val="Hyperlink"/>
          </w:rPr>
          <w:t>BOOLEAN</w:t>
        </w:r>
      </w:hyperlink>
    </w:p>
    <w:bookmarkStart w:id="182" w:name="_d939b42535579590a2a78521c65e1072"/>
    <w:p>
      <w:pPr>
        <w:pStyle w:val="DefinitionTerm"/>
        <w:ind w:leftChars="0" w:left="0" w:right="0"/>
        <w:keepNext/>
      </w:pPr>
      <w:r>
        <w:t>Νόμισμα αποτίμησης του ΕΟ (VLTN_CRRNCY)</w:t>
      </w:r>
    </w:p>
    <w:p>
      <w:pPr>
        <w:pStyle w:val="Definition"/>
        <w:ind w:leftChars="0" w:left="480" w:right="0"/>
      </w:pPr>
      <w:r>
        <w:t>Νόμισμα βάση του οποίου γίνεται η αποτίμηση του ΕΟ.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bookmarkEnd w:id="182"/>
    <w:bookmarkEnd w:id="181"/>
    <w:bookmarkEnd w:id="179"/>
    <w:bookmarkEnd w:id="178"/>
    <w:bookmarkStart w:id="183" w:name="_51e38bac31a4d8ca598d6199de6e5f78"/>
    <w:bookmarkStart w:id="184" w:name="_3980160ff7358ec6de24a61633904d65"/>
    <w:p>
      <w:pPr>
        <w:pStyle w:val="Heading5"/>
        <w:keepNext/>
      </w:pPr>
      <w:r>
        <w:t xml:space="preserve">3 </w:t>
      </w:r>
      <w:r>
        <w:t>Πίνακας B5: Στοιχεία Αναφοράς Χρεογράφων Εκδοθέντων από των ΕΟ (SELF_DBT)</w:t>
      </w:r>
    </w:p>
    <w:p>
      <w:pPr>
        <w:pStyle w:val="Body Text"/>
        <w:ind w:leftChars="0" w:left="0" w:right="0"/>
      </w:pPr>
      <w:r>
        <w:t>Χρησιμοποιείται για την παροχή στοιχείων αναφοράς για ιδίων εκδόσεων ομόλογα και περιλαμβάνει πεδία που μπορούν να λάβουν έως μια ξεχωριστή τιμή κατά τη διάρκεια του κύκλου ζωής της κάθε ιδίας έκδοσης.</w:t>
      </w:r>
    </w:p>
    <w:p>
      <w:pPr>
        <w:pStyle w:val="Body Text"/>
        <w:ind w:leftChars="0" w:left="0" w:right="0"/>
      </w:pPr>
      <w:r>
        <w:t>Ακολουθεί η περιγραφή των μεταβλητών του πίνακα:</w:t>
      </w:r>
    </w:p>
    <w:bookmarkStart w:id="185" w:name="_878832fecdd549e7591e0427bd69e052"/>
    <w:p>
      <w:pPr>
        <w:pStyle w:val="Heading 6"/>
        <w:keepNext/>
      </w:pPr>
      <w:r>
        <w:t xml:space="preserve">3.1 </w:t>
      </w:r>
      <w:r>
        <w:t>ΔΙΑΣΤΑΣH</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bookmarkStart w:id="186" w:name="_46185ebc143f10ebf39dcc60cd93c5b1"/>
    <w:p>
      <w:pPr>
        <w:pStyle w:val="Heading 7"/>
        <w:keepNext/>
      </w:pPr>
      <w:r>
        <w:t xml:space="preserve">3.1.1 </w:t>
      </w:r>
      <w:r>
        <w:t>ΜΕΤΑΒΛΗΤΕΣ</w:t>
      </w:r>
    </w:p>
    <w:bookmarkStart w:id="187" w:name="_a02762b7cbb42089117527bb5aaafd24"/>
    <w:p>
      <w:pPr>
        <w:pStyle w:val="DefinitionTerm"/>
        <w:ind w:leftChars="0" w:left="0" w:right="0"/>
        <w:keepNext/>
      </w:pPr>
      <w:r>
        <w:t>Ημερομηνία Έκδοσης (DT_BRTH)</w:t>
      </w:r>
    </w:p>
    <w:p>
      <w:pPr>
        <w:pStyle w:val="Definition"/>
        <w:ind w:leftChars="0" w:left="480" w:right="0"/>
      </w:pPr>
      <w:r>
        <w:t>Ημερομηνία έκδοσης.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(DT_CLS)</w:t>
      </w:r>
    </w:p>
    <w:p>
      <w:pPr>
        <w:pStyle w:val="Definition"/>
        <w:ind w:leftChars="0" w:left="480" w:right="0"/>
      </w:pPr>
      <w:r>
        <w:t>Ημερομηνία λήξης/ολικής εξόφλησης του ομολόγου</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Αρχική Ημερομηνία Λήξης (ORGNL_MTRTY)</w:t>
      </w:r>
    </w:p>
    <w:p>
      <w:pPr>
        <w:pStyle w:val="Definition"/>
        <w:ind w:leftChars="0" w:left="480" w:right="0"/>
      </w:pPr>
      <w:r>
        <w:t>Αρχική ημερομηνία λήξης/ολικής εξόφλησης του ομολόγου.  Η μεταβλητή αυτή είναι χρήσιμη στην περίπτωση που κατά τη διάρκεια της ζωής του ομολόγου αλλάξει η ημερομηνία λήξης του και άρα η μεταβλητή DT_CLS αλλάξει τιμή.</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87"/>
    <w:bookmarkStart w:id="188" w:name="_2dc6f9a6feb2c7da63b2101b30bb675f"/>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ομόλογο.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Τιμή έκδοσης (ISS_PRC)</w:t>
      </w:r>
    </w:p>
    <w:p>
      <w:pPr>
        <w:pStyle w:val="Definition"/>
        <w:ind w:leftChars="0" w:left="480" w:right="0"/>
      </w:pPr>
      <w:r>
        <w:t>Τιμή έκδοσης.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Τιμή εξόφλησης (RDMPTN_PRC)</w:t>
      </w:r>
    </w:p>
    <w:p>
      <w:pPr>
        <w:pStyle w:val="Definition"/>
        <w:ind w:leftChars="0" w:left="480" w:right="0"/>
      </w:pPr>
      <w:r>
        <w:t>Τιμή τελικής εξόφλησης.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λεπτομέρειες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Αρχική ημερομηνία συσσώρευσης δεδουλευμένων τόκων (ACCRL_STRTDT)</w:t>
      </w:r>
    </w:p>
    <w:p>
      <w:pPr>
        <w:pStyle w:val="Definition"/>
        <w:ind w:leftChars="0" w:left="480" w:right="0"/>
      </w:pPr>
      <w:r>
        <w:t>Αρχική ημερομηνία συσσώρευσης δεδουλευμένων τόκων από τοκομερίδια.</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Είδος (TYP)</w:t>
      </w:r>
    </w:p>
    <w:p>
      <w:pPr>
        <w:pStyle w:val="Definition"/>
        <w:ind w:leftChars="0" w:left="480" w:right="0"/>
      </w:pPr>
      <w:r>
        <w:t>Είδος χρεογράφου.</w:t>
      </w:r>
    </w:p>
    <w:p>
      <w:pPr>
        <w:pStyle w:val="Definition"/>
        <w:ind w:leftChars="0" w:left="480" w:right="0"/>
      </w:pPr>
      <w:r>
        <w:t xml:space="preserve">Η τιμή επιλέγεται από τη λίστα τιμών </w:t>
      </w:r>
      <w:hyperlink w:anchor="_c168c184de7e8a57af5b3ab12135e64f">
        <w:r>
          <w:rPr>
            <w:rStyle w:val="Hyperlink"/>
          </w:rPr>
          <w:t>DBT_TYP</w:t>
        </w:r>
      </w:hyperlink>
    </w:p>
    <w:p>
      <w:pPr>
        <w:pStyle w:val="DefinitionTerm"/>
        <w:ind w:leftChars="0" w:left="0" w:right="0"/>
        <w:keepNext/>
      </w:pPr>
      <w:r>
        <w:t>Επίπεδο εγγύησης (GRNT_LVL)</w:t>
      </w:r>
    </w:p>
    <w:p>
      <w:pPr>
        <w:pStyle w:val="Definition"/>
        <w:ind w:leftChars="0" w:left="480" w:right="0"/>
      </w:pPr>
      <w:r>
        <w:t>Επίπεδο εγγύησης του ομολόγου</w:t>
      </w:r>
    </w:p>
    <w:p>
      <w:pPr>
        <w:pStyle w:val="Definition"/>
        <w:ind w:leftChars="0" w:left="480" w:right="0"/>
      </w:pPr>
      <w:r>
        <w:t xml:space="preserve">Η τιμή επιλέγεται από τη λίστα τιμών </w:t>
      </w:r>
      <w:hyperlink w:anchor="_b7a6935bd39da556684860e9853d8e20">
        <w:r>
          <w:rPr>
            <w:rStyle w:val="Hyperlink"/>
          </w:rPr>
          <w:t>DBT_GRNT_LVL</w:t>
        </w:r>
      </w:hyperlink>
    </w:p>
    <w:p>
      <w:pPr>
        <w:pStyle w:val="DefinitionTerm"/>
        <w:ind w:leftChars="0" w:left="0" w:right="0"/>
        <w:keepNext/>
      </w:pPr>
      <w:r>
        <w:t>Είδος κατάταξης (RNK_LVL)</w:t>
      </w:r>
    </w:p>
    <w:p>
      <w:pPr>
        <w:pStyle w:val="Definition"/>
        <w:ind w:leftChars="0" w:left="480" w:right="0"/>
      </w:pPr>
      <w:r>
        <w:t>Είδος κατάταξης του ομολόγου</w:t>
      </w:r>
    </w:p>
    <w:p>
      <w:pPr>
        <w:pStyle w:val="Definition"/>
        <w:ind w:leftChars="0" w:left="480" w:right="0"/>
      </w:pPr>
      <w:r>
        <w:t xml:space="preserve">Η τιμή επιλέγεται από τη λίστα τιμών </w:t>
      </w:r>
      <w:hyperlink w:anchor="_659530fe094ef3eb965a04d9c844998e">
        <w:r>
          <w:rPr>
            <w:rStyle w:val="Hyperlink"/>
          </w:rPr>
          <w:t>DBT_RNK_LVL</w:t>
        </w:r>
      </w:hyperlink>
    </w:p>
    <w:p>
      <w:pPr>
        <w:pStyle w:val="DefinitionTerm"/>
        <w:ind w:leftChars="0" w:left="0" w:right="0"/>
        <w:keepNext/>
      </w:pPr>
      <w:r>
        <w:t>Επίπεδο ασφάλισης (SCRTY_LVL)</w:t>
      </w:r>
    </w:p>
    <w:p>
      <w:pPr>
        <w:pStyle w:val="Definition"/>
        <w:ind w:leftChars="0" w:left="480" w:right="0"/>
      </w:pPr>
      <w:r>
        <w:t>Επίπεδο ασφάλειας του ομολόγου.</w:t>
      </w:r>
    </w:p>
    <w:p>
      <w:pPr>
        <w:pStyle w:val="Definition"/>
        <w:ind w:leftChars="0" w:left="480" w:right="0"/>
      </w:pPr>
      <w:r>
        <w:t xml:space="preserve">Η τιμή επιλέγεται από τη λίστα τιμών </w:t>
      </w:r>
      <w:hyperlink w:anchor="_b9ed45fff0f34337b0aeeddbd9b74c15">
        <w:r>
          <w:rPr>
            <w:rStyle w:val="Hyperlink"/>
          </w:rPr>
          <w:t>DBT_SCRTY_LVL</w:t>
        </w:r>
      </w:hyperlink>
    </w:p>
    <w:p>
      <w:pPr>
        <w:pStyle w:val="DefinitionTerm"/>
        <w:ind w:leftChars="0" w:left="0" w:right="0"/>
        <w:keepNext/>
      </w:pPr>
      <w:r>
        <w:t>Ένδειξη καλυμμένης ομολογίας (IS_CVRD)</w:t>
      </w:r>
    </w:p>
    <w:p>
      <w:pPr>
        <w:pStyle w:val="Definition"/>
        <w:ind w:leftChars="0" w:left="480" w:right="0"/>
      </w:pPr>
      <w:r>
        <w:t>Ένδειξη καλυμμένης ομολογίας όπως ορίζεται στην Κατευθυντήρια Γραμμή ΕΚΤ/2014/60</w:t>
      </w:r>
    </w:p>
    <w:p>
      <w:pPr>
        <w:pStyle w:val="Definition"/>
        <w:ind w:leftChars="0" w:left="480" w:right="0"/>
      </w:pPr>
      <w:r>
        <w:t>Για περισσότερες πληροφορίες δείτε την ΕΚΤ/2014/60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Είδος καλυμμένης ομολογίας (CVRD_TYP)</w:t>
      </w:r>
    </w:p>
    <w:p>
      <w:pPr>
        <w:pStyle w:val="Definition"/>
        <w:ind w:leftChars="0" w:left="480" w:right="0"/>
      </w:pPr>
      <w:r>
        <w:t>Είδος καλυμμένης ομολογίας.</w:t>
      </w:r>
    </w:p>
    <w:p>
      <w:pPr>
        <w:pStyle w:val="Definition"/>
        <w:ind w:leftChars="0" w:left="480" w:right="0"/>
      </w:pPr>
      <w:r>
        <w:t>Συμπληρώνεται μόνο στην περίπτωση που η μεταβλητή IS_CVRD λαμβάνει την τιμή TRUE.</w:t>
      </w:r>
    </w:p>
    <w:p>
      <w:pPr>
        <w:pStyle w:val="Definition"/>
        <w:ind w:leftChars="0" w:left="480" w:right="0"/>
      </w:pPr>
      <w:r>
        <w:t xml:space="preserve">Η τιμή επιλέγεται από τη λίστα τιμών </w:t>
      </w:r>
      <w:hyperlink w:anchor="_2dc9f14ce407dfc26f24a12f0cd3ffa3">
        <w:r>
          <w:rPr>
            <w:rStyle w:val="Hyperlink"/>
          </w:rPr>
          <w:t>DBT_CVRD_TYP</w:t>
        </w:r>
      </w:hyperlink>
    </w:p>
    <w:p>
      <w:pPr>
        <w:pStyle w:val="DefinitionTerm"/>
        <w:ind w:leftChars="0" w:left="0" w:right="0"/>
        <w:keepNext/>
      </w:pPr>
      <w:r>
        <w:t>Είδος τοκομεριδίου (CPN_TYP)</w:t>
      </w:r>
    </w:p>
    <w:p>
      <w:pPr>
        <w:pStyle w:val="Definition"/>
        <w:ind w:leftChars="0" w:left="480" w:right="0"/>
      </w:pPr>
      <w:r>
        <w:t>Είδος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6c1f59305c2e8b78bead65362100cc0d">
        <w:r>
          <w:rPr>
            <w:rStyle w:val="Hyperlink"/>
          </w:rPr>
          <w:t>DBT_CPN_TYP</w:t>
        </w:r>
      </w:hyperlink>
    </w:p>
    <w:p>
      <w:pPr>
        <w:pStyle w:val="DefinitionTerm"/>
        <w:ind w:leftChars="0" w:left="0" w:right="0"/>
        <w:keepNext/>
      </w:pPr>
      <w:r>
        <w:t>Νόμισμα τοκομεριδίου (CPN_CRRNCY)</w:t>
      </w:r>
    </w:p>
    <w:p>
      <w:pPr>
        <w:pStyle w:val="Definition"/>
        <w:ind w:leftChars="0" w:left="480" w:right="0"/>
      </w:pPr>
      <w:r>
        <w:t>Νόμισμα πληρωμής των τοκομεριδίων.</w:t>
      </w:r>
    </w:p>
    <w:p>
      <w:pPr>
        <w:pStyle w:val="Definition"/>
        <w:ind w:leftChars="0" w:left="480" w:right="0"/>
      </w:pPr>
      <w:r>
        <w:t xml:space="preserve">Συμπληρώνεται μόνο για ομόλογα που αποφέρουν εισοδηματική ροή με πληρωμή τοκομεριδίων Η τιμή επιλέγεται από τη λίστα τιμών </w:t>
      </w:r>
      <w:hyperlink w:anchor="_6201aa4d7e76fbd6b080361f324d593c">
        <w:r>
          <w:rPr>
            <w:rStyle w:val="Hyperlink"/>
          </w:rPr>
          <w:t>GEN_CRRNCY</w:t>
        </w:r>
      </w:hyperlink>
    </w:p>
    <w:p>
      <w:pPr>
        <w:pStyle w:val="DefinitionTerm"/>
        <w:ind w:leftChars="0" w:left="0" w:right="0"/>
        <w:keepNext/>
      </w:pPr>
      <w:r>
        <w:t>Συχνότητα πληρωμής τοκομεριδίου (CPN_FRQNCY)</w:t>
      </w:r>
    </w:p>
    <w:p>
      <w:pPr>
        <w:pStyle w:val="Definition"/>
        <w:ind w:leftChars="0" w:left="480" w:right="0"/>
      </w:pPr>
      <w:r>
        <w:t>Συχνότητα υποβολής στοιχείων ΕΟ εισοδηματικής ροής από πληρωμή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442c7dd7e8e0276c553d52243bd57605">
        <w:r>
          <w:rPr>
            <w:rStyle w:val="Hyperlink"/>
          </w:rPr>
          <w:t>DBT_CPN_FRQNCY</w:t>
        </w:r>
      </w:hyperlink>
    </w:p>
    <w:p>
      <w:pPr>
        <w:pStyle w:val="DefinitionTerm"/>
        <w:ind w:leftChars="0" w:left="0" w:right="0"/>
        <w:keepNext/>
      </w:pPr>
      <w:r>
        <w:t>Περιθώριο επιτοκίου (CPN_SPRD)</w:t>
      </w:r>
    </w:p>
    <w:p>
      <w:pPr>
        <w:pStyle w:val="Definition"/>
        <w:ind w:leftChars="0" w:left="480" w:right="0"/>
      </w:pPr>
      <w:r>
        <w:t>Περιθώριο επιτοκίου σε μονάδες βάσης (basis points)</w:t>
      </w:r>
    </w:p>
    <w:p>
      <w:pPr>
        <w:pStyle w:val="Definition"/>
        <w:ind w:leftChars="0" w:left="480" w:right="0"/>
      </w:pPr>
      <w:r>
        <w:t>Συμπληρώνεται μόνο για ομόλογα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1e303f6ea2ee1c5d5548f84158c699ac">
        <w:r>
          <w:rPr>
            <w:rStyle w:val="Hyperlink"/>
          </w:rPr>
          <w:t>NON NEGATIVE INTEGER</w:t>
        </w:r>
      </w:hyperlink>
    </w:p>
    <w:p>
      <w:pPr>
        <w:pStyle w:val="DefinitionTerm"/>
        <w:ind w:leftChars="0" w:left="0" w:right="0"/>
        <w:keepNext/>
      </w:pPr>
      <w:r>
        <w:t>Πολλαπλασιαστής επιτοκίου (CPN_MLTPLR)</w:t>
      </w:r>
    </w:p>
    <w:p>
      <w:pPr>
        <w:pStyle w:val="Definition"/>
        <w:ind w:leftChars="0" w:left="480" w:right="0"/>
      </w:pPr>
      <w:r>
        <w:t>Πολλαπλασιαστής για τον υπολογισμό του επιτοκίου των τοκομεριδίων.  Για παράδειγμα ένα κυμαινόμενο τοκομερίδιο με επιτόκιο 3 φορές το εξαμηνιαίο EURIBOR συν 20 μονάδες βάσης ο πολλαπλασιαστής είναι 3</w:t>
      </w:r>
    </w:p>
    <w:p>
      <w:pPr>
        <w:pStyle w:val="Definition"/>
        <w:ind w:leftChars="0" w:left="480" w:right="0"/>
      </w:pPr>
      <w:r>
        <w:t>Συμπληρώνεται μόνο για ομόλογα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Μέγιστη τιμή τοκομεριδίου (CPN_CP)</w:t>
      </w:r>
    </w:p>
    <w:p>
      <w:pPr>
        <w:pStyle w:val="Definition"/>
        <w:ind w:leftChars="0" w:left="480" w:right="0"/>
      </w:pPr>
      <w:r>
        <w:t>Μέγιστη τιμή του τοκομεριδίου</w:t>
      </w:r>
    </w:p>
    <w:p>
      <w:pPr>
        <w:pStyle w:val="Definition"/>
        <w:ind w:leftChars="0" w:left="480" w:right="0"/>
      </w:pPr>
      <w:r>
        <w:t>Συμπληρώνεται μόνο για ομόλογα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Ελάχιστη τιμή τοκομεριδίου (CPN_FLR)</w:t>
      </w:r>
    </w:p>
    <w:p>
      <w:pPr>
        <w:pStyle w:val="Definition"/>
        <w:ind w:leftChars="0" w:left="480" w:right="0"/>
      </w:pPr>
      <w:r>
        <w:t>Ελάχιστη τιμή του τοκομεριδίου</w:t>
      </w:r>
    </w:p>
    <w:p>
      <w:pPr>
        <w:pStyle w:val="Definition"/>
        <w:ind w:leftChars="0" w:left="480" w:right="0"/>
      </w:pPr>
      <w:r>
        <w:t>Συμπληρώνεται μόνο για ομόλογα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Ημερομηνία πρώτου τοκομεριδίου (FRST_CPN_DT)</w:t>
      </w:r>
    </w:p>
    <w:p>
      <w:pPr>
        <w:pStyle w:val="Definition"/>
        <w:ind w:leftChars="0" w:left="480" w:right="0"/>
      </w:pPr>
      <w:r>
        <w:t>Ημερομηνία καταβολής του πρώτου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Ημερομηνία τελευταίου τοκομεριδίου (LST_CPN_DT)</w:t>
      </w:r>
    </w:p>
    <w:p>
      <w:pPr>
        <w:pStyle w:val="Definition"/>
        <w:ind w:leftChars="0" w:left="480" w:right="0"/>
      </w:pPr>
      <w:r>
        <w:t>Ημερομηνία καταβολής του τελευταίου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Προϊόν βάσης (UNDRLYNG)</w:t>
      </w:r>
    </w:p>
    <w:p>
      <w:pPr>
        <w:pStyle w:val="Definition"/>
        <w:ind w:leftChars="0" w:left="480" w:right="0"/>
      </w:pPr>
      <w:r>
        <w:t>Προϊόν βάση του οποίου καθορίζεται το κυμαινόμενο τοκομερίδιο.</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Ελάχιστο ποσό επένδυσης (MNMM_INVSTMNT)</w:t>
      </w:r>
    </w:p>
    <w:p>
      <w:pPr>
        <w:pStyle w:val="Definition"/>
        <w:ind w:leftChars="0" w:left="480" w:right="0"/>
      </w:pPr>
      <w:r>
        <w:t>Ελάχιστο ποσό επένδυσης εκφραζόμενο στο νόμισμα έκδοσης του χρεογράφου σε ονομαστική αξία.</w:t>
      </w:r>
    </w:p>
    <w:p>
      <w:pPr>
        <w:pStyle w:val="Definition"/>
        <w:ind w:leftChars="0" w:left="480" w:right="0"/>
      </w:pPr>
      <w:r>
        <w:t>Συμπληρώνεται μόνο για χρεόγραφα που ορίζουν ελάχιστο ποσό επένδυσης.</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Ένδειξη ιδιωτικής τοποθέτησης (IS_PRVT)</w:t>
      </w:r>
    </w:p>
    <w:p>
      <w:pPr>
        <w:pStyle w:val="Definition"/>
        <w:ind w:leftChars="0" w:left="480" w:right="0"/>
      </w:pPr>
      <w:r>
        <w:t>Ένδειξη περί ιδιωτικής τοποθέτησης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Αναδιάρθρωση σε (RSTRCTRD_T)</w:t>
      </w:r>
    </w:p>
    <w:p>
      <w:pPr>
        <w:pStyle w:val="Definition"/>
        <w:ind w:leftChars="0" w:left="480" w:right="0"/>
      </w:pPr>
      <w:r>
        <w:t>Συμπληρώνεται ο αναγνωριστικός κωδικός του νέου χρεογράφου καθώς και η DT_CLS με την ημερομηνία αναδιάρθρωσης.</w:t>
      </w:r>
    </w:p>
    <w:p>
      <w:pPr>
        <w:pStyle w:val="Definition"/>
        <w:ind w:leftChars="0" w:left="480" w:right="0"/>
      </w:pPr>
      <w:r>
        <w:t>Συμπληρώνεται μόνο σε περίπτωση αναδιάρθρωσης σε νέο χρεόγραφο.</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Αναδιάρθρωση από (RSTRCTRD_FRM)</w:t>
      </w:r>
    </w:p>
    <w:p>
      <w:pPr>
        <w:pStyle w:val="Definition"/>
        <w:ind w:leftChars="0" w:left="480" w:right="0"/>
      </w:pPr>
      <w:r>
        <w:t>Συμπληρώνεται ο αναγνωριστικός κωδικός του δανείου από το οποίο προήλθε το χρεόγραφο.</w:t>
      </w:r>
    </w:p>
    <w:p>
      <w:pPr>
        <w:pStyle w:val="Definition"/>
        <w:ind w:leftChars="0" w:left="480" w:right="0"/>
      </w:pPr>
      <w:r>
        <w:t>Συμπληρώνεται μόνο σε περίπτωση που το χρεόγραφο προήλθε από αναδιάρθρωση δανείου.</w:t>
      </w:r>
    </w:p>
    <w:p>
      <w:pPr>
        <w:pStyle w:val="Definition"/>
        <w:ind w:leftChars="0" w:left="480" w:right="0"/>
      </w:pPr>
      <w:r>
        <w:t xml:space="preserve">Το είδος της τιμής είναι </w:t>
      </w:r>
      <w:hyperlink w:anchor="_bc42454f9e0a26f44eecad8a8c695cfa">
        <w:r>
          <w:rPr>
            <w:rStyle w:val="Hyperlink"/>
          </w:rPr>
          <w:t>LON</w:t>
        </w:r>
      </w:hyperlink>
    </w:p>
    <w:bookmarkEnd w:id="188"/>
    <w:bookmarkEnd w:id="186"/>
    <w:bookmarkEnd w:id="185"/>
    <w:bookmarkEnd w:id="184"/>
    <w:bookmarkEnd w:id="183"/>
    <w:bookmarkStart w:id="189" w:name="_ef5d0779159cc1b9902bb97a37537da6"/>
    <w:bookmarkStart w:id="190" w:name="_3bdef56e6632452145c9d54dd971b538"/>
    <w:p>
      <w:pPr>
        <w:pStyle w:val="Heading5"/>
        <w:keepNext/>
      </w:pPr>
      <w:r>
        <w:t xml:space="preserve">4 </w:t>
      </w:r>
      <w:r>
        <w:t>Πίνακας B6: Μεταβλητά Στοιχεία Αναφοράς Χρεογράφων Εκδοθέντων από τον ΕΟ (SELF_DBT)</w:t>
      </w:r>
    </w:p>
    <w:p>
      <w:pPr>
        <w:pStyle w:val="Body Text"/>
        <w:ind w:leftChars="0" w:left="0" w:right="0"/>
      </w:pPr>
      <w:r>
        <w:t>Χρησιμοποιείται για την παροχή στοιχείων αναφοράς για ιδίων εκδόσεων ομόλογα και περιλαμβάνει μετρήσεις που δύναται να μεταβληθούν κατά τη διάρκεια του κύκλου ζωής της κάθε ιδίας έκδοσης.</w:t>
      </w:r>
    </w:p>
    <w:p>
      <w:pPr>
        <w:pStyle w:val="Body Text"/>
        <w:ind w:leftChars="0" w:left="0" w:right="0"/>
      </w:pPr>
      <w:r>
        <w:t>Ακολουθεί η περιγραφή των μεταβλητών του πίνακα:</w:t>
      </w:r>
    </w:p>
    <w:bookmarkStart w:id="191" w:name="_e90ae9bebefa6943971253c5cf1930c4"/>
    <w:p>
      <w:pPr>
        <w:pStyle w:val="Heading 6"/>
        <w:keepNext/>
      </w:pPr>
      <w:r>
        <w:t xml:space="preserve">4.1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1"/>
    <w:bookmarkStart w:id="192" w:name="_ec77dce0e8a0d539dd47afb4a3fd3559"/>
    <w:p>
      <w:pPr>
        <w:pStyle w:val="Heading 6"/>
        <w:keepNext/>
      </w:pPr>
      <w:r>
        <w:t xml:space="preserve">4.2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του χρεογράφου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r>
        <w:t>.</w:t>
      </w:r>
    </w:p>
    <w:p>
      <w:pPr>
        <w:pStyle w:val="DefinitionTerm"/>
        <w:ind w:leftChars="0" w:left="0" w:right="0"/>
        <w:keepNext/>
      </w:pPr>
      <w:r>
        <w:t>Σύντομη ονομασία χρεογράφου (NM_SHRT)</w:t>
      </w:r>
    </w:p>
    <w:p>
      <w:pPr>
        <w:pStyle w:val="Definition"/>
        <w:ind w:leftChars="0" w:left="480" w:right="0"/>
      </w:pPr>
      <w:r>
        <w:t>Σύντομη ονομασία του χρεογράφου ή το FISN του χρεογράφου.</w:t>
      </w:r>
    </w:p>
    <w:p>
      <w:pPr>
        <w:pStyle w:val="Definition"/>
        <w:ind w:leftChars="0" w:left="480" w:right="0"/>
      </w:pPr>
      <w:r>
        <w:t>Συμπληρώνεται μόνο αν υπάρχει τέτοια ονομασία για το χρεόγραφο.</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Κατάσταση (STTS)</w:t>
      </w:r>
    </w:p>
    <w:p>
      <w:pPr>
        <w:pStyle w:val="Definition"/>
        <w:ind w:leftChars="0" w:left="480" w:right="0"/>
      </w:pPr>
      <w:r>
        <w:t>Κατάσταση του χρεογράφου</w:t>
      </w:r>
    </w:p>
    <w:p>
      <w:pPr>
        <w:pStyle w:val="Definition"/>
        <w:ind w:leftChars="0" w:left="480" w:right="0"/>
      </w:pPr>
      <w:r>
        <w:t xml:space="preserve">Η τιμή επιλέγεται από τη λίστα τιμών </w:t>
      </w:r>
      <w:hyperlink w:anchor="_a7e806ed3242420b3accb4afb5ccf664">
        <w:r>
          <w:rPr>
            <w:rStyle w:val="Hyperlink"/>
          </w:rPr>
          <w:t>DBT_STTS</w:t>
        </w:r>
      </w:hyperlink>
    </w:p>
    <w:p>
      <w:pPr>
        <w:pStyle w:val="DefinitionTerm"/>
        <w:ind w:leftChars="0" w:left="0" w:right="0"/>
        <w:keepNext/>
      </w:pPr>
      <w:r>
        <w:t>Ημερομηνία λήξης (MTRTY_DT)</w:t>
      </w:r>
    </w:p>
    <w:p>
      <w:pPr>
        <w:pStyle w:val="Definition"/>
        <w:ind w:leftChars="0" w:left="480" w:right="0"/>
      </w:pPr>
      <w:r>
        <w:t>Ημερομηνία λήξης ή εξόφλησης.  Είναι δυνατό αυτή η ημερομηνία να τροποποιηθεί κατά τη διάρκεια του κύκλου ζωής του χρεογράφου. Σε αυτή την περίπτωση αναθεωρείται η τιμή της REF:SELF_DBT:DT_CLS.</w:t>
      </w:r>
    </w:p>
    <w:p>
      <w:pPr>
        <w:pStyle w:val="Definition"/>
        <w:ind w:leftChars="0" w:left="480" w:right="0"/>
      </w:pPr>
      <w:r>
        <w:t>Η μεταβλητή συμπληρώνεται μόνο αν το χρεόγραφο έχει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ΕΟ που έχει εκδώσει το χρεόγραφο.</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χρεογράφου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bookmarkEnd w:id="192"/>
    <w:bookmarkEnd w:id="190"/>
    <w:bookmarkEnd w:id="189"/>
    <w:bookmarkStart w:id="193" w:name="_3fc4cd73a2aa8bd98ce747c7a832ba3c"/>
    <w:bookmarkStart w:id="194" w:name="_9b478268ec12cc9f54f42e9b2088d232"/>
    <w:p>
      <w:pPr>
        <w:pStyle w:val="Heading5"/>
        <w:keepNext/>
      </w:pPr>
      <w:r>
        <w:t xml:space="preserve">5 </w:t>
      </w:r>
      <w:r>
        <w:t>Πίνακας B7: Μεταβολή της Εναπομείνουσας Αξίας Χρεογράφων Εκδοθέντων από τον ΕΟ (SELF_DBT_OUTSTNDNG_CHNG)</w:t>
      </w:r>
    </w:p>
    <w:p>
      <w:pPr>
        <w:pStyle w:val="Body Text"/>
        <w:ind w:leftChars="0" w:left="0" w:right="0"/>
      </w:pPr>
      <w:r>
        <w:t>Χρησιμοποιείται για την παροχή στοιχείων μεταβολής της εναπομένουσας αξίας ιδίων εκδοθέντων χρεογράφων των ΕΟ.</w:t>
      </w:r>
    </w:p>
    <w:p>
      <w:pPr>
        <w:pStyle w:val="Body Text"/>
        <w:ind w:leftChars="0" w:left="0" w:right="0"/>
      </w:pPr>
      <w:r>
        <w:t>Ακολουθεί περιγραφή των μεταβλητών του πίνακα:</w:t>
      </w:r>
    </w:p>
    <w:bookmarkStart w:id="195" w:name="_ec0726d6eeeaec693c2a735824491ae7"/>
    <w:p>
      <w:pPr>
        <w:pStyle w:val="Heading 6"/>
        <w:keepNext/>
      </w:pPr>
      <w:r>
        <w:t xml:space="preserve">5.1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Λόγος μεταβολής (RSN)</w:t>
      </w:r>
    </w:p>
    <w:p>
      <w:pPr>
        <w:pStyle w:val="Definition"/>
        <w:ind w:leftChars="0" w:left="480" w:right="0"/>
      </w:pPr>
      <w:r>
        <w:t>Ο λόγος μεταβολής της εναπομένουσας αξίας.</w:t>
      </w:r>
    </w:p>
    <w:p>
      <w:pPr>
        <w:pStyle w:val="Definition"/>
        <w:ind w:leftChars="0" w:left="480" w:right="0"/>
      </w:pPr>
      <w:r>
        <w:t xml:space="preserve">Η τιμή επιλέγεται από τη λίστα τιμών </w:t>
      </w:r>
      <w:hyperlink w:anchor="_a4360f83c20b07c21357988a6cb9bb54">
        <w:r>
          <w:rPr>
            <w:rStyle w:val="Hyperlink"/>
          </w:rPr>
          <w:t>DBT_OUTSTNDNG_CHN_TYP</w:t>
        </w:r>
      </w:hyperlink>
    </w:p>
    <w:p>
      <w:pPr>
        <w:pStyle w:val="DefinitionTerm"/>
        <w:ind w:leftChars="0" w:left="0" w:right="0"/>
        <w:keepNext/>
      </w:pPr>
      <w:r>
        <w:t>Ημερομηνία μεταβολής (DT)</w:t>
      </w:r>
    </w:p>
    <w:p>
      <w:pPr>
        <w:pStyle w:val="Definition"/>
        <w:ind w:leftChars="0" w:left="480" w:right="0"/>
      </w:pPr>
      <w:r>
        <w:t>Ημερομηνία μεταβολής της εναπομένουσας αξίας.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5"/>
    <w:bookmarkStart w:id="196" w:name="_3f90be357df349d521b64b2a704b0cdc"/>
    <w:p>
      <w:pPr>
        <w:pStyle w:val="Heading 6"/>
        <w:keepNext/>
      </w:pPr>
      <w:r>
        <w:t xml:space="preserve">5.2 </w:t>
      </w:r>
      <w:r>
        <w:t>ΜΕΤΑΒΛΗΤΕΣ</w:t>
      </w:r>
    </w:p>
    <w:p>
      <w:pPr>
        <w:pStyle w:val="DefinitionTerm"/>
        <w:ind w:leftChars="0" w:left="0" w:right="0"/>
        <w:keepNext/>
      </w:pPr>
      <w:r>
        <w:t>Ποσό μεταβολής (AMNT)</w:t>
      </w:r>
    </w:p>
    <w:p>
      <w:pPr>
        <w:pStyle w:val="Definition"/>
        <w:ind w:leftChars="0" w:left="480" w:right="0"/>
      </w:pPr>
      <w:r>
        <w:t>Ποσό μεταβολής της εναπομένουσας ονομαστικής αξίας.</w:t>
      </w:r>
    </w:p>
    <w:p>
      <w:pPr>
        <w:pStyle w:val="Definition"/>
        <w:ind w:leftChars="0" w:left="480" w:right="0"/>
      </w:pPr>
      <w:r>
        <w:t>Οι εξοφλήσεις συμπληρώνονται με αρνητικό πρόσημο.</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Τιμή (PRC)</w:t>
      </w:r>
    </w:p>
    <w:p>
      <w:pPr>
        <w:pStyle w:val="Definition"/>
        <w:ind w:leftChars="0" w:left="480" w:right="0"/>
      </w:pPr>
      <w:r>
        <w:t>Τιμή της συναλλαγής της αλλαγής στην εναπομένουσα αξία.</w:t>
      </w:r>
    </w:p>
    <w:p>
      <w:pPr>
        <w:pStyle w:val="Definition"/>
        <w:ind w:leftChars="0" w:left="480" w:right="0"/>
      </w:pPr>
      <w:r>
        <w:t>Ποσοστό επί τοις εκατό % της απόλυτης τιμής της μεταβλητής AMNT.</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96"/>
    <w:bookmarkEnd w:id="194"/>
    <w:bookmarkEnd w:id="193"/>
    <w:bookmarkStart w:id="197" w:name="_470c176349f3afb6f39c4c133db4d606"/>
    <w:bookmarkStart w:id="198" w:name="_78cd0ba2cc07d7032410221774ec164d"/>
    <w:p>
      <w:pPr>
        <w:pStyle w:val="Heading5"/>
        <w:keepNext/>
      </w:pPr>
      <w:r>
        <w:t xml:space="preserve">6 </w:t>
      </w:r>
      <w:r>
        <w:t>Πίνακας B8: Στοιχεία Τοκομεριδίων Χρεογράφων Εκδοθέντων από τον ΕΟ (SELF_DBT_CPN)</w:t>
      </w:r>
    </w:p>
    <w:p>
      <w:pPr>
        <w:pStyle w:val="Body Text"/>
        <w:ind w:leftChars="0" w:left="0" w:right="0"/>
      </w:pPr>
      <w:r>
        <w:t>Χρησιμοποιείται για την παροχή στοιχείων επιτοκίων τοκομεριδίων (coupon rates) των ιδίων εκδοθέντων ομολόγων των ΕΟ.</w:t>
      </w:r>
    </w:p>
    <w:p>
      <w:pPr>
        <w:pStyle w:val="Body Text"/>
        <w:ind w:leftChars="0" w:left="0" w:right="0"/>
      </w:pPr>
      <w:r>
        <w:t>Ακολουθεί περιγραφή των μεταβλητών του πίνακα:</w:t>
      </w:r>
    </w:p>
    <w:bookmarkStart w:id="199" w:name="_f09819e7b298596dac09c4ecb691c091"/>
    <w:p>
      <w:pPr>
        <w:pStyle w:val="Heading 6"/>
        <w:keepNext/>
      </w:pPr>
      <w:r>
        <w:t xml:space="preserve">6.1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Ημερομηνία πληρωμής (DT)</w:t>
      </w:r>
    </w:p>
    <w:p>
      <w:pPr>
        <w:pStyle w:val="Definition"/>
        <w:ind w:leftChars="0" w:left="480" w:right="0"/>
      </w:pPr>
      <w:r>
        <w:t>Ημερομηνία πληρωμής τοκομεριδίου.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9"/>
    <w:bookmarkStart w:id="200" w:name="_dc6a6c13163848ad7a38a063c2e99d5a"/>
    <w:p>
      <w:pPr>
        <w:pStyle w:val="Heading 6"/>
        <w:keepNext/>
      </w:pPr>
      <w:r>
        <w:t xml:space="preserve">6.2 </w:t>
      </w:r>
      <w:r>
        <w:t>ΜΕΤΑΒΛΗΤΕΣ</w:t>
      </w:r>
    </w:p>
    <w:p>
      <w:pPr>
        <w:pStyle w:val="DefinitionTerm"/>
        <w:ind w:leftChars="0" w:left="0" w:right="0"/>
        <w:keepNext/>
      </w:pPr>
      <w:r>
        <w:t>Επιτόκιο (RT)</w:t>
      </w:r>
    </w:p>
    <w:p>
      <w:pPr>
        <w:pStyle w:val="Definition"/>
        <w:ind w:leftChars="0" w:left="480" w:right="0"/>
      </w:pPr>
      <w:r>
        <w:t>Επιτόκιο τοκομεριδίου σε ετησιοποιημένη βάση (annualized rate).</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200"/>
    <w:bookmarkEnd w:id="198"/>
    <w:bookmarkEnd w:id="197"/>
    <w:bookmarkStart w:id="201" w:name="_d1760c3ac166f31d7699f29e9852974e"/>
    <w:bookmarkStart w:id="202" w:name="_3c2054d93b615aae042238d760d5b41c"/>
    <w:p>
      <w:pPr>
        <w:pStyle w:val="Heading5"/>
        <w:keepNext/>
      </w:pPr>
      <w:r>
        <w:t xml:space="preserve">7 </w:t>
      </w:r>
      <w:r>
        <w:t>Πίνακας B9: Στοιχεία Αναφοράς Μετοχών/Μεριδίων Εκδοθέντων από τον ΕΟ (SELF_SHR)</w:t>
      </w:r>
    </w:p>
    <w:p>
      <w:pPr>
        <w:pStyle w:val="Body Text"/>
        <w:ind w:leftChars="0" w:left="0" w:right="0"/>
      </w:pPr>
      <w:r>
        <w:t>Χρησιμοποιείται για την παροχή στοιχείων αναφοράς ιδίων μετοχών/μεριδίων των ΕΟ και περιλαμβάνει μετρήσεις που μπορούν να λάβουν έως και μία ξεχωριστή τιμή κατά τη διάρκεια του κύκλου ζωής του κάθε τίτλου.</w:t>
      </w:r>
    </w:p>
    <w:p>
      <w:pPr>
        <w:pStyle w:val="Body Text"/>
        <w:ind w:leftChars="0" w:left="0" w:right="0"/>
      </w:pPr>
      <w:r>
        <w:t>Ακολουθεί περιγραφή των μεταβλητών του πίνακα:</w:t>
      </w:r>
    </w:p>
    <w:bookmarkStart w:id="203" w:name="_a79264b04e4ebea6c1965c46e3b7fddc"/>
    <w:p>
      <w:pPr>
        <w:pStyle w:val="Heading 6"/>
        <w:keepNext/>
      </w:pPr>
      <w:r>
        <w:t xml:space="preserve">7.1 </w:t>
      </w:r>
      <w:r>
        <w:t>ΔΙΑΣΤΑΣH</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bookmarkEnd w:id="203"/>
    <w:bookmarkStart w:id="204" w:name="_86e14e333c7d2878c65c8ec0c500cb42"/>
    <w:p>
      <w:pPr>
        <w:pStyle w:val="Heading 6"/>
        <w:keepNext/>
      </w:pPr>
      <w:r>
        <w:t xml:space="preserve">7.2 </w:t>
      </w:r>
      <w:r>
        <w:t>ΜΕΤΑΒΛΗΤΕΣ</w:t>
      </w:r>
    </w:p>
    <w:p>
      <w:pPr>
        <w:pStyle w:val="DefinitionTerm"/>
        <w:ind w:leftChars="0" w:left="0" w:right="0"/>
        <w:keepNext/>
      </w:pPr>
      <w:r>
        <w:t>Ημερομηνία έκδοσης (DT_BRTH)</w:t>
      </w:r>
    </w:p>
    <w:p>
      <w:pPr>
        <w:pStyle w:val="Definition"/>
        <w:ind w:leftChars="0" w:left="480" w:right="0"/>
      </w:pPr>
      <w:r>
        <w:t>Ημερομηνία έκδοσης/ενεργοποίησης/αρχικοποίησης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05" w:name="_2299e507588c1434b925c28d1ad9a0ad"/>
    <w:p>
      <w:pPr>
        <w:pStyle w:val="DefinitionTerm"/>
        <w:ind w:leftChars="0" w:left="0" w:right="0"/>
        <w:keepNext/>
      </w:pPr>
      <w:r>
        <w:t>Ημερομηνία λήξης (DT_CLS)</w:t>
      </w:r>
    </w:p>
    <w:p>
      <w:pPr>
        <w:pStyle w:val="Definition"/>
        <w:ind w:leftChars="0" w:left="480" w:right="0"/>
      </w:pPr>
      <w:r>
        <w:t>Ημερομηνία λήξης/ολικής ρευστοποίησης</w:t>
      </w:r>
    </w:p>
    <w:p>
      <w:pPr>
        <w:pStyle w:val="Definition"/>
        <w:ind w:leftChars="0" w:left="480" w:right="0"/>
      </w:pPr>
      <w:r>
        <w:t>Συμπληρώνεται μόνο στην περίπτωση λήξης/ρευστοποίησης.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05"/>
    <w:bookmarkStart w:id="206" w:name="_850a99103c3e14d0063ef70e06c82a82"/>
    <w:p>
      <w:pPr>
        <w:pStyle w:val="DefinitionTerm"/>
        <w:ind w:leftChars="0" w:left="0" w:right="0"/>
        <w:keepNext/>
      </w:pPr>
      <w:r>
        <w:t>Νόμισμα έκδοσης (CRRNCY)</w:t>
      </w:r>
    </w:p>
    <w:p>
      <w:pPr>
        <w:pStyle w:val="Definition"/>
        <w:ind w:leftChars="0" w:left="480" w:right="0"/>
      </w:pPr>
      <w:r>
        <w:t>Το νόμισμα έκδοσης του συμμετοχικού τίτλου.</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περισσότερες πληροφορίες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Αναδιάρθρωση σε (RSTRCTRD_T)</w:t>
      </w:r>
    </w:p>
    <w:p>
      <w:pPr>
        <w:pStyle w:val="Definition"/>
        <w:ind w:leftChars="0" w:left="480" w:right="0"/>
      </w:pPr>
      <w:r>
        <w:t xml:space="preserve">Συμπληρώνεται ο αναγνωριστικός κωδικός του νέου συμμετοχικού τίτλου καθώς και η </w:t>
      </w:r>
      <w:hyperlink w:anchor="_2299e507588c1434b925c28d1ad9a0ad">
        <w:r>
          <w:rPr>
            <w:rStyle w:val="Hyperlink"/>
          </w:rPr>
          <w:t>sishareclose</w:t>
        </w:r>
      </w:hyperlink>
      <w:r>
        <w:t xml:space="preserve"> με την ημερομηνία αναδιάρθρωσης.</w:t>
      </w:r>
    </w:p>
    <w:p>
      <w:pPr>
        <w:pStyle w:val="Definition"/>
        <w:ind w:leftChars="0" w:left="480" w:right="0"/>
      </w:pPr>
      <w:r>
        <w:t>Συμπληρώνεται μόνο σε περίπτωση αναδιάρθρωσης σε νέο συμμετοχικό τίτλο.</w:t>
      </w:r>
    </w:p>
    <w:p>
      <w:pPr>
        <w:pStyle w:val="Definition"/>
        <w:ind w:leftChars="0" w:left="480" w:right="0"/>
      </w:pPr>
      <w:r>
        <w:t xml:space="preserve">Το είδος της τιμής είναι </w:t>
      </w:r>
      <w:hyperlink w:anchor="_ea0d8623fb6a23229781ffb1843de537">
        <w:r>
          <w:rPr>
            <w:rStyle w:val="Hyperlink"/>
          </w:rPr>
          <w:t>SHR</w:t>
        </w:r>
      </w:hyperlink>
    </w:p>
    <w:bookmarkEnd w:id="206"/>
    <w:bookmarkEnd w:id="204"/>
    <w:bookmarkEnd w:id="202"/>
    <w:bookmarkEnd w:id="201"/>
    <w:bookmarkStart w:id="207" w:name="_8988216e00c2a37c505672d4bc724ef0"/>
    <w:bookmarkStart w:id="208" w:name="_3f928d2e96010158ceb31bdc003394fa"/>
    <w:p>
      <w:pPr>
        <w:pStyle w:val="Heading5"/>
        <w:keepNext/>
      </w:pPr>
      <w:r>
        <w:t xml:space="preserve">8 </w:t>
      </w:r>
      <w:r>
        <w:t>Πίνακας B10: Μεταβλητά Στοιχεία Αναφοράς Μετοχών/Μεριδίων εκδοθέντων από τον ΕΟ (SELF_SHR_DYNMC)</w:t>
      </w:r>
    </w:p>
    <w:p>
      <w:pPr>
        <w:pStyle w:val="Body Text"/>
        <w:ind w:leftChars="0" w:left="0" w:right="0"/>
      </w:pPr>
      <w:r>
        <w:t>Χρησιμοποιείται για την παροχή στοιχείων αναφοράς ιδίων μετοχών/μεριδίων των ΕΟ και περιλαμβάνει μετρήσεις που οι τιμές τους δύναται να μεταβληθούν κατά τη διάρκεια του κύκλου ζωής της μετοχής/μεριδίου.</w:t>
      </w:r>
    </w:p>
    <w:p>
      <w:pPr>
        <w:pStyle w:val="Body Text"/>
        <w:ind w:leftChars="0" w:left="0" w:right="0"/>
      </w:pPr>
      <w:r>
        <w:t>Ακολουθεί περιγραφή των μεταβλητών του πίνακα:</w:t>
      </w:r>
    </w:p>
    <w:bookmarkStart w:id="209" w:name="_b0322bc5bc0bb1554c3b1d7ad7e78fdf"/>
    <w:p>
      <w:pPr>
        <w:pStyle w:val="Heading 6"/>
        <w:keepNext/>
      </w:pPr>
      <w:r>
        <w:t xml:space="preserve">8.1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10" w:name="_f6f8fd184d220c5a8471af944d19e76f"/>
    <w:p>
      <w:pPr>
        <w:pStyle w:val="Heading 7"/>
        <w:keepNext/>
      </w:pPr>
      <w:r>
        <w:t xml:space="preserve">8.1.1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της μετοχής/μεριδίου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r>
        <w:t>.</w:t>
      </w:r>
    </w:p>
    <w:p>
      <w:pPr>
        <w:pStyle w:val="DefinitionTerm"/>
        <w:ind w:leftChars="0" w:left="0" w:right="0"/>
        <w:keepNext/>
      </w:pPr>
      <w:r>
        <w:t>Σύντομη ονομασία (NM_SHRT)</w:t>
      </w:r>
    </w:p>
    <w:p>
      <w:pPr>
        <w:pStyle w:val="Definition"/>
        <w:ind w:leftChars="0" w:left="480" w:right="0"/>
      </w:pPr>
      <w:r>
        <w:t>Σύντομη ονομασία ή το FISN της μετοχής/μεριδίου.</w:t>
      </w:r>
    </w:p>
    <w:p>
      <w:pPr>
        <w:pStyle w:val="Definition"/>
        <w:ind w:leftChars="0" w:left="480" w:right="0"/>
      </w:pPr>
      <w:r>
        <w:t>Συμπληρώνεται μόνο αν υπάρχει τέτοια ονομασία.</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ΕΟ που έχει εκδώσει το συμμετοχικό τίτλο.</w:t>
      </w:r>
    </w:p>
    <w:p>
      <w:pPr>
        <w:pStyle w:val="DefinitionTerm"/>
        <w:ind w:leftChars="0" w:left="0" w:right="0"/>
        <w:keepNext/>
      </w:pPr>
      <w:r>
        <w:t>Ονομαστική τιμή (NMNL_PRC)</w:t>
      </w:r>
    </w:p>
    <w:p>
      <w:pPr>
        <w:pStyle w:val="Definition"/>
        <w:ind w:leftChars="0" w:left="480" w:right="0"/>
      </w:pPr>
      <w:r>
        <w:t>Ονομαστική τιμή της μετοχής ή αρχική τιμή έκδοσης του μεριδίου.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μετοχής/μεριδίου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p>
      <w:pPr>
        <w:pStyle w:val="DefinitionTerm"/>
        <w:ind w:leftChars="0" w:left="0" w:right="0"/>
        <w:keepNext/>
      </w:pPr>
      <w:r>
        <w:t>Συχνότητα εξόφλησης (RDMPTN_FRQNCY)</w:t>
      </w:r>
    </w:p>
    <w:p>
      <w:pPr>
        <w:pStyle w:val="Definition"/>
        <w:ind w:leftChars="0" w:left="480" w:right="0"/>
      </w:pPr>
      <w:r>
        <w:t>Η συχνότητα εξόφλησης προσδιορίζει το χρονοδιάγραμμα βάσει του οποίου οι επενδυτές στον ΕΟ μπορούν να εξοφλούν τις μετοχές/μερίδια.</w:t>
      </w:r>
    </w:p>
    <w:p>
      <w:pPr>
        <w:pStyle w:val="Definition"/>
        <w:ind w:leftChars="0" w:left="480" w:right="0"/>
      </w:pPr>
      <w:r>
        <w:t xml:space="preserve">Η τιμή επιλέγεται από τη λίστα τιμών </w:t>
      </w:r>
      <w:hyperlink w:anchor="_5e70d2ce13d87fce769f8d5e350df3ba">
        <w:r>
          <w:rPr>
            <w:rStyle w:val="Hyperlink"/>
          </w:rPr>
          <w:t>OTHER_RDMPTN_FRQNCY</w:t>
        </w:r>
      </w:hyperlink>
      <w:r>
        <w:t>.</w:t>
      </w:r>
    </w:p>
    <w:p>
      <w:pPr>
        <w:pStyle w:val="DefinitionTerm"/>
        <w:ind w:leftChars="0" w:left="0" w:right="0"/>
        <w:keepNext/>
      </w:pPr>
      <w:r>
        <w:t>Ελάχιστο ποσό συμμετοχής (MNMM_AMNT)</w:t>
      </w:r>
    </w:p>
    <w:p>
      <w:pPr>
        <w:pStyle w:val="Definition"/>
        <w:ind w:leftChars="0" w:left="480" w:right="0"/>
      </w:pPr>
      <w:r>
        <w:t>Ελάχιστο ποσό συμμετοχής.</w:t>
      </w:r>
    </w:p>
    <w:p>
      <w:pPr>
        <w:pStyle w:val="Definition"/>
        <w:ind w:leftChars="0" w:left="480" w:right="0"/>
      </w:pPr>
      <w:r>
        <w:t>Τιμή συμπληρώνεται μόνο στην περίπτωση ύπαρξης ελάχιστου ποσού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Είδος μετοχής/μεριδίου (TYP)</w:t>
      </w:r>
    </w:p>
    <w:p>
      <w:pPr>
        <w:pStyle w:val="Definition"/>
        <w:ind w:leftChars="0" w:left="480" w:right="0"/>
      </w:pPr>
      <w:r>
        <w:t>Είδος της μετοχής/μεριδίου</w:t>
      </w:r>
    </w:p>
    <w:p>
      <w:pPr>
        <w:pStyle w:val="Definition"/>
        <w:ind w:leftChars="0" w:left="480" w:right="0"/>
      </w:pPr>
      <w:r>
        <w:t xml:space="preserve">Η τιμή επιλέγεται από τη λίστα τιμών </w:t>
      </w:r>
      <w:hyperlink w:anchor="_c38da8c814d270a51a92be278efc7d9e">
        <w:r>
          <w:rPr>
            <w:rStyle w:val="Hyperlink"/>
          </w:rPr>
          <w:t>SHR_TYP</w:t>
        </w:r>
      </w:hyperlink>
      <w:r>
        <w:t>.</w:t>
      </w:r>
    </w:p>
    <w:bookmarkEnd w:id="210"/>
    <w:bookmarkEnd w:id="209"/>
    <w:bookmarkEnd w:id="208"/>
    <w:bookmarkEnd w:id="207"/>
    <w:bookmarkStart w:id="211" w:name="_b187cb41847357fd7e991043daf506e8"/>
    <w:bookmarkStart w:id="212" w:name="_edd51ab4c8f9e25ba1bb503c615e3af7"/>
    <w:p>
      <w:pPr>
        <w:pStyle w:val="Heading5"/>
        <w:keepNext/>
      </w:pPr>
      <w:r>
        <w:t xml:space="preserve">9 </w:t>
      </w:r>
      <w:r>
        <w:t>Πίνακας B11: Μερίσματα Μετοχών/Μεριδίων Εκδοθέντων από τον ΕΟ (SELF_SHR_DVDND)</w:t>
      </w:r>
    </w:p>
    <w:p>
      <w:pPr>
        <w:pStyle w:val="Body Text"/>
        <w:ind w:leftChars="0" w:left="0" w:right="0"/>
      </w:pPr>
      <w:r>
        <w:t>Χρησιμοποιείται για στοιχεία μερισμάτων (dividends) ιδίων μετοχών/μεριδίων των ΕΟ.</w:t>
      </w:r>
    </w:p>
    <w:p>
      <w:pPr>
        <w:pStyle w:val="Body Text"/>
        <w:ind w:leftChars="0" w:left="0" w:right="0"/>
      </w:pPr>
      <w:r>
        <w:t>Ακολουθεί περιγραφή των μεταβλητών του πίνακα:</w:t>
      </w:r>
    </w:p>
    <w:bookmarkStart w:id="213" w:name="_2e19e179eb25d18a8a7ed588afc91713"/>
    <w:p>
      <w:pPr>
        <w:pStyle w:val="Heading 6"/>
        <w:keepNext/>
      </w:pPr>
      <w:r>
        <w:t xml:space="preserve">9.1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Ημερομηνία καταγραφής (DT)</w:t>
      </w:r>
    </w:p>
    <w:p>
      <w:pPr>
        <w:pStyle w:val="Definition"/>
        <w:ind w:leftChars="0" w:left="480" w:right="0"/>
      </w:pPr>
      <w:r>
        <w:t>Ημερομηνία καταγραφής που ο ΕΟ ελέγχει τα βιβλία του για να εντοπίσει τους κατόχους της ιδίας μετοχής/μεριδίου.</w:t>
      </w:r>
    </w:p>
    <w:p>
      <w:pPr>
        <w:pStyle w:val="Definition"/>
        <w:ind w:leftChars="0" w:left="480" w:right="0"/>
      </w:pPr>
      <w:r>
        <w:t>Ένας κάτοχος πρέπει να είναι δηλωμένος τη συγκεκριμένη ημερομηνία για να είναι δικαιούχος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13"/>
    <w:bookmarkStart w:id="214" w:name="_5618191d22d9ee118b921f6baad911c4"/>
    <w:p>
      <w:pPr>
        <w:pStyle w:val="Heading 6"/>
        <w:keepNext/>
      </w:pPr>
      <w:r>
        <w:t xml:space="preserve">9.2 </w:t>
      </w:r>
      <w:r>
        <w:t>ΜΕΤΑΒΛΗΤΕΣ</w:t>
      </w:r>
    </w:p>
    <w:p>
      <w:pPr>
        <w:pStyle w:val="DefinitionTerm"/>
        <w:ind w:leftChars="0" w:left="0" w:right="0"/>
        <w:keepNext/>
      </w:pPr>
      <w:r>
        <w:t>Επόμενη ημερομηνία (EX_DT)</w:t>
      </w:r>
    </w:p>
    <w:p>
      <w:pPr>
        <w:pStyle w:val="Definition"/>
        <w:ind w:leftChars="0" w:left="480" w:right="0"/>
      </w:pPr>
      <w:r>
        <w:t>Ημερομηνία από την οποία το μέρισμα δεν οφείλεται σε νέους κατόχους των μετοχών/μεριδίων (ΕΧ DATE)</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αναγγελίας (DCLRTN_DT)</w:t>
      </w:r>
    </w:p>
    <w:p>
      <w:pPr>
        <w:pStyle w:val="Definition"/>
        <w:ind w:leftChars="0" w:left="480" w:right="0"/>
      </w:pPr>
      <w:r>
        <w:t>Ημερομηνία αναγγελίας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πληρωμής (PMNT_DT)</w:t>
      </w:r>
    </w:p>
    <w:p>
      <w:pPr>
        <w:pStyle w:val="Definition"/>
        <w:ind w:leftChars="0" w:left="480" w:right="0"/>
      </w:pPr>
      <w:r>
        <w:t>Ημερομηνία πληρωμής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διανομής μερίσματος (FRQNCY)</w:t>
      </w:r>
    </w:p>
    <w:p>
      <w:pPr>
        <w:pStyle w:val="Definition"/>
        <w:ind w:leftChars="0" w:left="480" w:right="0"/>
      </w:pPr>
      <w:r>
        <w:t>Συχνότητα υποβολής στοιχείων ΕΟ διανομής μερίσματος.</w:t>
      </w:r>
    </w:p>
    <w:p>
      <w:pPr>
        <w:pStyle w:val="Definition"/>
        <w:ind w:leftChars="0" w:left="480" w:right="0"/>
      </w:pPr>
      <w:r>
        <w:t xml:space="preserve">Η τιμή επιλέγεται από τη λίστα τιμών </w:t>
      </w:r>
      <w:hyperlink w:anchor="_d3e077cc87713b10306e66d9d7407e77">
        <w:r>
          <w:rPr>
            <w:rStyle w:val="Hyperlink"/>
          </w:rPr>
          <w:t>DVDND_CSTM_FRQNCY</w:t>
        </w:r>
      </w:hyperlink>
      <w:r>
        <w:t>.</w:t>
      </w:r>
    </w:p>
    <w:p>
      <w:pPr>
        <w:pStyle w:val="DefinitionTerm"/>
        <w:ind w:leftChars="0" w:left="0" w:right="0"/>
        <w:keepNext/>
      </w:pPr>
      <w:r>
        <w:t>Είδος (TYP)</w:t>
      </w:r>
    </w:p>
    <w:p>
      <w:pPr>
        <w:pStyle w:val="Definition"/>
        <w:ind w:leftChars="0" w:left="480" w:right="0"/>
      </w:pPr>
      <w:r>
        <w:t>Είδος μερίσματος.</w:t>
      </w:r>
    </w:p>
    <w:p>
      <w:pPr>
        <w:pStyle w:val="Definition"/>
        <w:ind w:leftChars="0" w:left="480" w:right="0"/>
      </w:pPr>
      <w:r>
        <w:t xml:space="preserve">Η τιμή επιλέγεται από τη λίστα τιμών </w:t>
      </w:r>
      <w:hyperlink w:anchor="_2552303d50c2907dda403d423b6555fa">
        <w:r>
          <w:rPr>
            <w:rStyle w:val="Hyperlink"/>
          </w:rPr>
          <w:t>DVDND_TYP</w:t>
        </w:r>
      </w:hyperlink>
      <w:r>
        <w:t>.</w:t>
      </w:r>
    </w:p>
    <w:bookmarkStart w:id="215" w:name="_1741a800ca4e7eacd9416edcc1e92d81"/>
    <w:p>
      <w:pPr>
        <w:pStyle w:val="DefinitionTerm"/>
        <w:ind w:leftChars="0" w:left="0" w:right="0"/>
        <w:keepNext/>
      </w:pPr>
      <w:r>
        <w:t>Νόμισμα (CRRNCY)</w:t>
      </w:r>
    </w:p>
    <w:p>
      <w:pPr>
        <w:pStyle w:val="Definition"/>
        <w:ind w:leftChars="0" w:left="480" w:right="0"/>
      </w:pPr>
      <w:r>
        <w:t>Το νόμισμα διανομής του μερίσματος.</w:t>
      </w:r>
    </w:p>
    <w:p>
      <w:pPr>
        <w:pStyle w:val="Definition"/>
        <w:ind w:leftChars="0" w:left="480" w:right="0"/>
      </w:pPr>
      <w:r>
        <w:t>Συμπληρώνεται τιμή στη περίπτωση που το μέρισμα πληρώνεται σε νόμισμα.</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r>
        <w:t>.</w:t>
      </w:r>
    </w:p>
    <w:p>
      <w:pPr>
        <w:pStyle w:val="DefinitionTerm"/>
        <w:ind w:leftChars="0" w:left="0" w:right="0"/>
        <w:keepNext/>
      </w:pPr>
      <w:r>
        <w:t>Ποσό (AMNT)</w:t>
      </w:r>
    </w:p>
    <w:p>
      <w:pPr>
        <w:pStyle w:val="Definition"/>
        <w:ind w:leftChars="0" w:left="480" w:right="0"/>
      </w:pPr>
      <w:r>
        <w:t>Ποσό μερίσματος.</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215"/>
    <w:bookmarkEnd w:id="214"/>
    <w:bookmarkEnd w:id="212"/>
    <w:bookmarkEnd w:id="211"/>
    <w:bookmarkStart w:id="216" w:name="_e7f6696c8e817506b10b9e42c2015d68"/>
    <w:bookmarkStart w:id="217" w:name="_e8be33e82b2dbbcd1472988598c99bbf"/>
    <w:p>
      <w:pPr>
        <w:pStyle w:val="Heading5"/>
        <w:keepNext/>
      </w:pPr>
      <w:r>
        <w:t xml:space="preserve">10 </w:t>
      </w:r>
      <w:r>
        <w:t>Πίνακας B12: Διασπάσεις/Συμπτήξεις Μετοχών/Μεριδίων Εκδοθέντων από τον ΕΟ (SELF_SHR_SPLT)</w:t>
      </w:r>
    </w:p>
    <w:p>
      <w:pPr>
        <w:pStyle w:val="Body Text"/>
        <w:ind w:leftChars="0" w:left="0" w:right="0"/>
      </w:pPr>
      <w:r>
        <w:t>Χρησιμοποιείται για την παροχή στοιχείων διάσπασης/σύμπτυξης μετοχών/μεριδίων εκδοθέντων από τον ΕΟ.</w:t>
      </w:r>
    </w:p>
    <w:p>
      <w:pPr>
        <w:pStyle w:val="Body Text"/>
        <w:ind w:leftChars="0" w:left="0" w:right="0"/>
      </w:pPr>
      <w:r>
        <w:t>Ακολουθεί περιγραφή των μεταβλητών του πίνακα:</w:t>
      </w:r>
    </w:p>
    <w:bookmarkStart w:id="218" w:name="_1b440814e81c48cb4dbd65a58bccdb5c"/>
    <w:p>
      <w:pPr>
        <w:pStyle w:val="Heading 6"/>
        <w:keepNext/>
      </w:pPr>
      <w:r>
        <w:t xml:space="preserve">10.1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Ημερομηνία (DT)</w:t>
      </w:r>
    </w:p>
    <w:p>
      <w:pPr>
        <w:pStyle w:val="Definition"/>
        <w:ind w:leftChars="0" w:left="480" w:right="0"/>
      </w:pPr>
      <w:r>
        <w:t>Ημερομηνία διάσπασης/σύμπτυξης μετοχών/μεριδίων.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18"/>
    <w:bookmarkStart w:id="219" w:name="_46c1a563b70cbc1e4c8e493f5ef0d0a4"/>
    <w:p>
      <w:pPr>
        <w:pStyle w:val="Heading 6"/>
        <w:keepNext/>
      </w:pPr>
      <w:r>
        <w:t xml:space="preserve">10.2 </w:t>
      </w:r>
      <w:r>
        <w:t>ΜΕΤΑΒΛΗΤΕΣ</w:t>
      </w:r>
    </w:p>
    <w:p>
      <w:pPr>
        <w:pStyle w:val="DefinitionTerm"/>
        <w:ind w:leftChars="0" w:left="0" w:right="0"/>
        <w:keepNext/>
      </w:pPr>
      <w:r>
        <w:t>Συντελεστής (FCTR)</w:t>
      </w:r>
    </w:p>
    <w:p>
      <w:pPr>
        <w:pStyle w:val="Definition"/>
        <w:ind w:leftChars="0" w:left="480" w:right="0"/>
      </w:pPr>
      <w:r>
        <w:t>Ο συντελεστής μετατροπής οριζόμενος ως ο αριθμός μετοχών/μεριδίων πριν τη διάσπαση/σύμπτυξη διαιρούμενο με τον αριθμό των μετοχών/μεριδίων μετά τη διάσπαση/σύμπτυξη.</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219"/>
    <w:bookmarkEnd w:id="217"/>
    <w:bookmarkEnd w:id="216"/>
    <w:bookmarkStart w:id="220" w:name="_2f7853ffd47efd9f44f6c777ab043bce"/>
    <w:bookmarkStart w:id="221" w:name="_9d06522fd32dbe4a1ab5a832d4f643e5"/>
    <w:p>
      <w:pPr>
        <w:pStyle w:val="Heading5"/>
        <w:keepNext/>
      </w:pPr>
      <w:r>
        <w:t xml:space="preserve">11 </w:t>
      </w:r>
      <w:r>
        <w:t>Πίνακας B1: Στοιχείων Αναφοράς Διαχειρίστριας Εταιρείας (MNGMNT)</w:t>
      </w:r>
    </w:p>
    <w:p>
      <w:pPr>
        <w:pStyle w:val="Body Text"/>
        <w:ind w:leftChars="0" w:left="0" w:right="0"/>
      </w:pPr>
      <w:r>
        <w:t>Χρησιμοποιείται για την παροχή στοιχείων αναφοράς της διαχειρίστριας εταιρείας και περιλαμβάνει μεταβλητές που μπορούν να λάβουν έως και μία ξεχωριστή τιμή κατά τη διάρκεια του κύκλου ζωής της διαχειρίστριας εταιρείας.</w:t>
      </w:r>
    </w:p>
    <w:p>
      <w:pPr>
        <w:pStyle w:val="Body Text"/>
        <w:ind w:leftChars="0" w:left="0" w:right="0"/>
      </w:pPr>
      <w:r>
        <w:t>Ο πίνακας αφορά στοιχεία εταιρειών διαχείρισης που διαχειρίζονται EO με χώρα καταγωγής την Ελλάδα.</w:t>
      </w:r>
    </w:p>
    <w:p>
      <w:pPr>
        <w:pStyle w:val="Body Text"/>
        <w:ind w:leftChars="0" w:left="0" w:right="0"/>
      </w:pPr>
      <w:r>
        <w:t>Ακολουθεί περιγραφή των μεταβλητών του πίνακα:</w:t>
      </w:r>
    </w:p>
    <w:bookmarkStart w:id="222" w:name="_2dfd85b71accd53b035b4e604cc4c353"/>
    <w:p>
      <w:pPr>
        <w:pStyle w:val="Heading 6"/>
        <w:keepNext/>
      </w:pPr>
      <w:r>
        <w:t xml:space="preserve">11.1 </w:t>
      </w:r>
      <w:r>
        <w:t>ΔΙΑΣΤΑΣH</w:t>
      </w:r>
    </w:p>
    <w:p>
      <w:pPr>
        <w:pStyle w:val="DefinitionTerm"/>
        <w:ind w:leftChars="0" w:left="0" w:right="0"/>
        <w:keepNext/>
      </w:pPr>
      <w:r>
        <w:t>Αναγνωριστικός κωδικός διαχειρίστριας εταιρείας (ID)</w:t>
      </w:r>
    </w:p>
    <w:p>
      <w:pPr>
        <w:pStyle w:val="Definition"/>
        <w:ind w:leftChars="0" w:left="480" w:right="0"/>
      </w:pPr>
      <w:r>
        <w:t>Ο αναγνωριστικός κωδικός της διαχειρίστριας εταιρείας.</w:t>
      </w:r>
    </w:p>
    <w:bookmarkStart w:id="223" w:name="_60b8a943481f3354817dcb126201cbd4"/>
    <w:p>
      <w:pPr>
        <w:pStyle w:val="Heading 7"/>
        <w:keepNext/>
      </w:pPr>
      <w:r>
        <w:t xml:space="preserve">11.1.1 </w:t>
      </w: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της διαχειρίστριας εταιρείας.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της διαχειρίστριας εταιρείας.</w:t>
      </w:r>
    </w:p>
    <w:p>
      <w:pPr>
        <w:pStyle w:val="Definition"/>
        <w:ind w:leftChars="0" w:left="480" w:right="0"/>
      </w:pPr>
      <w:r>
        <w:t>Τιμή συμπληρώνεται μόνο στην περίπτωση που έχει κλείσει η διαχειρίστρια εταιρεία.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της διαχειρίστριας εταιρείας.</w:t>
      </w:r>
    </w:p>
    <w:p>
      <w:pPr>
        <w:pStyle w:val="Definition"/>
        <w:ind w:leftChars="0" w:left="480" w:right="0"/>
      </w:pPr>
      <w:r>
        <w:t>Ο κωδικός διαμορφώνεται με βάση το πρότυπο ISO-17442.</w:t>
      </w:r>
    </w:p>
    <w:p>
      <w:pPr>
        <w:pStyle w:val="Definition"/>
        <w:ind w:leftChars="0" w:left="480" w:right="0"/>
      </w:pPr>
      <w:r>
        <w:t>Τιμή συμπληρώνεται μόνο αν για τον ΕΟ έχει εκδοθεί κωδικός LEI.</w:t>
      </w:r>
    </w:p>
    <w:p>
      <w:pPr>
        <w:pStyle w:val="Definition"/>
        <w:ind w:leftChars="0" w:left="480" w:right="0"/>
      </w:pPr>
      <w:r>
        <w:t xml:space="preserve">Το είδος της τιμής είναι </w:t>
      </w:r>
      <w:hyperlink w:anchor="_abcdd1ea94e323144d8d95b499091299">
        <w:r>
          <w:rPr>
            <w:rStyle w:val="Hyperlink"/>
          </w:rPr>
          <w:t>LEI</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Τιμή συμπληρώνεται μόνο αν για την διαχειρίστρια εταιρεία έχει εκδοθεί κωδικός φορολογικού μητρώου.</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Τιμή συμπληρώνεται μόνο αν για τη διαχειρίστρια εταιρεία έχει εκδοθεί κωδικός εμπορικού μητρώου.</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η διαχειρίστρια εταιρεία.</w:t>
      </w:r>
    </w:p>
    <w:p>
      <w:pPr>
        <w:pStyle w:val="Definition"/>
        <w:ind w:leftChars="0" w:left="480" w:right="0"/>
      </w:pPr>
      <w:r>
        <w:t>Συμπληρώνεται μόνο στην περίπτωση που η διαχειρίστρια εταιρεία δημιουργήθηκε με διάσπαση από άλλη θεσμική μονάδα.  Σε αυτή την περίπτωση η μεταβλητή DT_BRTH συμπληρώνεται με την ημερομηνία της διάσπασης.</w:t>
      </w:r>
    </w:p>
    <w:p>
      <w:pPr>
        <w:pStyle w:val="DefinitionTerm"/>
        <w:ind w:leftChars="0" w:left="0" w:right="0"/>
        <w:keepNext/>
      </w:pPr>
      <w:r>
        <w:t>Λήξη λόγω συγχώνευσης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η διαχειρίστρια εταιρεία  συγχωνεύτηκε.</w:t>
      </w:r>
    </w:p>
    <w:p>
      <w:pPr>
        <w:pStyle w:val="Definition"/>
        <w:ind w:leftChars="0" w:left="480" w:right="0"/>
      </w:pPr>
      <w:r>
        <w:t>Συμπληρώνεται μόνο στην περίπτωση που η διαχειρίστρια εταιρεία έκλεισε με συγχώνευση με άλλη θεσμική μονάδα.  Σε αυτή την περίπτωση η DT_CLS συμπληρώνεται με την ημερομηνία της συγχώνευσης.</w:t>
      </w:r>
    </w:p>
    <w:bookmarkEnd w:id="223"/>
    <w:bookmarkEnd w:id="222"/>
    <w:bookmarkEnd w:id="221"/>
    <w:bookmarkEnd w:id="220"/>
    <w:bookmarkStart w:id="224" w:name="_2f37d3d6949fd41abd543f73b69fed41"/>
    <w:bookmarkStart w:id="225" w:name="_07e5478eda14880ab30aa2cf6122ae9c"/>
    <w:p>
      <w:pPr>
        <w:pStyle w:val="Heading5"/>
        <w:keepNext/>
      </w:pPr>
      <w:r>
        <w:t xml:space="preserve">12 </w:t>
      </w:r>
      <w:r>
        <w:t>Πίνακας B2: Μεταβλητά Στοιχεία Αναφοράς Διαχειρίστριας Εταιρείας (MNGMNT_DYNMC)</w:t>
      </w:r>
    </w:p>
    <w:p>
      <w:pPr>
        <w:pStyle w:val="Body Text"/>
        <w:ind w:leftChars="0" w:left="0" w:right="0"/>
      </w:pPr>
      <w:r>
        <w:t>Χρησιμοποιείται για την παροχή στοιχείων αναφοράς της διαχειρίστριας εταιρείας και περιλαμβάνει μετρήσεις που δύναται να μεταβληθούν κατά τη διάρκεια του κύκλου ζωής της διαχειρίστριας εταιρείας.</w:t>
      </w:r>
    </w:p>
    <w:p>
      <w:pPr>
        <w:pStyle w:val="Body Text"/>
        <w:ind w:leftChars="0" w:left="0" w:right="0"/>
      </w:pPr>
      <w:r>
        <w:t>Ο πίνακας αφορά στοιχεία εταιρειών διαχείρισης που διαχειρίζονται EO με χώρα καταγωγής την Ελλάδα.</w:t>
      </w:r>
    </w:p>
    <w:p>
      <w:pPr>
        <w:pStyle w:val="Body Text"/>
        <w:ind w:leftChars="0" w:left="0" w:right="0"/>
      </w:pPr>
      <w:r>
        <w:t>Ακολουθεί περιγραφή των μεταβλητών του πίνακα:</w:t>
      </w:r>
    </w:p>
    <w:bookmarkStart w:id="226" w:name="_dab06d39a767fb666e775fca387fe8f1"/>
    <w:p>
      <w:pPr>
        <w:pStyle w:val="Heading 6"/>
        <w:keepNext/>
      </w:pPr>
      <w:r>
        <w:t xml:space="preserve">12.1 </w:t>
      </w:r>
      <w:r>
        <w:t>ΔΙΑΣΤΑΣΕΙΣ</w:t>
      </w:r>
    </w:p>
    <w:p>
      <w:pPr>
        <w:pStyle w:val="DefinitionTerm"/>
        <w:ind w:leftChars="0" w:left="0" w:right="0"/>
        <w:keepNext/>
      </w:pPr>
      <w:r>
        <w:t>Αναγνωριστικός κωδικός διαχειρίστριας εταιρείας (ID)</w:t>
      </w:r>
    </w:p>
    <w:p>
      <w:pPr>
        <w:pStyle w:val="Definition"/>
        <w:ind w:leftChars="0" w:left="480" w:right="0"/>
      </w:pPr>
      <w:r>
        <w:t>Ο αναγνωριστικός κωδικός της διαχειρίστριας εταιρείας.</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26"/>
    <w:bookmarkStart w:id="227" w:name="_0ceb586680dfc62df89f421568ff08ea"/>
    <w:p>
      <w:pPr>
        <w:pStyle w:val="Heading 6"/>
        <w:keepNext/>
      </w:pPr>
      <w:r>
        <w:t xml:space="preserve">12.2 </w:t>
      </w:r>
      <w:r>
        <w:t>ΜΕΤΑΒΛΗΤΕΣ</w:t>
      </w:r>
    </w:p>
    <w:p>
      <w:pPr>
        <w:pStyle w:val="DefinitionTerm"/>
        <w:ind w:leftChars="0" w:left="0" w:right="0"/>
        <w:keepNext/>
      </w:pPr>
      <w:r>
        <w:t>Ονομασία (NM)</w:t>
      </w:r>
    </w:p>
    <w:p>
      <w:pPr>
        <w:pStyle w:val="Definition"/>
        <w:ind w:leftChars="0" w:left="480" w:right="0"/>
      </w:pPr>
      <w:r>
        <w:t>Επωνυμία/ονομασία της διαχειρίστριας εταιρείας.</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της διαχειρίστριας εταιρείας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Σύντομη ονομασία (NM_SHRT)</w:t>
      </w:r>
    </w:p>
    <w:p>
      <w:pPr>
        <w:pStyle w:val="Definition"/>
        <w:ind w:leftChars="0" w:left="480" w:right="0"/>
      </w:pPr>
      <w:r>
        <w:t>Διακριτικό όνομα ή σύντομη ονομασία της διαχειρίστριας εταιρείας.</w:t>
      </w:r>
    </w:p>
    <w:p>
      <w:pPr>
        <w:pStyle w:val="Definition"/>
        <w:ind w:leftChars="0" w:left="480" w:right="0"/>
      </w:pPr>
      <w:r>
        <w:t>Συμπληρώνεται μόνο αν υπάρχει τέτοια ονομασία για την διαχειρίστρια εταιρεία.</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και αριθμός (STRT)</w:t>
      </w:r>
    </w:p>
    <w:p>
      <w:pPr>
        <w:pStyle w:val="Definition"/>
        <w:ind w:leftChars="0" w:left="480" w:right="0"/>
      </w:pPr>
      <w:r>
        <w:t>Οδός και αριθμός της διεύθυνσης της διαχειρίστριας εταιρείας.</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Οδός με λατινικούς χαρακτήρες (STRT_LTN)</w:t>
      </w:r>
    </w:p>
    <w:p>
      <w:pPr>
        <w:pStyle w:val="Definition"/>
        <w:ind w:leftChars="0" w:left="480" w:right="0"/>
      </w:pPr>
      <w:r>
        <w:t>Οδός και αριθμός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Πόλη (CTY)</w:t>
      </w:r>
    </w:p>
    <w:p>
      <w:pPr>
        <w:pStyle w:val="Definition"/>
        <w:ind w:leftChars="0" w:left="480" w:right="0"/>
      </w:pPr>
      <w:r>
        <w:t>Πόλη/χωριό της διεύθυνσης της διαχειρίστριας εταιρείας.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acf77be8a1d1f1b63ded6137bcad6fff">
        <w:r>
          <w:rPr>
            <w:rStyle w:val="Hyperlink"/>
          </w:rPr>
          <w:t>ASCII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διεύθυνσης.</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της διαχειρίστριας</w:t>
      </w:r>
    </w:p>
    <w:p>
      <w:pPr>
        <w:pStyle w:val="Definition"/>
        <w:ind w:leftChars="0" w:left="480" w:right="0"/>
      </w:pPr>
      <w:r>
        <w:t>Συμπληρώνεται μόνο αν υπάρχει τέτοια διεύθυνση που παρέχει πληροφορίες της διαχειρίστριας στο διαδίκτυο</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μόνο αν υπάρχει τέτοια διεύθυνση για απευθείας ηλεκτρονική επικοινωνία με την διαχειρίστρια.</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Χώρα κατοικίας (CNTRY_RSDNC)</w:t>
      </w:r>
    </w:p>
    <w:p>
      <w:pPr>
        <w:pStyle w:val="Definition"/>
        <w:ind w:leftChars="0" w:left="480" w:right="0"/>
      </w:pPr>
      <w:r>
        <w:t>Χώρα κατοικίας της διαχειρίστριας.</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bookmarkEnd w:id="227"/>
    <w:bookmarkEnd w:id="225"/>
    <w:bookmarkEnd w:id="224"/>
    <w:bookmarkStart w:id="228" w:name="_047a1f5a50becfc15453308882d7f69e"/>
    <w:bookmarkStart w:id="229" w:name="_7dc563d8d65a0cdc6225f1ab926574e3"/>
    <w:p>
      <w:pPr>
        <w:pStyle w:val="Heading5"/>
        <w:keepNext/>
      </w:pPr>
      <w:r>
        <w:t xml:space="preserve">13 </w:t>
      </w:r>
      <w:r>
        <w:t>Πίνακας B13: Στοιχεία Αναφοράς Αντισυμβαλλόμενων (CNTRPRTY)</w:t>
      </w:r>
    </w:p>
    <w:p>
      <w:pPr>
        <w:pStyle w:val="Body Text"/>
        <w:ind w:leftChars="0" w:left="0" w:right="0"/>
      </w:pPr>
      <w:r>
        <w:t xml:space="preserve">Χρησιμοποιείται για την παροχή στοιχείων αναφοράς αντισυμβαλλόμενων φορέων οι οποίοι αναγνωρίζονται με εσωτερικό κωδικό. Δείτε λεπτομέρειες στον αναγνωριστικό κωδικό </w:t>
      </w:r>
      <w:hyperlink w:anchor="_99f2ef9e87f68849087a15b72cb02467">
        <w:r>
          <w:rPr>
            <w:rStyle w:val="Hyperlink"/>
          </w:rPr>
          <w:t>ORG</w:t>
        </w:r>
      </w:hyperlink>
      <w:r>
        <w:t>.</w:t>
      </w:r>
    </w:p>
    <w:p>
      <w:pPr>
        <w:pStyle w:val="Body Text"/>
        <w:ind w:leftChars="0" w:left="0" w:right="0"/>
      </w:pPr>
      <w:r>
        <w:t>Ακολουθεί η περιγραφή των μεταβλητών του πίνακα:</w:t>
      </w:r>
    </w:p>
    <w:bookmarkStart w:id="230" w:name="_01f6a09484d0d26a0ee8531018b831db"/>
    <w:p>
      <w:pPr>
        <w:pStyle w:val="Heading 6"/>
        <w:keepNext/>
      </w:pPr>
      <w:r>
        <w:t xml:space="preserve">13.1 </w:t>
      </w:r>
      <w:r>
        <w:t>ΔΙΑΣΤΑΣΕΙΣ</w:t>
      </w:r>
    </w:p>
    <w:p>
      <w:pPr>
        <w:pStyle w:val="DefinitionTerm"/>
        <w:ind w:leftChars="0" w:left="0" w:right="0"/>
        <w:keepNext/>
      </w:pPr>
      <w:r>
        <w:t>Αναγνωριστικός κωδικός αντισυμβαλλόμενου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αντισυμβαλλόμενου.</w:t>
      </w:r>
    </w:p>
    <w:bookmarkEnd w:id="230"/>
    <w:bookmarkStart w:id="231" w:name="_1022ca02ad5c443d04e968a336c30038"/>
    <w:p>
      <w:pPr>
        <w:pStyle w:val="Heading 6"/>
        <w:keepNext/>
      </w:pPr>
      <w:r>
        <w:t xml:space="preserve">13.2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αντισυμβαλλόμενου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Χώρα κατοικίας (CNTRY_RSDNC)</w:t>
      </w:r>
    </w:p>
    <w:p>
      <w:pPr>
        <w:pStyle w:val="Definition"/>
        <w:ind w:leftChars="0" w:left="480" w:right="0"/>
      </w:pPr>
      <w:r>
        <w:t>Χώρα κατοικίας του αντισυμβαλλόμενου.</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Θεσμικός τομέας (INSTTTNL_SCTR)</w:t>
      </w:r>
    </w:p>
    <w:p>
      <w:pPr>
        <w:pStyle w:val="Definition"/>
        <w:ind w:leftChars="0" w:left="480" w:right="0"/>
      </w:pPr>
      <w:r>
        <w:t>Θεσμικός τομέας του αντισυμβαλλόμενου σύμφωνα με το ΕΣΛ.</w:t>
      </w:r>
    </w:p>
    <w:p>
      <w:pPr>
        <w:pStyle w:val="Definition"/>
        <w:ind w:leftChars="0" w:left="480" w:right="0"/>
      </w:pPr>
      <w:r>
        <w:t xml:space="preserve">Η τιμή επιλέγεται από τη λίστα τιμών </w:t>
      </w:r>
      <w:hyperlink w:anchor="_5c4002a51d1680aa595818b6e918f105">
        <w:r>
          <w:rPr>
            <w:rStyle w:val="Hyperlink"/>
          </w:rPr>
          <w:t>ESA_SECTOR</w:t>
        </w:r>
      </w:hyperlink>
      <w:r>
        <w:t>.</w:t>
      </w:r>
    </w:p>
    <w:bookmarkEnd w:id="231"/>
    <w:bookmarkEnd w:id="229"/>
    <w:bookmarkEnd w:id="228"/>
    <w:bookmarkStart w:id="232" w:name="_fa124600a77afe452bc98c6f34f4356a"/>
    <w:bookmarkStart w:id="233" w:name="_350a39c297756d5d0dc4334fb9501e3e"/>
    <w:p>
      <w:pPr>
        <w:pStyle w:val="Heading5"/>
        <w:keepNext/>
      </w:pPr>
      <w:r>
        <w:t xml:space="preserve">14 </w:t>
      </w:r>
      <w:r>
        <w:t>Πίνακας B14: Στοιχεία Αναφοράς Καταθετικών Λογαριασμών (DPST)</w:t>
      </w:r>
    </w:p>
    <w:p>
      <w:pPr>
        <w:pStyle w:val="Body Text"/>
        <w:ind w:leftChars="0" w:left="0" w:right="0"/>
      </w:pPr>
      <w:r>
        <w:t>Χρησιμοποιείται για την παροχή στοιχείων αναφοράς των καταθετικών λογαριασμών που κατέχει ο ΕΟ.  Η κάθε μεταβλητή του πίνακα λαμβάνει έως και μία τιμή κατά τη διάρκεια του κύκλου ζωής της κατάθεσης.  Αν προκύψει ανάγκη αλλαγής της τιμής μίας μεταβλητής θα πρέπει να δημιουργείται νέα κατάθεση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34" w:name="_2be7610654cc9f322ba34b15426856d2"/>
    <w:p>
      <w:pPr>
        <w:pStyle w:val="Heading 6"/>
        <w:keepNext/>
      </w:pPr>
      <w:r>
        <w:t xml:space="preserve">14.1 </w:t>
      </w:r>
      <w:r>
        <w:t>ΔΙΑΣΤΑΣΕΙΣ</w:t>
      </w:r>
    </w:p>
    <w:p>
      <w:pPr>
        <w:pStyle w:val="DefinitionTerm"/>
        <w:ind w:leftChars="0" w:left="0" w:right="0"/>
        <w:keepNext/>
      </w:pPr>
      <w:r>
        <w:t>Αναγνωριστικός κωδικός καταθετικού λογαριασμού (ID)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bookmarkEnd w:id="234"/>
    <w:bookmarkStart w:id="235" w:name="_f8db0c210329c60e0882aa4cccb48655"/>
    <w:p>
      <w:pPr>
        <w:pStyle w:val="Heading 6"/>
        <w:keepNext/>
      </w:pPr>
      <w:r>
        <w:t xml:space="preserve">14.2 </w:t>
      </w:r>
      <w:r>
        <w:t>ΜΕΤΑΒΛΗΤΕΣ</w:t>
      </w:r>
    </w:p>
    <w:p>
      <w:pPr>
        <w:pStyle w:val="DefinitionTerm"/>
        <w:ind w:leftChars="0" w:left="0" w:right="0"/>
        <w:keepNext/>
      </w:pPr>
      <w:r>
        <w:t>Ημερομηνία δημιουργίας καταθετικού λογαριασμού (DT_BRTH)</w:t>
      </w:r>
    </w:p>
    <w:p>
      <w:pPr>
        <w:pStyle w:val="Definition"/>
        <w:ind w:leftChars="0" w:left="480" w:right="0"/>
      </w:pPr>
      <w:r>
        <w:t>Ημερομηνία έκδοσης/ενεργοποίησης/αρχικοποίησης του καταθετικού λογαριασμού.</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36" w:name="_cbf055a47fea7c37009db78d9668b500"/>
    <w:p>
      <w:pPr>
        <w:pStyle w:val="DefinitionTerm"/>
        <w:ind w:leftChars="0" w:left="0" w:right="0"/>
        <w:keepNext/>
      </w:pPr>
      <w:r>
        <w:t>Ημερομηνία λήξης (DT_CLS)</w:t>
      </w:r>
    </w:p>
    <w:p>
      <w:pPr>
        <w:pStyle w:val="Definition"/>
        <w:ind w:leftChars="0" w:left="480" w:right="0"/>
      </w:pPr>
      <w:r>
        <w:t>Ημερομηνία λύσης του καταθετικού λογαριασμού.</w:t>
      </w:r>
    </w:p>
    <w:p>
      <w:pPr>
        <w:pStyle w:val="Definition"/>
        <w:ind w:leftChars="0" w:left="480" w:right="0"/>
      </w:pPr>
      <w:r>
        <w:t>Συμπληρώνεται μόνο όταν οι όροι του καταθετικού λογαριασμού καθορίζουν τέτοια ημερομηνία.  Δεν συμπληρώνεται για καταθέσεις όψεως ή καταθέσεις με προειδοποίηση.</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Είδος (TYP)</w:t>
      </w:r>
    </w:p>
    <w:p>
      <w:pPr>
        <w:pStyle w:val="Definition"/>
        <w:ind w:leftChars="0" w:left="480" w:right="0"/>
      </w:pPr>
      <w:r>
        <w:t>Είδος κατάθεσης (όψεως, προθεσμίας, με προειδοποίηση).</w:t>
      </w:r>
    </w:p>
    <w:p>
      <w:pPr>
        <w:pStyle w:val="Definition"/>
        <w:ind w:leftChars="0" w:left="480" w:right="0"/>
      </w:pPr>
      <w:r>
        <w:t xml:space="preserve">Η τιμή επιλέγεται από τη λίστα τιμών </w:t>
      </w:r>
      <w:hyperlink w:anchor="_e5b2df0da0ffe83d867c791b98596d83">
        <w:r>
          <w:rPr>
            <w:rStyle w:val="Hyperlink"/>
          </w:rPr>
          <w:t>DEP_TYP</w:t>
        </w:r>
      </w:hyperlink>
    </w:p>
    <w:p>
      <w:pPr>
        <w:pStyle w:val="DefinitionTerm"/>
        <w:ind w:leftChars="0" w:left="0" w:right="0"/>
        <w:keepNext/>
      </w:pPr>
      <w:r>
        <w:t>Χρόνος προειδοποίησης (NTC)</w:t>
      </w:r>
    </w:p>
    <w:p>
      <w:pPr>
        <w:pStyle w:val="Definition"/>
        <w:ind w:leftChars="0" w:left="480" w:right="0"/>
      </w:pPr>
      <w:r>
        <w:t>Χρόνος προειδοποίησης.</w:t>
      </w:r>
    </w:p>
    <w:p>
      <w:pPr>
        <w:pStyle w:val="Definition"/>
        <w:ind w:leftChars="0" w:left="480" w:right="0"/>
      </w:pPr>
      <w:r>
        <w:t>Συμπληρώνεται μόνο για καταθέσεις με προειδοποίηση.</w:t>
      </w:r>
    </w:p>
    <w:p>
      <w:pPr>
        <w:pStyle w:val="Definition"/>
        <w:ind w:leftChars="0" w:left="480" w:right="0"/>
      </w:pPr>
      <w:r>
        <w:t xml:space="preserve">Η τιμή επιλέγεται από τη λίστα τιμών </w:t>
      </w:r>
      <w:hyperlink w:anchor="_f746396d7e26e610aa285f51a4f0abc8">
        <w:r>
          <w:rPr>
            <w:rStyle w:val="Hyperlink"/>
          </w:rPr>
          <w:t>DEP_NTC</w:t>
        </w:r>
      </w:hyperlink>
    </w:p>
    <w:bookmarkEnd w:id="236"/>
    <w:bookmarkStart w:id="237" w:name="_c67c008600ecd05051ba697d455933e5"/>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στον καταθετικό λογαριασμό.</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Αναγνωριστικός κωδικός ΕΟ (OAID)</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ΕΟ στον οποίο αναφέρονται τα λογιστικά στοιχεία και διατηρεί τον καταθετικό λογαριασμό.</w:t>
      </w:r>
    </w:p>
    <w:p>
      <w:pPr>
        <w:pStyle w:val="DefinitionTerm"/>
        <w:ind w:leftChars="0" w:left="0" w:right="0"/>
        <w:keepNext/>
      </w:pPr>
      <w:r>
        <w:t>Αναγνωριστικός κωδικός αντισυμβαλλόμενου πιστωτικού ιδρύματος (CNTRPTY)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που διατηρείται ο καταθετικός λογαριασμός.</w:t>
      </w:r>
    </w:p>
    <w:p>
      <w:pPr>
        <w:pStyle w:val="Definition"/>
        <w:ind w:leftChars="0" w:left="480" w:right="0"/>
      </w:pPr>
      <w:r>
        <w:t>Σε περίπτωση εσωτερικού αναγνωριστικού κωδικού θα πρέπει να συμπληρώνεται και ο πίνακας REF.CNTRPTY.</w:t>
      </w:r>
    </w:p>
    <w:bookmarkEnd w:id="237"/>
    <w:bookmarkEnd w:id="235"/>
    <w:bookmarkEnd w:id="233"/>
    <w:bookmarkEnd w:id="232"/>
    <w:bookmarkStart w:id="238" w:name="_effef8a7a910cce005846817f55dc805"/>
    <w:bookmarkStart w:id="239" w:name="_04f42cebaaad6360b65fe69b180777d6"/>
    <w:p>
      <w:pPr>
        <w:pStyle w:val="Heading5"/>
        <w:keepNext/>
      </w:pPr>
      <w:r>
        <w:t xml:space="preserve">15 </w:t>
      </w:r>
      <w:r>
        <w:t>Πίνακας B15: Στοιχεία Αναφοράς Χρεογράφων Χωρίς ISIN που κατέχει ο ΕΟ (DBT)</w:t>
      </w:r>
    </w:p>
    <w:p>
      <w:pPr>
        <w:pStyle w:val="Body Text"/>
        <w:ind w:leftChars="0" w:left="0" w:right="0"/>
      </w:pPr>
      <w:r>
        <w:t>Χρησιμοποιείται για την παροχή στοιχείων αναφοράς χρεογράφων που έχουν στην κατοχή τους οι ΕΟ και για τα οποία δεν έχουν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νέο χρεόγραφο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40" w:name="_b3207f17c82df955516b16fb16c37ff2"/>
    <w:p>
      <w:pPr>
        <w:pStyle w:val="Heading 6"/>
        <w:keepNext/>
      </w:pPr>
      <w:r>
        <w:t xml:space="preserve">15.1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κατέχει ο ΕΟ.</w:t>
      </w:r>
    </w:p>
    <w:bookmarkEnd w:id="240"/>
    <w:bookmarkStart w:id="241" w:name="_cc61e821d3e4ae5b4746a9907d4b0c0e"/>
    <w:p>
      <w:pPr>
        <w:pStyle w:val="Heading 6"/>
        <w:keepNext/>
      </w:pPr>
      <w:r>
        <w:t xml:space="preserve">15.2 </w:t>
      </w:r>
      <w:r>
        <w:t>ΜΕΤΑΒΛΗΤΕΣ</w:t>
      </w:r>
    </w:p>
    <w:bookmarkStart w:id="242" w:name="_e2b4d55ad95a4d25a6374bfff78e4007"/>
    <w:p>
      <w:pPr>
        <w:pStyle w:val="DefinitionTerm"/>
        <w:ind w:leftChars="0" w:left="0" w:right="0"/>
        <w:keepNext/>
      </w:pPr>
      <w:r>
        <w:t>Ημερομηνία έκδοσης (DT_BRTH)</w:t>
      </w:r>
    </w:p>
    <w:p>
      <w:pPr>
        <w:pStyle w:val="Definition"/>
        <w:ind w:leftChars="0" w:left="480" w:right="0"/>
      </w:pPr>
      <w:r>
        <w:t>Ημερομηνία έκδοσης του χρεογράφου.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2"/>
    <w:bookmarkStart w:id="243" w:name="_5a3d765510a44e023d1c62fd491e8f9a"/>
    <w:p>
      <w:pPr>
        <w:pStyle w:val="DefinitionTerm"/>
        <w:ind w:leftChars="0" w:left="0" w:right="0"/>
        <w:keepNext/>
      </w:pPr>
      <w:r>
        <w:t>Ημερομηνία λήξης/ολικής εξόφλησης (DT_CLS)</w:t>
      </w:r>
    </w:p>
    <w:p>
      <w:pPr>
        <w:pStyle w:val="Definition"/>
        <w:ind w:leftChars="0" w:left="480" w:right="0"/>
      </w:pPr>
      <w:r>
        <w:t>Ημερομηνία λήξης/ολικής εξόφλησης.</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3"/>
    <w:bookmarkStart w:id="244" w:name="_d0fd39ab375bfb7ae416463457a358c3"/>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χρεόγραφο.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Κωδικός εκδότη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χρεογράφου.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bookmarkEnd w:id="244"/>
    <w:bookmarkEnd w:id="241"/>
    <w:bookmarkEnd w:id="239"/>
    <w:bookmarkEnd w:id="238"/>
    <w:bookmarkStart w:id="245" w:name="_12dd719fa46041f9e1bf7d8d895a8d65"/>
    <w:bookmarkStart w:id="246" w:name="_743572b7f6ff768bfb999b743648ae6c"/>
    <w:p>
      <w:pPr>
        <w:pStyle w:val="Heading5"/>
        <w:keepNext/>
      </w:pPr>
      <w:r>
        <w:t xml:space="preserve">16 </w:t>
      </w:r>
      <w:r>
        <w:t>Πίνακας B16: Στοιχεία Αναφοράς Δανείων (LN)</w:t>
      </w:r>
    </w:p>
    <w:p>
      <w:pPr>
        <w:pStyle w:val="Body Text"/>
        <w:ind w:leftChars="0" w:left="0" w:right="0"/>
      </w:pPr>
      <w:r>
        <w:t>Χρησιμοποιείται για την παροχή στοιχείων αναφοράς των δανείων που έχει λάβει ή έχει δώσει ο ΕΟ. Η κάθε μεταβλητή του πίνακα λαμβάνει έως και μία τιμή κατά τη διάρκεια του κύκλου ζωής της κάθε πράξης.  Αν προκύψει ανάγκη αλλαγής της τιμής μίας μεταβλητής θα πρέπει να δημιουργείται νέος κωδικός δανείου και όχι να αλλάζει η τιμή της μεταβλητής.  Αλλαγές σε τιμές μεταβλητών επιτρέπονται μόνο στην περίπτωση διορθώσεων.</w:t>
      </w:r>
    </w:p>
    <w:bookmarkStart w:id="247" w:name="_4f05c7322223ed7ff835435895ceb84a"/>
    <w:p>
      <w:pPr>
        <w:pStyle w:val="Heading 6"/>
        <w:keepNext/>
      </w:pPr>
      <w:r>
        <w:t xml:space="preserve">16.1 </w:t>
      </w:r>
      <w:r>
        <w:t>ΔΙΑΣΤΑΣΕΙΣ</w:t>
      </w:r>
    </w:p>
    <w:p>
      <w:pPr>
        <w:pStyle w:val="DefinitionTerm"/>
        <w:ind w:leftChars="0" w:left="0" w:right="0"/>
        <w:keepNext/>
      </w:pPr>
      <w:r>
        <w:t>Αναγνωριστικός κωδικός δανείου (ID)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bookmarkEnd w:id="247"/>
    <w:bookmarkStart w:id="248" w:name="_c9f905006f4e19e29e81f34206261c28"/>
    <w:p>
      <w:pPr>
        <w:pStyle w:val="Heading 6"/>
        <w:keepNext/>
      </w:pPr>
      <w:r>
        <w:t xml:space="preserve">16.2 </w:t>
      </w:r>
      <w:r>
        <w:t>ΜΕΤΑΒΛΗΤΕΣ</w:t>
      </w:r>
    </w:p>
    <w:p>
      <w:pPr>
        <w:pStyle w:val="DefinitionTerm"/>
        <w:ind w:leftChars="0" w:left="0" w:right="0"/>
        <w:keepNext/>
      </w:pPr>
      <w:r>
        <w:t>Ημερομηνία δημιουργίας (DT_BRTH)</w:t>
      </w:r>
    </w:p>
    <w:p>
      <w:pPr>
        <w:pStyle w:val="Definition"/>
        <w:ind w:leftChars="0" w:left="480" w:right="0"/>
      </w:pPr>
      <w:r>
        <w:t>Ημερομηνία που η νομική σύμβαση του δανείου γίνεται δεσμευτική.  Για δάνεια δίχως σύμβαση αφορά την ημερομηνία που ο οφειλέτης έλαβε τα χρήματα του δανείου από τον πιστωτή·</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49" w:name="_1933710939640ca86dc7a1d67fed2d47"/>
    <w:p>
      <w:pPr>
        <w:pStyle w:val="DefinitionTerm"/>
        <w:ind w:leftChars="0" w:left="0" w:right="0"/>
        <w:keepNext/>
      </w:pPr>
      <w:r>
        <w:t>Καταληκτική ημερομηνία εξόφλησης (DT_CLS)</w:t>
      </w:r>
    </w:p>
    <w:p>
      <w:pPr>
        <w:pStyle w:val="Definition"/>
        <w:ind w:leftChars="0" w:left="480" w:right="0"/>
      </w:pPr>
      <w:r>
        <w:t>Καταληκτική ημερομηνία λήξης ή εξόφλησης·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9"/>
    <w:bookmarkStart w:id="250" w:name="_b4d3260100c5ff6d0a3ce24b6c8ae1e8"/>
    <w:p>
      <w:pPr>
        <w:pStyle w:val="DefinitionTerm"/>
        <w:ind w:leftChars="0" w:left="0" w:right="0"/>
        <w:keepNext/>
      </w:pPr>
      <w:r>
        <w:t>Νόμισμα συναλλαγής (CRRNCY)</w:t>
      </w:r>
    </w:p>
    <w:p>
      <w:pPr>
        <w:pStyle w:val="Definition"/>
        <w:ind w:leftChars="0" w:left="480" w:right="0"/>
      </w:pPr>
      <w:r>
        <w:t>Το νόμισμα που διενεργούνται οι συναλλαγές στο δάνειο.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Είδος (TYP)</w:t>
      </w:r>
    </w:p>
    <w:p>
      <w:pPr>
        <w:pStyle w:val="Definition"/>
        <w:ind w:leftChars="0" w:left="480" w:right="0"/>
      </w:pPr>
      <w:r>
        <w:t>Το είδος του δανείου.</w:t>
      </w:r>
    </w:p>
    <w:p>
      <w:pPr>
        <w:pStyle w:val="Definition"/>
        <w:ind w:leftChars="0" w:left="480" w:right="0"/>
      </w:pPr>
      <w:r>
        <w:t xml:space="preserve">Η τιμή επιλέγεται από τη λίστα τιμών </w:t>
      </w:r>
      <w:hyperlink w:anchor="_84403f97d0fd046389a0f222521885c9">
        <w:r>
          <w:rPr>
            <w:rStyle w:val="Hyperlink"/>
          </w:rPr>
          <w:t>LON_TYP</w:t>
        </w:r>
      </w:hyperlink>
    </w:p>
    <w:p>
      <w:pPr>
        <w:pStyle w:val="DefinitionTerm"/>
        <w:ind w:leftChars="0" w:left="0" w:right="0"/>
        <w:keepNext/>
      </w:pPr>
      <w:r>
        <w:t>Αναγνωριστικός κωδικός ΕΟ (ΟΑID)</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ΕΟ στον οποίο αναφέρονται τα λογιστικά στοιχεία.</w:t>
      </w:r>
    </w:p>
    <w:p>
      <w:pPr>
        <w:pStyle w:val="Definition"/>
        <w:ind w:leftChars="0" w:left="480" w:right="0"/>
      </w:pPr>
      <w:r>
        <w:t>Αν ο ΕΟ έχει δώσει δάνειο τότε η θέση θα εμφανίζεται στο ενεργητικό.</w:t>
      </w:r>
    </w:p>
    <w:p>
      <w:pPr>
        <w:pStyle w:val="DefinitionTerm"/>
        <w:ind w:leftChars="0" w:left="0" w:right="0"/>
        <w:keepNext/>
      </w:pPr>
      <w:r>
        <w:t>Αναγνωριστικός κωδικός αντισυμβαλλόμενου (CNTRPTY)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στην θέση.</w:t>
      </w:r>
    </w:p>
    <w:p>
      <w:pPr>
        <w:pStyle w:val="Definition"/>
        <w:ind w:leftChars="0" w:left="480" w:right="0"/>
      </w:pPr>
      <w:r>
        <w:t>Σε περίπτωση εσωτερικού αναγνωριστικού κωδικού θα πρέπει να συμπληρώνεται και ο πίνακας REF.CNTRPTY.</w:t>
      </w:r>
    </w:p>
    <w:bookmarkEnd w:id="250"/>
    <w:bookmarkEnd w:id="248"/>
    <w:bookmarkEnd w:id="246"/>
    <w:bookmarkEnd w:id="245"/>
    <w:bookmarkStart w:id="251" w:name="_51fa4378120bc81130c61a6df544374d"/>
    <w:bookmarkStart w:id="252" w:name="_1988861faf1dae0089548b21165b973f"/>
    <w:p>
      <w:pPr>
        <w:pStyle w:val="Heading5"/>
        <w:keepNext/>
      </w:pPr>
      <w:r>
        <w:t xml:space="preserve">17 </w:t>
      </w:r>
      <w:r>
        <w:t>Πίνακας B17: Στοιχεία Αναφοράς Μετοχών και Λοιπών Συμμετοχικών Τίτλων Χωρίς ISIN που κατέχει ο ΕΟ (SHR)</w:t>
      </w:r>
    </w:p>
    <w:p>
      <w:pPr>
        <w:pStyle w:val="Body Text"/>
        <w:ind w:leftChars="0" w:left="0" w:right="0"/>
      </w:pPr>
      <w:r>
        <w:t>Χρησιμοποιείται για την παροχή πληροφοριακών στοιχείων των συμμετοχικών τίτλων που κατέχουν οι EO και για τους οποίους δεν έχουν εκδοθεί αναγνωριστικοί κωδικοί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νέος τίτλος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περιγραφή των μεταβλητών του πίνακα:</w:t>
      </w:r>
    </w:p>
    <w:bookmarkStart w:id="253" w:name="_e6aa2ff357aba33d8899d4d3d102d7c2"/>
    <w:p>
      <w:pPr>
        <w:pStyle w:val="Heading 6"/>
        <w:keepNext/>
      </w:pPr>
      <w:r>
        <w:t xml:space="preserve">17.1 </w:t>
      </w:r>
      <w:r>
        <w:t>ΔΙΑΣΤΑΣΕΙΣ</w:t>
      </w:r>
    </w:p>
    <w:p>
      <w:pPr>
        <w:pStyle w:val="DefinitionTerm"/>
        <w:ind w:leftChars="0" w:left="0" w:right="0"/>
        <w:keepNext/>
      </w:pPr>
      <w:r>
        <w:t>Αναγνωριστικός κωδικός συμμετοχικού τίτλου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w:t>
      </w:r>
    </w:p>
    <w:bookmarkEnd w:id="253"/>
    <w:bookmarkStart w:id="254" w:name="_d73f2d63b5a376b5eedda7fc10d9b915"/>
    <w:p>
      <w:pPr>
        <w:pStyle w:val="Heading 6"/>
        <w:keepNext/>
      </w:pPr>
      <w:r>
        <w:t xml:space="preserve">17.2 </w:t>
      </w:r>
      <w:r>
        <w:t>ΜΕΤΑΒΛΗΤΕΣ</w:t>
      </w:r>
    </w:p>
    <w:bookmarkStart w:id="255" w:name="_df44e522f39b84e636af216c668f5855"/>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συμμετοχικό τίτλο.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Είδος (TYP)</w:t>
      </w:r>
    </w:p>
    <w:p>
      <w:pPr>
        <w:pStyle w:val="Definition"/>
        <w:ind w:leftChars="0" w:left="480" w:right="0"/>
      </w:pPr>
      <w:r>
        <w:t>Είδος του συμμετοχικού τίτλου.</w:t>
      </w:r>
    </w:p>
    <w:p>
      <w:pPr>
        <w:pStyle w:val="Definition"/>
        <w:ind w:leftChars="0" w:left="480" w:right="0"/>
      </w:pPr>
      <w:r>
        <w:t xml:space="preserve">Η τιμή επιλέγεται από τη λίστα τιμών </w:t>
      </w:r>
      <w:hyperlink w:anchor="_c38da8c814d270a51a92be278efc7d9e">
        <w:r>
          <w:rPr>
            <w:rStyle w:val="Hyperlink"/>
          </w:rPr>
          <w:t>SHR_TYP</w:t>
        </w:r>
      </w:hyperlink>
    </w:p>
    <w:p>
      <w:pPr>
        <w:pStyle w:val="DefinitionTerm"/>
        <w:ind w:leftChars="0" w:left="0" w:right="0"/>
        <w:keepNext/>
      </w:pPr>
      <w:r>
        <w:t>Κωδικός εκδότη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συμμετοχικού τίτλου.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bookmarkEnd w:id="255"/>
    <w:bookmarkEnd w:id="254"/>
    <w:bookmarkEnd w:id="252"/>
    <w:bookmarkEnd w:id="251"/>
    <w:bookmarkStart w:id="256" w:name="_35933ca7efbac670f2405247834dbd72"/>
    <w:bookmarkStart w:id="257" w:name="_b72952667a9dcc0eada273af2feafa7d"/>
    <w:p>
      <w:pPr>
        <w:pStyle w:val="Heading5"/>
        <w:keepNext/>
      </w:pPr>
      <w:r>
        <w:t xml:space="preserve">18 </w:t>
      </w:r>
      <w:r>
        <w:t>Πίνακας B18: Στοιχεία Αναφοράς Χρηματοοικονομικών Παραγώγων (DER)</w:t>
      </w:r>
    </w:p>
    <w:p>
      <w:pPr>
        <w:pStyle w:val="Body Text"/>
        <w:ind w:leftChars="0" w:left="0" w:right="0"/>
      </w:pPr>
      <w:r>
        <w:t>Χρησιμοποιείται για την παροχή πληροφοριακών στοιχείων των χρηματοοικονομικών παραγώγων που κατέχουν οι EO. Η κάθε μεταβλητή του πίνακα λαμβάνει έως και μία τιμή κατά τη διάρκεια του κύκλου ζωής του παραγώγου.  Αν προκύψει ανάγκη αλλαγής της τιμής μίας μεταβλητής θα πρέπει να δημιουργείται νέο παράγωγο με νέο αναγνωριστικό κωδικό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58" w:name="_9ee4317ca8b08d71f4e7ce1f657a7713"/>
    <w:p>
      <w:pPr>
        <w:pStyle w:val="Heading 6"/>
        <w:keepNext/>
      </w:pPr>
      <w:r>
        <w:t xml:space="preserve">18.1 </w:t>
      </w:r>
      <w:r>
        <w:t>ΔΙΑΣΤΑΣΕΙΣ</w:t>
      </w:r>
    </w:p>
    <w:p>
      <w:pPr>
        <w:pStyle w:val="DefinitionTerm"/>
        <w:ind w:leftChars="0" w:left="0" w:right="0"/>
        <w:keepNext/>
      </w:pPr>
      <w:r>
        <w:t>Αναγνωριστικός Κωδικός Παραγώγου (ID)</w:t>
      </w:r>
    </w:p>
    <w:p>
      <w:pPr>
        <w:pStyle w:val="Definition"/>
        <w:ind w:leftChars="0" w:left="480" w:right="0"/>
      </w:pPr>
      <w:r>
        <w:t xml:space="preserve">Ο αναγνωριστικός κωδικός </w:t>
      </w:r>
      <w:hyperlink w:anchor="_e03d00258b5b3956a7d5a72ef65f365e">
        <w:r>
          <w:rPr>
            <w:rStyle w:val="Hyperlink"/>
          </w:rPr>
          <w:t>DER</w:t>
        </w:r>
      </w:hyperlink>
      <w:r>
        <w:t xml:space="preserve"> του διαπραγματεύσιμου χρηματοοικονομικού παράγωγου.</w:t>
      </w:r>
    </w:p>
    <w:bookmarkEnd w:id="258"/>
    <w:bookmarkStart w:id="259" w:name="_45607c875b1a4b3efa93531ba12fe9d2"/>
    <w:p>
      <w:pPr>
        <w:pStyle w:val="Heading 6"/>
        <w:keepNext/>
      </w:pPr>
      <w:r>
        <w:t xml:space="preserve">18.2 </w:t>
      </w:r>
      <w:r>
        <w:t>ΜΕΤΑΒΛΗΤΕΣ</w:t>
      </w:r>
    </w:p>
    <w:p>
      <w:pPr>
        <w:pStyle w:val="DefinitionTerm"/>
        <w:ind w:leftChars="0" w:left="0" w:right="0"/>
        <w:keepNext/>
      </w:pPr>
      <w:r>
        <w:t>Ημερομηνία έναρξης (DT_BRTH)</w:t>
      </w:r>
    </w:p>
    <w:p>
      <w:pPr>
        <w:pStyle w:val="Definition"/>
        <w:ind w:leftChars="0" w:left="480" w:right="0"/>
      </w:pPr>
      <w:r>
        <w:t>Ημερομηνία έναρξης/έκδοσης/ενεργοποίησης/αρχικοποίησης του παραγώγου.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(DT_CLS)</w:t>
      </w:r>
    </w:p>
    <w:p>
      <w:pPr>
        <w:pStyle w:val="Definition"/>
        <w:ind w:leftChars="0" w:left="480" w:right="0"/>
      </w:pPr>
      <w:r>
        <w:t>Ημερομηνία λήξης του παραγώγου.</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Διακριτικός τίτλος παραγώγου (FISN)</w:t>
      </w:r>
    </w:p>
    <w:p>
      <w:pPr>
        <w:pStyle w:val="Definition"/>
        <w:ind w:leftChars="0" w:left="480" w:right="0"/>
      </w:pPr>
      <w:r>
        <w:t>Διακριτικός τίτλος του παραγώγου (Financial Intrument Short Name)</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Σύμβολο (TCKR)</w:t>
      </w:r>
    </w:p>
    <w:p>
      <w:pPr>
        <w:pStyle w:val="Definition"/>
        <w:ind w:leftChars="0" w:left="480" w:right="0"/>
      </w:pPr>
      <w:r>
        <w:t>Το σύμβολο του παραγώγου όπως αποδίδεται από τη χρηματιστηριακή αγορά.</w:t>
      </w:r>
    </w:p>
    <w:p>
      <w:pPr>
        <w:pStyle w:val="Definition"/>
        <w:ind w:leftChars="0" w:left="480" w:right="0"/>
      </w:pPr>
      <w:r>
        <w:t xml:space="preserve">Το είδος της τιμής είναι </w:t>
      </w:r>
      <w:hyperlink w:anchor="_5e1f387acda874c06b8211425977ec29">
        <w:r>
          <w:rPr>
            <w:rStyle w:val="Hyperlink"/>
          </w:rPr>
          <w:t>ASCII 12</w:t>
        </w:r>
      </w:hyperlink>
    </w:p>
    <w:p>
      <w:pPr>
        <w:pStyle w:val="DefinitionTerm"/>
        <w:ind w:leftChars="0" w:left="0" w:right="0"/>
        <w:keepNext/>
      </w:pPr>
      <w:r>
        <w:t>Είδος (TYP)</w:t>
      </w:r>
    </w:p>
    <w:p>
      <w:pPr>
        <w:pStyle w:val="Definition"/>
        <w:ind w:leftChars="0" w:left="480" w:right="0"/>
      </w:pPr>
      <w:r>
        <w:t>Είδος παραγώγου.</w:t>
      </w:r>
    </w:p>
    <w:p>
      <w:pPr>
        <w:pStyle w:val="Definition"/>
        <w:ind w:leftChars="0" w:left="480" w:right="0"/>
      </w:pPr>
      <w:r>
        <w:t xml:space="preserve">Η τιμή επιλέγεται από τη λίστα τιμών </w:t>
      </w:r>
      <w:hyperlink w:anchor="_86f576cd48119b017d22107bd1ee0d8c">
        <w:r>
          <w:rPr>
            <w:rStyle w:val="Hyperlink"/>
          </w:rPr>
          <w:t>DRVTV_TYP</w:t>
        </w:r>
      </w:hyperlink>
    </w:p>
    <w:bookmarkStart w:id="260" w:name="_82c4238ef0606ae9205c66c5d71f97a0"/>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παράγωγο.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Κωδικός αγοράς διαπραγμάτευσης (MRKT_CNTRPRTY)</w:t>
      </w:r>
    </w:p>
    <w:p>
      <w:pPr>
        <w:pStyle w:val="Definition"/>
        <w:ind w:leftChars="0" w:left="480" w:right="0"/>
      </w:pPr>
      <w:r>
        <w:t>Ο κωδικός αγοράς διαπραγμάτευσης σε περίπτωση διαπραγματεύσιμου παραγώγου.</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Κωδικός αντισυμβαλλόμενου (CNTRPRTY)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σε περίπτωση που πρόκειται για εξωχρηματιστιριακό παράγωγο.</w:t>
      </w:r>
    </w:p>
    <w:bookmarkEnd w:id="260"/>
    <w:bookmarkEnd w:id="259"/>
    <w:bookmarkEnd w:id="257"/>
    <w:bookmarkEnd w:id="256"/>
    <w:bookmarkStart w:id="261" w:name="_83c2b53e1ec394e8298b9e72cd4386bc"/>
    <w:bookmarkStart w:id="262" w:name="_ac73ced4dea43305b47f9b8e50e5c8db"/>
    <w:p>
      <w:pPr>
        <w:pStyle w:val="Heading5"/>
        <w:keepNext/>
      </w:pPr>
      <w:r>
        <w:t xml:space="preserve">19 </w:t>
      </w:r>
      <w:r>
        <w:t>Πίνακας B14: Στοιχεία Αναφοράς Καταθετικών Λογαριασμών (DPST)</w:t>
      </w:r>
    </w:p>
    <w:p>
      <w:pPr>
        <w:pStyle w:val="Body Text"/>
        <w:ind w:leftChars="0" w:left="0" w:right="0"/>
      </w:pPr>
      <w:r>
        <w:t>Χρησιμοποιείται για την παροχή στοιχείων αναφοράς των αιτούμενων παρεκκλίσεων.</w:t>
      </w:r>
    </w:p>
    <w:p>
      <w:pPr>
        <w:pStyle w:val="Body Text"/>
        <w:ind w:leftChars="0" w:left="0" w:right="0"/>
      </w:pPr>
      <w:r>
        <w:t>Ακολουθεί η περιγραφή των μεταβλητών του πίνακα:</w:t>
      </w:r>
    </w:p>
    <w:bookmarkStart w:id="263" w:name="_9e139edfafa0966178eada8ee4fbb6a7"/>
    <w:p>
      <w:pPr>
        <w:pStyle w:val="Heading 6"/>
        <w:keepNext/>
      </w:pPr>
      <w:r>
        <w:t xml:space="preserve">19.1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bookmarkEnd w:id="263"/>
    <w:bookmarkStart w:id="264" w:name="_0eef9ea154a136020c295df7877321e8"/>
    <w:p>
      <w:pPr>
        <w:pStyle w:val="Heading 6"/>
        <w:keepNext/>
      </w:pPr>
      <w:r>
        <w:t xml:space="preserve">19.2 </w:t>
      </w:r>
      <w:r>
        <w:t>ΜΕΤΑΒΛΗΤΕΣ</w:t>
      </w:r>
    </w:p>
    <w:p>
      <w:pPr>
        <w:pStyle w:val="DefinitionTerm"/>
        <w:ind w:leftChars="0" w:left="0" w:right="0"/>
        <w:keepNext/>
      </w:pPr>
      <w:r>
        <w:t>Ημερομηνία αναφοράς αποτίμησης ενεργητικού (DT_VLTN)</w:t>
      </w:r>
    </w:p>
    <w:p>
      <w:pPr>
        <w:pStyle w:val="Definition"/>
        <w:ind w:leftChars="0" w:left="480" w:right="0"/>
      </w:pPr>
      <w:r>
        <w:t>Ημερομηνία αναφοράς της αποτίμησης του ενεργητικού.</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Συνολικό ενεργητικό (ASSTS)</w:t>
      </w:r>
    </w:p>
    <w:p>
      <w:pPr>
        <w:pStyle w:val="Definition"/>
        <w:ind w:leftChars="0" w:left="480" w:right="0"/>
      </w:pPr>
      <w:r>
        <w:t>Συνολικό ενεργητικό σε Ευρώ για την ημερομηνία αναφοράς του DT_VLTN</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Συχντότητα αποτίμησης (VLTN_FRQNCY)</w:t>
      </w:r>
    </w:p>
    <w:p>
      <w:pPr>
        <w:pStyle w:val="Definition"/>
        <w:ind w:leftChars="0" w:left="480" w:right="0"/>
      </w:pPr>
      <w:r>
        <w:t>Συχνότητα αποτίμησης του ενεργητικού</w:t>
      </w:r>
    </w:p>
    <w:p>
      <w:pPr>
        <w:pStyle w:val="Definition"/>
        <w:ind w:leftChars="0" w:left="480" w:right="0"/>
      </w:pPr>
      <w:r>
        <w:t xml:space="preserve">Το είδος της τιμής είναι </w:t>
      </w:r>
      <w:hyperlink w:anchor="_77c9de23473c152c286ed7a9d7bde81b">
        <w:r>
          <w:rPr>
            <w:rStyle w:val="Hyperlink"/>
          </w:rPr>
          <w:t>GEN_FRQNCY</w:t>
        </w:r>
      </w:hyperlink>
      <w:r>
        <w:t>.</w:t>
      </w:r>
    </w:p>
    <w:p>
      <w:pPr>
        <w:pStyle w:val="DefinitionTerm"/>
        <w:ind w:leftChars="0" w:left="0" w:right="0"/>
        <w:keepNext/>
      </w:pPr>
      <w:r>
        <w:t>Είδος αιτούμενης παρέκκλισης (DRGTN_TYP)</w:t>
      </w:r>
    </w:p>
    <w:p>
      <w:pPr>
        <w:pStyle w:val="Definition"/>
        <w:ind w:leftChars="0" w:left="480" w:right="0"/>
      </w:pPr>
      <w:r>
        <w:t>Είδος της αιτούμενης παρέκκλισης</w:t>
      </w:r>
    </w:p>
    <w:p>
      <w:pPr>
        <w:pStyle w:val="Definition"/>
        <w:ind w:leftChars="0" w:left="480" w:right="0"/>
      </w:pPr>
      <w:r>
        <w:t xml:space="preserve">Η τιμή επιλέγεται από τη λίστα τιμών </w:t>
      </w:r>
      <w:hyperlink w:anchor="_6f41212defec6dc8fa7a2825d3e9100b">
        <w:r>
          <w:rPr>
            <w:rStyle w:val="Hyperlink"/>
          </w:rPr>
          <w:t>IFDAT_DRGTN_TYP</w:t>
        </w:r>
      </w:hyperlink>
    </w:p>
    <w:p>
      <w:pPr>
        <w:pStyle w:val="DefinitionTerm"/>
        <w:ind w:leftChars="0" w:left="0" w:right="0"/>
        <w:keepNext/>
      </w:pPr>
      <w:r>
        <w:t>Ετος αιτούμενης παρέκκλισης (DRGTN_YR)</w:t>
      </w:r>
    </w:p>
    <w:p>
      <w:pPr>
        <w:pStyle w:val="Definition"/>
        <w:ind w:leftChars="0" w:left="480" w:right="0"/>
      </w:pPr>
      <w:r>
        <w:t>Ετος της αιτούμενης παρέκκλισης</w:t>
      </w:r>
    </w:p>
    <w:p>
      <w:pPr>
        <w:pStyle w:val="Definition"/>
        <w:ind w:leftChars="0" w:left="480" w:right="0"/>
      </w:pPr>
      <w:r>
        <w:t xml:space="preserve">Η τιμή επιλέγεται από τη λίστα τιμών </w:t>
      </w:r>
      <w:hyperlink w:anchor="_1e303f6ea2ee1c5d5548f84158c699ac">
        <w:r>
          <w:rPr>
            <w:rStyle w:val="Hyperlink"/>
          </w:rPr>
          <w:t>NON NEGATIVE INTEGER</w:t>
        </w:r>
      </w:hyperlink>
    </w:p>
    <w:p>
      <w:pPr>
        <w:pStyle w:val="DefinitionTerm"/>
        <w:ind w:leftChars="0" w:left="0" w:right="0"/>
        <w:keepNext/>
      </w:pPr>
      <w:r>
        <w:t>Σχόλιο της ΜΠΣ (CMMNT)</w:t>
      </w:r>
    </w:p>
    <w:p>
      <w:pPr>
        <w:pStyle w:val="Definition"/>
        <w:ind w:leftChars="0" w:left="480" w:right="0"/>
      </w:pPr>
      <w:r>
        <w:t>Σχόλιο της ΜΠΣ σε σχέση με την αιτούμενη παρέκκλιση.</w:t>
      </w:r>
    </w:p>
    <w:p>
      <w:pPr>
        <w:pStyle w:val="Definition"/>
        <w:ind w:leftChars="0" w:left="480" w:right="0"/>
      </w:pPr>
      <w:r>
        <w:t xml:space="preserve">Η τιμή επιλέγεται από τη λίστα τιμών </w:t>
      </w:r>
      <w:hyperlink w:anchor="_b6dab2688405967f2a4ad67297247595">
        <w:r>
          <w:rPr>
            <w:rStyle w:val="Hyperlink"/>
          </w:rPr>
          <w:t>STRING 512</w:t>
        </w:r>
      </w:hyperlink>
    </w:p>
    <w:bookmarkEnd w:id="264"/>
    <w:bookmarkEnd w:id="262"/>
    <w:bookmarkEnd w:id="261"/>
    <w:bookmarkEnd w:id="173"/>
    <w:bookmarkEnd w:id="172"/>
    <w:bookmarkEnd w:id="171"/>
    <w:bookmarkEnd w:id="108"/>
    <w:bookmarkEnd w:id="107"/>
    <w:bookmarkEnd w:id="106"/>
    <w:bookmarkStart w:id="265" w:name="_6646d5d5edc224bb18b97caffb429c3d"/>
    <w:bookmarkStart w:id="266" w:name="_24247cf401219d9d15aaa67ba9c6a8c2"/>
    <w:p>
      <w:pPr>
        <w:pStyle w:val="Heading3"/>
        <w:keepNext/>
      </w:pPr>
      <w:r>
        <w:t>Γενικές Οδηγίες</w:t>
      </w:r>
    </w:p>
    <w:bookmarkStart w:id="267" w:name="_2176bc30de8d0e59b370c22531a08a35"/>
    <w:p>
      <w:pPr>
        <w:pStyle w:val="Heading4"/>
        <w:keepNext/>
      </w:pPr>
      <w:r>
        <w:t>Διαστάσεις VLD_FRM και VLD_T</w:t>
      </w:r>
    </w:p>
    <w:p>
      <w:pPr>
        <w:pStyle w:val="Body Text"/>
        <w:ind w:leftChars="0" w:left="0" w:right="0"/>
      </w:pPr>
      <w:r>
        <w:t xml:space="preserve">Οι διαστάσεις </w:t>
      </w:r>
      <w:r>
        <w:rPr>
          <w:b/>
          <w:bCs/>
        </w:rPr>
        <w:t>VLD_FRM</w:t>
      </w:r>
      <w:r>
        <w:t xml:space="preserve"> και </w:t>
      </w:r>
      <w:r>
        <w:rPr>
          <w:b/>
          <w:bCs/>
        </w:rPr>
        <w:t>VLD_T</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rPr>
          <w:b/>
          <w:bCs/>
        </w:rPr>
        <w:t>VLD_FRM=2022-01-10Τ00:00:00</w:t>
      </w:r>
      <w:r>
        <w:t xml:space="preserve"> και </w:t>
      </w:r>
      <w:r>
        <w:rPr>
          <w:b/>
          <w:bCs/>
        </w:rPr>
        <w:t>VLD_T=2022-02-17Τ00:00:00</w:t>
      </w:r>
      <w:r>
        <w:t xml:space="preserve"> τότε το διάστημα είναι το </w:t>
      </w:r>
      <w:r>
        <w:rPr>
          <w:b/>
          <w:bCs/>
        </w:rPr>
        <w:t>[2022-01-10Τ00:00:000, 2022-02-17Τ00:00:000)</w:t>
      </w:r>
      <w:r>
        <w:t>.</w:t>
      </w:r>
    </w:p>
    <w:p>
      <w:pPr>
        <w:pStyle w:val="Body Text"/>
        <w:ind w:leftChars="0" w:left="0" w:right="0"/>
      </w:pPr>
      <w:r>
        <w:t>Σε περίπτωση μη συμπλήρωσης της διάστασης VLD_FRM τότε ως τιμή του VLD_FRM νοείται είτε το DT_BRTH αν του έχει δοθεί τιμή, είτε το μεταγενέστερο (μεγαλύτερο) DT_BRTH αν η παρατήρηση προσδιορίζεται από άνω του ενός αναγνωριστικού κωδικού, είτε παραμένει κενή εάν δεν ισχύει καμία από τις παραπάνω περιπτώσεις.</w:t>
      </w:r>
    </w:p>
    <w:p>
      <w:pPr>
        <w:pStyle w:val="Body Text"/>
        <w:ind w:leftChars="0" w:left="0" w:right="0"/>
      </w:pPr>
      <w:r>
        <w:t>Σε περίπτωση που η τιμή της διάστασης VLD_T δεν συμπληρώνεται τότε ως VLD_T νοείται είτε η σημερινή ημερομηνία αν η οντότητα που αναφέρεται η παρατήρηση είναι ακόμη ανοιχτή, είτε η μέτρηση DT_CLS αν της έχει δοθεί τιμή, είτε το προγενέστερο (μικρότερο) DT_CLS αν η παρατήρηση προσδιορίζεται από άνω το ένα αναγνωριστικό κωδικό.</w:t>
      </w:r>
    </w:p>
    <w:bookmarkEnd w:id="267"/>
    <w:bookmarkStart w:id="268" w:name="_7f0bd64cdf91c19f3a0fbf280f6b9e27"/>
    <w:p>
      <w:pPr>
        <w:pStyle w:val="Heading4"/>
        <w:keepNext/>
      </w:pPr>
      <w:r>
        <w:t>Συνδυασμός διαστάσεων DT και FRQNCΥ</w:t>
      </w:r>
    </w:p>
    <w:p>
      <w:pPr>
        <w:pStyle w:val="Body Text"/>
        <w:ind w:leftChars="0" w:left="0" w:right="0"/>
      </w:pPr>
      <w:r>
        <w:t xml:space="preserve">Κάποιοι πίνακες περιλαμβάνουν μετρήσεις τύπου ροών και τύπου αποθεμάτων.  Σε αυτή την περίπτωση στις διαστάσεις του πίνακα περιλαμβάνονται τόσο η διάσταση </w:t>
      </w:r>
      <w:r>
        <w:rPr>
          <w:b/>
          <w:bCs/>
        </w:rPr>
        <w:t>DT</w:t>
      </w:r>
      <w:r>
        <w:t xml:space="preserve"> όσο και η διάσταση </w:t>
      </w:r>
      <w:r>
        <w:rPr>
          <w:b/>
          <w:bCs/>
        </w:rPr>
        <w:t>FRQNCY</w:t>
      </w:r>
      <w:r>
        <w:t>.  Για τις μετρήσεις τύπου αποθεμάτων μόνο η διάσταση DT είναι σχετική και δίνει την ακριβή ημερομηνία που ισχύουν οι τιμές τους.  Για τις μετρήσεις τύπου ροών είναι σχετικές τόσο η διάσταση DT όσο και η διάσταση FRQNCY και οι τιμές τους καθορίζουν την περίοδο που ισχύουν οι τιμές των μετρήσεων ροών.</w:t>
      </w:r>
    </w:p>
    <w:bookmarkStart w:id="269" w:name="_c1b538f0a9bd11cf75a0e35b79ec474c"/>
    <w:p>
      <w:pPr>
        <w:pStyle w:val="Heading5"/>
        <w:keepNext/>
      </w:pPr>
      <w:r>
        <w:t>Παραδοχές</w:t>
      </w:r>
    </w:p>
    <w:p>
      <w:pPr>
        <w:pStyle w:val="ListBullet"/>
        <w:numPr>
          <w:ilvl w:val="0"/>
          <w:numId w:val="2"/>
        </w:numPr>
        <w:ind w:leftChars="0" w:left="480" w:right="0"/>
      </w:pPr>
      <w:r>
        <w:t xml:space="preserve">Για τις μεταβλητές υπολοίπων η τιμή </w:t>
      </w:r>
      <w:r>
        <w:rPr>
          <w:b/>
          <w:bCs/>
        </w:rPr>
        <w:t>YYYΥ-MM-DDΤΗΗ:MM:SS</w:t>
      </w:r>
      <w:r>
        <w:t xml:space="preserve"> της διάστασης DT είναι ίση </w:t>
      </w:r>
      <w:r>
        <w:rPr>
          <w:b/>
          <w:bCs/>
        </w:rPr>
        <w:t>{YYYΥ}-{MM}-{DD}T23:59:59</w:t>
      </w:r>
      <w:r>
        <w:t xml:space="preserve"> ανεξάρτητα της ώρας που συμπληρώνεται.  Σε περίπτωση που οι μεταβλητές αφορούν στοιχεία που καθορίζονται σε χρηματιστηριακές αγορές η τιμή </w:t>
      </w:r>
      <w:r>
        <w:rPr>
          <w:b/>
          <w:bCs/>
        </w:rPr>
        <w:t>YYYΥ-MM-DDΤΗΗ:MM:SS</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τελευταίας εργάσιμης ημέρας.</w:t>
      </w:r>
    </w:p>
    <w:p>
      <w:pPr>
        <w:pStyle w:val="ListBullet"/>
        <w:numPr>
          <w:ilvl w:val="0"/>
          <w:numId w:val="2"/>
        </w:numPr>
        <w:ind w:leftChars="0" w:left="480" w:right="0"/>
      </w:pPr>
      <w:r>
        <w:t xml:space="preserve">Ο συνδυασμός των διαστάσεων DT και FRQNCY ορίζει πάντα ένα κλειστό διάστημα που ισχύουν οι τιμές μεταβλητών τύπου ροών.  Η αρχική ημερομηνία του διαστήματος ορίζεται από την τιμή της διάστασης FRQNCY.  Όταν </w:t>
      </w:r>
      <w:r>
        <w:rPr>
          <w:b/>
          <w:bCs/>
        </w:rPr>
        <w:t>FRQNCY=M</w:t>
      </w:r>
      <w:r>
        <w:t xml:space="preserve"> η αρχική ημερομηνία είναι η πρώτη μέρα του μήνα.  Όταν </w:t>
      </w:r>
      <w:r>
        <w:rPr>
          <w:b/>
          <w:bCs/>
        </w:rPr>
        <w:t>FRQNCY=Q</w:t>
      </w:r>
      <w:r>
        <w:t xml:space="preserve"> η αρχική ημερομηνία είναι η πρώτη μέρα ενός από τα τέσσερα τρίμηνα του έτους.  Όταν </w:t>
      </w:r>
      <w:r>
        <w:rPr>
          <w:b/>
          <w:bCs/>
        </w:rPr>
        <w:t>FREQUENCY=S</w:t>
      </w:r>
      <w:r>
        <w:t xml:space="preserve"> η αρχική ημερομηνία είναι η πρώτη μέρα ενός από τα δύο εξάμηνα του έτους.  Όταν </w:t>
      </w:r>
      <w:r>
        <w:rPr>
          <w:b/>
          <w:bCs/>
        </w:rPr>
        <w:t>FREQUENCY=A</w:t>
      </w:r>
      <w:r>
        <w:t xml:space="preserve"> η αρχική ημερομηνία είναι η πρώτη μέρα του έτους. Η τελική τιμή του διαστήματος ορίζεται από την τιμή της διάστασης DT και αφορά πάντα το τέλος της ημέρας, δηλαδή η τιμή </w:t>
      </w:r>
      <w:r>
        <w:rPr>
          <w:b/>
          <w:bCs/>
        </w:rPr>
        <w:t>YYYΥ-MM-DDΤΗΗ:MM:SS</w:t>
      </w:r>
      <w:r>
        <w:t xml:space="preserve"> είναι ίση με </w:t>
      </w:r>
      <w:r>
        <w:rPr>
          <w:b/>
          <w:bCs/>
        </w:rPr>
        <w:t>YYYΥ-MM-DDΤ23:59:59</w:t>
      </w:r>
      <w:r>
        <w:t xml:space="preserve"> ανεξάρτητα την ώρα που περιέχει η τιμή της DT.</w:t>
      </w:r>
    </w:p>
    <w:bookmarkEnd w:id="269"/>
    <w:bookmarkStart w:id="270" w:name="_02cb3139cc11d75551695dc543e432a5"/>
    <w:p>
      <w:pPr>
        <w:pStyle w:val="Heading5"/>
        <w:keepNext/>
      </w:pPr>
      <w:r>
        <w:t>Παραδείγματα για μετρήσεις τύπου αποθεμάτων</w:t>
      </w:r>
    </w:p>
    <w:p>
      <w:pPr>
        <w:pStyle w:val="ListNumber"/>
        <w:numPr>
          <w:ilvl w:val="0"/>
          <w:numId w:val="8"/>
        </w:numPr>
        <w:ind w:leftChars="0" w:left="480" w:right="0"/>
      </w:pPr>
      <w:r>
        <w:t xml:space="preserve">Οι τιμές των μετρήσεων τύπου αποθεμάτων για </w:t>
      </w:r>
      <w:r>
        <w:rPr>
          <w:rFonts w:ascii="Consolas" w:eastAsia="ＭＳ ゴシック" w:hansitheme="majorhansi"/>
          <w:color w:val="E74C3C"/>
          <w:sz w:val="20"/>
          <w:szCs w:val="20"/>
          <w:noProof/>
        </w:rPr>
        <w:t>DT=2022-01-31T00:00:00</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2022-01-31T23:59:59</w:t>
      </w:r>
      <w:r>
        <w:t xml:space="preserve"> ανεξάρτητα από την τιμή της </w:t>
      </w:r>
      <w:r>
        <w:rPr>
          <w:rFonts w:ascii="Consolas" w:eastAsia="ＭＳ ゴシック" w:hansitheme="majorhansi"/>
          <w:color w:val="E74C3C"/>
          <w:sz w:val="20"/>
          <w:szCs w:val="20"/>
          <w:noProof/>
        </w:rPr>
        <w:t>FRQNCY</w:t>
      </w:r>
      <w:r>
        <w:t>.</w:t>
      </w:r>
    </w:p>
    <w:p>
      <w:pPr>
        <w:pStyle w:val="ListNumber"/>
        <w:numPr>
          <w:ilvl w:val="0"/>
          <w:numId w:val="8"/>
        </w:numPr>
        <w:ind w:leftChars="0" w:left="480" w:right="0"/>
      </w:pPr>
      <w:r>
        <w:t xml:space="preserve">Οι τιμές των μετρήσεων τύπου αποθεμάτων για </w:t>
      </w:r>
      <w:r>
        <w:rPr>
          <w:rFonts w:ascii="Consolas" w:eastAsia="ＭＳ ゴシック" w:hansitheme="majorhansi"/>
          <w:color w:val="E74C3C"/>
          <w:sz w:val="20"/>
          <w:szCs w:val="20"/>
          <w:noProof/>
        </w:rPr>
        <w:t>DT=2022-01-15T10:31:42</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2022-01-15T23:59:59</w:t>
      </w:r>
      <w:r>
        <w:t xml:space="preserve"> ανεξάρτητα από την τιμή της </w:t>
      </w:r>
      <w:r>
        <w:rPr>
          <w:rFonts w:ascii="Consolas" w:eastAsia="ＭＳ ゴシック" w:hansitheme="majorhansi"/>
          <w:color w:val="E74C3C"/>
          <w:sz w:val="20"/>
          <w:szCs w:val="20"/>
          <w:noProof/>
        </w:rPr>
        <w:t>FRQNCY</w:t>
      </w:r>
      <w:r>
        <w:t>.</w:t>
      </w:r>
    </w:p>
    <w:bookmarkEnd w:id="270"/>
    <w:bookmarkStart w:id="271" w:name="_f05df0e0c3f254c024ae869ad2c68490"/>
    <w:p>
      <w:pPr>
        <w:pStyle w:val="Heading5"/>
        <w:keepNext/>
      </w:pPr>
      <w:r>
        <w:t>Παραδείγματα για μετρήσεις τύπου ροών</w:t>
      </w:r>
    </w:p>
    <w:p>
      <w:pPr>
        <w:pStyle w:val="ListNumber"/>
        <w:numPr>
          <w:ilvl w:val="0"/>
          <w:numId w:val="9"/>
        </w:numPr>
        <w:ind w:leftChars="0" w:left="480" w:right="0"/>
      </w:pPr>
      <w:r>
        <w:rPr>
          <w:rFonts w:ascii="Consolas" w:eastAsia="ＭＳ ゴシック" w:hansitheme="majorhansi"/>
          <w:color w:val="E74C3C"/>
          <w:sz w:val="20"/>
          <w:szCs w:val="20"/>
          <w:noProof/>
        </w:rPr>
        <w:t>DT=2022-01-31Τ00:00:00</w:t>
      </w:r>
      <w:r>
        <w:t xml:space="preserve"> και </w:t>
      </w:r>
      <w:r>
        <w:rPr>
          <w:rFonts w:ascii="Consolas" w:eastAsia="ＭＳ ゴシック" w:hansitheme="majorhansi"/>
          <w:color w:val="E74C3C"/>
          <w:sz w:val="20"/>
          <w:szCs w:val="20"/>
          <w:noProof/>
        </w:rPr>
        <w:t>FRQNCY=M</w:t>
      </w:r>
      <w:r>
        <w:t xml:space="preserve"> ορίζουν την παρακάτω κλειστή περίοδο αναφοράς που ισχύουν οι τιμές των μετρήσεων ροών: [2022-01-01Τ00:00:00, 2022-01-31Τ23:59:59]</w:t>
      </w:r>
    </w:p>
    <w:p>
      <w:pPr>
        <w:pStyle w:val="ListNumber"/>
        <w:numPr>
          <w:ilvl w:val="0"/>
          <w:numId w:val="9"/>
        </w:numPr>
        <w:ind w:leftChars="0" w:left="480" w:right="0"/>
      </w:pPr>
      <w:r>
        <w:rPr>
          <w:rFonts w:ascii="Consolas" w:eastAsia="ＭＳ ゴシック" w:hansitheme="majorhansi"/>
          <w:color w:val="E74C3C"/>
          <w:sz w:val="20"/>
          <w:szCs w:val="20"/>
          <w:noProof/>
        </w:rPr>
        <w:t>DT=2022-02-17Τ00:00:00</w:t>
      </w:r>
      <w:r>
        <w:t xml:space="preserve"> και </w:t>
      </w:r>
      <w:r>
        <w:rPr>
          <w:rFonts w:ascii="Consolas" w:eastAsia="ＭＳ ゴシック" w:hansitheme="majorhansi"/>
          <w:color w:val="E74C3C"/>
          <w:sz w:val="20"/>
          <w:szCs w:val="20"/>
          <w:noProof/>
        </w:rPr>
        <w:t>FRQNCY=M</w:t>
      </w:r>
      <w:r>
        <w:t xml:space="preserve"> ορίζουν την παρακάτω κλειστή περίοδο αναφοράς που ισχύουν οι τιμές των μετρήσεων ροών¨ [2022-01-01Τ00:00:00, 2022-02-17Τ23:59:59]</w:t>
      </w:r>
    </w:p>
    <w:p>
      <w:pPr>
        <w:pStyle w:val="ListNumber"/>
        <w:numPr>
          <w:ilvl w:val="0"/>
          <w:numId w:val="9"/>
        </w:numPr>
        <w:ind w:leftChars="0" w:left="480" w:right="0"/>
      </w:pPr>
      <w:r>
        <w:rPr>
          <w:rFonts w:ascii="Consolas" w:eastAsia="ＭＳ ゴシック" w:hansitheme="majorhansi"/>
          <w:color w:val="E74C3C"/>
          <w:sz w:val="20"/>
          <w:szCs w:val="20"/>
          <w:noProof/>
        </w:rPr>
        <w:t>DT=2022-03-31Τ00:00:00</w:t>
      </w:r>
      <w:r>
        <w:t xml:space="preserve"> και </w:t>
      </w:r>
      <w:r>
        <w:rPr>
          <w:rFonts w:ascii="Consolas" w:eastAsia="ＭＳ ゴシック" w:hansitheme="majorhansi"/>
          <w:color w:val="E74C3C"/>
          <w:sz w:val="20"/>
          <w:szCs w:val="20"/>
          <w:noProof/>
        </w:rPr>
        <w:t>FRQNCY=Q</w:t>
      </w:r>
      <w:r>
        <w:t xml:space="preserve"> ορίζουν την παρακάτω κλειστή περίοδο αναφοράς που ισχύουν οι τιμές των μετρήσεων ροών¨ [2022-01-01Τ00:00:00, 2022-03-31Τ23:59:59]</w:t>
      </w:r>
    </w:p>
    <w:p>
      <w:pPr>
        <w:pStyle w:val="ListNumber"/>
        <w:numPr>
          <w:ilvl w:val="0"/>
          <w:numId w:val="9"/>
        </w:numPr>
        <w:ind w:leftChars="0" w:left="480" w:right="0"/>
      </w:pPr>
      <w:r>
        <w:rPr>
          <w:rFonts w:ascii="Consolas" w:eastAsia="ＭＳ ゴシック" w:hansitheme="majorhansi"/>
          <w:color w:val="E74C3C"/>
          <w:sz w:val="20"/>
          <w:szCs w:val="20"/>
          <w:noProof/>
        </w:rPr>
        <w:t>DT=2022-02-17Τ00:00:00</w:t>
      </w:r>
      <w:r>
        <w:t xml:space="preserve"> και </w:t>
      </w:r>
      <w:r>
        <w:rPr>
          <w:rFonts w:ascii="Consolas" w:eastAsia="ＭＳ ゴシック" w:hansitheme="majorhansi"/>
          <w:color w:val="E74C3C"/>
          <w:sz w:val="20"/>
          <w:szCs w:val="20"/>
          <w:noProof/>
        </w:rPr>
        <w:t>FRQNCY=Q</w:t>
      </w:r>
      <w:r>
        <w:t xml:space="preserve"> ορίζουν την παρακάτω κλειστή περίοδο αναφοράς που ισχύουν οι τιμές των μετρήσεων ροών¨ [2022-01-01Τ00:00:00, 2022-02-17Τ23:59:59]</w:t>
      </w:r>
    </w:p>
    <w:p>
      <w:pPr>
        <w:pStyle w:val="ListNumber"/>
        <w:numPr>
          <w:ilvl w:val="0"/>
          <w:numId w:val="9"/>
        </w:numPr>
        <w:ind w:leftChars="0" w:left="480" w:right="0"/>
      </w:pPr>
      <w:r>
        <w:rPr>
          <w:rFonts w:ascii="Consolas" w:eastAsia="ＭＳ ゴシック" w:hansitheme="majorhansi"/>
          <w:color w:val="E74C3C"/>
          <w:sz w:val="20"/>
          <w:szCs w:val="20"/>
          <w:noProof/>
        </w:rPr>
        <w:t>DT=2022-06-30Τ00:00:00</w:t>
      </w:r>
      <w:r>
        <w:t xml:space="preserve"> και </w:t>
      </w:r>
      <w:r>
        <w:rPr>
          <w:rFonts w:ascii="Consolas" w:eastAsia="ＭＳ ゴシック" w:hansitheme="majorhansi"/>
          <w:color w:val="E74C3C"/>
          <w:sz w:val="20"/>
          <w:szCs w:val="20"/>
          <w:noProof/>
        </w:rPr>
        <w:t>FRQNCY=S</w:t>
      </w:r>
      <w:r>
        <w:t xml:space="preserve"> ορίζουν την παρακάτω κλειστή περίοδο αναφοράς που ισχύουν οι τιμές των μετρήσεων ροών¨ [2022-01-01Τ00:00:00, 2022-06-30Τ23:59:59]</w:t>
      </w:r>
    </w:p>
    <w:p>
      <w:pPr>
        <w:pStyle w:val="ListNumber"/>
        <w:numPr>
          <w:ilvl w:val="0"/>
          <w:numId w:val="9"/>
        </w:numPr>
        <w:ind w:leftChars="0" w:left="480" w:right="0"/>
      </w:pPr>
      <w:r>
        <w:rPr>
          <w:rFonts w:ascii="Consolas" w:eastAsia="ＭＳ ゴシック" w:hansitheme="majorhansi"/>
          <w:color w:val="E74C3C"/>
          <w:sz w:val="20"/>
          <w:szCs w:val="20"/>
          <w:noProof/>
        </w:rPr>
        <w:t>DT=2022-04-17Τ00:00:00</w:t>
      </w:r>
      <w:r>
        <w:t xml:space="preserve"> και </w:t>
      </w:r>
      <w:r>
        <w:rPr>
          <w:rFonts w:ascii="Consolas" w:eastAsia="ＭＳ ゴシック" w:hansitheme="majorhansi"/>
          <w:color w:val="E74C3C"/>
          <w:sz w:val="20"/>
          <w:szCs w:val="20"/>
          <w:noProof/>
        </w:rPr>
        <w:t>FRQNCY=S</w:t>
      </w:r>
      <w:r>
        <w:t xml:space="preserve"> ορίζουν την παρακάτω κλειστή περίοδο αναφοράς που ισχύουν οι τιμές των μετρήσεων ροών¨ [2022-01-01Τ00:00:00, 2022-04-17Τ23:59:59]</w:t>
      </w:r>
    </w:p>
    <w:p>
      <w:pPr>
        <w:pStyle w:val="ListNumber"/>
        <w:numPr>
          <w:ilvl w:val="0"/>
          <w:numId w:val="9"/>
        </w:numPr>
        <w:ind w:leftChars="0" w:left="480" w:right="0"/>
      </w:pPr>
      <w:r>
        <w:rPr>
          <w:rFonts w:ascii="Consolas" w:eastAsia="ＭＳ ゴシック" w:hansitheme="majorhansi"/>
          <w:color w:val="E74C3C"/>
          <w:sz w:val="20"/>
          <w:szCs w:val="20"/>
          <w:noProof/>
        </w:rPr>
        <w:t>DT=2022-12-31Τ00:00:00</w:t>
      </w:r>
      <w:r>
        <w:t xml:space="preserve"> και </w:t>
      </w:r>
      <w:r>
        <w:rPr>
          <w:rFonts w:ascii="Consolas" w:eastAsia="ＭＳ ゴシック" w:hansitheme="majorhansi"/>
          <w:color w:val="E74C3C"/>
          <w:sz w:val="20"/>
          <w:szCs w:val="20"/>
          <w:noProof/>
        </w:rPr>
        <w:t>FRQNCY=A</w:t>
      </w:r>
      <w:r>
        <w:t xml:space="preserve"> ορίζουν την παρακάτω κλειστή περίοδο αναφοράς που ισχύουν οι τιμές των μετρήσεων ροών¨ [2022-01-01Τ00:00:00, 2022-12-31Τ23:59:59]</w:t>
      </w:r>
    </w:p>
    <w:p>
      <w:pPr>
        <w:pStyle w:val="ListNumber"/>
        <w:numPr>
          <w:ilvl w:val="0"/>
          <w:numId w:val="9"/>
        </w:numPr>
        <w:ind w:leftChars="0" w:left="480" w:right="0"/>
      </w:pPr>
      <w:r>
        <w:rPr>
          <w:rFonts w:ascii="Consolas" w:eastAsia="ＭＳ ゴシック" w:hansitheme="majorhansi"/>
          <w:color w:val="E74C3C"/>
          <w:sz w:val="20"/>
          <w:szCs w:val="20"/>
          <w:noProof/>
        </w:rPr>
        <w:t>DT=2022-09-17Τ00:00:00</w:t>
      </w:r>
      <w:r>
        <w:t xml:space="preserve"> και </w:t>
      </w:r>
      <w:r>
        <w:rPr>
          <w:rFonts w:ascii="Consolas" w:eastAsia="ＭＳ ゴシック" w:hansitheme="majorhansi"/>
          <w:color w:val="E74C3C"/>
          <w:sz w:val="20"/>
          <w:szCs w:val="20"/>
          <w:noProof/>
        </w:rPr>
        <w:t>FRQNCY=A</w:t>
      </w:r>
      <w:r>
        <w:t xml:space="preserve"> ορίζουν την παρακάτω κλειστή περίοδο αναφοράς που ισχύουν οι τιμές των μετρήσεων ροών¨ [2022-01-01Τ00:00:00, 2022-09-17Τ23:59:59]</w:t>
      </w:r>
    </w:p>
    <w:bookmarkEnd w:id="271"/>
    <w:bookmarkEnd w:id="268"/>
    <w:bookmarkStart w:id="272" w:name="_53f778a363a6095eb8c486de5a8610b5"/>
    <w:p>
      <w:pPr>
        <w:pStyle w:val="Heading4"/>
        <w:keepNext/>
      </w:pPr>
      <w:r>
        <w:t>Αλληλοεπικαλυπτόμενες Παρατηρήσεις</w:t>
      </w:r>
    </w:p>
    <w:bookmarkStart w:id="273" w:name="_43470bfed19e711c1a617160ec2a9f72"/>
    <w:p>
      <w:pPr>
        <w:pStyle w:val="Heading5"/>
        <w:keepNext/>
      </w:pPr>
      <w:r>
        <w:t>Περίπτωση Α</w:t>
      </w:r>
    </w:p>
    <w:p>
      <w:pPr>
        <w:pStyle w:val="Body Text"/>
        <w:ind w:leftChars="0" w:left="0" w:right="0"/>
      </w:pPr>
      <w:r>
        <w:t xml:space="preserve">Οι παρατηρήσεις ενός πίνακα που περιέχει τις διαστάσεις </w:t>
      </w:r>
      <w:r>
        <w:rPr>
          <w:b/>
          <w:bCs/>
        </w:rPr>
        <w:t>VLD_FRM</w:t>
      </w:r>
      <w:r>
        <w:t xml:space="preserve"> και </w:t>
      </w:r>
      <w:r>
        <w:rPr>
          <w:b/>
          <w:bCs/>
        </w:rPr>
        <w:t>VLD_T</w:t>
      </w:r>
      <w:r>
        <w:t xml:space="preserve"> θεωρούνται αλληλοεπικαλυπτόμενες αν όλες οι τιμές των διαστάσεων εκτός των </w:t>
      </w:r>
      <w:r>
        <w:rPr>
          <w:b/>
          <w:bCs/>
        </w:rPr>
        <w:t>VLD_FRM</w:t>
      </w:r>
      <w:r>
        <w:t xml:space="preserve"> και </w:t>
      </w:r>
      <w:r>
        <w:rPr>
          <w:b/>
          <w:bCs/>
        </w:rPr>
        <w:t>VLD_T</w:t>
      </w:r>
      <w:r>
        <w:t xml:space="preserve"> είναι οι ίδιες και τα χρονικά διαστήματα που προσδιορίζονται από τις διαστάσεις </w:t>
      </w:r>
      <w:r>
        <w:rPr>
          <w:b/>
          <w:bCs/>
        </w:rPr>
        <w:t>VLD_FRM</w:t>
      </w:r>
      <w:r>
        <w:t xml:space="preserve"> και </w:t>
      </w:r>
      <w:r>
        <w:rPr>
          <w:b/>
          <w:bCs/>
        </w:rPr>
        <w:t>VLD_T</w:t>
      </w:r>
      <w:r>
        <w:t xml:space="preserve"> αλληλοεπικαλύπτονται. Σε αυτή την περίπτωση δημιουργούνται αυτόματα μη αλληλοεπικαλυπτόμενες παρατηρήσεις από τις αλληλοεπικαλυπτόμενες παρατηρήσεις χρησιμοποιώντας τις πιο πρόσφατες τιμές των μετρήσεων (Last in first out - LIFO).</w:t>
      </w:r>
    </w:p>
    <w:bookmarkStart w:id="274" w:name="_f77d825e96bde5c4ce794c23fd055b14"/>
    <w:p>
      <w:pPr>
        <w:pStyle w:val="Heading 6"/>
        <w:keepNext/>
      </w:pPr>
      <w:r>
        <w:t>Υποθετικό παράδειγμα</w:t>
      </w:r>
    </w:p>
    <w:p>
      <w:pPr>
        <w:pStyle w:val="Body Text"/>
        <w:ind w:leftChars="0" w:left="0" w:right="0"/>
      </w:pPr>
      <w:r>
        <w:t>Στο παρόν παράδειγμα οι διαστάσεις είναι οι: ID, VLD_FRM, VLD_T και οι μετρήσεις είναι οι: NM, SCTR.</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888"/>
        <w:gridCol w:w="2124"/>
        <w:gridCol w:w="1652"/>
        <w:gridCol w:w="1416"/>
        <w:gridCol w:w="1416"/>
      </w:tblGrid>
      <w:tr>
        <w:trPr>
          <w:cnfStyle w:evenHBand="false" w:oddHBand="true" w:firstRow="true"/>
        </w:trPr>
        <w:tc>
          <w:tcPr>
            <w:cnfStyle w:evenVBand="false" w:oddVBand="true" w:firstColumn="false"/>
            <w:tcW w:w="22.222222%" w:type="pct"/>
          </w:tcPr>
          <w:p>
            <w:pPr>
              <w:ind w:leftChars="0" w:left="0" w:right="0"/>
              <w:keepNext/>
            </w:pPr>
            <w:r>
              <w:t>ID</w:t>
            </w:r>
          </w:p>
        </w:tc>
        <w:tc>
          <w:tcPr>
            <w:cnfStyle w:evenVBand="true" w:oddVBand="false" w:firstColumn="false"/>
            <w:tcW w:w="25.000000%" w:type="pct"/>
          </w:tcPr>
          <w:p>
            <w:pPr>
              <w:ind w:leftChars="0" w:left="0" w:right="0"/>
              <w:keepNext/>
            </w:pPr>
            <w:r>
              <w:t>VLD_FRM</w:t>
            </w:r>
          </w:p>
        </w:tc>
        <w:tc>
          <w:tcPr>
            <w:cnfStyle w:evenVBand="false" w:oddVBand="true" w:firstColumn="false"/>
            <w:tcW w:w="19.444444%" w:type="pct"/>
          </w:tcPr>
          <w:p>
            <w:pPr>
              <w:ind w:leftChars="0" w:left="0" w:right="0"/>
              <w:keepNext/>
            </w:pPr>
            <w:r>
              <w:t>VLD_T</w:t>
            </w:r>
          </w:p>
        </w:tc>
        <w:tc>
          <w:tcPr>
            <w:cnfStyle w:evenVBand="true" w:oddVBand="false" w:firstColumn="false"/>
            <w:tcW w:w="16.666667%" w:type="pct"/>
          </w:tcPr>
          <w:p>
            <w:pPr>
              <w:ind w:leftChars="0" w:left="0" w:right="0"/>
              <w:keepNext/>
            </w:pPr>
            <w:r>
              <w:t>NM</w:t>
            </w:r>
          </w:p>
        </w:tc>
        <w:tc>
          <w:tcPr>
            <w:cnfStyle w:evenVBand="false" w:oddVBand="true" w:firstColumn="false"/>
            <w:tcW w:w="16.666667%" w:type="pct"/>
          </w:tcPr>
          <w:p>
            <w:pPr>
              <w:ind w:leftChars="0" w:left="0" w:right="0"/>
              <w:keepNext/>
            </w:pPr>
            <w:r>
              <w:t>SCTR</w:t>
            </w:r>
          </w:p>
        </w:tc>
      </w:tr>
      <w:tr>
        <w:trPr>
          <w:cnfStyle w:evenHBand="false" w:oddHBand="true" w:firstRow="false"/>
        </w:trPr>
        <w:tc>
          <w:tcPr>
            <w:cnfStyle w:evenVBand="false" w:oddVBand="true" w:firstColumn="false"/>
            <w:tcW w:w="22.222222%" w:type="pct"/>
          </w:tcPr>
          <w:p>
            <w:pPr>
              <w:ind w:leftChars="0" w:left="0" w:right="0"/>
            </w:pPr>
            <w:r>
              <w:t>EGRFOO</w:t>
            </w:r>
          </w:p>
        </w:tc>
        <w:tc>
          <w:tcPr>
            <w:cnfStyle w:evenVBand="true" w:oddVBand="false" w:firstColumn="false"/>
            <w:tcW w:w="25.000000%" w:type="pct"/>
          </w:tcPr>
          <w:p>
            <w:pPr/>
          </w:p>
        </w:tc>
        <w:tc>
          <w:tcPr>
            <w:cnfStyle w:evenVBand="false" w:oddVBand="true" w:firstColumn="false"/>
            <w:tcW w:w="19.444444%" w:type="pct"/>
          </w:tcPr>
          <w:p>
            <w:pPr/>
          </w:p>
        </w:tc>
        <w:tc>
          <w:tcPr>
            <w:cnfStyle w:evenVBand="true" w:oddVBand="false" w:firstColumn="false"/>
            <w:tcW w:w="16.666667%" w:type="pct"/>
          </w:tcPr>
          <w:p>
            <w:pPr>
              <w:ind w:leftChars="0" w:left="0" w:right="0"/>
            </w:pPr>
            <w:r>
              <w:t>FOO</w:t>
            </w:r>
          </w:p>
        </w:tc>
        <w:tc>
          <w:tcPr>
            <w:cnfStyle w:evenVBand="false" w:oddVBand="true" w:firstColumn="false"/>
            <w:tcW w:w="16.666667%" w:type="pct"/>
          </w:tcPr>
          <w:p>
            <w:pPr>
              <w:ind w:leftChars="0" w:left="0" w:right="0"/>
            </w:pPr>
            <w:r>
              <w:t>S11</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030"/>
        <w:gridCol w:w="2703"/>
        <w:gridCol w:w="2703"/>
        <w:gridCol w:w="1287"/>
        <w:gridCol w:w="772"/>
      </w:tblGrid>
      <w:tr>
        <w:trPr>
          <w:cnfStyle w:evenHBand="false" w:oddHBand="true" w:firstRow="true"/>
        </w:trPr>
        <w:tc>
          <w:tcPr>
            <w:cnfStyle w:evenVBand="false" w:oddVBand="true" w:firstColumn="false"/>
            <w:tcW w:w="12.121212%" w:type="pct"/>
          </w:tcPr>
          <w:p>
            <w:pPr>
              <w:ind w:leftChars="0" w:left="0" w:right="0"/>
              <w:keepNext/>
            </w:pPr>
            <w:r>
              <w:t>ID</w:t>
            </w:r>
          </w:p>
        </w:tc>
        <w:tc>
          <w:tcPr>
            <w:cnfStyle w:evenVBand="true" w:oddVBand="false" w:firstColumn="false"/>
            <w:tcW w:w="31.818182%" w:type="pct"/>
          </w:tcPr>
          <w:p>
            <w:pPr>
              <w:ind w:leftChars="0" w:left="0" w:right="0"/>
              <w:keepNext/>
            </w:pPr>
            <w:r>
              <w:t>VLD_FRM</w:t>
            </w:r>
          </w:p>
        </w:tc>
        <w:tc>
          <w:tcPr>
            <w:cnfStyle w:evenVBand="false" w:oddVBand="true" w:firstColumn="false"/>
            <w:tcW w:w="31.818182%" w:type="pct"/>
          </w:tcPr>
          <w:p>
            <w:pPr>
              <w:ind w:leftChars="0" w:left="0" w:right="0"/>
              <w:keepNext/>
            </w:pPr>
            <w:r>
              <w:t>VLD_T</w:t>
            </w:r>
          </w:p>
        </w:tc>
        <w:tc>
          <w:tcPr>
            <w:cnfStyle w:evenVBand="true" w:oddVBand="false" w:firstColumn="false"/>
            <w:tcW w:w="15.151515%" w:type="pct"/>
          </w:tcPr>
          <w:p>
            <w:pPr>
              <w:ind w:leftChars="0" w:left="0" w:right="0"/>
              <w:keepNext/>
            </w:pPr>
            <w:r>
              <w:t>NM</w:t>
            </w:r>
          </w:p>
        </w:tc>
        <w:tc>
          <w:tcPr>
            <w:cnfStyle w:evenVBand="false" w:oddVBand="true" w:firstColumn="false"/>
            <w:tcW w:w="9.090909%" w:type="pct"/>
          </w:tcPr>
          <w:p>
            <w:pPr>
              <w:ind w:leftChars="0" w:left="0" w:right="0"/>
              <w:keepNext/>
            </w:pPr>
            <w:r>
              <w:t>SCTR</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p>
        </w:tc>
        <w:tc>
          <w:tcPr>
            <w:cnfStyle w:evenVBand="false" w:oddVBand="true" w:firstColumn="false"/>
            <w:tcW w:w="31.818182%" w:type="pct"/>
          </w:tcPr>
          <w:p>
            <w:pPr/>
          </w:p>
        </w:tc>
        <w:tc>
          <w:tcPr>
            <w:cnfStyle w:evenVBand="true" w:oddVBand="false" w:firstColumn="false"/>
            <w:tcW w:w="15.151515%" w:type="pct"/>
          </w:tcPr>
          <w:p>
            <w:pPr>
              <w:ind w:leftChars="0" w:left="0" w:right="0"/>
            </w:pPr>
            <w:r>
              <w:t>FOO PLC</w:t>
            </w:r>
          </w:p>
        </w:tc>
        <w:tc>
          <w:tcPr>
            <w:cnfStyle w:evenVBand="false" w:oddVBand="true" w:firstColumn="false"/>
            <w:tcW w:w="9.090909%" w:type="pct"/>
          </w:tcPr>
          <w:p>
            <w:pPr/>
          </w:p>
        </w:tc>
      </w:tr>
      <w:tr>
        <w:trPr>
          <w:cnfStyle w:evenHBand="true" w:oddHBand="fals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2000-01-01Τ00:00:00</w:t>
            </w:r>
          </w:p>
        </w:tc>
        <w:tc>
          <w:tcPr>
            <w:cnfStyle w:evenVBand="false" w:oddVBand="true" w:firstColumn="false"/>
            <w:tcW w:w="31.818182%" w:type="pct"/>
          </w:tcPr>
          <w:p>
            <w:pPr>
              <w:ind w:leftChars="0" w:left="0" w:right="0"/>
            </w:pPr>
            <w:r>
              <w:t>2010-11-24Τ00:00:00</w:t>
            </w:r>
          </w:p>
        </w:tc>
        <w:tc>
          <w:tcPr>
            <w:cnfStyle w:evenVBand="true" w:oddVBand="false" w:firstColumn="false"/>
            <w:tcW w:w="15.151515%" w:type="pct"/>
          </w:tcPr>
          <w:p>
            <w:pPr>
              <w:ind w:leftChars="0" w:left="0" w:right="0"/>
            </w:pPr>
            <w:r>
              <w:t>FOO IC</w:t>
            </w:r>
          </w:p>
        </w:tc>
        <w:tc>
          <w:tcPr>
            <w:cnfStyle w:evenVBand="false" w:oddVBand="true" w:firstColumn="false"/>
            <w:tcW w:w="9.090909%" w:type="pct"/>
          </w:tcPr>
          <w:p>
            <w:pPr>
              <w:ind w:leftChars="0" w:left="0" w:right="0"/>
            </w:pPr>
            <w:r>
              <w:t>S128</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2009-01-25Τ00:00:00</w:t>
            </w:r>
          </w:p>
        </w:tc>
        <w:tc>
          <w:tcPr>
            <w:cnfStyle w:evenVBand="false" w:oddVBand="true" w:firstColumn="false"/>
            <w:tcW w:w="31.818182%" w:type="pct"/>
          </w:tcPr>
          <w:p>
            <w:pPr/>
          </w:p>
        </w:tc>
        <w:tc>
          <w:tcPr>
            <w:cnfStyle w:evenVBand="true" w:oddVBand="false" w:firstColumn="false"/>
            <w:tcW w:w="15.151515%" w:type="pct"/>
          </w:tcPr>
          <w:p>
            <w:pPr>
              <w:ind w:leftChars="0" w:left="0" w:right="0"/>
            </w:pPr>
            <w:r>
              <w:t>FOO MFMC</w:t>
            </w:r>
          </w:p>
        </w:tc>
        <w:tc>
          <w:tcPr>
            <w:cnfStyle w:evenVBand="false" w:oddVBand="true" w:firstColumn="false"/>
            <w:tcW w:w="9.090909%" w:type="pct"/>
          </w:tcPr>
          <w:p>
            <w:pPr>
              <w:ind w:leftChars="0" w:left="0" w:right="0"/>
            </w:pPr>
            <w:r>
              <w:t>S126</w:t>
            </w:r>
          </w:p>
        </w:tc>
      </w:tr>
    </w:tbl>
    <w:p>
      <w:pPr>
        <w:pStyle w:val="Table Bottom Margin"/>
      </w:pPr>
    </w:p>
    <w:p>
      <w:pPr>
        <w:pStyle w:val="Body Text"/>
        <w:ind w:leftChars="0" w:left="0" w:right="0"/>
      </w:pPr>
      <w:r>
        <w:t>Μεταμόρφωση υποβολής σε μη αλληλοεπικαλυπτόμενες παρατηρήσεις:</w:t>
      </w:r>
    </w:p>
    <w:tbl>
      <w:tblPr>
        <w:tblStyle w:val="Table"/>
        <w:tblW w:w="0" w:type="auto"/>
        <w:tblInd w:w="0" w:type="dxa"/>
        <w:tblLook w:noHBand="false" w:noVBand="false" w:lastRow="false" w:lastColumn="false" w:firstRow="true" w:firstColumn="false"/>
      </w:tblPr>
      <w:tblGrid>
        <w:gridCol w:w="1030"/>
        <w:gridCol w:w="2703"/>
        <w:gridCol w:w="2703"/>
        <w:gridCol w:w="1287"/>
        <w:gridCol w:w="772"/>
      </w:tblGrid>
      <w:tr>
        <w:trPr>
          <w:cnfStyle w:evenHBand="false" w:oddHBand="true" w:firstRow="true"/>
        </w:trPr>
        <w:tc>
          <w:tcPr>
            <w:cnfStyle w:evenVBand="false" w:oddVBand="true" w:firstColumn="false"/>
            <w:tcW w:w="12.121212%" w:type="pct"/>
          </w:tcPr>
          <w:p>
            <w:pPr>
              <w:ind w:leftChars="0" w:left="0" w:right="0"/>
              <w:keepNext/>
            </w:pPr>
            <w:r>
              <w:t>ID</w:t>
            </w:r>
          </w:p>
        </w:tc>
        <w:tc>
          <w:tcPr>
            <w:cnfStyle w:evenVBand="true" w:oddVBand="false" w:firstColumn="false"/>
            <w:tcW w:w="31.818182%" w:type="pct"/>
          </w:tcPr>
          <w:p>
            <w:pPr>
              <w:ind w:leftChars="0" w:left="0" w:right="0"/>
              <w:keepNext/>
            </w:pPr>
            <w:r>
              <w:t>VLD_FRM</w:t>
            </w:r>
          </w:p>
        </w:tc>
        <w:tc>
          <w:tcPr>
            <w:cnfStyle w:evenVBand="false" w:oddVBand="true" w:firstColumn="false"/>
            <w:tcW w:w="31.818182%" w:type="pct"/>
          </w:tcPr>
          <w:p>
            <w:pPr>
              <w:ind w:leftChars="0" w:left="0" w:right="0"/>
              <w:keepNext/>
            </w:pPr>
            <w:r>
              <w:t>VLD_T</w:t>
            </w:r>
          </w:p>
        </w:tc>
        <w:tc>
          <w:tcPr>
            <w:cnfStyle w:evenVBand="true" w:oddVBand="false" w:firstColumn="false"/>
            <w:tcW w:w="15.151515%" w:type="pct"/>
          </w:tcPr>
          <w:p>
            <w:pPr>
              <w:ind w:leftChars="0" w:left="0" w:right="0"/>
              <w:keepNext/>
            </w:pPr>
            <w:r>
              <w:t>NM</w:t>
            </w:r>
          </w:p>
        </w:tc>
        <w:tc>
          <w:tcPr>
            <w:cnfStyle w:evenVBand="false" w:oddVBand="true" w:firstColumn="false"/>
            <w:tcW w:w="9.090909%" w:type="pct"/>
          </w:tcPr>
          <w:p>
            <w:pPr>
              <w:ind w:leftChars="0" w:left="0" w:right="0"/>
              <w:keepNext/>
            </w:pPr>
            <w:r>
              <w:t>SCTR</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p>
        </w:tc>
        <w:tc>
          <w:tcPr>
            <w:cnfStyle w:evenVBand="false" w:oddVBand="true" w:firstColumn="false"/>
            <w:tcW w:w="31.818182%" w:type="pct"/>
          </w:tcPr>
          <w:p>
            <w:pPr>
              <w:ind w:leftChars="0" w:left="0" w:right="0"/>
            </w:pPr>
            <w:r>
              <w:t>2000-01-01Τ00:00:00</w:t>
            </w:r>
          </w:p>
        </w:tc>
        <w:tc>
          <w:tcPr>
            <w:cnfStyle w:evenVBand="true" w:oddVBand="false" w:firstColumn="false"/>
            <w:tcW w:w="15.151515%" w:type="pct"/>
          </w:tcPr>
          <w:p>
            <w:pPr>
              <w:ind w:leftChars="0" w:left="0" w:right="0"/>
            </w:pPr>
            <w:r>
              <w:t>FOO PLC</w:t>
            </w:r>
          </w:p>
        </w:tc>
        <w:tc>
          <w:tcPr>
            <w:cnfStyle w:evenVBand="false" w:oddVBand="true" w:firstColumn="false"/>
            <w:tcW w:w="9.090909%" w:type="pct"/>
          </w:tcPr>
          <w:p>
            <w:pPr/>
          </w:p>
        </w:tc>
      </w:tr>
      <w:tr>
        <w:trPr>
          <w:cnfStyle w:evenHBand="true" w:oddHBand="fals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2000-01-01Τ00:00:00</w:t>
            </w:r>
          </w:p>
        </w:tc>
        <w:tc>
          <w:tcPr>
            <w:cnfStyle w:evenVBand="false" w:oddVBand="true" w:firstColumn="false"/>
            <w:tcW w:w="31.818182%" w:type="pct"/>
          </w:tcPr>
          <w:p>
            <w:pPr>
              <w:ind w:leftChars="0" w:left="0" w:right="0"/>
            </w:pPr>
            <w:r>
              <w:t>2009-01-25Τ00:00:00</w:t>
            </w:r>
          </w:p>
        </w:tc>
        <w:tc>
          <w:tcPr>
            <w:cnfStyle w:evenVBand="true" w:oddVBand="false" w:firstColumn="false"/>
            <w:tcW w:w="15.151515%" w:type="pct"/>
          </w:tcPr>
          <w:p>
            <w:pPr>
              <w:ind w:leftChars="0" w:left="0" w:right="0"/>
            </w:pPr>
            <w:r>
              <w:t>FOO IC</w:t>
            </w:r>
          </w:p>
        </w:tc>
        <w:tc>
          <w:tcPr>
            <w:cnfStyle w:evenVBand="false" w:oddVBand="true" w:firstColumn="false"/>
            <w:tcW w:w="9.090909%" w:type="pct"/>
          </w:tcPr>
          <w:p>
            <w:pPr>
              <w:ind w:leftChars="0" w:left="0" w:right="0"/>
            </w:pPr>
            <w:r>
              <w:t>S128</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2009-01-25Τ00:00:00</w:t>
            </w:r>
          </w:p>
        </w:tc>
        <w:tc>
          <w:tcPr>
            <w:cnfStyle w:evenVBand="false" w:oddVBand="true" w:firstColumn="false"/>
            <w:tcW w:w="31.818182%" w:type="pct"/>
          </w:tcPr>
          <w:p>
            <w:pPr/>
          </w:p>
        </w:tc>
        <w:tc>
          <w:tcPr>
            <w:cnfStyle w:evenVBand="true" w:oddVBand="false" w:firstColumn="false"/>
            <w:tcW w:w="15.151515%" w:type="pct"/>
          </w:tcPr>
          <w:p>
            <w:pPr>
              <w:ind w:leftChars="0" w:left="0" w:right="0"/>
            </w:pPr>
            <w:r>
              <w:t>FOO MFMC</w:t>
            </w:r>
          </w:p>
        </w:tc>
        <w:tc>
          <w:tcPr>
            <w:cnfStyle w:evenVBand="false" w:oddVBand="true" w:firstColumn="false"/>
            <w:tcW w:w="9.090909%" w:type="pct"/>
          </w:tcPr>
          <w:p>
            <w:pPr>
              <w:ind w:leftChars="0" w:left="0" w:right="0"/>
            </w:pPr>
            <w:r>
              <w:t>S126</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416"/>
        <w:gridCol w:w="2124"/>
        <w:gridCol w:w="2124"/>
        <w:gridCol w:w="1770"/>
        <w:gridCol w:w="1062"/>
      </w:tblGrid>
      <w:tr>
        <w:trPr>
          <w:cnfStyle w:evenHBand="false" w:oddHBand="true" w:firstRow="true"/>
        </w:trPr>
        <w:tc>
          <w:tcPr>
            <w:cnfStyle w:evenVBand="false" w:oddVBand="true" w:firstColumn="false"/>
            <w:tcW w:w="16.666667%" w:type="pct"/>
          </w:tcPr>
          <w:p>
            <w:pPr>
              <w:ind w:leftChars="0" w:left="0" w:right="0"/>
              <w:keepNext/>
            </w:pPr>
            <w:r>
              <w:t>ID</w:t>
            </w:r>
          </w:p>
        </w:tc>
        <w:tc>
          <w:tcPr>
            <w:cnfStyle w:evenVBand="true" w:oddVBand="false" w:firstColumn="false"/>
            <w:tcW w:w="25.000000%" w:type="pct"/>
          </w:tcPr>
          <w:p>
            <w:pPr>
              <w:ind w:leftChars="0" w:left="0" w:right="0"/>
              <w:keepNext/>
            </w:pPr>
            <w:r>
              <w:t>VLD_FRM</w:t>
            </w:r>
          </w:p>
        </w:tc>
        <w:tc>
          <w:tcPr>
            <w:cnfStyle w:evenVBand="false" w:oddVBand="true" w:firstColumn="false"/>
            <w:tcW w:w="25.000000%" w:type="pct"/>
          </w:tcPr>
          <w:p>
            <w:pPr>
              <w:ind w:leftChars="0" w:left="0" w:right="0"/>
              <w:keepNext/>
            </w:pPr>
            <w:r>
              <w:t>VLD_T</w:t>
            </w:r>
          </w:p>
        </w:tc>
        <w:tc>
          <w:tcPr>
            <w:cnfStyle w:evenVBand="true" w:oddVBand="false" w:firstColumn="false"/>
            <w:tcW w:w="20.833333%" w:type="pct"/>
          </w:tcPr>
          <w:p>
            <w:pPr>
              <w:ind w:leftChars="0" w:left="0" w:right="0"/>
              <w:keepNext/>
            </w:pPr>
            <w:r>
              <w:t>NM</w:t>
            </w:r>
          </w:p>
        </w:tc>
        <w:tc>
          <w:tcPr>
            <w:cnfStyle w:evenVBand="false" w:oddVBand="true" w:firstColumn="false"/>
            <w:tcW w:w="12.500000%" w:type="pct"/>
          </w:tcPr>
          <w:p>
            <w:pPr>
              <w:ind w:leftChars="0" w:left="0" w:right="0"/>
              <w:keepNext/>
            </w:pPr>
            <w:r>
              <w:t>SCTR</w:t>
            </w:r>
          </w:p>
        </w:tc>
      </w:tr>
      <w:tr>
        <w:trPr>
          <w:cnfStyle w:evenHBand="false" w:oddHBand="tru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p>
        </w:tc>
        <w:tc>
          <w:tcPr>
            <w:cnfStyle w:evenVBand="false" w:oddVBand="true" w:firstColumn="false"/>
            <w:tcW w:w="25.000000%" w:type="pct"/>
          </w:tcPr>
          <w:p>
            <w:pPr>
              <w:ind w:leftChars="0" w:left="0" w:right="0"/>
            </w:pPr>
            <w:r>
              <w:t>2000-01-01</w:t>
            </w:r>
          </w:p>
        </w:tc>
        <w:tc>
          <w:tcPr>
            <w:cnfStyle w:evenVBand="true" w:oddVBand="false" w:firstColumn="false"/>
            <w:tcW w:w="20.833333%" w:type="pct"/>
          </w:tcPr>
          <w:p>
            <w:pPr>
              <w:ind w:leftChars="0" w:left="0" w:right="0"/>
            </w:pPr>
            <w:r>
              <w:t>FOO PLC</w:t>
            </w:r>
          </w:p>
        </w:tc>
        <w:tc>
          <w:tcPr>
            <w:cnfStyle w:evenVBand="false" w:oddVBand="true" w:firstColumn="false"/>
            <w:tcW w:w="12.500000%" w:type="pct"/>
          </w:tcPr>
          <w:p>
            <w:pPr>
              <w:ind w:leftChars="0" w:left="0" w:right="0"/>
            </w:pPr>
            <w:r>
              <w:t>S11</w:t>
            </w:r>
          </w:p>
        </w:tc>
      </w:tr>
      <w:tr>
        <w:trPr>
          <w:cnfStyle w:evenHBand="true" w:oddHBand="fals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ind w:leftChars="0" w:left="0" w:right="0"/>
            </w:pPr>
            <w:r>
              <w:t>2000-01-01</w:t>
            </w:r>
          </w:p>
        </w:tc>
        <w:tc>
          <w:tcPr>
            <w:cnfStyle w:evenVBand="false" w:oddVBand="true" w:firstColumn="false"/>
            <w:tcW w:w="25.000000%" w:type="pct"/>
          </w:tcPr>
          <w:p>
            <w:pPr>
              <w:ind w:leftChars="0" w:left="0" w:right="0"/>
            </w:pPr>
            <w:r>
              <w:t>2009-01-25</w:t>
            </w:r>
          </w:p>
        </w:tc>
        <w:tc>
          <w:tcPr>
            <w:cnfStyle w:evenVBand="true" w:oddVBand="false" w:firstColumn="false"/>
            <w:tcW w:w="20.833333%" w:type="pct"/>
          </w:tcPr>
          <w:p>
            <w:pPr>
              <w:ind w:leftChars="0" w:left="0" w:right="0"/>
            </w:pPr>
            <w:r>
              <w:t>FOO IC</w:t>
            </w:r>
          </w:p>
        </w:tc>
        <w:tc>
          <w:tcPr>
            <w:cnfStyle w:evenVBand="false" w:oddVBand="true" w:firstColumn="false"/>
            <w:tcW w:w="12.500000%" w:type="pct"/>
          </w:tcPr>
          <w:p>
            <w:pPr>
              <w:ind w:leftChars="0" w:left="0" w:right="0"/>
            </w:pPr>
            <w:r>
              <w:t>S128</w:t>
            </w:r>
          </w:p>
        </w:tc>
      </w:tr>
      <w:tr>
        <w:trPr>
          <w:cnfStyle w:evenHBand="false" w:oddHBand="tru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ind w:leftChars="0" w:left="0" w:right="0"/>
            </w:pPr>
            <w:r>
              <w:t>2009-01-25</w:t>
            </w:r>
          </w:p>
        </w:tc>
        <w:tc>
          <w:tcPr>
            <w:cnfStyle w:evenVBand="false" w:oddVBand="true" w:firstColumn="false"/>
            <w:tcW w:w="25.000000%" w:type="pct"/>
          </w:tcPr>
          <w:p>
            <w:pPr/>
          </w:p>
        </w:tc>
        <w:tc>
          <w:tcPr>
            <w:cnfStyle w:evenVBand="true" w:oddVBand="false" w:firstColumn="false"/>
            <w:tcW w:w="20.833333%" w:type="pct"/>
          </w:tcPr>
          <w:p>
            <w:pPr>
              <w:ind w:leftChars="0" w:left="0" w:right="0"/>
            </w:pPr>
            <w:r>
              <w:t>FOO MFMC</w:t>
            </w:r>
          </w:p>
        </w:tc>
        <w:tc>
          <w:tcPr>
            <w:cnfStyle w:evenVBand="false" w:oddVBand="true" w:firstColumn="false"/>
            <w:tcW w:w="12.500000%" w:type="pct"/>
          </w:tcPr>
          <w:p>
            <w:pPr>
              <w:ind w:leftChars="0" w:left="0" w:right="0"/>
            </w:pPr>
            <w:r>
              <w:t>S126</w:t>
            </w:r>
          </w:p>
        </w:tc>
      </w:tr>
    </w:tbl>
    <w:p>
      <w:pPr>
        <w:pStyle w:val="Table Bottom Margin"/>
      </w:pPr>
    </w:p>
    <w:bookmarkEnd w:id="274"/>
    <w:bookmarkEnd w:id="273"/>
    <w:bookmarkStart w:id="275" w:name="_f4186395fd74a87b041bb8ceb85f8f3d"/>
    <w:p>
      <w:pPr>
        <w:pStyle w:val="Heading5"/>
        <w:keepNext/>
      </w:pPr>
      <w:r>
        <w:t>Περίπτωση Β</w:t>
      </w:r>
    </w:p>
    <w:p>
      <w:pPr>
        <w:pStyle w:val="Body Text"/>
        <w:ind w:leftChars="0" w:left="0" w:right="0"/>
      </w:pPr>
      <w:r>
        <w:t>Οι παρατηρήσεις ενός πίνακα που περιέχει τις διαστάσεις DT και FRQNCY θεωρούνται αλληλοεπικαλυπτόμενες αν όλες οι τιμές των διαστάσεων εκτός των DT και FRQNCY είναι οι ίδιες και τα χρονικά διαστήματα που ορίζονται από τις διαστάσεις DT και FRQNCY αλληλοεπικαλύπτονται. Σε αυτή την περίπτωση διατηρείται μόνο η τελευταία παρατήρηση με την μεγαλύτερη διάρκεια.</w:t>
      </w:r>
    </w:p>
    <w:bookmarkStart w:id="276" w:name="_e0c1d9549580968c92d86f0cf6c98430"/>
    <w:p>
      <w:pPr>
        <w:pStyle w:val="Heading 6"/>
        <w:keepNext/>
      </w:pPr>
      <w:r>
        <w:t>Υποθετικό παράδειγμα</w:t>
      </w:r>
    </w:p>
    <w:p>
      <w:pPr>
        <w:pStyle w:val="Body Text"/>
        <w:ind w:leftChars="0" w:left="0" w:right="0"/>
      </w:pPr>
      <w:r>
        <w:t>Στο παρόν παράδειγμα οι διαστάσεις είναι οι: ID, DT, FRQNCY και οι μεταβλητές οι: PRICE, SUBSCRIPTIONS.</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M</w:t>
            </w:r>
          </w:p>
        </w:tc>
        <w:tc>
          <w:tcPr>
            <w:cnfStyle w:evenVBand="true" w:oddVBand="false" w:firstColumn="false"/>
            <w:tcW w:w="11.940299%" w:type="pct"/>
          </w:tcPr>
          <w:p>
            <w:pPr>
              <w:ind w:leftChars="0" w:left="0" w:right="0"/>
            </w:pPr>
            <w:r>
              <w:t>10.24</w:t>
            </w:r>
          </w:p>
        </w:tc>
        <w:tc>
          <w:tcPr>
            <w:cnfStyle w:evenVBand="false" w:oddVBand="true" w:firstColumn="false"/>
            <w:tcW w:w="22.388060%" w:type="pct"/>
          </w:tcPr>
          <w:p>
            <w:pPr>
              <w:ind w:leftChars="0" w:left="0" w:right="0"/>
            </w:pPr>
            <w:r>
              <w:t>500,000</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r>
        <w:trPr>
          <w:cnfStyle w:evenHBand="true" w:oddHBand="fals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M</w:t>
            </w:r>
          </w:p>
        </w:tc>
        <w:tc>
          <w:tcPr>
            <w:cnfStyle w:evenVBand="true" w:oddVBand="false" w:firstColumn="false"/>
            <w:tcW w:w="11.940299%" w:type="pct"/>
          </w:tcPr>
          <w:p>
            <w:pPr>
              <w:ind w:leftChars="0" w:left="0" w:right="0"/>
            </w:pPr>
            <w:r>
              <w:t>10.24</w:t>
            </w:r>
          </w:p>
        </w:tc>
        <w:tc>
          <w:tcPr>
            <w:cnfStyle w:evenVBand="false" w:oddVBand="true" w:firstColumn="false"/>
            <w:tcW w:w="22.388060%" w:type="pct"/>
          </w:tcPr>
          <w:p>
            <w:pPr>
              <w:ind w:leftChars="0" w:left="0" w:right="0"/>
            </w:pPr>
            <w:r>
              <w:t>400,000</w:t>
            </w:r>
          </w:p>
        </w:tc>
      </w:tr>
    </w:tbl>
    <w:p>
      <w:pPr>
        <w:pStyle w:val="Table Bottom Margin"/>
      </w:pPr>
    </w:p>
    <w:p>
      <w:pPr>
        <w:pStyle w:val="Body Text"/>
        <w:ind w:leftChars="0" w:left="0" w:right="0"/>
      </w:pPr>
      <w:r>
        <w:t>Μεταμόρφωση υποβολής σε μη αλληλοεπικαλυπτόμενη παρατήρηση: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bl>
    <w:p>
      <w:pPr>
        <w:pStyle w:val="Table Bottom Margin"/>
      </w:pPr>
    </w:p>
    <w:bookmarkEnd w:id="276"/>
    <w:bookmarkEnd w:id="275"/>
    <w:bookmarkEnd w:id="272"/>
    <w:bookmarkStart w:id="277" w:name="_2b63e8d4117724e5e6cdbc8bdd683eea"/>
    <w:p>
      <w:pPr>
        <w:pStyle w:val="Heading4"/>
        <w:keepNext/>
      </w:pPr>
      <w:r>
        <w:t>Παρόμοιες Παρατηρήσεις</w:t>
      </w:r>
    </w:p>
    <w:p>
      <w:pPr>
        <w:pStyle w:val="Body Text"/>
        <w:ind w:leftChars="0" w:left="0" w:right="0"/>
      </w:pPr>
      <w:r>
        <w:t xml:space="preserve">Οι παρατηρήσεις ενός πίνακα που δεν περιέχει τις διαστάσεις </w:t>
      </w:r>
      <w:r>
        <w:rPr>
          <w:b/>
          <w:bCs/>
        </w:rPr>
        <w:t>VLD_FRM</w:t>
      </w:r>
      <w:r>
        <w:t xml:space="preserve"> και </w:t>
      </w:r>
      <w:r>
        <w:rPr>
          <w:b/>
          <w:bCs/>
        </w:rPr>
        <w:t>VLD_T</w:t>
      </w:r>
      <w:r>
        <w:t xml:space="preserve"> ή τις διαστάσεις </w:t>
      </w:r>
      <w:r>
        <w:rPr>
          <w:b/>
          <w:bCs/>
        </w:rPr>
        <w:t>DT</w:t>
      </w:r>
      <w:r>
        <w:t xml:space="preserve"> και </w:t>
      </w:r>
      <w:r>
        <w:rPr>
          <w:b/>
          <w:bCs/>
        </w:rPr>
        <w:t>FRQNCY</w:t>
      </w:r>
      <w:r>
        <w:t xml:space="preserve"> θεωρούνται παρόμοιες εάν οι τιμές των διαστάσεων είναι οι ίδιες. Σε αυτή την περίπτωση δημιουργείται μία παρατήρηση με βάση τις πιο πρόσφατες (LIFO) μη κενές τιμές των μετρήσεων.</w:t>
      </w:r>
    </w:p>
    <w:bookmarkStart w:id="278" w:name="_df42d8c56aa057f3c667d0d61f85309e"/>
    <w:p>
      <w:pPr>
        <w:pStyle w:val="Heading5"/>
        <w:keepNext/>
      </w:pPr>
      <w:r>
        <w:t>Υποθετικό παράδειγμα</w:t>
      </w:r>
    </w:p>
    <w:p>
      <w:pPr>
        <w:pStyle w:val="Body Text"/>
        <w:ind w:leftChars="0" w:left="0" w:right="0"/>
      </w:pPr>
      <w:r>
        <w:t xml:space="preserve">Στο παρόν παράδειγμα </w:t>
      </w:r>
      <w:r>
        <w:rPr>
          <w:b/>
          <w:bCs/>
        </w:rPr>
        <w:t>ID</w:t>
      </w:r>
      <w:r>
        <w:t xml:space="preserve"> είναι η διάσταση, και οι μεταβλητές είναι οι: </w:t>
      </w:r>
      <w:r>
        <w:rPr>
          <w:b/>
          <w:bCs/>
        </w:rPr>
        <w:t>BIRTH</w:t>
      </w:r>
      <w:r>
        <w:t xml:space="preserve">, </w:t>
      </w:r>
      <w:r>
        <w:rPr>
          <w:b/>
          <w:bCs/>
        </w:rPr>
        <w:t>CLOSE</w:t>
      </w:r>
      <w:r>
        <w:t xml:space="preserve">, </w:t>
      </w:r>
      <w:r>
        <w:rPr>
          <w:b/>
          <w:bCs/>
        </w:rPr>
        <w:t>COUNTRY OF BIRTH</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258"/>
        <w:gridCol w:w="3304"/>
        <w:gridCol w:w="1101"/>
        <w:gridCol w:w="2832"/>
      </w:tblGrid>
      <w:tr>
        <w:trPr>
          <w:cnfStyle w:evenHBand="false" w:oddHBand="true" w:firstRow="true"/>
        </w:trPr>
        <w:tc>
          <w:tcPr>
            <w:cnfStyle w:evenVBand="false" w:oddVBand="true" w:firstColumn="false"/>
            <w:tcW w:w="14.814815%" w:type="pct"/>
          </w:tcPr>
          <w:p>
            <w:pPr>
              <w:ind w:leftChars="0" w:left="0" w:right="0"/>
              <w:keepNext/>
            </w:pPr>
            <w:r>
              <w:t>ID</w:t>
            </w:r>
          </w:p>
        </w:tc>
        <w:tc>
          <w:tcPr>
            <w:cnfStyle w:evenVBand="true" w:oddVBand="false" w:firstColumn="false"/>
            <w:tcW w:w="38.888889%" w:type="pct"/>
          </w:tcPr>
          <w:p>
            <w:pPr>
              <w:ind w:leftChars="0" w:left="0" w:right="0"/>
              <w:keepNext/>
            </w:pPr>
            <w:r>
              <w:t>BIRTH</w:t>
            </w:r>
          </w:p>
        </w:tc>
        <w:tc>
          <w:tcPr>
            <w:cnfStyle w:evenVBand="false" w:oddVBand="true" w:firstColumn="false"/>
            <w:tcW w:w="12.962963%" w:type="pct"/>
          </w:tcPr>
          <w:p>
            <w:pPr>
              <w:ind w:leftChars="0" w:left="0" w:right="0"/>
              <w:keepNext/>
            </w:pPr>
            <w:r>
              <w:t>CLOSE</w:t>
            </w:r>
          </w:p>
        </w:tc>
        <w:tc>
          <w:tcPr>
            <w:cnfStyle w:evenVBand="true" w:oddVBand="false" w:firstColumn="false"/>
            <w:tcW w:w="33.333333%" w:type="pct"/>
          </w:tcPr>
          <w:p>
            <w:pPr>
              <w:ind w:leftChars="0" w:left="0" w:right="0"/>
              <w:keepNext/>
            </w:pPr>
            <w:r>
              <w:t>COUNTRY OF BIRTH</w:t>
            </w:r>
          </w:p>
        </w:tc>
      </w:tr>
      <w:tr>
        <w:trPr>
          <w:cnfStyle w:evenHBand="false" w:oddHBand="true" w:firstRow="false"/>
        </w:trPr>
        <w:tc>
          <w:tcPr>
            <w:cnfStyle w:evenVBand="false" w:oddVBand="true" w:firstColumn="false"/>
            <w:tcW w:w="14.814815%" w:type="pct"/>
          </w:tcPr>
          <w:p>
            <w:pPr>
              <w:ind w:leftChars="0" w:left="0" w:right="0"/>
            </w:pPr>
            <w:r>
              <w:t>EGRFOO</w:t>
            </w:r>
          </w:p>
        </w:tc>
        <w:tc>
          <w:tcPr>
            <w:cnfStyle w:evenVBand="true" w:oddVBand="false" w:firstColumn="false"/>
            <w:tcW w:w="38.888889%" w:type="pct"/>
          </w:tcPr>
          <w:p>
            <w:pPr>
              <w:ind w:leftChars="0" w:left="0" w:right="0"/>
            </w:pPr>
            <w:r>
              <w:t>1985-01-17T00:00:00</w:t>
            </w:r>
          </w:p>
        </w:tc>
        <w:tc>
          <w:tcPr>
            <w:cnfStyle w:evenVBand="false" w:oddVBand="true" w:firstColumn="false"/>
            <w:tcW w:w="12.962963%" w:type="pct"/>
          </w:tcPr>
          <w:p>
            <w:pPr/>
          </w:p>
        </w:tc>
        <w:tc>
          <w:tcPr>
            <w:cnfStyle w:evenVBand="true" w:oddVBand="false" w:firstColumn="false"/>
            <w:tcW w:w="33.333333%" w:type="pct"/>
          </w:tcPr>
          <w:p>
            <w:pPr/>
          </w:p>
        </w:tc>
      </w:tr>
    </w:tbl>
    <w:p>
      <w:pPr>
        <w:pStyle w:val="Table Bottom Margin"/>
      </w:pPr>
    </w:p>
    <w:p>
      <w:pPr>
        <w:pStyle w:val="Body Text"/>
        <w:ind w:leftChars="0" w:left="0" w:right="0"/>
      </w:pPr>
      <w:r>
        <w:t>Υποβολή παρόμοιων παρατηρήσεων:</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1985-01-01T00:00:00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p>
        </w:tc>
      </w:tr>
      <w:tr>
        <w:trPr>
          <w:cnfStyle w:evenHBand="true" w:oddHBand="fals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p>
        </w:tc>
        <w:tc>
          <w:tcPr>
            <w:cnfStyle w:evenVBand="true" w:oddVBand="false" w:firstColumn="false"/>
            <w:tcW w:w="26.470588%" w:type="pct"/>
          </w:tcPr>
          <w:p>
            <w:pPr>
              <w:ind w:leftChars="0" w:left="0" w:right="0"/>
            </w:pPr>
            <w:r>
              <w:t>GR</w:t>
            </w:r>
          </w:p>
        </w:tc>
      </w:tr>
    </w:tbl>
    <w:p>
      <w:pPr>
        <w:pStyle w:val="Table Bottom Margin"/>
      </w:pPr>
    </w:p>
    <w:p>
      <w:pPr>
        <w:pStyle w:val="Body Text"/>
        <w:ind w:leftChars="0" w:left="0" w:right="0"/>
      </w:pPr>
      <w:r>
        <w:t>Μεταμόρφωση παρόμοιων παρατηρήσεων:</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ind w:leftChars="0" w:left="0" w:right="0"/>
            </w:pPr>
            <w:r>
              <w:t>GR</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ind w:leftChars="0" w:left="0" w:right="0"/>
            </w:pPr>
            <w:r>
              <w:t>GR</w:t>
            </w:r>
          </w:p>
        </w:tc>
      </w:tr>
    </w:tbl>
    <w:p>
      <w:pPr>
        <w:pStyle w:val="Table Bottom Margin"/>
      </w:pPr>
    </w:p>
    <w:bookmarkEnd w:id="278"/>
    <w:bookmarkEnd w:id="277"/>
    <w:bookmarkStart w:id="279" w:name="_d34956c2f00eba286d2ae7c19af8ee37"/>
    <w:bookmarkStart w:id="280" w:name="_9766d655179d24e6633bdc0fa8708b52"/>
    <w:p>
      <w:pPr>
        <w:pStyle w:val="Heading4"/>
        <w:keepNext/>
      </w:pPr>
      <w:r>
        <w:t>Γενικές Αλφαριθμητικές τιμές</w:t>
      </w:r>
    </w:p>
    <w:p>
      <w:pPr>
        <w:pStyle w:val="Body Text"/>
        <w:ind w:leftChars="0" w:left="0" w:right="0"/>
      </w:pPr>
      <w:r>
        <w:t>Μια γενική αλφαριθμητική τιμή περιέχει ειδικές θέσεις που διακρίνονται από αγκύλες και όταν αντικαθίστανται διαμορφώνονται οι οριστικές αλφαριθμητικές τιμές.</w:t>
      </w:r>
    </w:p>
    <w:p>
      <w:pPr>
        <w:pStyle w:val="Body Text"/>
        <w:ind w:leftChars="0" w:left="0" w:right="0"/>
      </w:pPr>
      <w:r>
        <w:t xml:space="preserve">Η γενική αλφαριθμητική τιμή </w:t>
      </w:r>
      <w:r>
        <w:rPr>
          <w:b/>
          <w:bCs/>
        </w:rPr>
        <w:t>{YYYY}-{MM}-{DD}</w:t>
      </w:r>
      <w:r>
        <w:t xml:space="preserve"> περιέχει τρεις ειδικές θέσεις μία για το έτος </w:t>
      </w:r>
      <w:r>
        <w:rPr>
          <w:b/>
          <w:bCs/>
        </w:rPr>
        <w:t>YYYY</w:t>
      </w:r>
      <w:r>
        <w:t xml:space="preserve">, μία για το μήνα </w:t>
      </w:r>
      <w:r>
        <w:rPr>
          <w:b/>
          <w:bCs/>
        </w:rPr>
        <w:t>MM</w:t>
      </w:r>
      <w:r>
        <w:t xml:space="preserve"> και μία για την ημέρα </w:t>
      </w:r>
      <w:r>
        <w:rPr>
          <w:b/>
          <w:bCs/>
        </w:rPr>
        <w:t>DD</w:t>
      </w:r>
      <w:r>
        <w:t xml:space="preserve">. Αν YYYY=2022, MM=03 και DD=25 τότε η οριστική αλφαριθμητική τιμή είναι η </w:t>
      </w:r>
      <w:r>
        <w:rPr>
          <w:b/>
          <w:bCs/>
        </w:rPr>
        <w:t>2022-03-25</w:t>
      </w:r>
      <w:r>
        <w:t>.</w:t>
      </w:r>
    </w:p>
    <w:p>
      <w:pPr>
        <w:pStyle w:val="Body Text"/>
        <w:ind w:leftChars="0" w:left="0" w:right="0"/>
      </w:pPr>
      <w:r>
        <w:t xml:space="preserve">Η γενική αλφαριθμητική τιμή </w:t>
      </w:r>
      <w:r>
        <w:rPr>
          <w:b/>
          <w:bCs/>
        </w:rPr>
        <w:t>Γεια σου {name}</w:t>
      </w:r>
      <w:r>
        <w:t xml:space="preserve"> περιέχει μία ειδική θέση </w:t>
      </w:r>
      <w:r>
        <w:rPr>
          <w:b/>
          <w:bCs/>
        </w:rPr>
        <w:t>name</w:t>
      </w:r>
      <w:r>
        <w:t xml:space="preserve">. Αν name=Άννα τότε η οριστική αλφαριθμητική τιμή είναι η </w:t>
      </w:r>
      <w:r>
        <w:rPr>
          <w:b/>
          <w:bCs/>
        </w:rPr>
        <w:t>Γεια σου Άννα</w:t>
      </w:r>
      <w:r>
        <w:t>.</w:t>
      </w:r>
    </w:p>
    <w:bookmarkEnd w:id="279"/>
    <w:bookmarkEnd w:id="280"/>
    <w:bookmarkStart w:id="281" w:name="_101b45ba8e0ffaa84c95524146888335"/>
    <w:p>
      <w:pPr>
        <w:pStyle w:val="Heading4"/>
        <w:keepNext/>
      </w:pPr>
      <w:r>
        <w:t>Ποσά σε ξένο νόμισμα</w:t>
      </w:r>
    </w:p>
    <w:p>
      <w:pPr>
        <w:pStyle w:val="Body Text"/>
        <w:ind w:leftChars="0" w:left="0" w:right="0"/>
      </w:pPr>
      <w:r>
        <w:t xml:space="preserve">Τα ποσά σε ξένο νόμισμα μετατρέπονται σε Ευρώ με βάση τις συναλλαγματικές ισοτιμίες της </w:t>
      </w:r>
      <w:hyperlink xmlns:r="http://schemas.openxmlformats.org/officeDocument/2006/relationships" r:id="rId19">
        <w:r>
          <w:rPr>
            <w:rStyle w:val="Hyperlink"/>
          </w:rPr>
          <w:t>ΕΚΤ</w:t>
        </w:r>
      </w:hyperlink>
      <w:bookmarkStart w:id="282" w:name="_ac92866b8931439ee72addaf4b4be6fd"/>
      <w:bookmarkEnd w:id="282"/>
    </w:p>
    <w:bookmarkEnd w:id="281"/>
    <w:bookmarkEnd w:id="266"/>
    <w:bookmarkEnd w:id="265"/>
    <w:bookmarkStart w:id="283" w:name="_1286127b186296dde5352963dc0e24ae"/>
    <w:bookmarkStart w:id="284" w:name="_a54354b907e98d6c12fbad0bc1b4929e"/>
    <w:p>
      <w:pPr>
        <w:pStyle w:val="Heading3"/>
        <w:keepNext/>
      </w:pPr>
      <w:r>
        <w:t>Αναγνωριστικοί Kωδικοί</w:t>
      </w:r>
    </w:p>
    <w:p>
      <w:pPr>
        <w:pStyle w:val="Body Text"/>
        <w:ind w:leftChars="0" w:left="0" w:right="0"/>
      </w:pPr>
      <w:r>
        <w:t>Οι αναγνωριστικοί κωδικοί των ΜΠΣ, των ΕΟ για τους οποίους αναγγέλλουν στοιχεία καθώς και οι αναγνωριστικοί κωδικοί των μετοχών, μεριδίων, κατηγοριών μεριδίων αλλά και των ομολόγων που έχουν εκδώσει υπάρχουν στο IFDAT-LIST.  Σε περίπτωση νέας ΜΠΣ με χώρα κατοικίας την Ελλάδα ο κωδικός της ορίζεται ως ο «EGR{AFM}».  Σε περίπτωση νέας ΜΠΣ με χώρα κατοικίας εκτός Ελλάδας θα πρέπει να υπάρξει απευθείας επικοινωνία με την ΤτΕ για την απόδωση κωδικού.  Για νέους ΕΟ αναγγέλονται αρχικώς με τον πρώτο διαθέσιμο ORG κωδικό και μετέπειτα αναγγέλλονται με τους επίσημους κωδικούς που θα τους αποδώσει και θα εμφανιστούν στο IFDAT-LIST.  Για περισσότερες πληροφορίες δείτε το παράδειγμα 1.</w:t>
      </w:r>
    </w:p>
    <w:p>
      <w:pPr>
        <w:pStyle w:val="Body Text"/>
        <w:ind w:leftChars="0" w:left="0" w:right="0"/>
      </w:pPr>
      <w:r>
        <w:t>Στις παρακάτω ενότητες περιγράφεται η δομή των αλφαριθμητικών αναγνωριστικών κωδικών που χρησιμοποιούνται για την αναγνώριση θεσμικών μονάδων ή χρηματοοικονομικών μέσων που δεν εμφανίζονται στο IFDAT-LIST.</w:t>
      </w:r>
    </w:p>
    <w:p>
      <w:pPr>
        <w:pStyle w:val="Body Text"/>
        <w:ind w:leftChars="0" w:left="0" w:right="0"/>
      </w:pPr>
      <w:r>
        <w:t xml:space="preserve">Για την περιγραφή της δομής χρησιμοποιούνται η σημειογραφία των </w:t>
      </w:r>
      <w:hyperlink w:anchor="_d34956c2f00eba286d2ae7c19af8ee37">
        <w:r>
          <w:rPr>
            <w:rStyle w:val="Hyperlink"/>
          </w:rPr>
          <w:t>γενικών αλφαριθμητικών τιμών</w:t>
        </w:r>
      </w:hyperlink>
      <w:r>
        <w:t xml:space="preserve">.  Για όλες τις παρακάτω τιμές η θέση </w:t>
      </w:r>
      <w:r>
        <w:rPr>
          <w:rFonts w:ascii="Consolas" w:eastAsia="ＭＳ ゴシック" w:hansitheme="majorhansi"/>
          <w:color w:val="E74C3C"/>
          <w:sz w:val="20"/>
          <w:szCs w:val="20"/>
          <w:noProof/>
        </w:rPr>
        <w:t>RA</w:t>
      </w:r>
      <w:r>
        <w:t xml:space="preserve"> και η θέση </w:t>
      </w:r>
      <w:r>
        <w:rPr>
          <w:rFonts w:ascii="Consolas" w:eastAsia="ＭＳ ゴシック" w:hansitheme="majorhansi"/>
          <w:color w:val="E74C3C"/>
          <w:sz w:val="20"/>
          <w:szCs w:val="20"/>
          <w:noProof/>
        </w:rPr>
        <w:t>OA</w:t>
      </w:r>
      <w:r>
        <w:t xml:space="preserve"> αντικαθίστονται με τον </w:t>
      </w:r>
      <w:hyperlink w:anchor="_99391632cb8cb0a37f6aa0b79d97e758">
        <w:r>
          <w:rPr>
            <w:rStyle w:val="Hyperlink"/>
          </w:rPr>
          <w:t>αναγνωριστικό κωδικό του Ευρωπαϊκού Συστήματος Κεντρικών Τραπεζών της ΜΠΣ</w:t>
        </w:r>
      </w:hyperlink>
      <w:r>
        <w:t xml:space="preserve"> της ΜΠΣ και της ΠΜ αντίστοιχα.</w:t>
      </w:r>
    </w:p>
    <w:bookmarkStart w:id="285" w:name="_99f2ef9e87f68849087a15b72cb02467"/>
    <w:bookmarkStart w:id="286" w:name="_525fbb7c3a0a22da70010cfe9ba7c12d"/>
    <w:p>
      <w:pPr>
        <w:pStyle w:val="Heading4"/>
        <w:keepNext/>
      </w:pPr>
      <w:r>
        <w:t>ORG (Αναγνωριστικός κωδικός Θεσμικής μονάδας)</w:t>
      </w:r>
    </w:p>
    <w:p>
      <w:pPr>
        <w:pStyle w:val="Body Text"/>
        <w:ind w:leftChars="0" w:left="0" w:right="0"/>
      </w:pPr>
      <w:r>
        <w:t xml:space="preserve">Ο αναγνωριστικός κωδικός μιας θεσμικής μονάδας αναφέρεται ως ο κωδικός ORG και πρέπει να σχηματίζεται με βάση τον </w:t>
      </w:r>
      <w:hyperlink w:anchor="_c49b55d385412337e2e29741e3972627">
        <w:r>
          <w:rPr>
            <w:rStyle w:val="Hyperlink"/>
          </w:rPr>
          <w:t>μορφότυπο ORG</w:t>
        </w:r>
      </w:hyperlink>
      <w:r>
        <w:t>.</w:t>
      </w:r>
    </w:p>
    <w:p>
      <w:pPr>
        <w:pStyle w:val="Body Text"/>
        <w:ind w:leftChars="0" w:left="0" w:right="0"/>
      </w:pPr>
      <w:r>
        <w:t>Η θεσμική μονάδα ορίζεται στην παράγραφο 2.10 του ΕΣΛ.</w:t>
      </w:r>
    </w:p>
    <w:p>
      <w:pPr>
        <w:pStyle w:val="Body Text"/>
        <w:ind w:leftChars="0" w:left="0" w:right="0"/>
      </w:pPr>
      <w:r>
        <w:t>Για θεσμικές μονάδες που δεν είναι νοικοκυριά ο πρώτος από τους ακόλουθους αναγνωριστικούς κωδικούς που είναι διαθέσιμος θεωρείται ο κωδικός ORG:</w:t>
      </w:r>
    </w:p>
    <w:bookmarkStart w:id="287" w:name="_99391632cb8cb0a37f6aa0b79d97e758"/>
    <w:p>
      <w:pPr>
        <w:pStyle w:val="ListNumber"/>
        <w:numPr>
          <w:ilvl w:val="0"/>
          <w:numId w:val="10"/>
        </w:numPr>
        <w:ind w:leftChars="0" w:left="480" w:right="0"/>
      </w:pPr>
      <w:r>
        <w:t xml:space="preserve">Ο αναγνωριστικός κωδικός θεσμικής μονάδας του Ευρωπαϊκού Συστήματος Κεντρικών Τραπεζών με τη κωδική ονομασία ESCB_ID ή RIAD_ID. Ο κωδικός έχει τη μορφή </w:t>
      </w:r>
      <w:r>
        <w:rPr>
          <w:b/>
          <w:bCs/>
        </w:rPr>
        <w:t>E{ESCB_ID}</w:t>
      </w:r>
      <w:r>
        <w:t xml:space="preserve">.  Για παράδειγμα o κωδικός της </w:t>
      </w:r>
      <w:r>
        <w:rPr>
          <w:b/>
          <w:bCs/>
        </w:rPr>
        <w:t>Eurobank ΑΕΔΑΚ</w:t>
      </w:r>
      <w:r>
        <w:t xml:space="preserve"> είναι ο </w:t>
      </w:r>
      <w:r>
        <w:rPr>
          <w:b/>
          <w:bCs/>
        </w:rPr>
        <w:t>EGRMFMC010</w:t>
      </w:r>
      <w:r>
        <w:t xml:space="preserve"> και του </w:t>
      </w:r>
      <w:r>
        <w:rPr>
          <w:b/>
          <w:bCs/>
        </w:rPr>
        <w:t>ΔΗΛΟΣ SYNTHESIS Best Red - Fund of Funds Μετοχικό</w:t>
      </w:r>
      <w:r>
        <w:t xml:space="preserve"> είναι ο </w:t>
      </w:r>
      <w:r>
        <w:rPr>
          <w:b/>
          <w:bCs/>
        </w:rPr>
        <w:t>EGRAK00118</w:t>
      </w:r>
      <w:r>
        <w:t xml:space="preserve">.  Στον σύνδεσμο </w:t>
      </w:r>
      <w:hyperlink xmlns:r="http://schemas.openxmlformats.org/officeDocument/2006/relationships" r:id="rId20">
        <w:r>
          <w:rPr>
            <w:rStyle w:val="Hyperlink"/>
          </w:rPr>
          <w:t>Lists of financial institutions</w:t>
        </w:r>
      </w:hyperlink>
      <w:r>
        <w:t xml:space="preserve"> δίνονται λίστες χρηματοπιστωτικών ιδρυμάτων όπου στη στήλη </w:t>
      </w:r>
      <w:r>
        <w:rPr>
          <w:b/>
          <w:bCs/>
        </w:rPr>
        <w:t>ID</w:t>
      </w:r>
      <w:r>
        <w:t xml:space="preserve"> δίνεται ο κωδικός </w:t>
      </w:r>
      <w:r>
        <w:rPr>
          <w:b/>
          <w:bCs/>
        </w:rPr>
        <w:t>ESCB_ID</w:t>
      </w:r>
      <w:r>
        <w:t>.</w:t>
      </w:r>
    </w:p>
    <w:p>
      <w:pPr>
        <w:pStyle w:val="ListNumber"/>
        <w:numPr>
          <w:ilvl w:val="0"/>
          <w:numId w:val="10"/>
        </w:numPr>
        <w:ind w:leftChars="0" w:left="480" w:right="0"/>
      </w:pPr>
      <w:r>
        <w:t xml:space="preserve">Ο αναγνωριστικός κωδικός νομικής οντότητας </w:t>
      </w:r>
      <w:r>
        <w:rPr>
          <w:b/>
          <w:bCs/>
        </w:rPr>
        <w:t>LEI_ID</w:t>
      </w:r>
      <w:r>
        <w:t xml:space="preserve"> της  μορφής </w:t>
      </w:r>
      <w:r>
        <w:rPr>
          <w:b/>
          <w:bCs/>
        </w:rPr>
        <w:t>L{LEI}</w:t>
      </w:r>
      <w:r>
        <w:t xml:space="preserve"> όπου η θέση </w:t>
      </w:r>
      <w:r>
        <w:rPr>
          <w:b/>
          <w:bCs/>
        </w:rPr>
        <w:t>LEI</w:t>
      </w:r>
      <w:r>
        <w:t xml:space="preserve"> αντικαθίσταται με τον κωδικό που έχει εκδοθεί σύμφωνα με το πρότυπο ISO-17442.  Για παράδειγμα ο κωδικός του αμοιβαίου με τίτλο </w:t>
      </w:r>
      <w:r>
        <w:rPr>
          <w:b/>
          <w:bCs/>
        </w:rPr>
        <w:t>EUROBANK GF Global Equities Μετοχικό Εξωτερικού</w:t>
      </w:r>
      <w:r>
        <w:t xml:space="preserve"> είναι ο </w:t>
      </w:r>
      <w:r>
        <w:rPr>
          <w:b/>
          <w:bCs/>
        </w:rPr>
        <w:t>L213800LKCZH28UVU8H60</w:t>
      </w:r>
      <w:r>
        <w:t>.</w:t>
      </w:r>
    </w:p>
    <w:p>
      <w:pPr>
        <w:pStyle w:val="ListNumber"/>
        <w:numPr>
          <w:ilvl w:val="0"/>
          <w:numId w:val="10"/>
        </w:numPr>
        <w:ind w:leftChars="0" w:left="480" w:right="0"/>
      </w:pPr>
      <w:r>
        <w:t xml:space="preserve">Ο αναγνωριστικός κωδικός φορολογικού μητρώου της μορφής </w:t>
      </w:r>
      <w:r>
        <w:rPr>
          <w:b/>
          <w:bCs/>
        </w:rPr>
        <w:t>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  Για παράδειγμα ο κωδικός της </w:t>
      </w:r>
      <w:r>
        <w:rPr>
          <w:b/>
          <w:bCs/>
        </w:rPr>
        <w:t>Προντέα ΑΕΕΑΠ</w:t>
      </w:r>
      <w:r>
        <w:t xml:space="preserve"> είναι ο </w:t>
      </w:r>
      <w:r>
        <w:rPr>
          <w:b/>
          <w:bCs/>
        </w:rPr>
        <w:t>TGR099555020</w:t>
      </w:r>
      <w:r>
        <w:t>.</w:t>
      </w:r>
    </w:p>
    <w:p>
      <w:pPr>
        <w:pStyle w:val="ListNumber"/>
        <w:numPr>
          <w:ilvl w:val="0"/>
          <w:numId w:val="10"/>
        </w:numPr>
        <w:ind w:leftChars="0" w:left="480" w:right="0"/>
      </w:pPr>
      <w:r>
        <w:t xml:space="preserve">Ο αναγνωριστικός κωδικός εμπορικού μητρώου της μορφής </w:t>
      </w:r>
      <w:r>
        <w:rPr>
          <w:b/>
          <w:bCs/>
        </w:rPr>
        <w:t>Β{CC}{CODE}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  Για παράδειγμα ο κωδικός της </w:t>
      </w:r>
      <w:r>
        <w:rPr>
          <w:b/>
          <w:bCs/>
        </w:rPr>
        <w:t>ΝΟΒΑΛ ΠΡΟΠΕΡΤΥ ΑΕΕΑΠ</w:t>
      </w:r>
      <w:r>
        <w:t xml:space="preserve"> είναι ο </w:t>
      </w:r>
      <w:r>
        <w:rPr>
          <w:b/>
          <w:bCs/>
        </w:rPr>
        <w:t>BGR15232160000</w:t>
      </w:r>
      <w:r>
        <w:t>.</w:t>
      </w:r>
    </w:p>
    <w:p>
      <w:pPr>
        <w:pStyle w:val="ListNumber"/>
        <w:numPr>
          <w:ilvl w:val="0"/>
          <w:numId w:val="10"/>
        </w:numPr>
        <w:ind w:leftChars="0" w:left="480" w:right="0"/>
      </w:pPr>
      <w:r>
        <w:t xml:space="preserve">Εσωτερικός αναγνωριστικός κωδικός της μορφής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στην θεσμική μονάδα, π.χ. </w:t>
      </w:r>
      <w:r>
        <w:rPr>
          <w:rFonts w:ascii="Consolas" w:eastAsia="ＭＳ ゴシック" w:hansitheme="majorhansi"/>
          <w:color w:val="E74C3C"/>
          <w:sz w:val="20"/>
          <w:szCs w:val="20"/>
          <w:noProof/>
        </w:rPr>
        <w:t>PGRMFMC000_B1</w:t>
      </w:r>
      <w:r>
        <w:t>.</w:t>
      </w:r>
    </w:p>
    <w:bookmarkEnd w:id="287"/>
    <w:p>
      <w:pPr>
        <w:pStyle w:val="Body Text"/>
        <w:ind w:leftChars="0" w:left="0" w:right="0"/>
      </w:pPr>
      <w:r>
        <w:t xml:space="preserve">Για θεσμικές μονάδες που είναι νοικοκυριά ο κωδικός ORG έχει τη μορφή </w:t>
      </w:r>
      <w:r>
        <w:rPr>
          <w:b/>
          <w:bCs/>
        </w:rPr>
        <w:t>P{RA}_{CODE}</w:t>
      </w:r>
      <w:r>
        <w:t xml:space="preserve"> όπου η θέση </w:t>
      </w:r>
      <w:r>
        <w:rPr>
          <w:b/>
          <w:bCs/>
        </w:rPr>
        <w:t>CODE</w:t>
      </w:r>
      <w:r>
        <w:t xml:space="preserve"> αντικαθίσταται από τον αναγνωριστικό κωδικό που έχει αποδώσει η </w:t>
      </w:r>
      <w:r>
        <w:rPr>
          <w:b/>
          <w:bCs/>
        </w:rPr>
        <w:t>ΜΠΣ</w:t>
      </w:r>
      <w:r>
        <w:t xml:space="preserve"> στο νοικοκυριό χωρίς όμως να μπορεί να αναγνωρισθεί το συγκεκριμένο νοικοκυριό εκτός της </w:t>
      </w:r>
      <w:r>
        <w:rPr>
          <w:b/>
          <w:bCs/>
        </w:rPr>
        <w:t>ΜΠΣ</w:t>
      </w:r>
      <w:r>
        <w:t xml:space="preserve">, π.χ. </w:t>
      </w:r>
      <w:r>
        <w:rPr>
          <w:b/>
          <w:bCs/>
        </w:rPr>
        <w:t>PGRMFMC000_H1</w:t>
      </w:r>
      <w:r>
        <w:t>.</w:t>
      </w:r>
    </w:p>
    <w:p>
      <w:pPr>
        <w:pStyle w:val="Body Text"/>
        <w:ind w:leftChars="0" w:left="0" w:right="0"/>
      </w:pPr>
      <w:r>
        <w:t>Κάθε θεσμική μονάδα μπορεί να έχει ως έχει ως ένα από τους παραπάνω τύπους αναγνωριστικών κωδικών εκτός από τον εσωτερικό αναγνωριστικό κωδικό που μπορεί να έχει πάνω από ένα που όμως πρέπει να έχουν δοθεί από διαφορετικές ΜΠΣ.</w:t>
      </w:r>
    </w:p>
    <w:bookmarkEnd w:id="285"/>
    <w:bookmarkEnd w:id="286"/>
    <w:bookmarkStart w:id="288" w:name="_f011dce9af42168b667edbf06a1ecd71"/>
    <w:bookmarkStart w:id="289" w:name="_8580563e95f03f28f1cff274cce971ed"/>
    <w:p>
      <w:pPr>
        <w:pStyle w:val="Heading4"/>
        <w:keepNext/>
      </w:pPr>
      <w:r>
        <w:t>DEP (κατάθεση)</w:t>
      </w:r>
    </w:p>
    <w:p>
      <w:pPr>
        <w:pStyle w:val="Body Text"/>
        <w:ind w:leftChars="0" w:left="0" w:right="0"/>
      </w:pPr>
      <w:r>
        <w:t xml:space="preserve">Ο αναγνωριστικός κωδικός ενός καταθετικού λογαριασμού αναφέρεται ως ο κωδικός </w:t>
      </w:r>
      <w:r>
        <w:rPr>
          <w:b/>
          <w:bCs/>
        </w:rPr>
        <w:t>DEP</w:t>
      </w:r>
      <w:r>
        <w:t xml:space="preserve"> και πρέπει να σχηματίζεται με βάση τον </w:t>
      </w:r>
      <w:hyperlink w:anchor="_728a9d51f474d30d4f91e02d628d2bd5">
        <w:r>
          <w:rPr>
            <w:rStyle w:val="Hyperlink"/>
          </w:rPr>
          <w:t>μορφότυπο DEP</w:t>
        </w:r>
      </w:hyperlink>
      <w:r>
        <w:t>.</w:t>
      </w:r>
    </w:p>
    <w:p>
      <w:pPr>
        <w:pStyle w:val="Body Text"/>
        <w:ind w:leftChars="0" w:left="0" w:right="0"/>
      </w:pPr>
      <w:r>
        <w:t>Οι καταθέσεις είναι τυποποιημένες, μη διαπραγματεύσιμες συμβάσεις, οι οποίες προσφέρονται κατά κανόνα από ιδρύματα που δέχονται καταθέσεις και επιτρέπουν την τοποθέτηση και τη μεταγενέστερη ανάληψη ενός μεταβλητού ποσού από τον πιστωτή.</w:t>
      </w:r>
    </w:p>
    <w:p>
      <w:pPr>
        <w:pStyle w:val="Body Text"/>
        <w:ind w:leftChars="0" w:left="0" w:right="0"/>
      </w:pPr>
      <w:r>
        <w:t xml:space="preserve">Περισσότερες πληροφορίες στους παραγράφους 5.79-5.88 του ΕΣΛ με την διευκρίνηση ότι οι συμφωνίες επαναγοράς (repos) περιλαμβάνονται στο </w:t>
      </w:r>
      <w:hyperlink w:anchor="_bc42454f9e0a26f44eecad8a8c695cfa">
        <w:r>
          <w:rPr>
            <w:rStyle w:val="Hyperlink"/>
          </w:rPr>
          <w:t>lon</w:t>
        </w:r>
      </w:hyperlink>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DEP</w:t>
      </w:r>
      <w:r>
        <w:t>:</w:t>
      </w:r>
    </w:p>
    <w:p>
      <w:pPr>
        <w:pStyle w:val="ListNumber"/>
        <w:numPr>
          <w:ilvl w:val="0"/>
          <w:numId w:val="11"/>
        </w:numPr>
        <w:ind w:leftChars="0" w:left="480" w:right="0"/>
      </w:pPr>
      <w:r>
        <w:t xml:space="preserve">Ο αναγνωριστικός κωδικός IBAN του καταθετικού λογαριασμού της μορφής </w:t>
      </w:r>
      <w:r>
        <w:rPr>
          <w:rFonts w:ascii="Consolas" w:eastAsia="ＭＳ ゴシック" w:hansitheme="majorhansi"/>
          <w:color w:val="E74C3C"/>
          <w:sz w:val="20"/>
          <w:szCs w:val="20"/>
          <w:noProof/>
        </w:rPr>
        <w:t>Ι{CODE}</w:t>
      </w:r>
      <w:r>
        <w:t xml:space="preserve"> όπου η θέση </w:t>
      </w:r>
      <w:r>
        <w:rPr>
          <w:b/>
          <w:bCs/>
        </w:rPr>
        <w:t>CODE</w:t>
      </w:r>
      <w:r>
        <w:t xml:space="preserve"> αντικαθίσταται με τον κωδικό IBAN.</w:t>
      </w:r>
    </w:p>
    <w:p>
      <w:pPr>
        <w:pStyle w:val="ListNumber"/>
        <w:numPr>
          <w:ilvl w:val="0"/>
          <w:numId w:val="11"/>
        </w:numPr>
        <w:ind w:leftChars="0" w:left="480" w:right="0"/>
      </w:pPr>
      <w:r>
        <w:t xml:space="preserve">Εσωτερικός αναγνωριστικός κωδικός της μορφής </w:t>
      </w:r>
      <w:r>
        <w:rPr>
          <w:b/>
          <w:bCs/>
        </w:rPr>
        <w:t>P{ΟΑ}_{CODE}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στον καταθετικό λογαριασμό, π.χ. </w:t>
      </w:r>
      <w:r>
        <w:rPr>
          <w:b/>
          <w:bCs/>
        </w:rPr>
        <w:t>PGRΑΚ00000_DEP1</w:t>
      </w:r>
      <w:r>
        <w:t>.</w:t>
      </w:r>
    </w:p>
    <w:bookmarkEnd w:id="288"/>
    <w:bookmarkEnd w:id="289"/>
    <w:bookmarkStart w:id="290" w:name="_bc42454f9e0a26f44eecad8a8c695cfa"/>
    <w:bookmarkStart w:id="291" w:name="_e36674d501f2c08b03ff0219ceb9682b"/>
    <w:p>
      <w:pPr>
        <w:pStyle w:val="Heading4"/>
        <w:keepNext/>
      </w:pPr>
      <w:r>
        <w:t>LON (δάνειο)</w:t>
      </w:r>
    </w:p>
    <w:p>
      <w:pPr>
        <w:pStyle w:val="Body Text"/>
        <w:ind w:leftChars="0" w:left="0" w:right="0"/>
      </w:pPr>
      <w:r>
        <w:t xml:space="preserve">Ο αναγνωριστικός κωδικός ενός δανείου αναφέρεται ως ο κωδικός </w:t>
      </w:r>
      <w:r>
        <w:rPr>
          <w:b/>
          <w:bCs/>
        </w:rPr>
        <w:t>LON</w:t>
      </w:r>
      <w:r>
        <w:t xml:space="preserve"> και πρέπει να σχηματίζεται με βάση τον </w:t>
      </w:r>
      <w:hyperlink w:anchor="_c6feed824415b7c08531d52ef91de9d8">
        <w:r>
          <w:rPr>
            <w:rStyle w:val="Hyperlink"/>
          </w:rPr>
          <w:t>μορφότυπο LON</w:t>
        </w:r>
      </w:hyperlink>
      <w:r>
        <w:t>.</w:t>
      </w:r>
    </w:p>
    <w:p>
      <w:pPr>
        <w:pStyle w:val="Body Text"/>
        <w:ind w:leftChars="0" w:left="0" w:right="0"/>
      </w:pPr>
      <w:r>
        <w:t>Δάνεια δημιουργούνται όταν οι πιστωτές δανείζουν χρήματα στους οφειλέτες.  Τα κύρια χαρακτηριστικά των δανείων είναι τα ακόλουθα:</w:t>
      </w:r>
    </w:p>
    <w:p>
      <w:pPr>
        <w:pStyle w:val="ListNumber"/>
        <w:numPr>
          <w:ilvl w:val="0"/>
          <w:numId w:val="12"/>
        </w:numPr>
        <w:ind w:leftChars="0" w:left="480" w:right="0"/>
      </w:pPr>
      <w:r>
        <w:t>οι όροι που διέπουν ένα δάνειο είτε ορίζονται από τη χρηματοοικονομική εταιρεία που χορηγεί το δάνειο είτε είναι αντικείμενο διαπραγμάτευσης μεταξύ του δανειστή και του δανειζόμενου, απευθείας ή μέσω ενός μεσίτη</w:t>
      </w:r>
    </w:p>
    <w:p>
      <w:pPr>
        <w:pStyle w:val="ListNumber"/>
        <w:numPr>
          <w:ilvl w:val="0"/>
          <w:numId w:val="12"/>
        </w:numPr>
        <w:ind w:leftChars="0" w:left="480" w:right="0"/>
      </w:pPr>
      <w:r>
        <w:t>η πρωτοβουλία λήψης δανείου προέρχεται συνήθως από το δανειζόμενο</w:t>
      </w:r>
    </w:p>
    <w:p>
      <w:pPr>
        <w:pStyle w:val="ListNumber"/>
        <w:numPr>
          <w:ilvl w:val="0"/>
          <w:numId w:val="12"/>
        </w:numPr>
        <w:ind w:leftChars="0" w:left="480" w:right="0"/>
      </w:pPr>
      <w:r>
        <w:t>το δάνειο είναι άνευ όρων χρέος προς τον πιστωτή, το οποίο πρέπει να εξοφληθεί στη λήξη του και το οποίο είναι τοκοφόρο</w:t>
      </w:r>
    </w:p>
    <w:p>
      <w:pPr>
        <w:pStyle w:val="Body Text"/>
        <w:ind w:leftChars="0" w:left="0" w:right="0"/>
      </w:pPr>
      <w:r>
        <w:t>Περισσότερες πληροφορίες στους παραγράφους 5.112 έως και 5.138 του ΕΣΛ.</w:t>
      </w:r>
    </w:p>
    <w:p>
      <w:pPr>
        <w:pStyle w:val="Body Text"/>
        <w:ind w:leftChars="0" w:left="0" w:right="0"/>
      </w:pPr>
      <w:r>
        <w:t xml:space="preserve">Ο αναγνωριστικός κωδικός </w:t>
      </w:r>
      <w:r>
        <w:rPr>
          <w:b/>
          <w:bCs/>
        </w:rPr>
        <w:t>LON</w:t>
      </w:r>
      <w:r>
        <w:t xml:space="preserve"> έχει τη μορφή </w:t>
      </w:r>
      <w:r>
        <w:rPr>
          <w:b/>
          <w:bCs/>
        </w:rPr>
        <w:t>P{ΟA}_{CODE}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δάνειο, π.χ. </w:t>
      </w:r>
      <w:r>
        <w:rPr>
          <w:b/>
          <w:bCs/>
        </w:rPr>
        <w:t>PGRΑΚ00000_LON1</w:t>
      </w:r>
      <w:r>
        <w:t>.</w:t>
      </w:r>
    </w:p>
    <w:bookmarkEnd w:id="290"/>
    <w:bookmarkEnd w:id="291"/>
    <w:bookmarkStart w:id="292" w:name="_3a74f84a5b8871c9761e529a9f2ecea1"/>
    <w:bookmarkStart w:id="293" w:name="_eb28e4aa358e8139477f7ace67f7f026"/>
    <w:p>
      <w:pPr>
        <w:pStyle w:val="Heading4"/>
        <w:keepNext/>
      </w:pPr>
      <w:r>
        <w:t>DBT (χρεόγραφο)</w:t>
      </w:r>
    </w:p>
    <w:p>
      <w:pPr>
        <w:pStyle w:val="Body Text"/>
        <w:ind w:leftChars="0" w:left="0" w:right="0"/>
      </w:pPr>
      <w:r>
        <w:t xml:space="preserve">Ο αναγνωριστικός κωδικός ενός χρεογράφου αναφέρεται ως ο κωδικός </w:t>
      </w:r>
      <w:r>
        <w:rPr>
          <w:b/>
          <w:bCs/>
        </w:rPr>
        <w:t>DBT</w:t>
      </w:r>
      <w:r>
        <w:t xml:space="preserve"> και πρέπει να σχηματίζεται με βάση τον </w:t>
      </w:r>
      <w:hyperlink w:anchor="_6ec1ed5d3bde231985c3b17321221400">
        <w:r>
          <w:rPr>
            <w:rStyle w:val="Hyperlink"/>
          </w:rPr>
          <w:t>μορφότυπο DBT</w:t>
        </w:r>
      </w:hyperlink>
      <w:r>
        <w:t>.</w:t>
      </w:r>
    </w:p>
    <w:p>
      <w:pPr>
        <w:pStyle w:val="Body Text"/>
        <w:ind w:leftChars="0" w:left="0" w:right="0"/>
      </w:pPr>
      <w:r>
        <w:t>Τα χρεόγραφα είναι διαπραγματεύσιμα χρηματοοικονομικά μέσα που πιστοποιούν τη σύναψη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Περισσότερες πληροφορίες στους παραγράφους 5.89 έως και 5.111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DBT</w:t>
      </w:r>
      <w:r>
        <w:t>:</w:t>
      </w:r>
    </w:p>
    <w:p>
      <w:pPr>
        <w:pStyle w:val="ListNumber"/>
        <w:numPr>
          <w:ilvl w:val="0"/>
          <w:numId w:val="13"/>
        </w:numPr>
        <w:ind w:leftChars="0" w:left="480" w:right="0"/>
      </w:pPr>
      <w:r>
        <w:t xml:space="preserve">Ο αναγνωριστικός κωδικός ISIN του χρεογράφου της μορφής </w:t>
      </w:r>
      <w:r>
        <w:rPr>
          <w:b/>
          <w:bCs/>
        </w:rPr>
        <w:t>I{CODE}</w:t>
      </w:r>
      <w:r>
        <w:t xml:space="preserve"> όπου η θέση </w:t>
      </w:r>
      <w:r>
        <w:rPr>
          <w:b/>
          <w:bCs/>
        </w:rPr>
        <w:t>CODE</w:t>
      </w:r>
      <w:r>
        <w:t xml:space="preserve"> αντικαθίσταται με τον κωδικό ISIN.</w:t>
      </w:r>
    </w:p>
    <w:p>
      <w:pPr>
        <w:pStyle w:val="ListNumber"/>
        <w:numPr>
          <w:ilvl w:val="0"/>
          <w:numId w:val="13"/>
        </w:numPr>
        <w:ind w:leftChars="0" w:left="480" w:right="0"/>
      </w:pPr>
      <w:r>
        <w:t xml:space="preserve">Εσωτερικός αναγνωριστικός κωδικός της μορφής </w:t>
      </w:r>
      <w:r>
        <w:rPr>
          <w:b/>
          <w:bCs/>
        </w:rPr>
        <w:t>P{ΟA}_{CODE}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χρεόγραφο, π.χ. </w:t>
      </w:r>
      <w:r>
        <w:rPr>
          <w:b/>
          <w:bCs/>
        </w:rPr>
        <w:t>PGRΑΚ00000_DBT1</w:t>
      </w:r>
      <w:r>
        <w:t>.</w:t>
      </w:r>
    </w:p>
    <w:bookmarkEnd w:id="292"/>
    <w:bookmarkEnd w:id="293"/>
    <w:bookmarkStart w:id="294" w:name="_ea0d8623fb6a23229781ffb1843de537"/>
    <w:bookmarkStart w:id="295" w:name="_58f1b6bb62d466c0f8757a40fbabafeb"/>
    <w:p>
      <w:pPr>
        <w:pStyle w:val="Heading4"/>
        <w:keepNext/>
      </w:pPr>
      <w:r>
        <w:t>SHR (συμμετοχικός τίτλος)</w:t>
      </w:r>
    </w:p>
    <w:p>
      <w:pPr>
        <w:pStyle w:val="Body Text"/>
        <w:ind w:leftChars="0" w:left="0" w:right="0"/>
      </w:pPr>
      <w:r>
        <w:t xml:space="preserve">Ο αναγνωριστικός κωδικός ενός συμμετοχικού τίτλου αναφέρεται ως ο κωδικός </w:t>
      </w:r>
      <w:r>
        <w:rPr>
          <w:b/>
          <w:bCs/>
        </w:rPr>
        <w:t>SHR</w:t>
      </w:r>
      <w:r>
        <w:t xml:space="preserve"> και πρέπει να σχηματίζεται με βάση τον </w:t>
      </w:r>
      <w:hyperlink w:anchor="_707997ece689747a8236dae4f790b4a3">
        <w:r>
          <w:rPr>
            <w:rStyle w:val="Hyperlink"/>
          </w:rPr>
          <w:t>μορφότυπο SHR</w:t>
        </w:r>
      </w:hyperlink>
      <w:r>
        <w:t>.</w:t>
      </w:r>
    </w:p>
    <w:p>
      <w:pPr>
        <w:pStyle w:val="Body Text"/>
        <w:ind w:leftChars="0" w:left="0" w:right="0"/>
      </w:pPr>
      <w:r>
        <w:t>Οι συμμετοχικοί τίτλοι είναι υπολειμματικές απαιτήσεις επί των περιουσιακών στοιχείων των θεσμικών μονάδων που τους εξέδωσαν.</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5.139 έως και 5.167.</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SHR</w:t>
      </w:r>
      <w:r>
        <w:t>:</w:t>
      </w:r>
    </w:p>
    <w:p>
      <w:pPr>
        <w:pStyle w:val="ListNumber"/>
        <w:numPr>
          <w:ilvl w:val="0"/>
          <w:numId w:val="14"/>
        </w:numPr>
        <w:ind w:leftChars="0" w:left="480" w:right="0"/>
      </w:pPr>
      <w:r>
        <w:t xml:space="preserve">Ο αναγνωριστικός κωδικός ISIN του συμμετοχικού τίτλου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14"/>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P{ΟΑ}_{CODE}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συμμετοχικό τίτλο ή τη μετοχή/μεριδίου επενδυτικού οργανισμού, π.χ. </w:t>
      </w:r>
      <w:r>
        <w:rPr>
          <w:rFonts w:ascii="Consolas" w:eastAsia="ＭＳ ゴシック" w:hansitheme="majorhansi"/>
          <w:color w:val="E74C3C"/>
          <w:sz w:val="20"/>
          <w:szCs w:val="20"/>
          <w:noProof/>
        </w:rPr>
        <w:t>PGRΑΚ00000_SHR1</w:t>
      </w:r>
      <w:r>
        <w:t>.</w:t>
      </w:r>
    </w:p>
    <w:bookmarkEnd w:id="294"/>
    <w:bookmarkEnd w:id="295"/>
    <w:bookmarkStart w:id="296" w:name="_e03d00258b5b3956a7d5a72ef65f365e"/>
    <w:bookmarkStart w:id="297" w:name="_07f0d50146125d06d633f4fc08c3ba27"/>
    <w:p>
      <w:pPr>
        <w:pStyle w:val="Heading4"/>
        <w:keepNext/>
      </w:pPr>
      <w:r>
        <w:t>DER (χρηματοοικονομικό παράγωγο)</w:t>
      </w:r>
    </w:p>
    <w:p>
      <w:pPr>
        <w:pStyle w:val="Body Text"/>
        <w:ind w:leftChars="0" w:left="0" w:right="0"/>
      </w:pPr>
      <w:r>
        <w:t xml:space="preserve">Ο αναγνωριστικός κωδικός ενός χρηματοοικονομικού παραγώγου αναφέρεται ως ο κωδικός </w:t>
      </w:r>
      <w:r>
        <w:rPr>
          <w:b/>
          <w:bCs/>
        </w:rPr>
        <w:t>DER</w:t>
      </w:r>
      <w:r>
        <w:t xml:space="preserve"> και πρέπει να σχηματίζεται με βάση τον </w:t>
      </w:r>
      <w:hyperlink w:anchor="_e0d0485a2481f2ff52fca6ae7497bdaa">
        <w:r>
          <w:rPr>
            <w:rStyle w:val="Hyperlink"/>
          </w:rPr>
          <w:t>μορφότυπο EDR</w:t>
        </w:r>
      </w:hyperlink>
      <w:r>
        <w:t>.</w:t>
      </w:r>
    </w:p>
    <w:p>
      <w:pPr>
        <w:pStyle w:val="Body Text"/>
        <w:ind w:leftChars="0" w:left="0" w:right="0"/>
      </w:pPr>
      <w:r>
        <w:t>Τα χρηματοοικονομικά παράγωγα είναι μέσα που συνδέονται με χρηματοοικονομικά μέσα, δείκτες ή εμπορεύματα, μέσω των οποίων είναι δυνατή η αντιστάθμιση κινδύνων.  Τα διαπραγματεύσιμα χρηματοοικονομικά παράγωγα αφορούν παράγωγα διαπραγματεύσιμα σε οργανωμένη αγορά.</w:t>
      </w:r>
    </w:p>
    <w:p>
      <w:pPr>
        <w:pStyle w:val="Body Text"/>
        <w:ind w:leftChars="0" w:left="0" w:right="0"/>
      </w:pPr>
      <w:r>
        <w:t>Περισσότερες πληροφορίες στους παραγράφους 5.198 έως και 5.229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DER</w:t>
      </w:r>
      <w:r>
        <w:t>:</w:t>
      </w:r>
    </w:p>
    <w:p>
      <w:pPr>
        <w:pStyle w:val="Body Text"/>
        <w:ind w:leftChars="0" w:left="0" w:right="0"/>
      </w:pPr>
      <w:r>
        <w:t xml:space="preserve">i. Ο αναγνωριστικός κωδικός ISIN του διαπραγματεύσιμου χρηματοοικονομικού παραγώγου της μορφής </w:t>
      </w:r>
      <w:r>
        <w:rPr>
          <w:b/>
          <w:bCs/>
        </w:rPr>
        <w:t>I{CODE}</w:t>
      </w:r>
      <w:r>
        <w:t xml:space="preserve"> όπου η θέση </w:t>
      </w:r>
      <w:r>
        <w:rPr>
          <w:b/>
          <w:bCs/>
        </w:rPr>
        <w:t>CODE</w:t>
      </w:r>
      <w:r>
        <w:t xml:space="preserve"> αντικαθίσταται με τον κωδικό ISIN του παραγώγου.</w:t>
      </w:r>
    </w:p>
    <w:p>
      <w:pPr>
        <w:pStyle w:val="ListNumber"/>
        <w:numPr>
          <w:ilvl w:val="0"/>
          <w:numId w:val="15"/>
        </w:numPr>
        <w:ind w:leftChars="0" w:left="480" w:right="0"/>
      </w:pPr>
      <w:r>
        <w:t xml:space="preserve">Κωδικός που προκύπτει από την αγορά διαπραγμάτευσης του παραγώγου και το σύμβολο του.  Διαμορφώνεται ως </w:t>
      </w:r>
      <w:r>
        <w:rPr>
          <w:b/>
          <w:bCs/>
        </w:rPr>
        <w:t>Μ{MARKET}_{TICKER}</w:t>
      </w:r>
      <w:r>
        <w:t xml:space="preserve">.  Για παράδειγμα </w:t>
      </w:r>
      <w:r>
        <w:rPr>
          <w:b/>
          <w:bCs/>
        </w:rPr>
        <w:t>ΜXADEFTSE25L</w:t>
      </w:r>
      <w:r>
        <w:t>.</w:t>
      </w:r>
    </w:p>
    <w:p>
      <w:pPr>
        <w:pStyle w:val="ListNumber"/>
        <w:numPr>
          <w:ilvl w:val="0"/>
          <w:numId w:val="15"/>
        </w:numPr>
        <w:ind w:leftChars="0" w:left="480" w:right="0"/>
      </w:pPr>
      <w:r>
        <w:t xml:space="preserve">Εσωτερικός αναγνωριστικός κωδικός της μορφής </w:t>
      </w:r>
      <w:r>
        <w:rPr>
          <w:b/>
          <w:bCs/>
        </w:rPr>
        <w:t>P{OA}_{CODE}</w:t>
      </w:r>
      <w:r>
        <w:t xml:space="preserve"> όπου η θέση </w:t>
      </w:r>
      <w:r>
        <w:rPr>
          <w:b/>
          <w:bCs/>
        </w:rPr>
        <w:t>CODE</w:t>
      </w:r>
      <w:r>
        <w:t xml:space="preserve"> αντικαθίσταται με τον εσωτερικό κωδικό που o </w:t>
      </w:r>
      <w:r>
        <w:rPr>
          <w:b/>
          <w:bCs/>
        </w:rPr>
        <w:t>EO</w:t>
      </w:r>
      <w:r>
        <w:t xml:space="preserve"> έχει αποδώσει στο διαπραγματεύσιμο χρηματοοικονομικό παράγωγο, π.χ. </w:t>
      </w:r>
      <w:r>
        <w:rPr>
          <w:b/>
          <w:bCs/>
        </w:rPr>
        <w:t>PGRAK00000_DER1</w:t>
      </w:r>
      <w:r>
        <w:t>.</w:t>
      </w:r>
    </w:p>
    <w:bookmarkEnd w:id="296"/>
    <w:bookmarkEnd w:id="297"/>
    <w:bookmarkEnd w:id="284"/>
    <w:bookmarkEnd w:id="283"/>
    <w:bookmarkStart w:id="298" w:name="_d071b0acb4e85cd66e9a7ae0a8aece91"/>
    <w:bookmarkStart w:id="299" w:name="_5e260d8c6a26ae412205104de49311c1"/>
    <w:p>
      <w:pPr>
        <w:pStyle w:val="Heading3"/>
        <w:keepNext/>
      </w:pPr>
      <w:r>
        <w:t>Τρόπος υποβολής αρχείων IFDAT</w:t>
      </w:r>
    </w:p>
    <w:p>
      <w:pPr>
        <w:pStyle w:val="Body Text"/>
        <w:ind w:leftChars="0" w:left="0" w:right="0"/>
      </w:pPr>
      <w:r>
        <w:t xml:space="preserve">Τα αρχεία υποβάλλονται μέσω της πλατφόρμας </w:t>
      </w:r>
      <w:hyperlink xmlns:r="http://schemas.openxmlformats.org/officeDocument/2006/relationships" r:id="rId21">
        <w:r>
          <w:rPr>
            <w:rStyle w:val="Hyperlink"/>
          </w:rPr>
          <w:t>IRIS</w:t>
        </w:r>
      </w:hyperlink>
      <w:r>
        <w:t xml:space="preserve"> με τη χρήση OTP.</w:t>
      </w:r>
    </w:p>
    <w:p>
      <w:pPr>
        <w:pStyle w:val="Body Text"/>
        <w:ind w:leftChars="0" w:left="0" w:right="0"/>
      </w:pPr>
      <w:r>
        <w:t>Για κάθε αρχείο που υποβάλλει ένας χρήστης του IRIS εκ μέρους μίας ΜΠΣ θα λαμβάνει ένα απαντητικό αρχείο (ΑΠΑ) σχετικά με το αν το αρχείο περιέχει κρίσιμα λάθη ή όχι. Αν το αρχείο περίεχει κρίσιμα λάθη δεν επεξεργάζεται περαιτέρω και τα περιεχόμενά του δεν εισάγονται στη βάση δεδομένων.</w:t>
      </w:r>
    </w:p>
    <w:p>
      <w:pPr>
        <w:pStyle w:val="Body Text"/>
        <w:ind w:leftChars="0" w:left="0" w:right="0"/>
      </w:pPr>
      <w:r>
        <w:t>Οι μορφότυποι των εισερχόμενων αρχείων του IFDat είναι οι ακόλουθοι:</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.json</w:t>
      </w:r>
      <w:r>
        <w:t xml:space="preserve">.  Το αρχείο θα πρέπει να δομείται σύμφωνα με το </w:t>
      </w:r>
      <w:r>
        <w:rPr>
          <w:rFonts w:ascii="Consolas" w:eastAsia="ＭＳ ゴシック" w:hansitheme="majorhansi"/>
          <w:color w:val="E74C3C"/>
          <w:sz w:val="20"/>
          <w:szCs w:val="20"/>
          <w:noProof/>
        </w:rPr>
        <w:t>IFDat JSON Schema</w:t>
      </w:r>
      <w:r>
        <w:t>.</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.xlsx</w:t>
      </w:r>
      <w:r>
        <w:t xml:space="preserve"> με βάση το </w:t>
      </w:r>
      <w:r>
        <w:rPr>
          <w:rFonts w:ascii="Consolas" w:eastAsia="ＭＳ ゴシック" w:hansitheme="majorhansi"/>
          <w:color w:val="E74C3C"/>
          <w:sz w:val="20"/>
          <w:szCs w:val="20"/>
          <w:noProof/>
        </w:rPr>
        <w:t>υπόδειγμα</w:t>
      </w:r>
      <w:r>
        <w:t>.</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.zip</w:t>
      </w:r>
      <w:r>
        <w:t>.  Το αρχείο θα πρέπει να περιέχει μόνο ένα αρχείο με μία από τις παραπάνω δύο μορφές.</w:t>
      </w:r>
    </w:p>
    <w:bookmarkStart w:id="300" w:name="_3c23df77d37f58c2f2bb65e2eb6adf4a"/>
    <w:p>
      <w:pPr>
        <w:pStyle w:val="Heading4"/>
        <w:keepNext/>
      </w:pPr>
      <w:r>
        <w:t>Διαδικασία Επεξεργασίας Εισερχόμενου Αρχείου</w:t>
      </w:r>
    </w:p>
    <w:p>
      <w:pPr>
        <w:pStyle w:val="ListNumber"/>
        <w:numPr>
          <w:ilvl w:val="0"/>
          <w:numId w:val="17"/>
        </w:numPr>
        <w:ind w:leftChars="0" w:left="480" w:right="0"/>
      </w:pPr>
      <w:r>
        <w:t>Σε περίπτωση που υποβληθούν ταυτόχρονα πάνω από ένα αρχεία στο IRIS η σειρά επεξαργασίας τους είναι τυχαία.</w:t>
      </w:r>
    </w:p>
    <w:p>
      <w:pPr>
        <w:pStyle w:val="ListNumber"/>
        <w:numPr>
          <w:ilvl w:val="0"/>
          <w:numId w:val="17"/>
        </w:numPr>
        <w:ind w:leftChars="0" w:left="480" w:right="0"/>
      </w:pPr>
      <w:r>
        <w:t>Για κάθε εισερχόμενο αρχείο IFDat στο IRIS δημιουργείται ένα αρχείο επικύρωσης ΑΠΑ το οποίο θα λαμβάνει ο εξουσιοδοτημένος χρήστης του IRIS που υπέβαλε το αρχείο.</w:t>
      </w:r>
    </w:p>
    <w:p>
      <w:pPr>
        <w:pStyle w:val="ListNumber"/>
        <w:numPr>
          <w:ilvl w:val="0"/>
          <w:numId w:val="17"/>
        </w:numPr>
        <w:ind w:leftChars="0" w:left="480" w:right="0"/>
      </w:pPr>
      <w:r>
        <w:t>Σε περίπτωση που το αρχείο είναι μορφής zip ελέγχεται αν το περιεχόμενο του είναι μορφής xlsx ή json.  Αν όχι εμφανίζεται κρίσιμο λάθος (corrupt_zip)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η επέκταση του αρχείου δεν είναι μία από τις .zip, .xlsx, .json εμφανίζεται κρίσιμο λάθος (wrong_extension) στο ΑΠΑ, το αρχείο δεν φορτώνεται στη βάση και η διαδικασία επεξεργασίας σταματά.</w:t>
      </w:r>
    </w:p>
    <w:p>
      <w:pPr>
        <w:pStyle w:val="ListNumber"/>
        <w:numPr>
          <w:ilvl w:val="0"/>
          <w:numId w:val="17"/>
        </w:numPr>
        <w:ind w:leftChars="0" w:left="480" w:right="0"/>
      </w:pPr>
      <w:r>
        <w:t>Εάν το αρχείο είναι μορφής xlsx ακολουθούνται τα παρακάτω βήματα:</w:t>
      </w:r>
    </w:p>
    <w:p>
      <w:pPr>
        <w:pStyle w:val="ListBullet"/>
        <w:numPr>
          <w:ilvl w:val="0"/>
          <w:numId w:val="2"/>
        </w:numPr>
        <w:ind w:leftChars="0" w:left="960" w:right="0"/>
      </w:pPr>
      <w:r>
        <w:t>Εάν δεν υπάρχει το φύλλο HEADER εμφάνιζεται κρίσιμο λάθος (no_header) στο ΑΠΑ, το αρχείο δεν φορτώνεται στη βάση και η διαδικασία επεξεργασίας σταματά.</w:t>
      </w:r>
    </w:p>
    <w:p>
      <w:pPr>
        <w:pStyle w:val="ListBullet"/>
        <w:numPr>
          <w:ilvl w:val="0"/>
          <w:numId w:val="2"/>
        </w:numPr>
        <w:ind w:leftChars="0" w:left="960" w:right="0"/>
      </w:pPr>
      <w:r>
        <w:t>Εάν εμφανιστεί κάποιο άλλο λάθος στην επεξεργασία του φύλλου HEADER εμφάνιζεται κρίσιμο λάθος (corrupt_excel) στο ΑΠΑ, το αρχείο δεν φορτώνεται στη βάση και η διαδικασία επεξεργασίας σταματά.</w:t>
      </w:r>
    </w:p>
    <w:p>
      <w:pPr>
        <w:pStyle w:val="ListBullet"/>
        <w:numPr>
          <w:ilvl w:val="0"/>
          <w:numId w:val="2"/>
        </w:numPr>
        <w:ind w:leftChars="0" w:left="960" w:right="0"/>
      </w:pPr>
      <w:r>
        <w:t>Σε περίπτωση που στα CONTENTS εμφανίζεται ότι κάποιο φύλλο περιέχει στοιχεία αλλά στο αντίστοιχο φύλλο το κελί Α4 είναι κενό, τότε εμφάνιζεται κρίσιμο λάθος (no_content) στο ΑΠΑ, το αρχείο δεν φορτώνεται στη βάση και η διαδικασία επεξεργασίας σταματά.</w:t>
      </w:r>
    </w:p>
    <w:p>
      <w:pPr>
        <w:pStyle w:val="ListNumber"/>
        <w:numPr>
          <w:ilvl w:val="0"/>
          <w:numId w:val="17"/>
        </w:numPr>
        <w:ind w:leftChars="0" w:left="480" w:right="0"/>
      </w:pPr>
      <w:r>
        <w:t>Εάν το αρχείο είναι μορφής json ακολουθούνται τα παρακάτω βήματα:</w:t>
      </w:r>
    </w:p>
    <w:p>
      <w:pPr>
        <w:pStyle w:val="ListBullet"/>
        <w:numPr>
          <w:ilvl w:val="0"/>
          <w:numId w:val="2"/>
        </w:numPr>
        <w:ind w:leftChars="0" w:left="960" w:right="0"/>
      </w:pPr>
      <w:r>
        <w:t>Σε περίπτωση που δεν μπορεί να φορτωθεί ως json τότε εμφάνιζεται κρίσιμο λάθος (corrupt_json) στο ΑΠΑ, το αρχείο δεν φορτώνεται στη βάση και η διαδικασία επεξεργασίας σταματά.</w:t>
      </w:r>
    </w:p>
    <w:p>
      <w:pPr>
        <w:pStyle w:val="ListBullet"/>
        <w:numPr>
          <w:ilvl w:val="0"/>
          <w:numId w:val="2"/>
        </w:numPr>
        <w:ind w:leftChars="0" w:left="960" w:right="0"/>
      </w:pPr>
      <w:r>
        <w:t>Εάν δεν υπάρχει το κλειδί HEADER εμφάνιζεται κρίσιμο λάθος (no_header)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USERNAME στο HEADER του αρχείου είναι διαφορετικό σε σχέση με το USERNAME εισαγωγής στην πλατφόρμα IRIS τότε εμφάνιζεται κρίσιμο λάθος (corrupt_json)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DOMAIN στο HEADER δεν είναι IFDat τότε εμφάνιζεται κρίσιμο λάθος (not_supported_domain)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αρχείο είναι xlsx μετατρέπεται σε μορφή json. Δηλαδή για κάθε καταχώρηση στο φύλλο CONTENTS διαβάζεται το αντίστοιχο φύλλο και μετατρέπεται σε json με βάση το IFDat json schema.  Η ανάγνωση ενός πίνακα ολοκληρώνεται στη πρώτη σειρά που το κελί της στήλης Α είναι μη συμπληρωμένο.  Σε περίπτωση λάθους κατά τη μετατροπή εμφάνιζεται κρίσιμο λάθος (conversion_error) στο ΑΠΑ, το αρχείο δεν φορτώνεται στη βάση και η διαδικασία επεξεργασίας σταματά.</w:t>
      </w:r>
    </w:p>
    <w:p>
      <w:pPr>
        <w:pStyle w:val="ListNumber"/>
        <w:numPr>
          <w:ilvl w:val="0"/>
          <w:numId w:val="17"/>
        </w:numPr>
        <w:ind w:leftChars="0" w:left="480" w:right="0"/>
      </w:pPr>
      <w:r>
        <w:t>Το json αρχείο ελέγχεται σύμφωνα με το IFDat JSON schema και σε περίπτωση λαθών, αυτά καταχωρούνται στο ΑΠΑ ως schema_errors, το αρχείο δεν φορτώνεται στη βάση και η διαδικασία επεξεργασίας σταματά.</w:t>
      </w:r>
    </w:p>
    <w:p>
      <w:pPr>
        <w:pStyle w:val="ListNumber"/>
        <w:numPr>
          <w:ilvl w:val="0"/>
          <w:numId w:val="17"/>
        </w:numPr>
        <w:ind w:leftChars="0" w:left="480" w:right="0"/>
      </w:pPr>
      <w:r>
        <w:t>Αν δεν έχουν υπάρξει λάθη μέχρι αυτό το σημείο τα περιεχόμενα του αρχείου εισέρχονται στη βάση δεδομένων και ο χρήστης λαμβάνει ΑΠΑ ότι το αρχείο επεξεργάστηκε επιτυχώς.</w:t>
      </w:r>
    </w:p>
    <w:bookmarkEnd w:id="300"/>
    <w:bookmarkStart w:id="301" w:name="_9c920db5c22daed3d145eeaff619c160"/>
    <w:p>
      <w:pPr>
        <w:pStyle w:val="Heading4"/>
        <w:keepNext/>
      </w:pPr>
      <w:r>
        <w:t>Διαδικασία ελέγχου στοιχείων της βάσης</w:t>
      </w:r>
    </w:p>
    <w:p>
      <w:pPr>
        <w:pStyle w:val="Body Text"/>
        <w:ind w:leftChars="0" w:left="0" w:right="0"/>
      </w:pPr>
      <w:r>
        <w:t xml:space="preserve">Σε δεύτερη φάση αφού εισαχθούν τα στοιχεία στη βάση θα γίνονται οι έλεγχοι επικύρωσης συνολικά των στοιχείων (νέων και υφιστάμενων) και όλοι οι εξουσιοδοτημένοι IFDAT χρήστες του IRIS της ΜΠΣ θα λαμβάνουν αρχείο επικύρωσης στοιχείων. Σε περίπτωση λαθών θα αποστέλεται από την ΤτΕ αρχείο λαθών με σκοπό τη διόρθωση τους.  Οι έλεγχοι επικύρωσης των στοιχείων της βάσης περιγράφονται στην </w:t>
      </w:r>
      <w:hyperlink w:anchor="_5f7b51b95acf1d521665910b610534f1">
        <w:r>
          <w:rPr>
            <w:rStyle w:val="Hyperlink"/>
          </w:rPr>
          <w:t>εδώ</w:t>
        </w:r>
      </w:hyperlink>
      <w:r>
        <w:t>.</w:t>
      </w:r>
    </w:p>
    <w:p>
      <w:pPr>
        <w:pStyle w:val="Body Text"/>
        <w:ind w:leftChars="0" w:left="0" w:right="0"/>
      </w:pPr>
      <w:r>
        <w:t>Τα στοιχεία θεωρούνται συμβατά με την Πράξη Διοικητή όταν δεν περίεχουν σημαντικά (significant) λάθη από την ημερομηνία εφαρμογής της Πράξης.</w:t>
      </w:r>
    </w:p>
    <w:bookmarkEnd w:id="301"/>
    <w:bookmarkEnd w:id="299"/>
    <w:bookmarkEnd w:id="298"/>
    <w:bookmarkStart w:id="302" w:name="_5f7b51b95acf1d521665910b610534f1"/>
    <w:bookmarkStart w:id="303" w:name="_1282eae40d6dccd77c299d09ce2bf9e5"/>
    <w:p>
      <w:pPr>
        <w:pStyle w:val="Heading3"/>
        <w:keepNext/>
      </w:pPr>
      <w:r>
        <w:t>΄Ελεγχος Στοιχείων Βάσης</w:t>
      </w:r>
    </w:p>
    <w:bookmarkStart w:id="304" w:name="_43f4040281ea3a7db51a1e2166917448"/>
    <w:p>
      <w:pPr>
        <w:pStyle w:val="Heading4"/>
        <w:keepNext/>
      </w:pPr>
      <w:r>
        <w:t>Έλεγχος καθαρής θέσης (NET_ASSET)</w:t>
      </w:r>
    </w:p>
    <w:p>
      <w:pPr>
        <w:pStyle w:val="Body Text"/>
        <w:ind w:leftChars="0" w:left="0" w:right="0"/>
      </w:pPr>
      <w:r>
        <w:t>Ο έλεγχος είναι σημαντικός.</w:t>
      </w:r>
    </w:p>
    <w:p>
      <w:pPr>
        <w:pStyle w:val="Body Text"/>
        <w:ind w:leftChars="0" w:left="0" w:right="0"/>
      </w:pPr>
      <w:r>
        <w:t>Ελέγχεται ότι το άθροισμα του γινόμενου της λογιστικής τιμής επί τον αριθμό μετοχών/μεριδίων για κάθε είδος μετοχής/μεριδίου του ΕΟ ισούται με την αξία του ενεργητικού μείον την αξία του παθητικού.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\sum_s(\mathrm{AGG.BK\_PRC}\sum_h\mathrm{HLDR.QNTTY})</m:t>
          </m:r>
          <m:r>
            <w:br/>
          </m:r>
        </m:oMath>
        <m:oMath>
          <m:r>
            <m:t>\mathrm{RHS} &amp;= \mathrm{ASSETS} - \mathrm{LIABILITIES}</m:t>
          </m:r>
          <m:r>
            <w:br/>
          </m:r>
        </m:oMath>
        <m:oMath>
          <m:r>
            <m:t>\mathrm{ASSETS} &amp;= \sum_i\mathrm{DPST.STCK} + \sum_iA\mathrm{SST\_DBT.STCK}  + \sum_i\mathrm{ASST\_LN.STCK} + \sum_i\mathrm{SHR.STCK} + \sum_i\mathrm{DER.STCK} + \sum_i\mathrm{ASST\_NN\_FNNCL.STCK} + \sum_i\mathrm{ASST\_RMNNG.STCK}</m:t>
          </m:r>
          <m:r>
            <w:br/>
          </m:r>
        </m:oMath>
        <m:oMath>
          <m:r>
            <m:t>\mathrm{LIABILITIES} &amp;= \sum_i\mathrm{LBLTY\_DBT.STCK} + \sum_i\mathrm{LBLTY\_LN.STCK} + \sum_i\mathrm{LBLTY\_RMNNG.STCK}</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 που ακολουθεί}</m:t>
          </m:r>
        </m:oMath>
      </m:oMathPara>
    </w:p>
    <w:p>
      <w:pPr>
        <w:pStyle w:val="Body Text"/>
        <w:ind w:leftChars="0" w:left="0" w:right="0"/>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ASSETS</w:t>
      </w:r>
    </w:p>
    <w:p>
      <w:pPr>
        <w:pStyle w:val="Definition"/>
        <w:ind w:leftChars="0" w:left="960" w:right="0"/>
      </w:pPr>
      <w:r>
        <w:t>Η αξία του ενεργητικού</w:t>
      </w:r>
    </w:p>
    <w:p>
      <w:pPr>
        <w:pStyle w:val="DefinitionTerm"/>
        <w:ind w:leftChars="0" w:left="480" w:right="0"/>
        <w:keepNext/>
      </w:pPr>
      <w:r>
        <w:t>LIABILITIES</w:t>
      </w:r>
    </w:p>
    <w:p>
      <w:pPr>
        <w:pStyle w:val="Definition"/>
        <w:ind w:leftChars="0" w:left="960" w:right="0"/>
      </w:pPr>
      <w:r>
        <w:t>Η αξία του παθητικού</w:t>
      </w:r>
    </w:p>
    <w:p>
      <w:pPr>
        <w:pStyle w:val="DefinitionTerm"/>
        <w:ind w:leftChars="0" w:left="480" w:right="0"/>
        <w:keepNext/>
      </w:pPr>
      <w:r>
        <w:t>DIFFERENCE</w:t>
      </w:r>
    </w:p>
    <w:p>
      <w:pPr>
        <w:pStyle w:val="Definition"/>
        <w:ind w:leftChars="0" w:left="960" w:right="0"/>
      </w:pPr>
      <w:r>
        <w:t>H διαφορά LHS - RHS</w:t>
      </w:r>
    </w:p>
    <w:bookmarkEnd w:id="304"/>
    <w:bookmarkStart w:id="305" w:name="_7a82fe47c41402acfae486498b5037b8"/>
    <w:p>
      <w:pPr>
        <w:pStyle w:val="Heading4"/>
        <w:keepNext/>
      </w:pPr>
      <w:r>
        <w:t>Έλεγχος μεταξύ εισοδήματος και ροών (INCOME_CROSSCHECK)</w:t>
      </w:r>
    </w:p>
    <w:p>
      <w:pPr>
        <w:pStyle w:val="Body Text"/>
        <w:ind w:leftChars="0" w:left="0" w:right="0"/>
      </w:pPr>
      <w:r>
        <w:t>Ο έλεγχος είναι σημαντικός.</w:t>
      </w:r>
    </w:p>
    <w:p>
      <w:pPr>
        <w:pStyle w:val="Body Text"/>
        <w:ind w:leftChars="0" w:left="0" w:right="0"/>
      </w:pPr>
      <w:r>
        <w:t>Ελέγχεται ότι το συνολικό εισόδημα για κάθε ΕΟ ισούται με το υπολογιζόμενο εισόδημα με βάση τις συναλλαγές στο ενεργητικό, παθητικό καθώς και τις συμμετοχές και εξοφλήσεις.</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(\mathrm{ASSET\_FLOWS} - \mathrm{LIABILITY\_FLOWS}) - (\mathrm{SUBSCRIPTIONS} - \mathrm{REDEMPTIONS})</m:t>
          </m:r>
          <m:r>
            <w:br/>
          </m:r>
        </m:oMath>
        <m:oMath>
          <m:r>
            <m:t>\mathrm{RHS} &amp;= \sum_s(\mathrm{AGG.INCM}\sum_h\mathrm{HLDR.QNTTY})</m:t>
          </m:r>
          <m:r>
            <w:br/>
          </m:r>
        </m:oMath>
        <m:oMath>
          <m:r>
            <m:t>\mathrm{SUBSCRIPTIONS} &amp;= \sum_s\sum_h\mathrm{HLDR.SBSCRPTNS}</m:t>
          </m:r>
          <m:r>
            <w:br/>
          </m:r>
        </m:oMath>
        <m:oMath>
          <m:r>
            <m:t>\mathrm{REDEMPTIONS} &amp;= \sum_s\sum_h\mathrm{HLDR.RDMPTNS}</m:t>
          </m:r>
          <m:r>
            <w:br/>
          </m:r>
        </m:oMath>
        <m:oMath>
          <m:r>
            <m:t>\mathrm{ASSET\_FLOWS} &amp;= \sum_i\mathrm{DPST.FLS} + \sum_iA\mathrm{SST\_DBT.FLS}  + \sum_i\mathrm{ASST\_LN.FLS} + \sum_i\mathrm{SHR.FLS} + \sum_i\mathrm{DER.FLS} + \sum_i\mathrm{ASST\_NN\_FNNCL.FLS} + \sum_i\mathrm{ASST\_RMNNG.FLS}</m:t>
          </m:r>
          <m:r>
            <w:br/>
          </m:r>
        </m:oMath>
        <m:oMath>
          <m:r>
            <m:t>\mathrm{LIABILITY\_FLOWS} &amp;= \sum_i\mathrm{LBLTY\_DBT.FLS} + \sum_i\mathrm{LBLTY\_LN.FLS} + \sum_i\mathrm{LBLTY\_RMNNG.FLS}</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m:t>
          </m:r>
        </m:oMath>
      </m:oMathPara>
    </w:p>
    <w:p>
      <w:pPr>
        <w:pStyle w:val="Body Text"/>
        <w:ind w:leftChars="0" w:left="0" w:right="0"/>
      </w:pPr>
      <w:r>
        <w:t>Σε περίπτωση που δεν ισχύει ο έλεγχος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Εισροές</w:t>
      </w:r>
    </w:p>
    <w:p>
      <w:pPr>
        <w:pStyle w:val="Definition"/>
        <w:ind w:leftChars="0" w:left="960" w:right="0"/>
      </w:pPr>
      <w:r>
        <w:t>Η τιμή των εισροών</w:t>
      </w:r>
    </w:p>
    <w:p>
      <w:pPr>
        <w:pStyle w:val="DefinitionTerm"/>
        <w:ind w:leftChars="0" w:left="480" w:right="0"/>
        <w:keepNext/>
      </w:pPr>
      <w:r>
        <w:t>Εκροές</w:t>
      </w:r>
    </w:p>
    <w:p>
      <w:pPr>
        <w:pStyle w:val="Definition"/>
        <w:ind w:leftChars="0" w:left="960" w:right="0"/>
      </w:pPr>
      <w:r>
        <w:t>Η τιμή των εκροών</w:t>
      </w:r>
    </w:p>
    <w:p>
      <w:pPr>
        <w:pStyle w:val="DefinitionTerm"/>
        <w:ind w:leftChars="0" w:left="480" w:right="0"/>
        <w:keepNext/>
      </w:pPr>
      <w:r>
        <w:t>Συνναλαγές Ενεργητικού</w:t>
      </w:r>
    </w:p>
    <w:p>
      <w:pPr>
        <w:pStyle w:val="Definition"/>
        <w:ind w:leftChars="0" w:left="960" w:right="0"/>
      </w:pPr>
      <w:r>
        <w:t>Η τιμή των συναλλαγών στο ενεργητικού</w:t>
      </w:r>
    </w:p>
    <w:p>
      <w:pPr>
        <w:pStyle w:val="DefinitionTerm"/>
        <w:ind w:leftChars="0" w:left="480" w:right="0"/>
        <w:keepNext/>
      </w:pPr>
      <w:r>
        <w:t>Συνναλαγές Παθητικού</w:t>
      </w:r>
    </w:p>
    <w:p>
      <w:pPr>
        <w:pStyle w:val="Definition"/>
        <w:ind w:leftChars="0" w:left="960" w:right="0"/>
      </w:pPr>
      <w:r>
        <w:t>Η τιμή των συναλλαγών στο παθητικό</w:t>
      </w:r>
    </w:p>
    <w:p>
      <w:pPr>
        <w:pStyle w:val="DefinitionTerm"/>
        <w:ind w:leftChars="0" w:left="480" w:right="0"/>
        <w:keepNext/>
      </w:pPr>
      <w:r>
        <w:t>DIFFERENCE</w:t>
      </w:r>
    </w:p>
    <w:p>
      <w:pPr>
        <w:pStyle w:val="Definition"/>
        <w:ind w:leftChars="0" w:left="960" w:right="0"/>
      </w:pPr>
      <w:r>
        <w:t>LHS - RHS</w:t>
      </w:r>
    </w:p>
    <w:bookmarkEnd w:id="305"/>
    <w:bookmarkStart w:id="306" w:name="_a22ae73728be05bfc2c58fd8f6091fe4"/>
    <w:p>
      <w:pPr>
        <w:pStyle w:val="Heading4"/>
        <w:keepNext/>
      </w:pPr>
      <w:r>
        <w:t>Έλεγχος δεδουλευμένων τόκων (ACCRLS)</w:t>
      </w:r>
    </w:p>
    <w:p>
      <w:pPr>
        <w:pStyle w:val="Body Text"/>
        <w:ind w:leftChars="0" w:left="0" w:right="0"/>
      </w:pPr>
      <w:r>
        <w:t>Ο έλεγχος είναι σημαντικός.</w:t>
      </w:r>
    </w:p>
    <w:p>
      <w:pPr>
        <w:pStyle w:val="Body Text"/>
        <w:ind w:leftChars="0" w:left="0" w:right="0"/>
      </w:pPr>
      <w:r>
        <w:t>Ελέγχεται ότι το άθροισμα των δεδουλευμένω τόκων και μισθωμάτων ισούται με το αντίστοιχο ποσό από τα λοιπά στοιχεία ενεργητικού.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\sum_i\mathrm{DPST.ACCRLS} + \sum_i\mathrm{ASST\_DBT.ACCRLS} + \sum_i\mathrm{ASST\_LN.ACCRLS} + \sum_i\mathrm{ASST\_NN\_FNNCL.ACCRLS}</m:t>
          </m:r>
          <m:r>
            <w:br/>
          </m:r>
        </m:oMath>
        <m:oMath>
          <m:r>
            <m:t>\mathrm{RHS} &amp;= \mathrm{ASST\_RMNNG.AI_DPST.STCK} + \mathrm{ASST\_RMNNG.AI_DBT.STCK} + \mathrm{ASST\_RMNNG.AI_LN.STCK} + \mathrm{ASST\_RMNNG.AR.STCK}</m:t>
          </m:r>
          <m:r>
            <w:br/>
          </m:r>
        </m:oMath>
        <m:oMath>
          <m:r>
            <m:t>i &amp;= \text{Άθροισμα ανά στοιχείο του λογαριασμού του ισολογισμού που ακολουθεί}</m:t>
          </m:r>
        </m:oMath>
      </m:oMathPara>
    </w:p>
    <w:p>
      <w:pPr>
        <w:pStyle w:val="Body Text"/>
        <w:ind w:leftChars="0" w:left="0" w:right="0"/>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LHS - RHS</w:t>
      </w:r>
    </w:p>
    <w:bookmarkEnd w:id="306"/>
    <w:bookmarkEnd w:id="303"/>
    <w:bookmarkEnd w:id="302"/>
    <w:bookmarkStart w:id="307" w:name="_5784fb0e3502fad0f55808155bba3d8e"/>
    <w:bookmarkStart w:id="308" w:name="_dd12e55e7f26ed1c335c6f854d9bd80f"/>
    <w:p>
      <w:pPr>
        <w:pStyle w:val="Heading3"/>
        <w:keepNext/>
      </w:pPr>
      <w:r>
        <w:t>Είδος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"_703154a5684026958b42c08d81443a92" \h \z \u </w:instrText>
          </w:r>
          <w:r>
            <w:fldChar w:fldCharType="separate"/>
          </w:r>
          <w:hyperlink w:anchor="_46306236e9f6e9a5e50625081ed6762d" w:history="1">
            <w:r>
              <w:t>Λίστες Τιμών</w:t>
            </w:r>
            <w:r>
              <w:rPr>
                <w:webHidden/>
              </w:rPr>
              <w:tab/>
            </w:r>
            <w:r>
              <w:fldChar w:fldCharType="begin"/>
            </w:r>
            <w:r>
              <w:rPr>
                <w:webHidden/>
              </w:rPr>
              <w:instrText xml:space="preserve"> PAGEREF _46306236e9f6e9a5e50625081ed6762d \h </w:instrText>
            </w:r>
            <w:r>
              <w:fldChar w:fldCharType="separate"/>
            </w:r>
            <w:r>
              <w:rPr>
                <w:webHidden/>
              </w:rPr>
              <w:t>X</w:t>
            </w:r>
            <w:r>
              <w:fldChar w:fldCharType="end"/>
            </w:r>
          </w:hyperlink>
        </w:p>
        <w:p>
          <w:pPr>
            <w:pStyle w:val="toc 2"/>
            <w:tabs>
              <w:tab w:val="right" w:leader="dot" w:pos="8488"/>
            </w:tabs>
            <w:rPr>
              <w:b w:val="0"/>
              <w:noProof/>
            </w:rPr>
          </w:pPr>
          <w:hyperlink w:anchor="_490ddd2d50d5f6326fb99977c95548f9" w:history="1">
            <w:r>
              <w:t>ASST_NN_FNNCL</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2"/>
            <w:tabs>
              <w:tab w:val="right" w:leader="dot" w:pos="8488"/>
            </w:tabs>
            <w:rPr>
              <w:b w:val="0"/>
              <w:noProof/>
            </w:rPr>
          </w:pPr>
          <w:hyperlink w:anchor="_27f6c2d0bb2cfc6f7b831c7306fa90a4" w:history="1">
            <w:r>
              <w:t>BOOL</w:t>
            </w:r>
            <w:r>
              <w:rPr>
                <w:webHidden/>
              </w:rPr>
              <w:tab/>
            </w:r>
            <w:r>
              <w:fldChar w:fldCharType="begin"/>
            </w:r>
            <w:r>
              <w:rPr>
                <w:webHidden/>
              </w:rPr>
              <w:instrText xml:space="preserve"> PAGEREF _27f6c2d0bb2cfc6f7b831c7306fa90a4 \h </w:instrText>
            </w:r>
            <w:r>
              <w:fldChar w:fldCharType="separate"/>
            </w:r>
            <w:r>
              <w:rPr>
                <w:webHidden/>
              </w:rPr>
              <w:t>X</w:t>
            </w:r>
            <w:r>
              <w:fldChar w:fldCharType="end"/>
            </w:r>
          </w:hyperlink>
        </w:p>
        <w:p>
          <w:pPr>
            <w:pStyle w:val="toc 2"/>
            <w:tabs>
              <w:tab w:val="right" w:leader="dot" w:pos="8488"/>
            </w:tabs>
            <w:rPr>
              <w:b w:val="0"/>
              <w:noProof/>
            </w:rPr>
          </w:pPr>
          <w:hyperlink w:anchor="_9f71f2f1472809ca16ff89b53e97b566" w:history="1">
            <w:r>
              <w:t>BOOL_EXT</w:t>
            </w:r>
            <w:r>
              <w:rPr>
                <w:webHidden/>
              </w:rPr>
              <w:tab/>
            </w:r>
            <w:r>
              <w:fldChar w:fldCharType="begin"/>
            </w:r>
            <w:r>
              <w:rPr>
                <w:webHidden/>
              </w:rPr>
              <w:instrText xml:space="preserve"> PAGEREF _9f71f2f1472809ca16ff89b53e97b566 \h </w:instrText>
            </w:r>
            <w:r>
              <w:fldChar w:fldCharType="separate"/>
            </w:r>
            <w:r>
              <w:rPr>
                <w:webHidden/>
              </w:rPr>
              <w:t>X</w:t>
            </w:r>
            <w:r>
              <w:fldChar w:fldCharType="end"/>
            </w:r>
          </w:hyperlink>
        </w:p>
        <w:p>
          <w:pPr>
            <w:pStyle w:val="toc 2"/>
            <w:tabs>
              <w:tab w:val="right" w:leader="dot" w:pos="8488"/>
            </w:tabs>
            <w:rPr>
              <w:b w:val="0"/>
              <w:noProof/>
            </w:rPr>
          </w:pPr>
          <w:hyperlink w:anchor="_442c7dd7e8e0276c553d52243bd57605" w:history="1">
            <w:r>
              <w:t>DBT_CPN_FRQNCY</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2"/>
            <w:tabs>
              <w:tab w:val="right" w:leader="dot" w:pos="8488"/>
            </w:tabs>
            <w:rPr>
              <w:b w:val="0"/>
              <w:noProof/>
            </w:rPr>
          </w:pPr>
          <w:hyperlink w:anchor="_6c1f59305c2e8b78bead65362100cc0d" w:history="1">
            <w:r>
              <w:t>DBT_CPN_TYP</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2"/>
            <w:tabs>
              <w:tab w:val="right" w:leader="dot" w:pos="8488"/>
            </w:tabs>
            <w:rPr>
              <w:b w:val="0"/>
              <w:noProof/>
            </w:rPr>
          </w:pPr>
          <w:hyperlink w:anchor="_2dc9f14ce407dfc26f24a12f0cd3ffa3" w:history="1">
            <w:r>
              <w:t>DBT_CVRD_TYP</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2"/>
            <w:tabs>
              <w:tab w:val="right" w:leader="dot" w:pos="8488"/>
            </w:tabs>
            <w:rPr>
              <w:b w:val="0"/>
              <w:noProof/>
            </w:rPr>
          </w:pPr>
          <w:hyperlink w:anchor="_b7a6935bd39da556684860e9853d8e20" w:history="1">
            <w:r>
              <w:t>DBT_GRNT_LVL</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2"/>
            <w:tabs>
              <w:tab w:val="right" w:leader="dot" w:pos="8488"/>
            </w:tabs>
            <w:rPr>
              <w:b w:val="0"/>
              <w:noProof/>
            </w:rPr>
          </w:pPr>
          <w:hyperlink w:anchor="_a4360f83c20b07c21357988a6cb9bb54" w:history="1">
            <w:r>
              <w:t>DBT_OUTSTNDNG_CHN_TYP</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2"/>
            <w:tabs>
              <w:tab w:val="right" w:leader="dot" w:pos="8488"/>
            </w:tabs>
            <w:rPr>
              <w:b w:val="0"/>
              <w:noProof/>
            </w:rPr>
          </w:pPr>
          <w:hyperlink w:anchor="_659530fe094ef3eb965a04d9c844998e" w:history="1">
            <w:r>
              <w:t>DBT_RNK_LVL</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2"/>
            <w:tabs>
              <w:tab w:val="right" w:leader="dot" w:pos="8488"/>
            </w:tabs>
            <w:rPr>
              <w:b w:val="0"/>
              <w:noProof/>
            </w:rPr>
          </w:pPr>
          <w:hyperlink w:anchor="_b9ed45fff0f34337b0aeeddbd9b74c15" w:history="1">
            <w:r>
              <w:t>DBT_SCRTY_LVL</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2"/>
            <w:tabs>
              <w:tab w:val="right" w:leader="dot" w:pos="8488"/>
            </w:tabs>
            <w:rPr>
              <w:b w:val="0"/>
              <w:noProof/>
            </w:rPr>
          </w:pPr>
          <w:hyperlink w:anchor="_a7e806ed3242420b3accb4afb5ccf664" w:history="1">
            <w:r>
              <w:t>DBT_STTS</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2"/>
            <w:tabs>
              <w:tab w:val="right" w:leader="dot" w:pos="8488"/>
            </w:tabs>
            <w:rPr>
              <w:b w:val="0"/>
              <w:noProof/>
            </w:rPr>
          </w:pPr>
          <w:hyperlink w:anchor="_c168c184de7e8a57af5b3ab12135e64f" w:history="1">
            <w:r>
              <w:t>DBT_TYP</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2"/>
            <w:tabs>
              <w:tab w:val="right" w:leader="dot" w:pos="8488"/>
            </w:tabs>
            <w:rPr>
              <w:b w:val="0"/>
              <w:noProof/>
            </w:rPr>
          </w:pPr>
          <w:hyperlink w:anchor="_f746396d7e26e610aa285f51a4f0abc8" w:history="1">
            <w:r>
              <w:t>DEP_NTC</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2"/>
            <w:tabs>
              <w:tab w:val="right" w:leader="dot" w:pos="8488"/>
            </w:tabs>
            <w:rPr>
              <w:b w:val="0"/>
              <w:noProof/>
            </w:rPr>
          </w:pPr>
          <w:hyperlink w:anchor="_e5b2df0da0ffe83d867c791b98596d83" w:history="1">
            <w:r>
              <w:t>DEP_TYP</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2"/>
            <w:tabs>
              <w:tab w:val="right" w:leader="dot" w:pos="8488"/>
            </w:tabs>
            <w:rPr>
              <w:b w:val="0"/>
              <w:noProof/>
            </w:rPr>
          </w:pPr>
          <w:hyperlink w:anchor="_86f576cd48119b017d22107bd1ee0d8c" w:history="1">
            <w:r>
              <w:t>DRVTV_TYP</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2"/>
            <w:tabs>
              <w:tab w:val="right" w:leader="dot" w:pos="8488"/>
            </w:tabs>
            <w:rPr>
              <w:b w:val="0"/>
              <w:noProof/>
            </w:rPr>
          </w:pPr>
          <w:hyperlink w:anchor="_d3e077cc87713b10306e66d9d7407e77" w:history="1">
            <w:r>
              <w:t>DVDND_CSTM_FRQNCY</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2"/>
            <w:tabs>
              <w:tab w:val="right" w:leader="dot" w:pos="8488"/>
            </w:tabs>
            <w:rPr>
              <w:b w:val="0"/>
              <w:noProof/>
            </w:rPr>
          </w:pPr>
          <w:hyperlink w:anchor="_2552303d50c2907dda403d423b6555fa" w:history="1">
            <w:r>
              <w:t>DVDND_TYP</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2"/>
            <w:tabs>
              <w:tab w:val="right" w:leader="dot" w:pos="8488"/>
            </w:tabs>
            <w:rPr>
              <w:b w:val="0"/>
              <w:noProof/>
            </w:rPr>
          </w:pPr>
          <w:hyperlink w:anchor="_5c4002a51d1680aa595818b6e918f105" w:history="1">
            <w:r>
              <w:t>ESA_SECTOR</w:t>
            </w:r>
            <w:r>
              <w:rPr>
                <w:webHidden/>
              </w:rPr>
              <w:tab/>
            </w:r>
            <w:r>
              <w:fldChar w:fldCharType="begin"/>
            </w:r>
            <w:r>
              <w:rPr>
                <w:webHidden/>
              </w:rPr>
              <w:instrText xml:space="preserve"> PAGEREF _5c4002a51d1680aa595818b6e918f105 \h </w:instrText>
            </w:r>
            <w:r>
              <w:fldChar w:fldCharType="separate"/>
            </w:r>
            <w:r>
              <w:rPr>
                <w:webHidden/>
              </w:rPr>
              <w:t>X</w:t>
            </w:r>
            <w:r>
              <w:fldChar w:fldCharType="end"/>
            </w:r>
          </w:hyperlink>
        </w:p>
        <w:p>
          <w:pPr>
            <w:pStyle w:val="toc 2"/>
            <w:tabs>
              <w:tab w:val="right" w:leader="dot" w:pos="8488"/>
            </w:tabs>
            <w:rPr>
              <w:b w:val="0"/>
              <w:noProof/>
            </w:rPr>
          </w:pPr>
          <w:hyperlink w:anchor="_6d9338b7305c3e1f15e50d3c4423448b" w:history="1">
            <w:r>
              <w:t>FND_BND_FCS</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2"/>
            <w:tabs>
              <w:tab w:val="right" w:leader="dot" w:pos="8488"/>
            </w:tabs>
            <w:rPr>
              <w:b w:val="0"/>
              <w:noProof/>
            </w:rPr>
          </w:pPr>
          <w:hyperlink w:anchor="_0108603fe11e1777ff45ce74e6ef3f1c" w:history="1">
            <w:r>
              <w:t>FND_DSTRBTN_PLCY</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2"/>
            <w:tabs>
              <w:tab w:val="right" w:leader="dot" w:pos="8488"/>
            </w:tabs>
            <w:rPr>
              <w:b w:val="0"/>
              <w:noProof/>
            </w:rPr>
          </w:pPr>
          <w:hyperlink w:anchor="_92cd5fd51603b96a1af46143a8630f7c" w:history="1">
            <w:r>
              <w:t>FND_EQTY_TYP</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2"/>
            <w:tabs>
              <w:tab w:val="right" w:leader="dot" w:pos="8488"/>
            </w:tabs>
            <w:rPr>
              <w:b w:val="0"/>
              <w:noProof/>
            </w:rPr>
          </w:pPr>
          <w:hyperlink w:anchor="_19a3682718afa1abfef6b6ad94ba0897" w:history="1">
            <w:r>
              <w:t>FND_GGRPHCL_FCS</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2"/>
            <w:tabs>
              <w:tab w:val="right" w:leader="dot" w:pos="8488"/>
            </w:tabs>
            <w:rPr>
              <w:b w:val="0"/>
              <w:noProof/>
            </w:rPr>
          </w:pPr>
          <w:hyperlink w:anchor="_5f78fc9f0b12cb68b4485020940bf044" w:history="1">
            <w:r>
              <w:t>FND_GRN_TYP</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2"/>
            <w:tabs>
              <w:tab w:val="right" w:leader="dot" w:pos="8488"/>
            </w:tabs>
            <w:rPr>
              <w:b w:val="0"/>
              <w:noProof/>
            </w:rPr>
          </w:pPr>
          <w:hyperlink w:anchor="_54122ec04b7acee317cdb0198b8d29ae" w:history="1">
            <w:r>
              <w:t>FND_INVSTMNT_PLCY</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2"/>
            <w:tabs>
              <w:tab w:val="right" w:leader="dot" w:pos="8488"/>
            </w:tabs>
            <w:rPr>
              <w:b w:val="0"/>
              <w:noProof/>
            </w:rPr>
          </w:pPr>
          <w:hyperlink w:anchor="_a25bcfd2b94cf464c514b3093dd11033" w:history="1">
            <w:r>
              <w:t>FND_INVSTR_TYP</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2"/>
            <w:tabs>
              <w:tab w:val="right" w:leader="dot" w:pos="8488"/>
            </w:tabs>
            <w:rPr>
              <w:b w:val="0"/>
              <w:noProof/>
            </w:rPr>
          </w:pPr>
          <w:hyperlink w:anchor="_50c537c8f1a8dcff4bf156b897a63101" w:history="1">
            <w:r>
              <w:t>FND_LGL_TYP</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2"/>
            <w:tabs>
              <w:tab w:val="right" w:leader="dot" w:pos="8488"/>
            </w:tabs>
            <w:rPr>
              <w:b w:val="0"/>
              <w:noProof/>
            </w:rPr>
          </w:pPr>
          <w:hyperlink w:anchor="_e772f01debb4814be06b599f43de1382" w:history="1">
            <w:r>
              <w:t>FND_RL_ESTT_TYP</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2"/>
            <w:tabs>
              <w:tab w:val="right" w:leader="dot" w:pos="8488"/>
            </w:tabs>
            <w:rPr>
              <w:b w:val="0"/>
              <w:noProof/>
            </w:rPr>
          </w:pPr>
          <w:hyperlink w:anchor="_4d24309c58d333234b758df903ceb0a8" w:history="1">
            <w:r>
              <w:t>FND_STRTGY</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2"/>
            <w:tabs>
              <w:tab w:val="right" w:leader="dot" w:pos="8488"/>
            </w:tabs>
            <w:rPr>
              <w:b w:val="0"/>
              <w:noProof/>
            </w:rPr>
          </w:pPr>
          <w:hyperlink w:anchor="_b522beb4dd0139763983b90986b32a65" w:history="1">
            <w:r>
              <w:t>GEN_CNTRY</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2"/>
            <w:tabs>
              <w:tab w:val="right" w:leader="dot" w:pos="8488"/>
            </w:tabs>
            <w:rPr>
              <w:b w:val="0"/>
              <w:noProof/>
            </w:rPr>
          </w:pPr>
          <w:hyperlink w:anchor="_6201aa4d7e76fbd6b080361f324d593c" w:history="1">
            <w:r>
              <w:t>GEN_CRRNCY</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2"/>
            <w:tabs>
              <w:tab w:val="right" w:leader="dot" w:pos="8488"/>
            </w:tabs>
            <w:rPr>
              <w:b w:val="0"/>
              <w:noProof/>
            </w:rPr>
          </w:pPr>
          <w:hyperlink w:anchor="_77c9de23473c152c286ed7a9d7bde81b" w:history="1">
            <w:r>
              <w:t>GEN_FRQNCY</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2"/>
            <w:tabs>
              <w:tab w:val="right" w:leader="dot" w:pos="8488"/>
            </w:tabs>
            <w:rPr>
              <w:b w:val="0"/>
              <w:noProof/>
            </w:rPr>
          </w:pPr>
          <w:hyperlink w:anchor="_1f3ab44fbbf40a94fc70cb3a0da5c28d" w:history="1">
            <w:r>
              <w:t>GEN_MRKT</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2"/>
            <w:tabs>
              <w:tab w:val="right" w:leader="dot" w:pos="8488"/>
            </w:tabs>
            <w:rPr>
              <w:b w:val="0"/>
              <w:noProof/>
            </w:rPr>
          </w:pPr>
          <w:hyperlink w:anchor="_6f41212defec6dc8fa7a2825d3e9100b" w:history="1">
            <w:r>
              <w:t>IFDAT_DRGTN_TYP</w:t>
            </w:r>
            <w:r>
              <w:rPr>
                <w:webHidden/>
              </w:rPr>
              <w:tab/>
            </w:r>
            <w:r>
              <w:fldChar w:fldCharType="begin"/>
            </w:r>
            <w:r>
              <w:rPr>
                <w:webHidden/>
              </w:rPr>
              <w:instrText xml:space="preserve"> PAGEREF _6f41212defec6dc8fa7a2825d3e9100b \h </w:instrText>
            </w:r>
            <w:r>
              <w:fldChar w:fldCharType="separate"/>
            </w:r>
            <w:r>
              <w:rPr>
                <w:webHidden/>
              </w:rPr>
              <w:t>X</w:t>
            </w:r>
            <w:r>
              <w:fldChar w:fldCharType="end"/>
            </w:r>
          </w:hyperlink>
        </w:p>
        <w:p>
          <w:pPr>
            <w:pStyle w:val="toc 2"/>
            <w:tabs>
              <w:tab w:val="right" w:leader="dot" w:pos="8488"/>
            </w:tabs>
            <w:rPr>
              <w:b w:val="0"/>
              <w:noProof/>
            </w:rPr>
          </w:pPr>
          <w:hyperlink w:anchor="_84403f97d0fd046389a0f222521885c9" w:history="1">
            <w:r>
              <w:t>LON_TYP</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2"/>
            <w:tabs>
              <w:tab w:val="right" w:leader="dot" w:pos="8488"/>
            </w:tabs>
            <w:rPr>
              <w:b w:val="0"/>
              <w:noProof/>
            </w:rPr>
          </w:pPr>
          <w:hyperlink w:anchor="_9562ea3e71f4c35afbb4aa0a84b5b552" w:history="1">
            <w:r>
              <w:t>ORG_INSTTTNL_SCTR_CNTRL</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2"/>
            <w:tabs>
              <w:tab w:val="right" w:leader="dot" w:pos="8488"/>
            </w:tabs>
            <w:rPr>
              <w:b w:val="0"/>
              <w:noProof/>
            </w:rPr>
          </w:pPr>
          <w:hyperlink w:anchor="_5e70d2ce13d87fce769f8d5e350df3ba" w:history="1">
            <w:r>
              <w:t>OTHER_RDMPTN_FRQNCY</w:t>
            </w:r>
            <w:r>
              <w:rPr>
                <w:webHidden/>
              </w:rPr>
              <w:tab/>
            </w:r>
            <w:r>
              <w:fldChar w:fldCharType="begin"/>
            </w:r>
            <w:r>
              <w:rPr>
                <w:webHidden/>
              </w:rPr>
              <w:instrText xml:space="preserve"> PAGEREF _5e70d2ce13d87fce769f8d5e350df3ba \h </w:instrText>
            </w:r>
            <w:r>
              <w:fldChar w:fldCharType="separate"/>
            </w:r>
            <w:r>
              <w:rPr>
                <w:webHidden/>
              </w:rPr>
              <w:t>X</w:t>
            </w:r>
            <w:r>
              <w:fldChar w:fldCharType="end"/>
            </w:r>
          </w:hyperlink>
        </w:p>
        <w:p>
          <w:pPr>
            <w:pStyle w:val="toc 2"/>
            <w:tabs>
              <w:tab w:val="right" w:leader="dot" w:pos="8488"/>
            </w:tabs>
            <w:rPr>
              <w:b w:val="0"/>
              <w:noProof/>
            </w:rPr>
          </w:pPr>
          <w:hyperlink w:anchor="_2ab02e31c1110b606a3786b6ee14e2d1" w:history="1">
            <w:r>
              <w:t>REM_ASSET</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2"/>
            <w:tabs>
              <w:tab w:val="right" w:leader="dot" w:pos="8488"/>
            </w:tabs>
            <w:rPr>
              <w:b w:val="0"/>
              <w:noProof/>
            </w:rPr>
          </w:pPr>
          <w:hyperlink w:anchor="_c2f9f7c8df59a49b999605620d9ef24a" w:history="1">
            <w:r>
              <w:t>REM_LIAB</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2"/>
            <w:tabs>
              <w:tab w:val="right" w:leader="dot" w:pos="8488"/>
            </w:tabs>
            <w:rPr>
              <w:b w:val="0"/>
              <w:noProof/>
            </w:rPr>
          </w:pPr>
          <w:hyperlink w:anchor="_cbc117fd17215ed868a5e2228256cb9a" w:history="1">
            <w:r>
              <w:t>SHR_ESA_TYP</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2"/>
            <w:tabs>
              <w:tab w:val="right" w:leader="dot" w:pos="8488"/>
            </w:tabs>
            <w:rPr>
              <w:b w:val="0"/>
              <w:noProof/>
            </w:rPr>
          </w:pPr>
          <w:hyperlink w:anchor="_c38da8c814d270a51a92be278efc7d9e" w:history="1">
            <w:r>
              <w:t>SHR_TYP</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2"/>
            <w:tabs>
              <w:tab w:val="right" w:leader="dot" w:pos="8488"/>
            </w:tabs>
            <w:rPr>
              <w:b w:val="0"/>
              <w:noProof/>
            </w:rPr>
          </w:pPr>
          <w:hyperlink w:anchor="_726ea572279a97c9437861763abeda50" w:history="1">
            <w:r>
              <w:t>SOURCE_TYPE</w:t>
            </w:r>
            <w:r>
              <w:rPr>
                <w:webHidden/>
              </w:rPr>
              <w:tab/>
            </w:r>
            <w:r>
              <w:fldChar w:fldCharType="begin"/>
            </w:r>
            <w:r>
              <w:rPr>
                <w:webHidden/>
              </w:rPr>
              <w:instrText xml:space="preserve"> PAGEREF _726ea572279a97c9437861763abeda50 \h </w:instrText>
            </w:r>
            <w:r>
              <w:fldChar w:fldCharType="separate"/>
            </w:r>
            <w:r>
              <w:rPr>
                <w:webHidden/>
              </w:rPr>
              <w:t>X</w:t>
            </w:r>
            <w:r>
              <w:fldChar w:fldCharType="end"/>
            </w:r>
          </w:hyperlink>
        </w:p>
        <w:p>
          <w:pPr>
            <w:pStyle w:val="toc 1"/>
            <w:tabs>
              <w:tab w:val="right" w:leader="dot" w:pos="8488"/>
            </w:tabs>
            <w:rPr>
              <w:b w:val="0"/>
              <w:noProof/>
            </w:rPr>
          </w:pPr>
          <w:hyperlink w:anchor="_8b36c247389f79e47cc6ab02ce80e372" w:history="1">
            <w:r>
              <w:t>Μορφότυποι</w:t>
            </w:r>
            <w:r>
              <w:rPr>
                <w:webHidden/>
              </w:rPr>
              <w:tab/>
            </w:r>
            <w:r>
              <w:fldChar w:fldCharType="begin"/>
            </w:r>
            <w:r>
              <w:rPr>
                <w:webHidden/>
              </w:rPr>
              <w:instrText xml:space="preserve"> PAGEREF _8b36c247389f79e47cc6ab02ce80e372 \h </w:instrText>
            </w:r>
            <w:r>
              <w:fldChar w:fldCharType="separate"/>
            </w:r>
            <w:r>
              <w:rPr>
                <w:webHidden/>
              </w:rPr>
              <w:t>X</w:t>
            </w:r>
            <w:r>
              <w:fldChar w:fldCharType="end"/>
            </w:r>
          </w:hyperlink>
        </w:p>
        <w:p>
          <w:pPr>
            <w:pStyle w:val="toc 2"/>
            <w:tabs>
              <w:tab w:val="right" w:leader="dot" w:pos="8488"/>
            </w:tabs>
            <w:rPr>
              <w:b w:val="0"/>
              <w:noProof/>
            </w:rPr>
          </w:pP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2"/>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2"/>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2"/>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2"/>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2"/>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2"/>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2"/>
            <w:tabs>
              <w:tab w:val="right" w:leader="dot" w:pos="8488"/>
            </w:tabs>
            <w:rPr>
              <w:b w:val="0"/>
              <w:noProof/>
            </w:rPr>
          </w:pPr>
          <w:hyperlink w:anchor="_73ba78a389ac7604748055c63d06c201" w:history="1">
            <w:r>
              <w:t>ASCII F20</w:t>
            </w:r>
            <w:r>
              <w:rPr>
                <w:webHidden/>
              </w:rPr>
              <w:tab/>
            </w:r>
            <w:r>
              <w:fldChar w:fldCharType="begin"/>
            </w:r>
            <w:r>
              <w:rPr>
                <w:webHidden/>
              </w:rPr>
              <w:instrText xml:space="preserve"> PAGEREF _73ba78a389ac7604748055c63d06c201 \h </w:instrText>
            </w:r>
            <w:r>
              <w:fldChar w:fldCharType="separate"/>
            </w:r>
            <w:r>
              <w:rPr>
                <w:webHidden/>
              </w:rPr>
              <w:t>X</w:t>
            </w:r>
            <w:r>
              <w:fldChar w:fldCharType="end"/>
            </w:r>
          </w:hyperlink>
        </w:p>
        <w:p>
          <w:pPr>
            <w:pStyle w:val="toc 2"/>
            <w:tabs>
              <w:tab w:val="right" w:leader="dot" w:pos="8488"/>
            </w:tabs>
            <w:rPr>
              <w:b w:val="0"/>
              <w:noProof/>
            </w:rPr>
          </w:pPr>
          <w:hyperlink w:anchor="_b168586ccf68990bf5b2c8c09659bb6a" w:history="1">
            <w:r>
              <w:t>ASCIII 50</w:t>
            </w:r>
            <w:r>
              <w:rPr>
                <w:webHidden/>
              </w:rPr>
              <w:tab/>
            </w:r>
            <w:r>
              <w:fldChar w:fldCharType="begin"/>
            </w:r>
            <w:r>
              <w:rPr>
                <w:webHidden/>
              </w:rPr>
              <w:instrText xml:space="preserve"> PAGEREF _b168586ccf68990bf5b2c8c09659bb6a \h </w:instrText>
            </w:r>
            <w:r>
              <w:fldChar w:fldCharType="separate"/>
            </w:r>
            <w:r>
              <w:rPr>
                <w:webHidden/>
              </w:rPr>
              <w:t>X</w:t>
            </w:r>
            <w:r>
              <w:fldChar w:fldCharType="end"/>
            </w:r>
          </w:hyperlink>
        </w:p>
        <w:p>
          <w:pPr>
            <w:pStyle w:val="toc 2"/>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2"/>
            <w:tabs>
              <w:tab w:val="right" w:leader="dot" w:pos="8488"/>
            </w:tabs>
            <w:rPr>
              <w:b w:val="0"/>
              <w:noProof/>
            </w:rPr>
          </w:pPr>
          <w:hyperlink w:anchor="_cc518be27be13f83fbaffa8d5f04a5b9" w:history="1">
            <w:r>
              <w:t>DATETIME</w:t>
            </w:r>
            <w:r>
              <w:rPr>
                <w:webHidden/>
              </w:rPr>
              <w:tab/>
            </w:r>
            <w:r>
              <w:fldChar w:fldCharType="begin"/>
            </w:r>
            <w:r>
              <w:rPr>
                <w:webHidden/>
              </w:rPr>
              <w:instrText xml:space="preserve"> PAGEREF _cc518be27be13f83fbaffa8d5f04a5b9 \h </w:instrText>
            </w:r>
            <w:r>
              <w:fldChar w:fldCharType="separate"/>
            </w:r>
            <w:r>
              <w:rPr>
                <w:webHidden/>
              </w:rPr>
              <w:t>X</w:t>
            </w:r>
            <w:r>
              <w:fldChar w:fldCharType="end"/>
            </w:r>
          </w:hyperlink>
        </w:p>
        <w:p>
          <w:pPr>
            <w:pStyle w:val="toc 2"/>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2"/>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2"/>
            <w:tabs>
              <w:tab w:val="right" w:leader="dot" w:pos="8488"/>
            </w:tabs>
            <w:rPr>
              <w:b w:val="0"/>
              <w:noProof/>
            </w:rPr>
          </w:pPr>
          <w:hyperlink w:anchor="_e0d0485a2481f2ff52fca6ae7497bdaa" w:history="1">
            <w:r>
              <w:t>DER</w:t>
            </w:r>
            <w:r>
              <w:rPr>
                <w:webHidden/>
              </w:rPr>
              <w:tab/>
            </w:r>
            <w:r>
              <w:fldChar w:fldCharType="begin"/>
            </w:r>
            <w:r>
              <w:rPr>
                <w:webHidden/>
              </w:rPr>
              <w:instrText xml:space="preserve"> PAGEREF _e0d0485a2481f2ff52fca6ae7497bdaa \h </w:instrText>
            </w:r>
            <w:r>
              <w:fldChar w:fldCharType="separate"/>
            </w:r>
            <w:r>
              <w:rPr>
                <w:webHidden/>
              </w:rPr>
              <w:t>X</w:t>
            </w:r>
            <w:r>
              <w:fldChar w:fldCharType="end"/>
            </w:r>
          </w:hyperlink>
        </w:p>
        <w:p>
          <w:pPr>
            <w:pStyle w:val="toc 2"/>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2"/>
            <w:tabs>
              <w:tab w:val="right" w:leader="dot" w:pos="8488"/>
            </w:tabs>
            <w:rPr>
              <w:b w:val="0"/>
              <w:noProof/>
            </w:rPr>
          </w:pPr>
          <w:hyperlink w:anchor="_0244416737c8cd66d56a857d6a43b080" w:history="1">
            <w:r>
              <w:t>LATIN_EXTENDED 255</w:t>
            </w:r>
            <w:r>
              <w:rPr>
                <w:webHidden/>
              </w:rPr>
              <w:tab/>
            </w:r>
            <w:r>
              <w:fldChar w:fldCharType="begin"/>
            </w:r>
            <w:r>
              <w:rPr>
                <w:webHidden/>
              </w:rPr>
              <w:instrText xml:space="preserve"> PAGEREF _0244416737c8cd66d56a857d6a43b080 \h </w:instrText>
            </w:r>
            <w:r>
              <w:fldChar w:fldCharType="separate"/>
            </w:r>
            <w:r>
              <w:rPr>
                <w:webHidden/>
              </w:rPr>
              <w:t>X</w:t>
            </w:r>
            <w:r>
              <w:fldChar w:fldCharType="end"/>
            </w:r>
          </w:hyperlink>
        </w:p>
        <w:p>
          <w:pPr>
            <w:pStyle w:val="toc 2"/>
            <w:tabs>
              <w:tab w:val="right" w:leader="dot" w:pos="8488"/>
            </w:tabs>
            <w:rPr>
              <w:b w:val="0"/>
              <w:noProof/>
            </w:rPr>
          </w:pPr>
          <w:hyperlink w:anchor="_8a73238720f95e6f9b50e9033dfe386b" w:history="1">
            <w:r>
              <w:t>LATIN_EXTENDED 32</w:t>
            </w:r>
            <w:r>
              <w:rPr>
                <w:webHidden/>
              </w:rPr>
              <w:tab/>
            </w:r>
            <w:r>
              <w:fldChar w:fldCharType="begin"/>
            </w:r>
            <w:r>
              <w:rPr>
                <w:webHidden/>
              </w:rPr>
              <w:instrText xml:space="preserve"> PAGEREF _8a73238720f95e6f9b50e9033dfe386b \h </w:instrText>
            </w:r>
            <w:r>
              <w:fldChar w:fldCharType="separate"/>
            </w:r>
            <w:r>
              <w:rPr>
                <w:webHidden/>
              </w:rPr>
              <w:t>X</w:t>
            </w:r>
            <w:r>
              <w:fldChar w:fldCharType="end"/>
            </w:r>
          </w:hyperlink>
        </w:p>
        <w:p>
          <w:pPr>
            <w:pStyle w:val="toc 2"/>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2"/>
            <w:tabs>
              <w:tab w:val="right" w:leader="dot" w:pos="8488"/>
            </w:tabs>
            <w:rPr>
              <w:b w:val="0"/>
              <w:noProof/>
            </w:rPr>
          </w:pPr>
          <w:hyperlink w:anchor="_77789e9c5756cd825dcead5c9a7bdbf2" w:history="1">
            <w:r>
              <w:t>ASCII 128</w:t>
            </w:r>
            <w:r>
              <w:rPr>
                <w:webHidden/>
              </w:rPr>
              <w:tab/>
            </w:r>
            <w:r>
              <w:fldChar w:fldCharType="begin"/>
            </w:r>
            <w:r>
              <w:rPr>
                <w:webHidden/>
              </w:rPr>
              <w:instrText xml:space="preserve"> PAGEREF _77789e9c5756cd825dcead5c9a7bdbf2 \h </w:instrText>
            </w:r>
            <w:r>
              <w:fldChar w:fldCharType="separate"/>
            </w:r>
            <w:r>
              <w:rPr>
                <w:webHidden/>
              </w:rPr>
              <w:t>X</w:t>
            </w:r>
            <w:r>
              <w:fldChar w:fldCharType="end"/>
            </w:r>
          </w:hyperlink>
        </w:p>
        <w:p>
          <w:pPr>
            <w:pStyle w:val="toc 2"/>
            <w:tabs>
              <w:tab w:val="right" w:leader="dot" w:pos="8488"/>
            </w:tabs>
            <w:rPr>
              <w:b w:val="0"/>
              <w:noProof/>
            </w:rPr>
          </w:pPr>
          <w:hyperlink w:anchor="_abcdd1ea94e323144d8d95b499091299" w:history="1">
            <w:r>
              <w:t>LEI</w:t>
            </w:r>
            <w:r>
              <w:rPr>
                <w:webHidden/>
              </w:rPr>
              <w:tab/>
            </w:r>
            <w:r>
              <w:fldChar w:fldCharType="begin"/>
            </w:r>
            <w:r>
              <w:rPr>
                <w:webHidden/>
              </w:rPr>
              <w:instrText xml:space="preserve"> PAGEREF _abcdd1ea94e323144d8d95b499091299 \h </w:instrText>
            </w:r>
            <w:r>
              <w:fldChar w:fldCharType="separate"/>
            </w:r>
            <w:r>
              <w:rPr>
                <w:webHidden/>
              </w:rPr>
              <w:t>X</w:t>
            </w:r>
            <w:r>
              <w:fldChar w:fldCharType="end"/>
            </w:r>
          </w:hyperlink>
        </w:p>
        <w:p>
          <w:pPr>
            <w:pStyle w:val="toc 2"/>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2"/>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2"/>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2"/>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2"/>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2"/>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2"/>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2"/>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2"/>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2"/>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2"/>
            <w:tabs>
              <w:tab w:val="right" w:leader="dot" w:pos="8488"/>
            </w:tabs>
            <w:rPr>
              <w:b w:val="0"/>
              <w:noProof/>
            </w:rPr>
          </w:pPr>
          <w:hyperlink w:anchor="_969ad42e0e607c169f5aed8c64a0c071" w:history="1">
            <w:r>
              <w:t>STRING 256</w:t>
            </w:r>
            <w:r>
              <w:rPr>
                <w:webHidden/>
              </w:rPr>
              <w:tab/>
            </w:r>
            <w:r>
              <w:fldChar w:fldCharType="begin"/>
            </w:r>
            <w:r>
              <w:rPr>
                <w:webHidden/>
              </w:rPr>
              <w:instrText xml:space="preserve"> PAGEREF _969ad42e0e607c169f5aed8c64a0c071 \h </w:instrText>
            </w:r>
            <w:r>
              <w:fldChar w:fldCharType="separate"/>
            </w:r>
            <w:r>
              <w:rPr>
                <w:webHidden/>
              </w:rPr>
              <w:t>X</w:t>
            </w:r>
            <w:r>
              <w:fldChar w:fldCharType="end"/>
            </w:r>
          </w:hyperlink>
        </w:p>
        <w:p>
          <w:pPr>
            <w:pStyle w:val="toc 2"/>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2"/>
            <w:tabs>
              <w:tab w:val="right" w:leader="dot" w:pos="8488"/>
            </w:tabs>
            <w:rPr>
              <w:b w:val="0"/>
              <w:noProof/>
            </w:rPr>
          </w:pPr>
          <w:hyperlink w:anchor="_b6dab2688405967f2a4ad67297247595" w:history="1">
            <w:r>
              <w:t>STRING 512</w:t>
            </w:r>
            <w:r>
              <w:rPr>
                <w:webHidden/>
              </w:rPr>
              <w:tab/>
            </w:r>
            <w:r>
              <w:fldChar w:fldCharType="begin"/>
            </w:r>
            <w:r>
              <w:rPr>
                <w:webHidden/>
              </w:rPr>
              <w:instrText xml:space="preserve"> PAGEREF _b6dab2688405967f2a4ad67297247595 \h </w:instrText>
            </w:r>
            <w:r>
              <w:fldChar w:fldCharType="separate"/>
            </w:r>
            <w:r>
              <w:rPr>
                <w:webHidden/>
              </w:rPr>
              <w:t>X</w:t>
            </w:r>
            <w:r>
              <w:fldChar w:fldCharType="end"/>
            </w:r>
          </w:hyperlink>
        </w:p>
        <w:p>
          <w:pPr>
            <w:pStyle w:val="toc 2"/>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2"/>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2"/>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309" w:name="_703154a5684026958b42c08d81443a92"/>
    <w:bookmarkStart w:id="310" w:name="_46306236e9f6e9a5e50625081ed6762d"/>
    <w:bookmarkStart w:id="311" w:name="_ace6291af14fcdd466aaf582c44a956d"/>
    <w:p>
      <w:pPr>
        <w:pStyle w:val="Heading4"/>
        <w:keepNext/>
      </w:pPr>
      <w:r>
        <w:t>Λίστες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"_0bffa6c42d35ef5b08b6446ec2f6f015" \h \z \u </w:instrText>
          </w:r>
          <w:r>
            <w:fldChar w:fldCharType="separate"/>
          </w:r>
          <w:hyperlink w:anchor="_490ddd2d50d5f6326fb99977c95548f9" w:history="1">
            <w:r>
              <w:t>ASST_NN_FNNCL</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1"/>
            <w:tabs>
              <w:tab w:val="right" w:leader="dot" w:pos="8488"/>
            </w:tabs>
            <w:rPr>
              <w:b w:val="0"/>
              <w:noProof/>
            </w:rPr>
          </w:pPr>
          <w:hyperlink w:anchor="_27f6c2d0bb2cfc6f7b831c7306fa90a4" w:history="1">
            <w:r>
              <w:t>BOOL</w:t>
            </w:r>
            <w:r>
              <w:rPr>
                <w:webHidden/>
              </w:rPr>
              <w:tab/>
            </w:r>
            <w:r>
              <w:fldChar w:fldCharType="begin"/>
            </w:r>
            <w:r>
              <w:rPr>
                <w:webHidden/>
              </w:rPr>
              <w:instrText xml:space="preserve"> PAGEREF _27f6c2d0bb2cfc6f7b831c7306fa90a4 \h </w:instrText>
            </w:r>
            <w:r>
              <w:fldChar w:fldCharType="separate"/>
            </w:r>
            <w:r>
              <w:rPr>
                <w:webHidden/>
              </w:rPr>
              <w:t>X</w:t>
            </w:r>
            <w:r>
              <w:fldChar w:fldCharType="end"/>
            </w:r>
          </w:hyperlink>
        </w:p>
        <w:p>
          <w:pPr>
            <w:pStyle w:val="toc 1"/>
            <w:tabs>
              <w:tab w:val="right" w:leader="dot" w:pos="8488"/>
            </w:tabs>
            <w:rPr>
              <w:b w:val="0"/>
              <w:noProof/>
            </w:rPr>
          </w:pPr>
          <w:hyperlink w:anchor="_9f71f2f1472809ca16ff89b53e97b566" w:history="1">
            <w:r>
              <w:t>BOOL_EXT</w:t>
            </w:r>
            <w:r>
              <w:rPr>
                <w:webHidden/>
              </w:rPr>
              <w:tab/>
            </w:r>
            <w:r>
              <w:fldChar w:fldCharType="begin"/>
            </w:r>
            <w:r>
              <w:rPr>
                <w:webHidden/>
              </w:rPr>
              <w:instrText xml:space="preserve"> PAGEREF _9f71f2f1472809ca16ff89b53e97b566 \h </w:instrText>
            </w:r>
            <w:r>
              <w:fldChar w:fldCharType="separate"/>
            </w:r>
            <w:r>
              <w:rPr>
                <w:webHidden/>
              </w:rPr>
              <w:t>X</w:t>
            </w:r>
            <w:r>
              <w:fldChar w:fldCharType="end"/>
            </w:r>
          </w:hyperlink>
        </w:p>
        <w:p>
          <w:pPr>
            <w:pStyle w:val="toc 1"/>
            <w:tabs>
              <w:tab w:val="right" w:leader="dot" w:pos="8488"/>
            </w:tabs>
            <w:rPr>
              <w:b w:val="0"/>
              <w:noProof/>
            </w:rPr>
          </w:pPr>
          <w:hyperlink w:anchor="_442c7dd7e8e0276c553d52243bd57605" w:history="1">
            <w:r>
              <w:t>DBT_CPN_FRQNCY</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1"/>
            <w:tabs>
              <w:tab w:val="right" w:leader="dot" w:pos="8488"/>
            </w:tabs>
            <w:rPr>
              <w:b w:val="0"/>
              <w:noProof/>
            </w:rPr>
          </w:pPr>
          <w:hyperlink w:anchor="_6c1f59305c2e8b78bead65362100cc0d" w:history="1">
            <w:r>
              <w:t>DBT_CPN_TYP</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1"/>
            <w:tabs>
              <w:tab w:val="right" w:leader="dot" w:pos="8488"/>
            </w:tabs>
            <w:rPr>
              <w:b w:val="0"/>
              <w:noProof/>
            </w:rPr>
          </w:pPr>
          <w:hyperlink w:anchor="_2dc9f14ce407dfc26f24a12f0cd3ffa3" w:history="1">
            <w:r>
              <w:t>DBT_CVRD_TYP</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1"/>
            <w:tabs>
              <w:tab w:val="right" w:leader="dot" w:pos="8488"/>
            </w:tabs>
            <w:rPr>
              <w:b w:val="0"/>
              <w:noProof/>
            </w:rPr>
          </w:pPr>
          <w:hyperlink w:anchor="_b7a6935bd39da556684860e9853d8e20" w:history="1">
            <w:r>
              <w:t>DBT_GRNT_LVL</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1"/>
            <w:tabs>
              <w:tab w:val="right" w:leader="dot" w:pos="8488"/>
            </w:tabs>
            <w:rPr>
              <w:b w:val="0"/>
              <w:noProof/>
            </w:rPr>
          </w:pPr>
          <w:hyperlink w:anchor="_a4360f83c20b07c21357988a6cb9bb54" w:history="1">
            <w:r>
              <w:t>DBT_OUTSTNDNG_CHN_TYP</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1"/>
            <w:tabs>
              <w:tab w:val="right" w:leader="dot" w:pos="8488"/>
            </w:tabs>
            <w:rPr>
              <w:b w:val="0"/>
              <w:noProof/>
            </w:rPr>
          </w:pPr>
          <w:hyperlink w:anchor="_659530fe094ef3eb965a04d9c844998e" w:history="1">
            <w:r>
              <w:t>DBT_RNK_LVL</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1"/>
            <w:tabs>
              <w:tab w:val="right" w:leader="dot" w:pos="8488"/>
            </w:tabs>
            <w:rPr>
              <w:b w:val="0"/>
              <w:noProof/>
            </w:rPr>
          </w:pPr>
          <w:hyperlink w:anchor="_b9ed45fff0f34337b0aeeddbd9b74c15" w:history="1">
            <w:r>
              <w:t>DBT_SCRTY_LVL</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1"/>
            <w:tabs>
              <w:tab w:val="right" w:leader="dot" w:pos="8488"/>
            </w:tabs>
            <w:rPr>
              <w:b w:val="0"/>
              <w:noProof/>
            </w:rPr>
          </w:pPr>
          <w:hyperlink w:anchor="_a7e806ed3242420b3accb4afb5ccf664" w:history="1">
            <w:r>
              <w:t>DBT_STTS</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1"/>
            <w:tabs>
              <w:tab w:val="right" w:leader="dot" w:pos="8488"/>
            </w:tabs>
            <w:rPr>
              <w:b w:val="0"/>
              <w:noProof/>
            </w:rPr>
          </w:pPr>
          <w:hyperlink w:anchor="_c168c184de7e8a57af5b3ab12135e64f" w:history="1">
            <w:r>
              <w:t>DBT_TYP</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1"/>
            <w:tabs>
              <w:tab w:val="right" w:leader="dot" w:pos="8488"/>
            </w:tabs>
            <w:rPr>
              <w:b w:val="0"/>
              <w:noProof/>
            </w:rPr>
          </w:pPr>
          <w:hyperlink w:anchor="_f746396d7e26e610aa285f51a4f0abc8" w:history="1">
            <w:r>
              <w:t>DEP_NTC</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1"/>
            <w:tabs>
              <w:tab w:val="right" w:leader="dot" w:pos="8488"/>
            </w:tabs>
            <w:rPr>
              <w:b w:val="0"/>
              <w:noProof/>
            </w:rPr>
          </w:pPr>
          <w:hyperlink w:anchor="_e5b2df0da0ffe83d867c791b98596d83" w:history="1">
            <w:r>
              <w:t>DEP_TYP</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1"/>
            <w:tabs>
              <w:tab w:val="right" w:leader="dot" w:pos="8488"/>
            </w:tabs>
            <w:rPr>
              <w:b w:val="0"/>
              <w:noProof/>
            </w:rPr>
          </w:pPr>
          <w:hyperlink w:anchor="_86f576cd48119b017d22107bd1ee0d8c" w:history="1">
            <w:r>
              <w:t>DRVTV_TYP</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1"/>
            <w:tabs>
              <w:tab w:val="right" w:leader="dot" w:pos="8488"/>
            </w:tabs>
            <w:rPr>
              <w:b w:val="0"/>
              <w:noProof/>
            </w:rPr>
          </w:pPr>
          <w:hyperlink w:anchor="_d3e077cc87713b10306e66d9d7407e77" w:history="1">
            <w:r>
              <w:t>DVDND_CSTM_FRQNCY</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1"/>
            <w:tabs>
              <w:tab w:val="right" w:leader="dot" w:pos="8488"/>
            </w:tabs>
            <w:rPr>
              <w:b w:val="0"/>
              <w:noProof/>
            </w:rPr>
          </w:pPr>
          <w:hyperlink w:anchor="_2552303d50c2907dda403d423b6555fa" w:history="1">
            <w:r>
              <w:t>DVDND_TYP</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1"/>
            <w:tabs>
              <w:tab w:val="right" w:leader="dot" w:pos="8488"/>
            </w:tabs>
            <w:rPr>
              <w:b w:val="0"/>
              <w:noProof/>
            </w:rPr>
          </w:pPr>
          <w:hyperlink w:anchor="_5c4002a51d1680aa595818b6e918f105" w:history="1">
            <w:r>
              <w:t>ESA_SECTOR</w:t>
            </w:r>
            <w:r>
              <w:rPr>
                <w:webHidden/>
              </w:rPr>
              <w:tab/>
            </w:r>
            <w:r>
              <w:fldChar w:fldCharType="begin"/>
            </w:r>
            <w:r>
              <w:rPr>
                <w:webHidden/>
              </w:rPr>
              <w:instrText xml:space="preserve"> PAGEREF _5c4002a51d1680aa595818b6e918f105 \h </w:instrText>
            </w:r>
            <w:r>
              <w:fldChar w:fldCharType="separate"/>
            </w:r>
            <w:r>
              <w:rPr>
                <w:webHidden/>
              </w:rPr>
              <w:t>X</w:t>
            </w:r>
            <w:r>
              <w:fldChar w:fldCharType="end"/>
            </w:r>
          </w:hyperlink>
        </w:p>
        <w:p>
          <w:pPr>
            <w:pStyle w:val="toc 1"/>
            <w:tabs>
              <w:tab w:val="right" w:leader="dot" w:pos="8488"/>
            </w:tabs>
            <w:rPr>
              <w:b w:val="0"/>
              <w:noProof/>
            </w:rPr>
          </w:pPr>
          <w:hyperlink w:anchor="_6d9338b7305c3e1f15e50d3c4423448b" w:history="1">
            <w:r>
              <w:t>FND_BND_FCS</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1"/>
            <w:tabs>
              <w:tab w:val="right" w:leader="dot" w:pos="8488"/>
            </w:tabs>
            <w:rPr>
              <w:b w:val="0"/>
              <w:noProof/>
            </w:rPr>
          </w:pPr>
          <w:hyperlink w:anchor="_0108603fe11e1777ff45ce74e6ef3f1c" w:history="1">
            <w:r>
              <w:t>FND_DSTRBTN_PLCY</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1"/>
            <w:tabs>
              <w:tab w:val="right" w:leader="dot" w:pos="8488"/>
            </w:tabs>
            <w:rPr>
              <w:b w:val="0"/>
              <w:noProof/>
            </w:rPr>
          </w:pPr>
          <w:hyperlink w:anchor="_92cd5fd51603b96a1af46143a8630f7c" w:history="1">
            <w:r>
              <w:t>FND_EQTY_TYP</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1"/>
            <w:tabs>
              <w:tab w:val="right" w:leader="dot" w:pos="8488"/>
            </w:tabs>
            <w:rPr>
              <w:b w:val="0"/>
              <w:noProof/>
            </w:rPr>
          </w:pPr>
          <w:hyperlink w:anchor="_19a3682718afa1abfef6b6ad94ba0897" w:history="1">
            <w:r>
              <w:t>FND_GGRPHCL_FCS</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1"/>
            <w:tabs>
              <w:tab w:val="right" w:leader="dot" w:pos="8488"/>
            </w:tabs>
            <w:rPr>
              <w:b w:val="0"/>
              <w:noProof/>
            </w:rPr>
          </w:pPr>
          <w:hyperlink w:anchor="_5f78fc9f0b12cb68b4485020940bf044" w:history="1">
            <w:r>
              <w:t>FND_GRN_TYP</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1"/>
            <w:tabs>
              <w:tab w:val="right" w:leader="dot" w:pos="8488"/>
            </w:tabs>
            <w:rPr>
              <w:b w:val="0"/>
              <w:noProof/>
            </w:rPr>
          </w:pPr>
          <w:hyperlink w:anchor="_54122ec04b7acee317cdb0198b8d29ae" w:history="1">
            <w:r>
              <w:t>FND_INVSTMNT_PLCY</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1"/>
            <w:tabs>
              <w:tab w:val="right" w:leader="dot" w:pos="8488"/>
            </w:tabs>
            <w:rPr>
              <w:b w:val="0"/>
              <w:noProof/>
            </w:rPr>
          </w:pPr>
          <w:hyperlink w:anchor="_a25bcfd2b94cf464c514b3093dd11033" w:history="1">
            <w:r>
              <w:t>FND_INVSTR_TYP</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1"/>
            <w:tabs>
              <w:tab w:val="right" w:leader="dot" w:pos="8488"/>
            </w:tabs>
            <w:rPr>
              <w:b w:val="0"/>
              <w:noProof/>
            </w:rPr>
          </w:pPr>
          <w:hyperlink w:anchor="_50c537c8f1a8dcff4bf156b897a63101" w:history="1">
            <w:r>
              <w:t>FND_LGL_TYP</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1"/>
            <w:tabs>
              <w:tab w:val="right" w:leader="dot" w:pos="8488"/>
            </w:tabs>
            <w:rPr>
              <w:b w:val="0"/>
              <w:noProof/>
            </w:rPr>
          </w:pPr>
          <w:hyperlink w:anchor="_e772f01debb4814be06b599f43de1382" w:history="1">
            <w:r>
              <w:t>FND_RL_ESTT_TYP</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1"/>
            <w:tabs>
              <w:tab w:val="right" w:leader="dot" w:pos="8488"/>
            </w:tabs>
            <w:rPr>
              <w:b w:val="0"/>
              <w:noProof/>
            </w:rPr>
          </w:pPr>
          <w:hyperlink w:anchor="_4d24309c58d333234b758df903ceb0a8" w:history="1">
            <w:r>
              <w:t>FND_STRTGY</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1"/>
            <w:tabs>
              <w:tab w:val="right" w:leader="dot" w:pos="8488"/>
            </w:tabs>
            <w:rPr>
              <w:b w:val="0"/>
              <w:noProof/>
            </w:rPr>
          </w:pPr>
          <w:hyperlink w:anchor="_b522beb4dd0139763983b90986b32a65" w:history="1">
            <w:r>
              <w:t>GEN_CNTRY</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1"/>
            <w:tabs>
              <w:tab w:val="right" w:leader="dot" w:pos="8488"/>
            </w:tabs>
            <w:rPr>
              <w:b w:val="0"/>
              <w:noProof/>
            </w:rPr>
          </w:pPr>
          <w:hyperlink w:anchor="_6201aa4d7e76fbd6b080361f324d593c" w:history="1">
            <w:r>
              <w:t>GEN_CRRNCY</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1"/>
            <w:tabs>
              <w:tab w:val="right" w:leader="dot" w:pos="8488"/>
            </w:tabs>
            <w:rPr>
              <w:b w:val="0"/>
              <w:noProof/>
            </w:rPr>
          </w:pPr>
          <w:hyperlink w:anchor="_77c9de23473c152c286ed7a9d7bde81b" w:history="1">
            <w:r>
              <w:t>GEN_FRQNCY</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1"/>
            <w:tabs>
              <w:tab w:val="right" w:leader="dot" w:pos="8488"/>
            </w:tabs>
            <w:rPr>
              <w:b w:val="0"/>
              <w:noProof/>
            </w:rPr>
          </w:pPr>
          <w:hyperlink w:anchor="_1f3ab44fbbf40a94fc70cb3a0da5c28d" w:history="1">
            <w:r>
              <w:t>GEN_MRKT</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1"/>
            <w:tabs>
              <w:tab w:val="right" w:leader="dot" w:pos="8488"/>
            </w:tabs>
            <w:rPr>
              <w:b w:val="0"/>
              <w:noProof/>
            </w:rPr>
          </w:pPr>
          <w:hyperlink w:anchor="_6f41212defec6dc8fa7a2825d3e9100b" w:history="1">
            <w:r>
              <w:t>IFDAT_DRGTN_TYP</w:t>
            </w:r>
            <w:r>
              <w:rPr>
                <w:webHidden/>
              </w:rPr>
              <w:tab/>
            </w:r>
            <w:r>
              <w:fldChar w:fldCharType="begin"/>
            </w:r>
            <w:r>
              <w:rPr>
                <w:webHidden/>
              </w:rPr>
              <w:instrText xml:space="preserve"> PAGEREF _6f41212defec6dc8fa7a2825d3e9100b \h </w:instrText>
            </w:r>
            <w:r>
              <w:fldChar w:fldCharType="separate"/>
            </w:r>
            <w:r>
              <w:rPr>
                <w:webHidden/>
              </w:rPr>
              <w:t>X</w:t>
            </w:r>
            <w:r>
              <w:fldChar w:fldCharType="end"/>
            </w:r>
          </w:hyperlink>
        </w:p>
        <w:p>
          <w:pPr>
            <w:pStyle w:val="toc 1"/>
            <w:tabs>
              <w:tab w:val="right" w:leader="dot" w:pos="8488"/>
            </w:tabs>
            <w:rPr>
              <w:b w:val="0"/>
              <w:noProof/>
            </w:rPr>
          </w:pPr>
          <w:hyperlink w:anchor="_84403f97d0fd046389a0f222521885c9" w:history="1">
            <w:r>
              <w:t>LON_TYP</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1"/>
            <w:tabs>
              <w:tab w:val="right" w:leader="dot" w:pos="8488"/>
            </w:tabs>
            <w:rPr>
              <w:b w:val="0"/>
              <w:noProof/>
            </w:rPr>
          </w:pPr>
          <w:hyperlink w:anchor="_9562ea3e71f4c35afbb4aa0a84b5b552" w:history="1">
            <w:r>
              <w:t>ORG_INSTTTNL_SCTR_CNTRL</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1"/>
            <w:tabs>
              <w:tab w:val="right" w:leader="dot" w:pos="8488"/>
            </w:tabs>
            <w:rPr>
              <w:b w:val="0"/>
              <w:noProof/>
            </w:rPr>
          </w:pPr>
          <w:hyperlink w:anchor="_5e70d2ce13d87fce769f8d5e350df3ba" w:history="1">
            <w:r>
              <w:t>OTHER_RDMPTN_FRQNCY</w:t>
            </w:r>
            <w:r>
              <w:rPr>
                <w:webHidden/>
              </w:rPr>
              <w:tab/>
            </w:r>
            <w:r>
              <w:fldChar w:fldCharType="begin"/>
            </w:r>
            <w:r>
              <w:rPr>
                <w:webHidden/>
              </w:rPr>
              <w:instrText xml:space="preserve"> PAGEREF _5e70d2ce13d87fce769f8d5e350df3ba \h </w:instrText>
            </w:r>
            <w:r>
              <w:fldChar w:fldCharType="separate"/>
            </w:r>
            <w:r>
              <w:rPr>
                <w:webHidden/>
              </w:rPr>
              <w:t>X</w:t>
            </w:r>
            <w:r>
              <w:fldChar w:fldCharType="end"/>
            </w:r>
          </w:hyperlink>
        </w:p>
        <w:p>
          <w:pPr>
            <w:pStyle w:val="toc 1"/>
            <w:tabs>
              <w:tab w:val="right" w:leader="dot" w:pos="8488"/>
            </w:tabs>
            <w:rPr>
              <w:b w:val="0"/>
              <w:noProof/>
            </w:rPr>
          </w:pPr>
          <w:hyperlink w:anchor="_2ab02e31c1110b606a3786b6ee14e2d1" w:history="1">
            <w:r>
              <w:t>REM_ASSET</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1"/>
            <w:tabs>
              <w:tab w:val="right" w:leader="dot" w:pos="8488"/>
            </w:tabs>
            <w:rPr>
              <w:b w:val="0"/>
              <w:noProof/>
            </w:rPr>
          </w:pPr>
          <w:hyperlink w:anchor="_c2f9f7c8df59a49b999605620d9ef24a" w:history="1">
            <w:r>
              <w:t>REM_LIAB</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1"/>
            <w:tabs>
              <w:tab w:val="right" w:leader="dot" w:pos="8488"/>
            </w:tabs>
            <w:rPr>
              <w:b w:val="0"/>
              <w:noProof/>
            </w:rPr>
          </w:pPr>
          <w:hyperlink w:anchor="_cbc117fd17215ed868a5e2228256cb9a" w:history="1">
            <w:r>
              <w:t>SHR_ESA_TYP</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1"/>
            <w:tabs>
              <w:tab w:val="right" w:leader="dot" w:pos="8488"/>
            </w:tabs>
            <w:rPr>
              <w:b w:val="0"/>
              <w:noProof/>
            </w:rPr>
          </w:pPr>
          <w:hyperlink w:anchor="_c38da8c814d270a51a92be278efc7d9e" w:history="1">
            <w:r>
              <w:t>SHR_TYP</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1"/>
            <w:tabs>
              <w:tab w:val="right" w:leader="dot" w:pos="8488"/>
            </w:tabs>
            <w:rPr>
              <w:b w:val="0"/>
              <w:noProof/>
            </w:rPr>
          </w:pPr>
          <w:hyperlink w:anchor="_726ea572279a97c9437861763abeda50" w:history="1">
            <w:r>
              <w:t>SOURCE_TYPE</w:t>
            </w:r>
            <w:r>
              <w:rPr>
                <w:webHidden/>
              </w:rPr>
              <w:tab/>
            </w:r>
            <w:r>
              <w:fldChar w:fldCharType="begin"/>
            </w:r>
            <w:r>
              <w:rPr>
                <w:webHidden/>
              </w:rPr>
              <w:instrText xml:space="preserve"> PAGEREF _726ea572279a97c9437861763abeda50 \h </w:instrText>
            </w:r>
            <w:r>
              <w:fldChar w:fldCharType="separate"/>
            </w:r>
            <w:r>
              <w:rPr>
                <w:webHidden/>
              </w:rPr>
              <w:t>X</w:t>
            </w:r>
            <w:r>
              <w:fldChar w:fldCharType="end"/>
            </w:r>
          </w:hyperlink>
        </w:p>
        <w:p>
          <w:r>
            <w:fldChar w:fldCharType="end"/>
          </w:r>
        </w:p>
      </w:sdtContent>
    </w:sdt>
    <w:bookmarkStart w:id="312" w:name="_0bffa6c42d35ef5b08b6446ec2f6f015"/>
    <w:bookmarkStart w:id="313" w:name="_490ddd2d50d5f6326fb99977c95548f9"/>
    <w:bookmarkStart w:id="314" w:name="_db6931cf5e95f70cea061d7502bbf308"/>
    <w:p>
      <w:pPr>
        <w:pStyle w:val="Heading5"/>
        <w:keepNext/>
      </w:pPr>
      <w:r>
        <w:t>ASST_NN_FNNCL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NFA1</w:t>
            </w:r>
          </w:p>
        </w:tc>
        <w:tc>
          <w:tcPr>
            <w:cnfStyle w:evenVBand="true" w:oddVBand="false" w:firstColumn="false"/>
            <w:tcW w:w="25.000000%" w:type="pct"/>
          </w:tcPr>
          <w:p>
            <w:pPr>
              <w:ind w:leftChars="0" w:left="0" w:right="0"/>
            </w:pPr>
            <w:r>
              <w:t>Residential Real Estate</w:t>
            </w:r>
          </w:p>
        </w:tc>
        <w:tc>
          <w:tcPr>
            <w:cnfStyle w:evenVBand="false" w:oddVBand="true" w:firstColumn="false"/>
            <w:tcW w:w="25.000000%" w:type="pct"/>
          </w:tcPr>
          <w:p>
            <w:pPr>
              <w:ind w:leftChars="0" w:left="0" w:right="0"/>
            </w:pPr>
            <w:r>
              <w:t>Residential real estate is a residence which is occupied by the owner or the lessee of the residence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NFA2</w:t>
            </w:r>
          </w:p>
        </w:tc>
        <w:tc>
          <w:tcPr>
            <w:cnfStyle w:evenVBand="true" w:oddVBand="false" w:firstColumn="false"/>
            <w:tcW w:w="25.000000%" w:type="pct"/>
          </w:tcPr>
          <w:p>
            <w:pPr>
              <w:ind w:leftChars="0" w:left="0" w:right="0"/>
            </w:pPr>
            <w:r>
              <w:t>Commercial Real Estate</w:t>
            </w:r>
          </w:p>
        </w:tc>
        <w:tc>
          <w:tcPr>
            <w:cnfStyle w:evenVBand="false" w:oddVBand="true" w:firstColumn="false"/>
            <w:tcW w:w="25.000000%" w:type="pct"/>
          </w:tcPr>
          <w:p>
            <w:pPr>
              <w:ind w:leftChars="0" w:left="0" w:right="0"/>
            </w:pPr>
            <w:r>
              <w:t>Commercial real estate is a real estate property where goods or services are provided to customers (e.g. hotels, restaurants, retail)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NFA3</w:t>
            </w:r>
          </w:p>
        </w:tc>
        <w:tc>
          <w:tcPr>
            <w:cnfStyle w:evenVBand="true" w:oddVBand="false" w:firstColumn="false"/>
            <w:tcW w:w="25.000000%" w:type="pct"/>
          </w:tcPr>
          <w:p>
            <w:pPr>
              <w:ind w:leftChars="0" w:left="0" w:right="0"/>
            </w:pPr>
            <w:r>
              <w:t>Industrial Real Estate</w:t>
            </w:r>
          </w:p>
        </w:tc>
        <w:tc>
          <w:tcPr>
            <w:cnfStyle w:evenVBand="false" w:oddVBand="true" w:firstColumn="false"/>
            <w:tcW w:w="25.000000%" w:type="pct"/>
          </w:tcPr>
          <w:p>
            <w:pPr>
              <w:ind w:leftChars="0" w:left="0" w:right="0"/>
            </w:pPr>
            <w:r>
              <w:t>Industrial real estate is real estate used for industrial purposes, such as those used as factories, logistical centres and storage space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NFA4</w:t>
            </w:r>
          </w:p>
        </w:tc>
        <w:tc>
          <w:tcPr>
            <w:cnfStyle w:evenVBand="true" w:oddVBand="false" w:firstColumn="false"/>
            <w:tcW w:w="25.000000%" w:type="pct"/>
          </w:tcPr>
          <w:p>
            <w:pPr>
              <w:ind w:leftChars="0" w:left="0" w:right="0"/>
            </w:pPr>
            <w:r>
              <w:t>Office Real Estate</w:t>
            </w:r>
          </w:p>
        </w:tc>
        <w:tc>
          <w:tcPr>
            <w:cnfStyle w:evenVBand="false" w:oddVBand="true" w:firstColumn="false"/>
            <w:tcW w:w="25.000000%" w:type="pct"/>
          </w:tcPr>
          <w:p>
            <w:pPr>
              <w:ind w:leftChars="0" w:left="0" w:right="0"/>
            </w:pPr>
            <w:r>
              <w:t>Office real estate is real estate used for business offices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NFA5</w:t>
            </w:r>
          </w:p>
        </w:tc>
        <w:tc>
          <w:tcPr>
            <w:cnfStyle w:evenVBand="true" w:oddVBand="false" w:firstColumn="false"/>
            <w:tcW w:w="25.000000%" w:type="pct"/>
          </w:tcPr>
          <w:p>
            <w:pPr>
              <w:ind w:leftChars="0" w:left="0" w:right="0"/>
            </w:pPr>
            <w:r>
              <w:t>Other Real Estate</w:t>
            </w:r>
          </w:p>
        </w:tc>
        <w:tc>
          <w:tcPr>
            <w:cnfStyle w:evenVBand="false" w:oddVBand="true" w:firstColumn="false"/>
            <w:tcW w:w="25.000000%" w:type="pct"/>
          </w:tcPr>
          <w:p>
            <w:pPr>
              <w:ind w:leftChars="0" w:left="0" w:right="0"/>
            </w:pPr>
            <w:r>
              <w:t>Other real estate is real estate other than residential, commercial, industrial and office real estate</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NFA6</w:t>
            </w:r>
          </w:p>
        </w:tc>
        <w:tc>
          <w:tcPr>
            <w:cnfStyle w:evenVBand="true" w:oddVBand="false" w:firstColumn="false"/>
            <w:tcW w:w="25.000000%" w:type="pct"/>
          </w:tcPr>
          <w:p>
            <w:pPr>
              <w:ind w:leftChars="0" w:left="0" w:right="0"/>
            </w:pPr>
            <w:r>
              <w:t>Non Financial Asset Other Than Real Estate</w:t>
            </w:r>
          </w:p>
        </w:tc>
        <w:tc>
          <w:tcPr>
            <w:cnfStyle w:evenVBand="false" w:oddVBand="true" w:firstColumn="false"/>
            <w:tcW w:w="25.000000%" w:type="pct"/>
          </w:tcPr>
          <w:p>
            <w:pPr>
              <w:ind w:leftChars="0" w:left="0" w:right="0"/>
            </w:pPr>
            <w:r>
              <w:t>Non financial assets that is not real estate such as machinery and equipment, valuables, intellectual property products such as computer software and databases</w:t>
            </w:r>
          </w:p>
        </w:tc>
        <w:tc>
          <w:tcPr>
            <w:cnfStyle w:evenVBand="true" w:oddVBand="false" w:firstColumn="false"/>
            <w:tcW w:w="25.000000%" w:type="pct"/>
          </w:tcPr>
          <w:p>
            <w:pPr>
              <w:ind w:leftChars="0" w:left="0" w:right="0"/>
            </w:pPr>
            <w:r>
              <w:t>6</w:t>
            </w:r>
          </w:p>
        </w:tc>
      </w:tr>
    </w:tbl>
    <w:p>
      <w:pPr>
        <w:pStyle w:val="Table Bottom Margin"/>
      </w:pPr>
    </w:p>
    <w:bookmarkEnd w:id="314"/>
    <w:bookmarkEnd w:id="313"/>
    <w:bookmarkStart w:id="315" w:name="_27f6c2d0bb2cfc6f7b831c7306fa90a4"/>
    <w:bookmarkStart w:id="316" w:name="_f64c2af45ae402bc58d13822a7aae3c3"/>
    <w:p>
      <w:pPr>
        <w:pStyle w:val="Heading5"/>
        <w:keepNext/>
      </w:pPr>
      <w:r>
        <w:t>BOOL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T</w:t>
            </w:r>
          </w:p>
        </w:tc>
        <w:tc>
          <w:tcPr>
            <w:cnfStyle w:evenVBand="true" w:oddVBand="false" w:firstColumn="false"/>
            <w:tcW w:w="25.000000%" w:type="pct"/>
          </w:tcPr>
          <w:p>
            <w:pPr>
              <w:ind w:leftChars="0" w:left="0" w:right="0"/>
            </w:pPr>
            <w:r>
              <w:t>True</w:t>
            </w:r>
          </w:p>
        </w:tc>
        <w:tc>
          <w:tcPr>
            <w:cnfStyle w:evenVBand="false" w:oddVBand="true" w:firstColumn="false"/>
            <w:tcW w:w="25.000000%" w:type="pct"/>
          </w:tcPr>
          <w:p>
            <w:pPr>
              <w:ind w:leftChars="0" w:left="0" w:right="0"/>
            </w:pPr>
            <w:r>
              <w:t>True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w:t>
            </w:r>
          </w:p>
        </w:tc>
        <w:tc>
          <w:tcPr>
            <w:cnfStyle w:evenVBand="true" w:oddVBand="false" w:firstColumn="false"/>
            <w:tcW w:w="25.000000%" w:type="pct"/>
          </w:tcPr>
          <w:p>
            <w:pPr>
              <w:ind w:leftChars="0" w:left="0" w:right="0"/>
            </w:pPr>
            <w:r>
              <w:t>False</w:t>
            </w:r>
          </w:p>
        </w:tc>
        <w:tc>
          <w:tcPr>
            <w:cnfStyle w:evenVBand="false" w:oddVBand="true" w:firstColumn="false"/>
            <w:tcW w:w="25.000000%" w:type="pct"/>
          </w:tcPr>
          <w:p>
            <w:pPr>
              <w:ind w:leftChars="0" w:left="0" w:right="0"/>
            </w:pPr>
            <w:r>
              <w:t>False</w:t>
            </w:r>
          </w:p>
        </w:tc>
        <w:tc>
          <w:tcPr>
            <w:cnfStyle w:evenVBand="true" w:oddVBand="false" w:firstColumn="false"/>
            <w:tcW w:w="25.000000%" w:type="pct"/>
          </w:tcPr>
          <w:p>
            <w:pPr>
              <w:ind w:leftChars="0" w:left="0" w:right="0"/>
            </w:pPr>
            <w:r>
              <w:t>2</w:t>
            </w:r>
          </w:p>
        </w:tc>
      </w:tr>
    </w:tbl>
    <w:p>
      <w:pPr>
        <w:pStyle w:val="Table Bottom Margin"/>
      </w:pPr>
    </w:p>
    <w:bookmarkEnd w:id="316"/>
    <w:bookmarkEnd w:id="315"/>
    <w:bookmarkStart w:id="317" w:name="_9f71f2f1472809ca16ff89b53e97b566"/>
    <w:bookmarkStart w:id="318" w:name="_3be27726c793f81aa701165dc39980db"/>
    <w:p>
      <w:pPr>
        <w:pStyle w:val="Heading5"/>
        <w:keepNext/>
      </w:pPr>
      <w:r>
        <w:t>BOOL_EXT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T</w:t>
            </w:r>
          </w:p>
        </w:tc>
        <w:tc>
          <w:tcPr>
            <w:cnfStyle w:evenVBand="true" w:oddVBand="false" w:firstColumn="false"/>
            <w:tcW w:w="25.000000%" w:type="pct"/>
          </w:tcPr>
          <w:p>
            <w:pPr>
              <w:ind w:leftChars="0" w:left="0" w:right="0"/>
            </w:pPr>
            <w:r>
              <w:t>True</w:t>
            </w:r>
          </w:p>
        </w:tc>
        <w:tc>
          <w:tcPr>
            <w:cnfStyle w:evenVBand="false" w:oddVBand="true" w:firstColumn="false"/>
            <w:tcW w:w="25.000000%" w:type="pct"/>
          </w:tcPr>
          <w:p>
            <w:pPr>
              <w:ind w:leftChars="0" w:left="0" w:right="0"/>
            </w:pPr>
            <w:r>
              <w:t>True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w:t>
            </w:r>
          </w:p>
        </w:tc>
        <w:tc>
          <w:tcPr>
            <w:cnfStyle w:evenVBand="true" w:oddVBand="false" w:firstColumn="false"/>
            <w:tcW w:w="25.000000%" w:type="pct"/>
          </w:tcPr>
          <w:p>
            <w:pPr>
              <w:ind w:leftChars="0" w:left="0" w:right="0"/>
            </w:pPr>
            <w:r>
              <w:t>False</w:t>
            </w:r>
          </w:p>
        </w:tc>
        <w:tc>
          <w:tcPr>
            <w:cnfStyle w:evenVBand="false" w:oddVBand="true" w:firstColumn="false"/>
            <w:tcW w:w="25.000000%" w:type="pct"/>
          </w:tcPr>
          <w:p>
            <w:pPr>
              <w:ind w:leftChars="0" w:left="0" w:right="0"/>
            </w:pPr>
            <w:r>
              <w:t>False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U</w:t>
            </w:r>
          </w:p>
        </w:tc>
        <w:tc>
          <w:tcPr>
            <w:cnfStyle w:evenVBand="true" w:oddVBand="false" w:firstColumn="false"/>
            <w:tcW w:w="25.000000%" w:type="pct"/>
          </w:tcPr>
          <w:p>
            <w:pPr>
              <w:ind w:leftChars="0" w:left="0" w:right="0"/>
            </w:pPr>
            <w:r>
              <w:t>Unknown</w:t>
            </w:r>
          </w:p>
        </w:tc>
        <w:tc>
          <w:tcPr>
            <w:cnfStyle w:evenVBand="false" w:oddVBand="true" w:firstColumn="false"/>
            <w:tcW w:w="25.000000%" w:type="pct"/>
          </w:tcPr>
          <w:p>
            <w:pPr>
              <w:ind w:leftChars="0" w:left="0" w:right="0"/>
            </w:pPr>
            <w:r>
              <w:t>Unknown</w:t>
            </w:r>
          </w:p>
        </w:tc>
        <w:tc>
          <w:tcPr>
            <w:cnfStyle w:evenVBand="true" w:oddVBand="false" w:firstColumn="false"/>
            <w:tcW w:w="25.000000%" w:type="pct"/>
          </w:tcPr>
          <w:p>
            <w:pPr>
              <w:ind w:leftChars="0" w:left="0" w:right="0"/>
            </w:pPr>
            <w:r>
              <w:t>3</w:t>
            </w:r>
          </w:p>
        </w:tc>
      </w:tr>
    </w:tbl>
    <w:p>
      <w:pPr>
        <w:pStyle w:val="Table Bottom Margin"/>
      </w:pPr>
    </w:p>
    <w:bookmarkEnd w:id="318"/>
    <w:bookmarkEnd w:id="317"/>
    <w:bookmarkStart w:id="319" w:name="_442c7dd7e8e0276c553d52243bd57605"/>
    <w:bookmarkStart w:id="320" w:name="_af469dc4d9b67e6ffe15782fc764d769"/>
    <w:p>
      <w:pPr>
        <w:pStyle w:val="Heading5"/>
        <w:keepNext/>
      </w:pPr>
      <w:r>
        <w:t>DBT_CPN_FRQNCY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ZC</w:t>
            </w:r>
          </w:p>
        </w:tc>
        <w:tc>
          <w:tcPr>
            <w:cnfStyle w:evenVBand="true" w:oddVBand="false" w:firstColumn="false"/>
            <w:tcW w:w="25.000000%" w:type="pct"/>
          </w:tcPr>
          <w:p>
            <w:pPr>
              <w:ind w:leftChars="0" w:left="0" w:right="0"/>
            </w:pPr>
            <w:r>
              <w:t>ZC</w:t>
            </w:r>
          </w:p>
        </w:tc>
        <w:tc>
          <w:tcPr>
            <w:cnfStyle w:evenVBand="false" w:oddVBand="true" w:firstColumn="false"/>
            <w:tcW w:w="25.000000%" w:type="pct"/>
          </w:tcPr>
          <w:p>
            <w:pPr>
              <w:ind w:leftChars="0" w:left="0" w:right="0"/>
            </w:pPr>
            <w:r>
              <w:t>ZERO-COUPON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AN</w:t>
            </w:r>
          </w:p>
        </w:tc>
        <w:tc>
          <w:tcPr>
            <w:cnfStyle w:evenVBand="true" w:oddVBand="false" w:firstColumn="false"/>
            <w:tcW w:w="25.000000%" w:type="pct"/>
          </w:tcPr>
          <w:p>
            <w:pPr>
              <w:ind w:leftChars="0" w:left="0" w:right="0"/>
            </w:pPr>
            <w:r>
              <w:t>AN</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SA</w:t>
            </w:r>
          </w:p>
        </w:tc>
        <w:tc>
          <w:tcPr>
            <w:cnfStyle w:evenVBand="false" w:oddVBand="true" w:firstColumn="false"/>
            <w:tcW w:w="25.000000%" w:type="pct"/>
          </w:tcPr>
          <w:p>
            <w:pPr>
              <w:ind w:leftChars="0" w:left="0" w:right="0"/>
            </w:pPr>
            <w:r>
              <w:t>SEMI-ANNUAL</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QU</w:t>
            </w:r>
          </w:p>
        </w:tc>
        <w:tc>
          <w:tcPr>
            <w:cnfStyle w:evenVBand="true" w:oddVBand="false" w:firstColumn="false"/>
            <w:tcW w:w="25.000000%" w:type="pct"/>
          </w:tcPr>
          <w:p>
            <w:pPr>
              <w:ind w:leftChars="0" w:left="0" w:right="0"/>
            </w:pPr>
            <w:r>
              <w:t>QU</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BM</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MO</w:t>
            </w:r>
          </w:p>
        </w:tc>
        <w:tc>
          <w:tcPr>
            <w:cnfStyle w:evenVBand="true" w:oddVBand="false" w:firstColumn="false"/>
            <w:tcW w:w="25.000000%" w:type="pct"/>
          </w:tcPr>
          <w:p>
            <w:pPr>
              <w:ind w:leftChars="0" w:left="0" w:right="0"/>
            </w:pPr>
            <w:r>
              <w:t>MO</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FN</w:t>
            </w:r>
          </w:p>
        </w:tc>
        <w:tc>
          <w:tcPr>
            <w:cnfStyle w:evenVBand="true" w:oddVBand="false" w:firstColumn="false"/>
            <w:tcW w:w="25.000000%" w:type="pct"/>
          </w:tcPr>
          <w:p>
            <w:pPr>
              <w:ind w:leftChars="0" w:left="0" w:right="0"/>
            </w:pPr>
            <w:r>
              <w:t>FN</w:t>
            </w:r>
          </w:p>
        </w:tc>
        <w:tc>
          <w:tcPr>
            <w:cnfStyle w:evenVBand="false" w:oddVBand="true" w:firstColumn="false"/>
            <w:tcW w:w="25.000000%" w:type="pct"/>
          </w:tcPr>
          <w:p>
            <w:pPr>
              <w:ind w:leftChars="0" w:left="0" w:right="0"/>
            </w:pPr>
            <w:r>
              <w:t>FORTNIGHTLY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IR</w:t>
            </w:r>
          </w:p>
        </w:tc>
        <w:tc>
          <w:tcPr>
            <w:cnfStyle w:evenVBand="true" w:oddVBand="false" w:firstColumn="false"/>
            <w:tcW w:w="25.000000%" w:type="pct"/>
          </w:tcPr>
          <w:p>
            <w:pPr>
              <w:ind w:leftChars="0" w:left="0" w:right="0"/>
            </w:pPr>
            <w:r>
              <w:t>IR</w:t>
            </w:r>
          </w:p>
        </w:tc>
        <w:tc>
          <w:tcPr>
            <w:cnfStyle w:evenVBand="false" w:oddVBand="true" w:firstColumn="false"/>
            <w:tcW w:w="25.000000%" w:type="pct"/>
          </w:tcPr>
          <w:p>
            <w:pPr>
              <w:ind w:leftChars="0" w:left="0" w:right="0"/>
            </w:pPr>
            <w:r>
              <w:t>IRREGULAR</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UK</w:t>
            </w:r>
          </w:p>
        </w:tc>
        <w:tc>
          <w:tcPr>
            <w:cnfStyle w:evenVBand="true" w:oddVBand="false" w:firstColumn="false"/>
            <w:tcW w:w="25.000000%" w:type="pct"/>
          </w:tcPr>
          <w:p>
            <w:pPr>
              <w:ind w:leftChars="0" w:left="0" w:right="0"/>
            </w:pPr>
            <w:r>
              <w:t>UK</w:t>
            </w:r>
          </w:p>
        </w:tc>
        <w:tc>
          <w:tcPr>
            <w:cnfStyle w:evenVBand="false" w:oddVBand="true" w:firstColumn="false"/>
            <w:tcW w:w="25.000000%" w:type="pct"/>
          </w:tcPr>
          <w:p>
            <w:pPr>
              <w:ind w:leftChars="0" w:left="0" w:right="0"/>
            </w:pPr>
            <w:r>
              <w:t>UNKNOWN</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w:t>
            </w:r>
          </w:p>
        </w:tc>
        <w:tc>
          <w:tcPr>
            <w:cnfStyle w:evenVBand="true" w:oddVBand="false" w:firstColumn="false"/>
            <w:tcW w:w="25.000000%" w:type="pct"/>
          </w:tcPr>
          <w:p>
            <w:pPr>
              <w:ind w:leftChars="0" w:left="0" w:right="0"/>
            </w:pPr>
            <w:r>
              <w:t>OT</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10</w:t>
            </w:r>
          </w:p>
        </w:tc>
      </w:tr>
    </w:tbl>
    <w:p>
      <w:pPr>
        <w:pStyle w:val="Table Bottom Margin"/>
      </w:pPr>
    </w:p>
    <w:bookmarkEnd w:id="320"/>
    <w:bookmarkEnd w:id="319"/>
    <w:bookmarkStart w:id="321" w:name="_6c1f59305c2e8b78bead65362100cc0d"/>
    <w:bookmarkStart w:id="322" w:name="_b9f52f99b3ccea157f9cfb5cef06b9fe"/>
    <w:p>
      <w:pPr>
        <w:pStyle w:val="Heading5"/>
        <w:keepNext/>
      </w:pPr>
      <w:r>
        <w:t>DBT_CPN_TYP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FIX</w:t>
            </w:r>
          </w:p>
        </w:tc>
        <w:tc>
          <w:tcPr>
            <w:cnfStyle w:evenVBand="true" w:oddVBand="false" w:firstColumn="false"/>
            <w:tcW w:w="25.000000%" w:type="pct"/>
          </w:tcPr>
          <w:p>
            <w:pPr>
              <w:ind w:leftChars="0" w:left="0" w:right="0"/>
            </w:pPr>
            <w:r>
              <w:t>FIX</w:t>
            </w:r>
          </w:p>
        </w:tc>
        <w:tc>
          <w:tcPr>
            <w:cnfStyle w:evenVBand="false" w:oddVBand="true" w:firstColumn="false"/>
            <w:tcW w:w="25.000000%" w:type="pct"/>
          </w:tcPr>
          <w:p>
            <w:pPr>
              <w:ind w:leftChars="0" w:left="0" w:right="0"/>
            </w:pPr>
            <w:r>
              <w:t>FIXED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STE</w:t>
            </w:r>
          </w:p>
        </w:tc>
        <w:tc>
          <w:tcPr>
            <w:cnfStyle w:evenVBand="true" w:oddVBand="false" w:firstColumn="false"/>
            <w:tcW w:w="25.000000%" w:type="pct"/>
          </w:tcPr>
          <w:p>
            <w:pPr>
              <w:ind w:leftChars="0" w:left="0" w:right="0"/>
            </w:pPr>
            <w:r>
              <w:t>STE</w:t>
            </w:r>
          </w:p>
        </w:tc>
        <w:tc>
          <w:tcPr>
            <w:cnfStyle w:evenVBand="false" w:oddVBand="true" w:firstColumn="false"/>
            <w:tcW w:w="25.000000%" w:type="pct"/>
          </w:tcPr>
          <w:p>
            <w:pPr>
              <w:ind w:leftChars="0" w:left="0" w:right="0"/>
            </w:pPr>
            <w:r>
              <w:t>STEPPED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FLO</w:t>
            </w:r>
          </w:p>
        </w:tc>
        <w:tc>
          <w:tcPr>
            <w:cnfStyle w:evenVBand="true" w:oddVBand="false" w:firstColumn="false"/>
            <w:tcW w:w="25.000000%" w:type="pct"/>
          </w:tcPr>
          <w:p>
            <w:pPr>
              <w:ind w:leftChars="0" w:left="0" w:right="0"/>
            </w:pPr>
            <w:r>
              <w:t>FLO</w:t>
            </w:r>
          </w:p>
        </w:tc>
        <w:tc>
          <w:tcPr>
            <w:cnfStyle w:evenVBand="false" w:oddVBand="true" w:firstColumn="false"/>
            <w:tcW w:w="25.000000%" w:type="pct"/>
          </w:tcPr>
          <w:p>
            <w:pPr>
              <w:ind w:leftChars="0" w:left="0" w:right="0"/>
            </w:pPr>
            <w:r>
              <w:t>FLOATING</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ZER</w:t>
            </w:r>
          </w:p>
        </w:tc>
        <w:tc>
          <w:tcPr>
            <w:cnfStyle w:evenVBand="true" w:oddVBand="false" w:firstColumn="false"/>
            <w:tcW w:w="25.000000%" w:type="pct"/>
          </w:tcPr>
          <w:p>
            <w:pPr>
              <w:ind w:leftChars="0" w:left="0" w:right="0"/>
            </w:pPr>
            <w:r>
              <w:t>ZER</w:t>
            </w:r>
          </w:p>
        </w:tc>
        <w:tc>
          <w:tcPr>
            <w:cnfStyle w:evenVBand="false" w:oddVBand="true" w:firstColumn="false"/>
            <w:tcW w:w="25.000000%" w:type="pct"/>
          </w:tcPr>
          <w:p>
            <w:pPr>
              <w:ind w:leftChars="0" w:left="0" w:right="0"/>
            </w:pPr>
            <w:r>
              <w:t>ZERO COUPON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IDX</w:t>
            </w:r>
          </w:p>
        </w:tc>
        <w:tc>
          <w:tcPr>
            <w:cnfStyle w:evenVBand="true" w:oddVBand="false" w:firstColumn="false"/>
            <w:tcW w:w="25.000000%" w:type="pct"/>
          </w:tcPr>
          <w:p>
            <w:pPr>
              <w:ind w:leftChars="0" w:left="0" w:right="0"/>
            </w:pPr>
            <w:r>
              <w:t>IDX</w:t>
            </w:r>
          </w:p>
        </w:tc>
        <w:tc>
          <w:tcPr>
            <w:cnfStyle w:evenVBand="false" w:oddVBand="true" w:firstColumn="false"/>
            <w:tcW w:w="25.000000%" w:type="pct"/>
          </w:tcPr>
          <w:p>
            <w:pPr>
              <w:ind w:leftChars="0" w:left="0" w:right="0"/>
            </w:pPr>
            <w:r>
              <w:t>INDEX-LINKED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CRE</w:t>
            </w:r>
          </w:p>
        </w:tc>
        <w:tc>
          <w:tcPr>
            <w:cnfStyle w:evenVBand="true" w:oddVBand="false" w:firstColumn="false"/>
            <w:tcW w:w="25.000000%" w:type="pct"/>
          </w:tcPr>
          <w:p>
            <w:pPr>
              <w:ind w:leftChars="0" w:left="0" w:right="0"/>
            </w:pPr>
            <w:r>
              <w:t>CRE</w:t>
            </w:r>
          </w:p>
        </w:tc>
        <w:tc>
          <w:tcPr>
            <w:cnfStyle w:evenVBand="false" w:oddVBand="true" w:firstColumn="false"/>
            <w:tcW w:w="25.000000%" w:type="pct"/>
          </w:tcPr>
          <w:p>
            <w:pPr>
              <w:ind w:leftChars="0" w:left="0" w:right="0"/>
            </w:pPr>
            <w:r>
              <w:t>CREDIT-LINKED</w:t>
            </w:r>
          </w:p>
        </w:tc>
        <w:tc>
          <w:tcPr>
            <w:cnfStyle w:evenVBand="true" w:oddVBand="false" w:firstColumn="false"/>
            <w:tcW w:w="25.000000%" w:type="pct"/>
          </w:tcPr>
          <w:p>
            <w:pPr>
              <w:ind w:leftChars="0" w:left="0" w:right="0"/>
            </w:pPr>
            <w:r>
              <w:t>7</w:t>
            </w:r>
          </w:p>
        </w:tc>
      </w:tr>
    </w:tbl>
    <w:p>
      <w:pPr>
        <w:pStyle w:val="Table Bottom Margin"/>
      </w:pPr>
    </w:p>
    <w:bookmarkEnd w:id="322"/>
    <w:bookmarkEnd w:id="321"/>
    <w:bookmarkStart w:id="323" w:name="_2dc9f14ce407dfc26f24a12f0cd3ffa3"/>
    <w:bookmarkStart w:id="324" w:name="_0565cd4bf0e96ed59b8c2e8d78c595b7"/>
    <w:p>
      <w:pPr>
        <w:pStyle w:val="Heading5"/>
        <w:keepNext/>
      </w:pPr>
      <w:r>
        <w:t>DBT_CVRD_TYP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PUBLIC</w:t>
            </w:r>
          </w:p>
        </w:tc>
        <w:tc>
          <w:tcPr>
            <w:cnfStyle w:evenVBand="true" w:oddVBand="false" w:firstColumn="false"/>
            <w:tcW w:w="25.000000%" w:type="pct"/>
          </w:tcPr>
          <w:p>
            <w:pPr>
              <w:ind w:leftChars="0" w:left="0" w:right="0"/>
            </w:pPr>
            <w:r>
              <w:t>Public sector covered bond</w:t>
            </w:r>
          </w:p>
        </w:tc>
        <w:tc>
          <w:tcPr>
            <w:cnfStyle w:evenVBand="false" w:oddVBand="true" w:firstColumn="false"/>
            <w:tcW w:w="25.000000%" w:type="pct"/>
          </w:tcPr>
          <w:p>
            <w:pPr>
              <w:ind w:leftChars="0" w:left="0" w:right="0"/>
            </w:pPr>
            <w:r>
              <w:t>Public sector covered bond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MORTGAGE</w:t>
            </w:r>
          </w:p>
        </w:tc>
        <w:tc>
          <w:tcPr>
            <w:cnfStyle w:evenVBand="true" w:oddVBand="false" w:firstColumn="false"/>
            <w:tcW w:w="25.000000%" w:type="pct"/>
          </w:tcPr>
          <w:p>
            <w:pPr>
              <w:ind w:leftChars="0" w:left="0" w:right="0"/>
            </w:pPr>
            <w:r>
              <w:t>Mortgage covered bond</w:t>
            </w:r>
          </w:p>
        </w:tc>
        <w:tc>
          <w:tcPr>
            <w:cnfStyle w:evenVBand="false" w:oddVBand="true" w:firstColumn="false"/>
            <w:tcW w:w="25.000000%" w:type="pct"/>
          </w:tcPr>
          <w:p>
            <w:pPr>
              <w:ind w:leftChars="0" w:left="0" w:right="0"/>
            </w:pPr>
            <w:r>
              <w:t>Mortgage covered bond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SHIP</w:t>
            </w:r>
          </w:p>
        </w:tc>
        <w:tc>
          <w:tcPr>
            <w:cnfStyle w:evenVBand="true" w:oddVBand="false" w:firstColumn="false"/>
            <w:tcW w:w="25.000000%" w:type="pct"/>
          </w:tcPr>
          <w:p>
            <w:pPr>
              <w:ind w:leftChars="0" w:left="0" w:right="0"/>
            </w:pPr>
            <w:r>
              <w:t>Ship covered bond</w:t>
            </w:r>
          </w:p>
        </w:tc>
        <w:tc>
          <w:tcPr>
            <w:cnfStyle w:evenVBand="false" w:oddVBand="true" w:firstColumn="false"/>
            <w:tcW w:w="25.000000%" w:type="pct"/>
          </w:tcPr>
          <w:p>
            <w:pPr>
              <w:ind w:leftChars="0" w:left="0" w:right="0"/>
            </w:pPr>
            <w:r>
              <w:t>Ship covered bond</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AIRCRAFT</w:t>
            </w:r>
          </w:p>
        </w:tc>
        <w:tc>
          <w:tcPr>
            <w:cnfStyle w:evenVBand="true" w:oddVBand="false" w:firstColumn="false"/>
            <w:tcW w:w="25.000000%" w:type="pct"/>
          </w:tcPr>
          <w:p>
            <w:pPr>
              <w:ind w:leftChars="0" w:left="0" w:right="0"/>
            </w:pPr>
            <w:r>
              <w:t>Aircraft covered bond</w:t>
            </w:r>
          </w:p>
        </w:tc>
        <w:tc>
          <w:tcPr>
            <w:cnfStyle w:evenVBand="false" w:oddVBand="true" w:firstColumn="false"/>
            <w:tcW w:w="25.000000%" w:type="pct"/>
          </w:tcPr>
          <w:p>
            <w:pPr>
              <w:ind w:leftChars="0" w:left="0" w:right="0"/>
            </w:pPr>
            <w:r>
              <w:t>Aircraft covered bond</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Mixed covered bond</w:t>
            </w:r>
          </w:p>
        </w:tc>
        <w:tc>
          <w:tcPr>
            <w:cnfStyle w:evenVBand="false" w:oddVBand="true" w:firstColumn="false"/>
            <w:tcW w:w="25.000000%" w:type="pct"/>
          </w:tcPr>
          <w:p>
            <w:pPr>
              <w:ind w:leftChars="0" w:left="0" w:right="0"/>
            </w:pPr>
            <w:r>
              <w:t>Mixed covered bond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covered bond</w:t>
            </w:r>
          </w:p>
        </w:tc>
        <w:tc>
          <w:tcPr>
            <w:cnfStyle w:evenVBand="false" w:oddVBand="true" w:firstColumn="false"/>
            <w:tcW w:w="25.000000%" w:type="pct"/>
          </w:tcPr>
          <w:p>
            <w:pPr>
              <w:ind w:leftChars="0" w:left="0" w:right="0"/>
            </w:pPr>
            <w:r>
              <w:t>Other covered bond</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detailed classification available</w:t>
            </w:r>
          </w:p>
        </w:tc>
        <w:tc>
          <w:tcPr>
            <w:cnfStyle w:evenVBand="false" w:oddVBand="true" w:firstColumn="false"/>
            <w:tcW w:w="25.000000%" w:type="pct"/>
          </w:tcPr>
          <w:p>
            <w:pPr>
              <w:ind w:leftChars="0" w:left="0" w:right="0"/>
            </w:pPr>
            <w:r>
              <w:t>No detailed classification available</w:t>
            </w:r>
          </w:p>
        </w:tc>
        <w:tc>
          <w:tcPr>
            <w:cnfStyle w:evenVBand="true" w:oddVBand="false" w:firstColumn="false"/>
            <w:tcW w:w="25.000000%" w:type="pct"/>
          </w:tcPr>
          <w:p>
            <w:pPr>
              <w:ind w:leftChars="0" w:left="0" w:right="0"/>
            </w:pPr>
            <w:r>
              <w:t>7</w:t>
            </w:r>
          </w:p>
        </w:tc>
      </w:tr>
    </w:tbl>
    <w:p>
      <w:pPr>
        <w:pStyle w:val="Table Bottom Margin"/>
      </w:pPr>
    </w:p>
    <w:bookmarkEnd w:id="324"/>
    <w:bookmarkEnd w:id="323"/>
    <w:bookmarkStart w:id="325" w:name="_b7a6935bd39da556684860e9853d8e20"/>
    <w:bookmarkStart w:id="326" w:name="_07f4bafa30bf8f523ec64fbc77660cf3"/>
    <w:p>
      <w:pPr>
        <w:pStyle w:val="Heading5"/>
        <w:keepNext/>
      </w:pPr>
      <w:r>
        <w:t>DBT_GRNT_LVL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UNGUARANTEED</w:t>
            </w:r>
          </w:p>
        </w:tc>
        <w:tc>
          <w:tcPr>
            <w:cnfStyle w:evenVBand="true" w:oddVBand="false" w:firstColumn="false"/>
            <w:tcW w:w="25.000000%" w:type="pct"/>
          </w:tcPr>
          <w:p>
            <w:pPr>
              <w:ind w:leftChars="0" w:left="0" w:right="0"/>
            </w:pPr>
            <w:r>
              <w:t>Unguaranteed</w:t>
            </w:r>
          </w:p>
        </w:tc>
        <w:tc>
          <w:tcPr>
            <w:cnfStyle w:evenVBand="false" w:oddVBand="true" w:firstColumn="false"/>
            <w:tcW w:w="25.000000%" w:type="pct"/>
          </w:tcPr>
          <w:p>
            <w:pPr>
              <w:ind w:leftChars="0" w:left="0" w:right="0"/>
            </w:pPr>
            <w:r>
              <w:t>Unguaranteed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GOVERNMENT</w:t>
            </w:r>
          </w:p>
        </w:tc>
        <w:tc>
          <w:tcPr>
            <w:cnfStyle w:evenVBand="true" w:oddVBand="false" w:firstColumn="false"/>
            <w:tcW w:w="25.000000%" w:type="pct"/>
          </w:tcPr>
          <w:p>
            <w:pPr>
              <w:ind w:leftChars="0" w:left="0" w:right="0"/>
            </w:pPr>
            <w:r>
              <w:t>Government / Treasury guarantee</w:t>
            </w:r>
          </w:p>
        </w:tc>
        <w:tc>
          <w:tcPr>
            <w:cnfStyle w:evenVBand="false" w:oddVBand="true" w:firstColumn="false"/>
            <w:tcW w:w="25.000000%" w:type="pct"/>
          </w:tcPr>
          <w:p>
            <w:pPr>
              <w:ind w:leftChars="0" w:left="0" w:right="0"/>
            </w:pPr>
            <w:r>
              <w:t>Government / Treasury guarantee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guarantee</w:t>
            </w:r>
          </w:p>
        </w:tc>
        <w:tc>
          <w:tcPr>
            <w:cnfStyle w:evenVBand="false" w:oddVBand="true" w:firstColumn="false"/>
            <w:tcW w:w="25.000000%" w:type="pct"/>
          </w:tcPr>
          <w:p>
            <w:pPr>
              <w:ind w:leftChars="0" w:left="0" w:right="0"/>
            </w:pPr>
            <w:r>
              <w:t>Other guarantee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NA</w:t>
            </w:r>
          </w:p>
        </w:tc>
        <w:tc>
          <w:tcPr>
            <w:cnfStyle w:evenVBand="true" w:oddVBand="false" w:firstColumn="false"/>
            <w:tcW w:w="25.000000%" w:type="pct"/>
          </w:tcPr>
          <w:p>
            <w:pPr>
              <w:ind w:leftChars="0" w:left="0" w:right="0"/>
            </w:pPr>
            <w:r>
              <w:t>No detail information available</w:t>
            </w:r>
          </w:p>
        </w:tc>
        <w:tc>
          <w:tcPr>
            <w:cnfStyle w:evenVBand="false" w:oddVBand="true" w:firstColumn="false"/>
            <w:tcW w:w="25.000000%" w:type="pct"/>
          </w:tcPr>
          <w:p>
            <w:pPr>
              <w:ind w:leftChars="0" w:left="0" w:right="0"/>
            </w:pPr>
            <w:r>
              <w:t>No detail information available</w:t>
            </w:r>
          </w:p>
        </w:tc>
        <w:tc>
          <w:tcPr>
            <w:cnfStyle w:evenVBand="true" w:oddVBand="false" w:firstColumn="false"/>
            <w:tcW w:w="25.000000%" w:type="pct"/>
          </w:tcPr>
          <w:p>
            <w:pPr>
              <w:ind w:leftChars="0" w:left="0" w:right="0"/>
            </w:pPr>
            <w:r>
              <w:t>4</w:t>
            </w:r>
          </w:p>
        </w:tc>
      </w:tr>
    </w:tbl>
    <w:p>
      <w:pPr>
        <w:pStyle w:val="Table Bottom Margin"/>
      </w:pPr>
    </w:p>
    <w:bookmarkEnd w:id="326"/>
    <w:bookmarkEnd w:id="325"/>
    <w:bookmarkStart w:id="327" w:name="_a4360f83c20b07c21357988a6cb9bb54"/>
    <w:bookmarkStart w:id="328" w:name="_b1194b0a7135f24bf5bc099a368682ce"/>
    <w:p>
      <w:pPr>
        <w:pStyle w:val="Heading5"/>
        <w:keepNext/>
      </w:pPr>
      <w:r>
        <w:t>DBT_OUTSTNDNG_CHN_TYP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INIT</w:t>
            </w:r>
          </w:p>
        </w:tc>
        <w:tc>
          <w:tcPr>
            <w:cnfStyle w:evenVBand="true" w:oddVBand="false" w:firstColumn="false"/>
            <w:tcW w:w="25.000000%" w:type="pct"/>
          </w:tcPr>
          <w:p>
            <w:pPr>
              <w:ind w:leftChars="0" w:left="0" w:right="0"/>
            </w:pPr>
            <w:r>
              <w:t>Αρχική έκδοση</w:t>
            </w:r>
          </w:p>
        </w:tc>
        <w:tc>
          <w:tcPr>
            <w:cnfStyle w:evenVBand="false" w:oddVBand="true" w:firstColumn="false"/>
            <w:tcW w:w="25.000000%" w:type="pct"/>
          </w:tcPr>
          <w:p>
            <w:pPr>
              <w:ind w:leftChars="0" w:left="0" w:right="0"/>
            </w:pPr>
            <w:r>
              <w:t>Αρχική έκδοση</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TRANCHE</w:t>
            </w:r>
          </w:p>
        </w:tc>
        <w:tc>
          <w:tcPr>
            <w:cnfStyle w:evenVBand="true" w:oddVBand="false" w:firstColumn="false"/>
            <w:tcW w:w="25.000000%" w:type="pct"/>
          </w:tcPr>
          <w:p>
            <w:pPr>
              <w:ind w:leftChars="0" w:left="0" w:right="0"/>
            </w:pPr>
            <w:r>
              <w:t>Συμπληρωματική έκδοση σε δόση</w:t>
            </w:r>
          </w:p>
        </w:tc>
        <w:tc>
          <w:tcPr>
            <w:cnfStyle w:evenVBand="false" w:oddVBand="true" w:firstColumn="false"/>
            <w:tcW w:w="25.000000%" w:type="pct"/>
          </w:tcPr>
          <w:p>
            <w:pPr>
              <w:ind w:leftChars="0" w:left="0" w:right="0"/>
            </w:pPr>
            <w:r>
              <w:t>Συμπληρωματική έκδοση σε δόση</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PARTIAL</w:t>
            </w:r>
          </w:p>
        </w:tc>
        <w:tc>
          <w:tcPr>
            <w:cnfStyle w:evenVBand="true" w:oddVBand="false" w:firstColumn="false"/>
            <w:tcW w:w="25.000000%" w:type="pct"/>
          </w:tcPr>
          <w:p>
            <w:pPr>
              <w:ind w:leftChars="0" w:left="0" w:right="0"/>
            </w:pPr>
            <w:r>
              <w:t>Μερική εξόφληση</w:t>
            </w:r>
          </w:p>
        </w:tc>
        <w:tc>
          <w:tcPr>
            <w:cnfStyle w:evenVBand="false" w:oddVBand="true" w:firstColumn="false"/>
            <w:tcW w:w="25.000000%" w:type="pct"/>
          </w:tcPr>
          <w:p>
            <w:pPr>
              <w:ind w:leftChars="0" w:left="0" w:right="0"/>
            </w:pPr>
            <w:r>
              <w:t>Μερική εξόφληση</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FULL</w:t>
            </w:r>
          </w:p>
        </w:tc>
        <w:tc>
          <w:tcPr>
            <w:cnfStyle w:evenVBand="true" w:oddVBand="false" w:firstColumn="false"/>
            <w:tcW w:w="25.000000%" w:type="pct"/>
          </w:tcPr>
          <w:p>
            <w:pPr>
              <w:ind w:leftChars="0" w:left="0" w:right="0"/>
            </w:pPr>
            <w:r>
              <w:t>Ολική εξόφληση</w:t>
            </w:r>
          </w:p>
        </w:tc>
        <w:tc>
          <w:tcPr>
            <w:cnfStyle w:evenVBand="false" w:oddVBand="true" w:firstColumn="false"/>
            <w:tcW w:w="25.000000%" w:type="pct"/>
          </w:tcPr>
          <w:p>
            <w:pPr>
              <w:ind w:leftChars="0" w:left="0" w:right="0"/>
            </w:pPr>
            <w:r>
              <w:t>Ολική εξόφληση</w:t>
            </w:r>
          </w:p>
        </w:tc>
        <w:tc>
          <w:tcPr>
            <w:cnfStyle w:evenVBand="true" w:oddVBand="false" w:firstColumn="false"/>
            <w:tcW w:w="25.000000%" w:type="pct"/>
          </w:tcPr>
          <w:p>
            <w:pPr>
              <w:ind w:leftChars="0" w:left="0" w:right="0"/>
            </w:pPr>
            <w:r>
              <w:t>4</w:t>
            </w:r>
          </w:p>
        </w:tc>
      </w:tr>
    </w:tbl>
    <w:p>
      <w:pPr>
        <w:pStyle w:val="Table Bottom Margin"/>
      </w:pPr>
    </w:p>
    <w:bookmarkEnd w:id="328"/>
    <w:bookmarkEnd w:id="327"/>
    <w:bookmarkStart w:id="329" w:name="_659530fe094ef3eb965a04d9c844998e"/>
    <w:bookmarkStart w:id="330" w:name="_0d7d2860e95d182eb1feb893bce149b2"/>
    <w:p>
      <w:pPr>
        <w:pStyle w:val="Heading5"/>
        <w:keepNext/>
      </w:pPr>
      <w:r>
        <w:t>DBT_RNK_LVL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SUB_JUNIOR</w:t>
            </w:r>
          </w:p>
        </w:tc>
        <w:tc>
          <w:tcPr>
            <w:cnfStyle w:evenVBand="true" w:oddVBand="false" w:firstColumn="false"/>
            <w:tcW w:w="25.000000%" w:type="pct"/>
          </w:tcPr>
          <w:p>
            <w:pPr>
              <w:ind w:leftChars="0" w:left="0" w:right="0"/>
            </w:pPr>
            <w:r>
              <w:t>Subordinated - Junior level</w:t>
            </w:r>
          </w:p>
        </w:tc>
        <w:tc>
          <w:tcPr>
            <w:cnfStyle w:evenVBand="false" w:oddVBand="true" w:firstColumn="false"/>
            <w:tcW w:w="25.000000%" w:type="pct"/>
          </w:tcPr>
          <w:p>
            <w:pPr>
              <w:ind w:leftChars="0" w:left="0" w:right="0"/>
            </w:pPr>
            <w:r>
              <w:t>Subordinated - Junior level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SUB_SENIOR</w:t>
            </w:r>
          </w:p>
        </w:tc>
        <w:tc>
          <w:tcPr>
            <w:cnfStyle w:evenVBand="true" w:oddVBand="false" w:firstColumn="false"/>
            <w:tcW w:w="25.000000%" w:type="pct"/>
          </w:tcPr>
          <w:p>
            <w:pPr>
              <w:ind w:leftChars="0" w:left="0" w:right="0"/>
            </w:pPr>
            <w:r>
              <w:t>Subordinated - Senior level</w:t>
            </w:r>
          </w:p>
        </w:tc>
        <w:tc>
          <w:tcPr>
            <w:cnfStyle w:evenVBand="false" w:oddVBand="true" w:firstColumn="false"/>
            <w:tcW w:w="25.000000%" w:type="pct"/>
          </w:tcPr>
          <w:p>
            <w:pPr>
              <w:ind w:leftChars="0" w:left="0" w:right="0"/>
            </w:pPr>
            <w:r>
              <w:t>Subordinated - Senior level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SUB_NOINFO</w:t>
            </w:r>
          </w:p>
        </w:tc>
        <w:tc>
          <w:tcPr>
            <w:cnfStyle w:evenVBand="true" w:oddVBand="false" w:firstColumn="false"/>
            <w:tcW w:w="25.000000%" w:type="pct"/>
          </w:tcPr>
          <w:p>
            <w:pPr>
              <w:ind w:leftChars="0" w:left="0" w:right="0"/>
            </w:pPr>
            <w:r>
              <w:t>Subordinated - No further breakdown available</w:t>
            </w:r>
          </w:p>
        </w:tc>
        <w:tc>
          <w:tcPr>
            <w:cnfStyle w:evenVBand="false" w:oddVBand="true" w:firstColumn="false"/>
            <w:tcW w:w="25.000000%" w:type="pct"/>
          </w:tcPr>
          <w:p>
            <w:pPr>
              <w:ind w:leftChars="0" w:left="0" w:right="0"/>
            </w:pPr>
            <w:r>
              <w:t>Subordinated - No further breakdown available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SENIOR</w:t>
            </w:r>
          </w:p>
        </w:tc>
        <w:tc>
          <w:tcPr>
            <w:cnfStyle w:evenVBand="true" w:oddVBand="false" w:firstColumn="false"/>
            <w:tcW w:w="25.000000%" w:type="pct"/>
          </w:tcPr>
          <w:p>
            <w:pPr>
              <w:ind w:leftChars="0" w:left="0" w:right="0"/>
            </w:pPr>
            <w:r>
              <w:t>Senior</w:t>
            </w:r>
          </w:p>
        </w:tc>
        <w:tc>
          <w:tcPr>
            <w:cnfStyle w:evenVBand="false" w:oddVBand="true" w:firstColumn="false"/>
            <w:tcW w:w="25.000000%" w:type="pct"/>
          </w:tcPr>
          <w:p>
            <w:pPr>
              <w:ind w:leftChars="0" w:left="0" w:right="0"/>
            </w:pPr>
            <w:r>
              <w:t>Senior</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ABS_JUNIOR</w:t>
            </w:r>
          </w:p>
        </w:tc>
        <w:tc>
          <w:tcPr>
            <w:cnfStyle w:evenVBand="true" w:oddVBand="false" w:firstColumn="false"/>
            <w:tcW w:w="25.000000%" w:type="pct"/>
          </w:tcPr>
          <w:p>
            <w:pPr>
              <w:ind w:leftChars="0" w:left="0" w:right="0"/>
            </w:pPr>
            <w:r>
              <w:t>ABS Class - Junior</w:t>
            </w:r>
          </w:p>
        </w:tc>
        <w:tc>
          <w:tcPr>
            <w:cnfStyle w:evenVBand="false" w:oddVBand="true" w:firstColumn="false"/>
            <w:tcW w:w="25.000000%" w:type="pct"/>
          </w:tcPr>
          <w:p>
            <w:pPr>
              <w:ind w:leftChars="0" w:left="0" w:right="0"/>
            </w:pPr>
            <w:r>
              <w:t>ABS Class - Junior</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ABS_MEZZANINE</w:t>
            </w:r>
          </w:p>
        </w:tc>
        <w:tc>
          <w:tcPr>
            <w:cnfStyle w:evenVBand="true" w:oddVBand="false" w:firstColumn="false"/>
            <w:tcW w:w="25.000000%" w:type="pct"/>
          </w:tcPr>
          <w:p>
            <w:pPr>
              <w:ind w:leftChars="0" w:left="0" w:right="0"/>
            </w:pPr>
            <w:r>
              <w:t>ABS Class - Mezzanine</w:t>
            </w:r>
          </w:p>
        </w:tc>
        <w:tc>
          <w:tcPr>
            <w:cnfStyle w:evenVBand="false" w:oddVBand="true" w:firstColumn="false"/>
            <w:tcW w:w="25.000000%" w:type="pct"/>
          </w:tcPr>
          <w:p>
            <w:pPr>
              <w:ind w:leftChars="0" w:left="0" w:right="0"/>
            </w:pPr>
            <w:r>
              <w:t>ABS Class - Mezzanine</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ABS_SENIOR</w:t>
            </w:r>
          </w:p>
        </w:tc>
        <w:tc>
          <w:tcPr>
            <w:cnfStyle w:evenVBand="true" w:oddVBand="false" w:firstColumn="false"/>
            <w:tcW w:w="25.000000%" w:type="pct"/>
          </w:tcPr>
          <w:p>
            <w:pPr>
              <w:ind w:leftChars="0" w:left="0" w:right="0"/>
            </w:pPr>
            <w:r>
              <w:t>ABS Class - Senior</w:t>
            </w:r>
          </w:p>
        </w:tc>
        <w:tc>
          <w:tcPr>
            <w:cnfStyle w:evenVBand="false" w:oddVBand="true" w:firstColumn="false"/>
            <w:tcW w:w="25.000000%" w:type="pct"/>
          </w:tcPr>
          <w:p>
            <w:pPr>
              <w:ind w:leftChars="0" w:left="0" w:right="0"/>
            </w:pPr>
            <w:r>
              <w:t>ABS Class - Senior</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 information available</w:t>
            </w:r>
          </w:p>
        </w:tc>
        <w:tc>
          <w:tcPr>
            <w:cnfStyle w:evenVBand="false" w:oddVBand="true" w:firstColumn="false"/>
            <w:tcW w:w="25.000000%" w:type="pct"/>
          </w:tcPr>
          <w:p>
            <w:pPr>
              <w:ind w:leftChars="0" w:left="0" w:right="0"/>
            </w:pPr>
            <w:r>
              <w:t>No detail information available</w:t>
            </w:r>
          </w:p>
        </w:tc>
        <w:tc>
          <w:tcPr>
            <w:cnfStyle w:evenVBand="true" w:oddVBand="false" w:firstColumn="false"/>
            <w:tcW w:w="25.000000%" w:type="pct"/>
          </w:tcPr>
          <w:p>
            <w:pPr>
              <w:ind w:leftChars="0" w:left="0" w:right="0"/>
            </w:pPr>
            <w:r>
              <w:t>8</w:t>
            </w:r>
          </w:p>
        </w:tc>
      </w:tr>
    </w:tbl>
    <w:p>
      <w:pPr>
        <w:pStyle w:val="Table Bottom Margin"/>
      </w:pPr>
    </w:p>
    <w:bookmarkEnd w:id="330"/>
    <w:bookmarkEnd w:id="329"/>
    <w:bookmarkStart w:id="331" w:name="_b9ed45fff0f34337b0aeeddbd9b74c15"/>
    <w:bookmarkStart w:id="332" w:name="_7d93153e4654f20051b218ea586d2e86"/>
    <w:p>
      <w:pPr>
        <w:pStyle w:val="Heading5"/>
        <w:keepNext/>
      </w:pPr>
      <w:r>
        <w:t>DBT_SCRTY_LVL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UNSECURED</w:t>
            </w:r>
          </w:p>
        </w:tc>
        <w:tc>
          <w:tcPr>
            <w:cnfStyle w:evenVBand="true" w:oddVBand="false" w:firstColumn="false"/>
            <w:tcW w:w="25.000000%" w:type="pct"/>
          </w:tcPr>
          <w:p>
            <w:pPr>
              <w:ind w:leftChars="0" w:left="0" w:right="0"/>
            </w:pPr>
            <w:r>
              <w:t>Unsecured</w:t>
            </w:r>
          </w:p>
        </w:tc>
        <w:tc>
          <w:tcPr>
            <w:cnfStyle w:evenVBand="false" w:oddVBand="true" w:firstColumn="false"/>
            <w:tcW w:w="25.000000%" w:type="pct"/>
          </w:tcPr>
          <w:p>
            <w:pPr>
              <w:ind w:leftChars="0" w:left="0" w:right="0"/>
            </w:pPr>
            <w:r>
              <w:t>Unsecured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SECURED</w:t>
            </w:r>
          </w:p>
        </w:tc>
        <w:tc>
          <w:tcPr>
            <w:cnfStyle w:evenVBand="true" w:oddVBand="false" w:firstColumn="false"/>
            <w:tcW w:w="25.000000%" w:type="pct"/>
          </w:tcPr>
          <w:p>
            <w:pPr>
              <w:ind w:leftChars="0" w:left="0" w:right="0"/>
            </w:pPr>
            <w:r>
              <w:t>Secured</w:t>
            </w:r>
          </w:p>
        </w:tc>
        <w:tc>
          <w:tcPr>
            <w:cnfStyle w:evenVBand="false" w:oddVBand="true" w:firstColumn="false"/>
            <w:tcW w:w="25.000000%" w:type="pct"/>
          </w:tcPr>
          <w:p>
            <w:pPr>
              <w:ind w:leftChars="0" w:left="0" w:right="0"/>
            </w:pPr>
            <w:r>
              <w:t>Secured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detailed information available</w:t>
            </w:r>
          </w:p>
        </w:tc>
        <w:tc>
          <w:tcPr>
            <w:cnfStyle w:evenVBand="false" w:oddVBand="true" w:firstColumn="false"/>
            <w:tcW w:w="25.000000%" w:type="pct"/>
          </w:tcPr>
          <w:p>
            <w:pPr>
              <w:ind w:leftChars="0" w:left="0" w:right="0"/>
            </w:pPr>
            <w:r>
              <w:t>No detailed information available</w:t>
            </w:r>
          </w:p>
        </w:tc>
        <w:tc>
          <w:tcPr>
            <w:cnfStyle w:evenVBand="true" w:oddVBand="false" w:firstColumn="false"/>
            <w:tcW w:w="25.000000%" w:type="pct"/>
          </w:tcPr>
          <w:p>
            <w:pPr>
              <w:ind w:leftChars="0" w:left="0" w:right="0"/>
            </w:pPr>
            <w:r>
              <w:t>3</w:t>
            </w:r>
          </w:p>
        </w:tc>
      </w:tr>
    </w:tbl>
    <w:p>
      <w:pPr>
        <w:pStyle w:val="Table Bottom Margin"/>
      </w:pPr>
    </w:p>
    <w:bookmarkEnd w:id="332"/>
    <w:bookmarkEnd w:id="331"/>
    <w:bookmarkStart w:id="333" w:name="_a7e806ed3242420b3accb4afb5ccf664"/>
    <w:bookmarkStart w:id="334" w:name="_8f88cb18ff6e3f483de3cf718b59265f"/>
    <w:p>
      <w:pPr>
        <w:pStyle w:val="Heading5"/>
        <w:keepNext/>
      </w:pPr>
      <w:r>
        <w:t>DBT_STTS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100</w:t>
            </w:r>
          </w:p>
        </w:tc>
        <w:tc>
          <w:tcPr>
            <w:cnfStyle w:evenVBand="true" w:oddVBand="false" w:firstColumn="false"/>
            <w:tcW w:w="25.000000%" w:type="pct"/>
          </w:tcPr>
          <w:p>
            <w:pPr>
              <w:ind w:leftChars="0" w:left="0" w:right="0"/>
            </w:pPr>
            <w:r>
              <w:t>Alive</w:t>
            </w:r>
          </w:p>
        </w:tc>
        <w:tc>
          <w:tcPr>
            <w:cnfStyle w:evenVBand="false" w:oddVBand="true" w:firstColumn="false"/>
            <w:tcW w:w="25.000000%" w:type="pct"/>
          </w:tcPr>
          <w:p>
            <w:pPr>
              <w:ind w:leftChars="0" w:left="0" w:right="0"/>
            </w:pPr>
            <w:r>
              <w:t>Alive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101</w:t>
            </w:r>
          </w:p>
        </w:tc>
        <w:tc>
          <w:tcPr>
            <w:cnfStyle w:evenVBand="true" w:oddVBand="false" w:firstColumn="false"/>
            <w:tcW w:w="25.000000%" w:type="pct"/>
          </w:tcPr>
          <w:p>
            <w:pPr>
              <w:ind w:leftChars="0" w:left="0" w:right="0"/>
            </w:pPr>
            <w:r>
              <w:t>Alive - outstanding after original maturity date</w:t>
            </w:r>
          </w:p>
        </w:tc>
        <w:tc>
          <w:tcPr>
            <w:cnfStyle w:evenVBand="false" w:oddVBand="true" w:firstColumn="false"/>
            <w:tcW w:w="25.000000%" w:type="pct"/>
          </w:tcPr>
          <w:p>
            <w:pPr>
              <w:ind w:leftChars="0" w:left="0" w:right="0"/>
            </w:pPr>
            <w:r>
              <w:t>Alive - outstanding after original maturity date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102</w:t>
            </w:r>
          </w:p>
        </w:tc>
        <w:tc>
          <w:tcPr>
            <w:cnfStyle w:evenVBand="true" w:oddVBand="false" w:firstColumn="false"/>
            <w:tcW w:w="25.000000%" w:type="pct"/>
          </w:tcPr>
          <w:p>
            <w:pPr>
              <w:ind w:leftChars="0" w:left="0" w:right="0"/>
            </w:pPr>
            <w:r>
              <w:t>Alive - in arrears</w:t>
            </w:r>
          </w:p>
        </w:tc>
        <w:tc>
          <w:tcPr>
            <w:cnfStyle w:evenVBand="false" w:oddVBand="true" w:firstColumn="false"/>
            <w:tcW w:w="25.000000%" w:type="pct"/>
          </w:tcPr>
          <w:p>
            <w:pPr>
              <w:ind w:leftChars="0" w:left="0" w:right="0"/>
            </w:pPr>
            <w:r>
              <w:t>Alive - in arrears</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202</w:t>
            </w:r>
          </w:p>
        </w:tc>
        <w:tc>
          <w:tcPr>
            <w:cnfStyle w:evenVBand="true" w:oddVBand="false" w:firstColumn="false"/>
            <w:tcW w:w="25.000000%" w:type="pct"/>
          </w:tcPr>
          <w:p>
            <w:pPr>
              <w:ind w:leftChars="0" w:left="0" w:right="0"/>
            </w:pPr>
            <w:r>
              <w:t>Not alive - matured(early redemption)</w:t>
            </w:r>
          </w:p>
        </w:tc>
        <w:tc>
          <w:tcPr>
            <w:cnfStyle w:evenVBand="false" w:oddVBand="true" w:firstColumn="false"/>
            <w:tcW w:w="25.000000%" w:type="pct"/>
          </w:tcPr>
          <w:p>
            <w:pPr>
              <w:ind w:leftChars="0" w:left="0" w:right="0"/>
            </w:pPr>
            <w:r>
              <w:t>Not alive - matured(early redemption)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220</w:t>
            </w:r>
          </w:p>
        </w:tc>
        <w:tc>
          <w:tcPr>
            <w:cnfStyle w:evenVBand="true" w:oddVBand="false" w:firstColumn="false"/>
            <w:tcW w:w="25.000000%" w:type="pct"/>
          </w:tcPr>
          <w:p>
            <w:pPr>
              <w:ind w:leftChars="0" w:left="0" w:right="0"/>
            </w:pPr>
            <w:r>
              <w:t>Not alive - debt cancelled by mutual agreement</w:t>
            </w:r>
          </w:p>
        </w:tc>
        <w:tc>
          <w:tcPr>
            <w:cnfStyle w:evenVBand="false" w:oddVBand="true" w:firstColumn="false"/>
            <w:tcW w:w="25.000000%" w:type="pct"/>
          </w:tcPr>
          <w:p>
            <w:pPr>
              <w:ind w:leftChars="0" w:left="0" w:right="0"/>
            </w:pPr>
            <w:r>
              <w:t>Not alive - debt cancelled by mutual agreement</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221</w:t>
            </w:r>
          </w:p>
        </w:tc>
        <w:tc>
          <w:tcPr>
            <w:cnfStyle w:evenVBand="true" w:oddVBand="false" w:firstColumn="false"/>
            <w:tcW w:w="25.000000%" w:type="pct"/>
          </w:tcPr>
          <w:p>
            <w:pPr>
              <w:ind w:leftChars="0" w:left="0" w:right="0"/>
            </w:pPr>
            <w:r>
              <w:t>Not alive - total debt forgiveness</w:t>
            </w:r>
          </w:p>
        </w:tc>
        <w:tc>
          <w:tcPr>
            <w:cnfStyle w:evenVBand="false" w:oddVBand="true" w:firstColumn="false"/>
            <w:tcW w:w="25.000000%" w:type="pct"/>
          </w:tcPr>
          <w:p>
            <w:pPr>
              <w:ind w:leftChars="0" w:left="0" w:right="0"/>
            </w:pPr>
            <w:r>
              <w:t>Not alive - total debt forgiveness</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222</w:t>
            </w:r>
          </w:p>
        </w:tc>
        <w:tc>
          <w:tcPr>
            <w:cnfStyle w:evenVBand="true" w:oddVBand="false" w:firstColumn="false"/>
            <w:tcW w:w="25.000000%" w:type="pct"/>
          </w:tcPr>
          <w:p>
            <w:pPr>
              <w:ind w:leftChars="0" w:left="0" w:right="0"/>
            </w:pPr>
            <w:r>
              <w:t>Not alive - unilateral debt repudiation</w:t>
            </w:r>
          </w:p>
        </w:tc>
        <w:tc>
          <w:tcPr>
            <w:cnfStyle w:evenVBand="false" w:oddVBand="true" w:firstColumn="false"/>
            <w:tcW w:w="25.000000%" w:type="pct"/>
          </w:tcPr>
          <w:p>
            <w:pPr>
              <w:ind w:leftChars="0" w:left="0" w:right="0"/>
            </w:pPr>
            <w:r>
              <w:t>Not alive - unilateral debt repudiation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223</w:t>
            </w:r>
          </w:p>
        </w:tc>
        <w:tc>
          <w:tcPr>
            <w:cnfStyle w:evenVBand="true" w:oddVBand="false" w:firstColumn="false"/>
            <w:tcW w:w="25.000000%" w:type="pct"/>
          </w:tcPr>
          <w:p>
            <w:pPr>
              <w:ind w:leftChars="0" w:left="0" w:right="0"/>
            </w:pPr>
            <w:r>
              <w:t>Not alive - bond rescheduling (to new security)</w:t>
            </w:r>
          </w:p>
        </w:tc>
        <w:tc>
          <w:tcPr>
            <w:cnfStyle w:evenVBand="false" w:oddVBand="true" w:firstColumn="false"/>
            <w:tcW w:w="25.000000%" w:type="pct"/>
          </w:tcPr>
          <w:p>
            <w:pPr>
              <w:ind w:leftChars="0" w:left="0" w:right="0"/>
            </w:pPr>
            <w:r>
              <w:t>Not alive - bond rescheduling (to new security)</w:t>
            </w:r>
          </w:p>
        </w:tc>
        <w:tc>
          <w:tcPr>
            <w:cnfStyle w:evenVBand="true" w:oddVBand="false" w:firstColumn="false"/>
            <w:tcW w:w="25.000000%" w:type="pct"/>
          </w:tcPr>
          <w:p>
            <w:pPr>
              <w:ind w:leftChars="0" w:left="0" w:right="0"/>
            </w:pPr>
            <w:r>
              <w:t>8</w:t>
            </w:r>
          </w:p>
        </w:tc>
      </w:tr>
    </w:tbl>
    <w:p>
      <w:pPr>
        <w:pStyle w:val="Table Bottom Margin"/>
      </w:pPr>
    </w:p>
    <w:bookmarkEnd w:id="334"/>
    <w:bookmarkEnd w:id="333"/>
    <w:bookmarkStart w:id="335" w:name="_c168c184de7e8a57af5b3ab12135e64f"/>
    <w:bookmarkStart w:id="336" w:name="_a5db715012dccf0a7cefba235ba8c805"/>
    <w:p>
      <w:pPr>
        <w:pStyle w:val="Heading5"/>
        <w:keepNext/>
      </w:pPr>
      <w:r>
        <w:t>DBT_TYP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BND</w:t>
            </w:r>
          </w:p>
        </w:tc>
        <w:tc>
          <w:tcPr>
            <w:cnfStyle w:evenVBand="true" w:oddVBand="false" w:firstColumn="false"/>
            <w:tcW w:w="25.000000%" w:type="pct"/>
          </w:tcPr>
          <w:p>
            <w:pPr>
              <w:ind w:leftChars="0" w:left="0" w:right="0"/>
            </w:pPr>
            <w:r>
              <w:t>Bond</w:t>
            </w:r>
          </w:p>
        </w:tc>
        <w:tc>
          <w:tcPr>
            <w:cnfStyle w:evenVBand="false" w:oddVBand="true" w:firstColumn="false"/>
            <w:tcW w:w="25.000000%" w:type="pct"/>
          </w:tcPr>
          <w:p>
            <w:pPr>
              <w:ind w:leftChars="0" w:left="0" w:right="0"/>
            </w:pPr>
            <w:r>
              <w:t>Bond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MNY</w:t>
            </w:r>
          </w:p>
        </w:tc>
        <w:tc>
          <w:tcPr>
            <w:cnfStyle w:evenVBand="true" w:oddVBand="false" w:firstColumn="false"/>
            <w:tcW w:w="25.000000%" w:type="pct"/>
          </w:tcPr>
          <w:p>
            <w:pPr>
              <w:ind w:leftChars="0" w:left="0" w:right="0"/>
            </w:pPr>
            <w:r>
              <w:t>Money market instrument</w:t>
            </w:r>
          </w:p>
        </w:tc>
        <w:tc>
          <w:tcPr>
            <w:cnfStyle w:evenVBand="false" w:oddVBand="true" w:firstColumn="false"/>
            <w:tcW w:w="25.000000%" w:type="pct"/>
          </w:tcPr>
          <w:p>
            <w:pPr>
              <w:ind w:leftChars="0" w:left="0" w:right="0"/>
            </w:pPr>
            <w:r>
              <w:t>Money market instrument</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HBRD</w:t>
            </w:r>
          </w:p>
        </w:tc>
        <w:tc>
          <w:tcPr>
            <w:cnfStyle w:evenVBand="true" w:oddVBand="false" w:firstColumn="false"/>
            <w:tcW w:w="25.000000%" w:type="pct"/>
          </w:tcPr>
          <w:p>
            <w:pPr>
              <w:ind w:leftChars="0" w:left="0" w:right="0"/>
            </w:pPr>
            <w:r>
              <w:t>Hybrid debt instrument</w:t>
            </w:r>
          </w:p>
        </w:tc>
        <w:tc>
          <w:tcPr>
            <w:cnfStyle w:evenVBand="false" w:oddVBand="true" w:firstColumn="false"/>
            <w:tcW w:w="25.000000%" w:type="pct"/>
          </w:tcPr>
          <w:p>
            <w:pPr>
              <w:ind w:leftChars="0" w:left="0" w:right="0"/>
            </w:pPr>
            <w:r>
              <w:t>Hybrid debt instrument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OTHR</w:t>
            </w:r>
          </w:p>
        </w:tc>
        <w:tc>
          <w:tcPr>
            <w:cnfStyle w:evenVBand="true" w:oddVBand="false" w:firstColumn="false"/>
            <w:tcW w:w="25.000000%" w:type="pct"/>
          </w:tcPr>
          <w:p>
            <w:pPr>
              <w:ind w:leftChars="0" w:left="0" w:right="0"/>
            </w:pPr>
            <w:r>
              <w:t>Other debt</w:t>
            </w:r>
          </w:p>
        </w:tc>
        <w:tc>
          <w:tcPr>
            <w:cnfStyle w:evenVBand="false" w:oddVBand="true" w:firstColumn="false"/>
            <w:tcW w:w="25.000000%" w:type="pct"/>
          </w:tcPr>
          <w:p>
            <w:pPr>
              <w:ind w:leftChars="0" w:left="0" w:right="0"/>
            </w:pPr>
            <w:r>
              <w:t>Other debt</w:t>
            </w:r>
          </w:p>
        </w:tc>
        <w:tc>
          <w:tcPr>
            <w:cnfStyle w:evenVBand="true" w:oddVBand="false" w:firstColumn="false"/>
            <w:tcW w:w="25.000000%" w:type="pct"/>
          </w:tcPr>
          <w:p>
            <w:pPr>
              <w:ind w:leftChars="0" w:left="0" w:right="0"/>
            </w:pPr>
            <w:r>
              <w:t>4</w:t>
            </w:r>
          </w:p>
        </w:tc>
      </w:tr>
    </w:tbl>
    <w:p>
      <w:pPr>
        <w:pStyle w:val="Table Bottom Margin"/>
      </w:pPr>
    </w:p>
    <w:bookmarkEnd w:id="336"/>
    <w:bookmarkEnd w:id="335"/>
    <w:bookmarkStart w:id="337" w:name="_f746396d7e26e610aa285f51a4f0abc8"/>
    <w:bookmarkStart w:id="338" w:name="_78299407db24b09540be5d5100016309"/>
    <w:p>
      <w:pPr>
        <w:pStyle w:val="Heading5"/>
        <w:keepNext/>
      </w:pPr>
      <w:r>
        <w:t>DEP_NTC</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w:t>
            </w:r>
          </w:p>
        </w:tc>
        <w:tc>
          <w:tcPr>
            <w:cnfStyle w:evenVBand="true" w:oddVBand="false" w:firstColumn="false"/>
            <w:tcW w:w="25.000000%" w:type="pct"/>
          </w:tcPr>
          <w:p>
            <w:pPr>
              <w:ind w:leftChars="0" w:left="0" w:right="0"/>
            </w:pPr>
            <w:r>
              <w:t>Less than one year</w:t>
            </w:r>
          </w:p>
        </w:tc>
        <w:tc>
          <w:tcPr>
            <w:cnfStyle w:evenVBand="false" w:oddVBand="true" w:firstColumn="false"/>
            <w:tcW w:w="25.000000%" w:type="pct"/>
          </w:tcPr>
          <w:p>
            <w:pPr>
              <w:ind w:leftChars="0" w:left="0" w:right="0"/>
            </w:pPr>
            <w:r>
              <w:t>Less than one year</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Over one year and up to and including two years</w:t>
            </w:r>
          </w:p>
        </w:tc>
        <w:tc>
          <w:tcPr>
            <w:cnfStyle w:evenVBand="false" w:oddVBand="true" w:firstColumn="false"/>
            <w:tcW w:w="25.000000%" w:type="pct"/>
          </w:tcPr>
          <w:p>
            <w:pPr>
              <w:ind w:leftChars="0" w:left="0" w:right="0"/>
            </w:pPr>
            <w:r>
              <w:t>Over one year and up to and including two years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L</w:t>
            </w:r>
          </w:p>
        </w:tc>
        <w:tc>
          <w:tcPr>
            <w:cnfStyle w:evenVBand="true" w:oddVBand="false" w:firstColumn="false"/>
            <w:tcW w:w="25.000000%" w:type="pct"/>
          </w:tcPr>
          <w:p>
            <w:pPr>
              <w:ind w:leftChars="0" w:left="0" w:right="0"/>
            </w:pPr>
            <w:r>
              <w:t>Over two years</w:t>
            </w:r>
          </w:p>
        </w:tc>
        <w:tc>
          <w:tcPr>
            <w:cnfStyle w:evenVBand="false" w:oddVBand="true" w:firstColumn="false"/>
            <w:tcW w:w="25.000000%" w:type="pct"/>
          </w:tcPr>
          <w:p>
            <w:pPr>
              <w:ind w:leftChars="0" w:left="0" w:right="0"/>
            </w:pPr>
            <w:r>
              <w:t>Over two years</w:t>
            </w:r>
          </w:p>
        </w:tc>
        <w:tc>
          <w:tcPr>
            <w:cnfStyle w:evenVBand="true" w:oddVBand="false" w:firstColumn="false"/>
            <w:tcW w:w="25.000000%" w:type="pct"/>
          </w:tcPr>
          <w:p>
            <w:pPr>
              <w:ind w:leftChars="0" w:left="0" w:right="0"/>
            </w:pPr>
            <w:r>
              <w:t>3</w:t>
            </w:r>
          </w:p>
        </w:tc>
      </w:tr>
    </w:tbl>
    <w:p>
      <w:pPr>
        <w:pStyle w:val="Table Bottom Margin"/>
      </w:pPr>
    </w:p>
    <w:bookmarkEnd w:id="338"/>
    <w:bookmarkEnd w:id="337"/>
    <w:bookmarkStart w:id="339" w:name="_e5b2df0da0ffe83d867c791b98596d83"/>
    <w:bookmarkStart w:id="340" w:name="_a69bfb15e013db349cbc7087f4471063"/>
    <w:p>
      <w:pPr>
        <w:pStyle w:val="Heading5"/>
        <w:keepNext/>
      </w:pPr>
      <w:r>
        <w:t>DEP_TYP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SIGHT</w:t>
            </w:r>
          </w:p>
        </w:tc>
        <w:tc>
          <w:tcPr>
            <w:cnfStyle w:evenVBand="true" w:oddVBand="false" w:firstColumn="false"/>
            <w:tcW w:w="25.000000%" w:type="pct"/>
          </w:tcPr>
          <w:p>
            <w:pPr>
              <w:ind w:leftChars="0" w:left="0" w:right="0"/>
            </w:pPr>
            <w:r>
              <w:t>Sight deposits (καταθέσεις όψεως)</w:t>
            </w:r>
          </w:p>
        </w:tc>
        <w:tc>
          <w:tcPr>
            <w:cnfStyle w:evenVBand="false" w:oddVBand="true" w:firstColumn="false"/>
            <w:tcW w:w="25.000000%" w:type="pct"/>
          </w:tcPr>
          <w:p>
            <w:pPr>
              <w:ind w:leftChars="0" w:left="480" w:right="0"/>
            </w:pPr>
            <w:r>
              <w:t>Sight deposits, as defined by Regulation ECB/2013/33, are convertible into currency and/or transferable on demand by cheque, banker’s order, debit entry or similar means, without significant delay (maximum by close of business on the following business day), restriction or penalty.</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AMAT</w:t>
            </w:r>
          </w:p>
        </w:tc>
        <w:tc>
          <w:tcPr>
            <w:cnfStyle w:evenVBand="true" w:oddVBand="false" w:firstColumn="false"/>
            <w:tcW w:w="25.000000%" w:type="pct"/>
          </w:tcPr>
          <w:p>
            <w:pPr>
              <w:ind w:leftChars="0" w:left="0" w:right="0"/>
            </w:pPr>
            <w:r>
              <w:t>Deposits with agreed maturity (καταθέσεις προθεσμίας)</w:t>
            </w:r>
          </w:p>
        </w:tc>
        <w:tc>
          <w:tcPr>
            <w:cnfStyle w:evenVBand="false" w:oddVBand="true" w:firstColumn="false"/>
            <w:tcW w:w="25.000000%" w:type="pct"/>
          </w:tcPr>
          <w:p>
            <w:pPr>
              <w:ind w:leftChars="0" w:left="480" w:right="0"/>
            </w:pPr>
            <w:r>
              <w:t>Deposits with agreed maturity (καταθέσεις προθεσμίας) are non-transferable deposits which cannot be withdrawn before an agreed fixed term, or that can be withdrawn only subject to a penalty.</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ANOT</w:t>
            </w:r>
          </w:p>
        </w:tc>
        <w:tc>
          <w:tcPr>
            <w:cnfStyle w:evenVBand="true" w:oddVBand="false" w:firstColumn="false"/>
            <w:tcW w:w="25.000000%" w:type="pct"/>
          </w:tcPr>
          <w:p>
            <w:pPr>
              <w:ind w:leftChars="0" w:left="0" w:right="0"/>
            </w:pPr>
            <w:r>
              <w:t>Deposits redeemable at notice (καταθέσεις με προειδοποίηση)</w:t>
            </w:r>
          </w:p>
        </w:tc>
        <w:tc>
          <w:tcPr>
            <w:cnfStyle w:evenVBand="false" w:oddVBand="true" w:firstColumn="false"/>
            <w:tcW w:w="25.000000%" w:type="pct"/>
          </w:tcPr>
          <w:p>
            <w:pPr>
              <w:ind w:leftChars="0" w:left="480" w:right="0"/>
            </w:pPr>
            <w:r>
              <w:t>Deposits redeemable at notice are non-transferable deposits, usually with no agreed maturity, but which may be withdrawn without penalty only after a period of notice.</w:t>
            </w:r>
          </w:p>
        </w:tc>
        <w:tc>
          <w:tcPr>
            <w:cnfStyle w:evenVBand="true" w:oddVBand="false" w:firstColumn="false"/>
            <w:tcW w:w="25.000000%" w:type="pct"/>
          </w:tcPr>
          <w:p>
            <w:pPr>
              <w:ind w:leftChars="0" w:left="0" w:right="0"/>
            </w:pPr>
            <w:r>
              <w:t>3</w:t>
            </w:r>
          </w:p>
        </w:tc>
      </w:tr>
    </w:tbl>
    <w:p>
      <w:pPr>
        <w:pStyle w:val="Table Bottom Margin"/>
      </w:pPr>
    </w:p>
    <w:bookmarkEnd w:id="340"/>
    <w:bookmarkEnd w:id="339"/>
    <w:bookmarkStart w:id="341" w:name="_86f576cd48119b017d22107bd1ee0d8c"/>
    <w:bookmarkStart w:id="342" w:name="_9d164a7f295bb15b6127771b39f57720"/>
    <w:p>
      <w:pPr>
        <w:pStyle w:val="Heading5"/>
        <w:keepNext/>
      </w:pPr>
      <w:r>
        <w:t>DRVTV_TYP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CAL</w:t>
            </w:r>
          </w:p>
        </w:tc>
        <w:tc>
          <w:tcPr>
            <w:cnfStyle w:evenVBand="true" w:oddVBand="false" w:firstColumn="false"/>
            <w:tcW w:w="25.000000%" w:type="pct"/>
          </w:tcPr>
          <w:p>
            <w:pPr>
              <w:ind w:leftChars="0" w:left="0" w:right="0"/>
            </w:pPr>
            <w:r>
              <w:t>Call option</w:t>
            </w:r>
          </w:p>
        </w:tc>
        <w:tc>
          <w:tcPr>
            <w:cnfStyle w:evenVBand="false" w:oddVBand="true" w:firstColumn="false"/>
            <w:tcW w:w="25.000000%" w:type="pct"/>
          </w:tcPr>
          <w:p>
            <w:pPr>
              <w:ind w:leftChars="0" w:left="0" w:right="0"/>
            </w:pPr>
            <w:r>
              <w:t>Call option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PUT</w:t>
            </w:r>
          </w:p>
        </w:tc>
        <w:tc>
          <w:tcPr>
            <w:cnfStyle w:evenVBand="true" w:oddVBand="false" w:firstColumn="false"/>
            <w:tcW w:w="25.000000%" w:type="pct"/>
          </w:tcPr>
          <w:p>
            <w:pPr>
              <w:ind w:leftChars="0" w:left="0" w:right="0"/>
            </w:pPr>
            <w:r>
              <w:t>Put option</w:t>
            </w:r>
          </w:p>
        </w:tc>
        <w:tc>
          <w:tcPr>
            <w:cnfStyle w:evenVBand="false" w:oddVBand="true" w:firstColumn="false"/>
            <w:tcW w:w="25.000000%" w:type="pct"/>
          </w:tcPr>
          <w:p>
            <w:pPr>
              <w:ind w:leftChars="0" w:left="0" w:right="0"/>
            </w:pPr>
            <w:r>
              <w:t>Put option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WAR</w:t>
            </w:r>
          </w:p>
        </w:tc>
        <w:tc>
          <w:tcPr>
            <w:cnfStyle w:evenVBand="true" w:oddVBand="false" w:firstColumn="false"/>
            <w:tcW w:w="25.000000%" w:type="pct"/>
          </w:tcPr>
          <w:p>
            <w:pPr>
              <w:ind w:leftChars="0" w:left="0" w:right="0"/>
            </w:pPr>
            <w:r>
              <w:t>Warrant</w:t>
            </w:r>
          </w:p>
        </w:tc>
        <w:tc>
          <w:tcPr>
            <w:cnfStyle w:evenVBand="false" w:oddVBand="true" w:firstColumn="false"/>
            <w:tcW w:w="25.000000%" w:type="pct"/>
          </w:tcPr>
          <w:p>
            <w:pPr>
              <w:ind w:leftChars="0" w:left="0" w:right="0"/>
            </w:pPr>
            <w:r>
              <w:t>Warrant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FUT</w:t>
            </w:r>
          </w:p>
        </w:tc>
        <w:tc>
          <w:tcPr>
            <w:cnfStyle w:evenVBand="true" w:oddVBand="false" w:firstColumn="false"/>
            <w:tcW w:w="25.000000%" w:type="pct"/>
          </w:tcPr>
          <w:p>
            <w:pPr>
              <w:ind w:leftChars="0" w:left="0" w:right="0"/>
            </w:pPr>
            <w:r>
              <w:t>Future</w:t>
            </w:r>
          </w:p>
        </w:tc>
        <w:tc>
          <w:tcPr>
            <w:cnfStyle w:evenVBand="false" w:oddVBand="true" w:firstColumn="false"/>
            <w:tcW w:w="25.000000%" w:type="pct"/>
          </w:tcPr>
          <w:p>
            <w:pPr>
              <w:ind w:leftChars="0" w:left="0" w:right="0"/>
            </w:pPr>
            <w:r>
              <w:t>Future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FOR</w:t>
            </w:r>
          </w:p>
        </w:tc>
        <w:tc>
          <w:tcPr>
            <w:cnfStyle w:evenVBand="true" w:oddVBand="false" w:firstColumn="false"/>
            <w:tcW w:w="25.000000%" w:type="pct"/>
          </w:tcPr>
          <w:p>
            <w:pPr>
              <w:ind w:leftChars="0" w:left="0" w:right="0"/>
            </w:pPr>
            <w:r>
              <w:t>Forward</w:t>
            </w:r>
          </w:p>
        </w:tc>
        <w:tc>
          <w:tcPr>
            <w:cnfStyle w:evenVBand="false" w:oddVBand="true" w:firstColumn="false"/>
            <w:tcW w:w="25.000000%" w:type="pct"/>
          </w:tcPr>
          <w:p>
            <w:pPr>
              <w:ind w:leftChars="0" w:left="0" w:right="0"/>
            </w:pPr>
            <w:r>
              <w:t>Forward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SWA</w:t>
            </w:r>
          </w:p>
        </w:tc>
        <w:tc>
          <w:tcPr>
            <w:cnfStyle w:evenVBand="true" w:oddVBand="false" w:firstColumn="false"/>
            <w:tcW w:w="25.000000%" w:type="pct"/>
          </w:tcPr>
          <w:p>
            <w:pPr>
              <w:ind w:leftChars="0" w:left="0" w:right="0"/>
            </w:pPr>
            <w:r>
              <w:t>Swap</w:t>
            </w:r>
          </w:p>
        </w:tc>
        <w:tc>
          <w:tcPr>
            <w:cnfStyle w:evenVBand="false" w:oddVBand="true" w:firstColumn="false"/>
            <w:tcW w:w="25.000000%" w:type="pct"/>
          </w:tcPr>
          <w:p>
            <w:pPr>
              <w:ind w:leftChars="0" w:left="0" w:right="0"/>
            </w:pPr>
            <w:r>
              <w:t>Swap</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EMC</w:t>
            </w:r>
          </w:p>
        </w:tc>
        <w:tc>
          <w:tcPr>
            <w:cnfStyle w:evenVBand="true" w:oddVBand="false" w:firstColumn="false"/>
            <w:tcW w:w="25.000000%" w:type="pct"/>
          </w:tcPr>
          <w:p>
            <w:pPr>
              <w:ind w:leftChars="0" w:left="0" w:right="0"/>
            </w:pPr>
            <w:r>
              <w:t>Employee stock call option</w:t>
            </w:r>
          </w:p>
        </w:tc>
        <w:tc>
          <w:tcPr>
            <w:cnfStyle w:evenVBand="false" w:oddVBand="true" w:firstColumn="false"/>
            <w:tcW w:w="25.000000%" w:type="pct"/>
          </w:tcPr>
          <w:p>
            <w:pPr>
              <w:ind w:leftChars="0" w:left="0" w:right="0"/>
            </w:pPr>
            <w:r>
              <w:t>Employee stock call option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derivative</w:t>
            </w:r>
          </w:p>
        </w:tc>
        <w:tc>
          <w:tcPr>
            <w:cnfStyle w:evenVBand="false" w:oddVBand="true" w:firstColumn="false"/>
            <w:tcW w:w="25.000000%" w:type="pct"/>
          </w:tcPr>
          <w:p>
            <w:pPr>
              <w:ind w:leftChars="0" w:left="0" w:right="0"/>
            </w:pPr>
            <w:r>
              <w:t>Other derivative</w:t>
            </w:r>
          </w:p>
        </w:tc>
        <w:tc>
          <w:tcPr>
            <w:cnfStyle w:evenVBand="true" w:oddVBand="false" w:firstColumn="false"/>
            <w:tcW w:w="25.000000%" w:type="pct"/>
          </w:tcPr>
          <w:p>
            <w:pPr>
              <w:ind w:leftChars="0" w:left="0" w:right="0"/>
            </w:pPr>
            <w:r>
              <w:t>8</w:t>
            </w:r>
          </w:p>
        </w:tc>
      </w:tr>
    </w:tbl>
    <w:p>
      <w:pPr>
        <w:pStyle w:val="Table Bottom Margin"/>
      </w:pPr>
    </w:p>
    <w:bookmarkEnd w:id="342"/>
    <w:bookmarkEnd w:id="341"/>
    <w:bookmarkStart w:id="343" w:name="_d3e077cc87713b10306e66d9d7407e77"/>
    <w:bookmarkStart w:id="344" w:name="_4a8cbb0df1cf24fd781f681247060edd"/>
    <w:p>
      <w:pPr>
        <w:pStyle w:val="Heading5"/>
        <w:keepNext/>
      </w:pPr>
      <w:r>
        <w:t>DVDND_CSTM_FRQNCY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AN</w:t>
            </w:r>
          </w:p>
        </w:tc>
        <w:tc>
          <w:tcPr>
            <w:cnfStyle w:evenVBand="true" w:oddVBand="false" w:firstColumn="false"/>
            <w:tcW w:w="25.000000%" w:type="pct"/>
          </w:tcPr>
          <w:p>
            <w:pPr>
              <w:ind w:leftChars="0" w:left="0" w:right="0"/>
            </w:pPr>
            <w:r>
              <w:t>Annual</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Semi-annual</w:t>
            </w:r>
          </w:p>
        </w:tc>
        <w:tc>
          <w:tcPr>
            <w:cnfStyle w:evenVBand="false" w:oddVBand="true" w:firstColumn="false"/>
            <w:tcW w:w="25.000000%" w:type="pct"/>
          </w:tcPr>
          <w:p>
            <w:pPr>
              <w:ind w:leftChars="0" w:left="0" w:right="0"/>
            </w:pPr>
            <w:r>
              <w:t>Semi-annual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QA</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Bi-monthly</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MO</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WE</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0" w:right="0"/>
            </w:pPr>
            <w:r>
              <w:t>Weekly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DA</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0" w:right="0"/>
            </w:pPr>
            <w:r>
              <w:t>Daily</w:t>
            </w:r>
          </w:p>
        </w:tc>
        <w:tc>
          <w:tcPr>
            <w:cnfStyle w:evenVBand="true" w:oddVBand="false" w:firstColumn="false"/>
            <w:tcW w:w="25.000000%" w:type="pct"/>
          </w:tcPr>
          <w:p>
            <w:pPr>
              <w:ind w:leftChars="0" w:left="0" w:right="0"/>
            </w:pPr>
            <w:r>
              <w:t>7</w:t>
            </w:r>
          </w:p>
        </w:tc>
      </w:tr>
    </w:tbl>
    <w:p>
      <w:pPr>
        <w:pStyle w:val="Table Bottom Margin"/>
      </w:pPr>
    </w:p>
    <w:bookmarkEnd w:id="344"/>
    <w:bookmarkEnd w:id="343"/>
    <w:bookmarkStart w:id="345" w:name="_2552303d50c2907dda403d423b6555fa"/>
    <w:bookmarkStart w:id="346" w:name="_791fd3210c191f31a9cb652e1c394a23"/>
    <w:p>
      <w:pPr>
        <w:pStyle w:val="Heading5"/>
        <w:keepNext/>
      </w:pPr>
      <w:r>
        <w:t>DVDND_TYP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10</w:t>
            </w:r>
          </w:p>
        </w:tc>
        <w:tc>
          <w:tcPr>
            <w:cnfStyle w:evenVBand="true" w:oddVBand="false" w:firstColumn="false"/>
            <w:tcW w:w="25.000000%" w:type="pct"/>
          </w:tcPr>
          <w:p>
            <w:pPr>
              <w:ind w:leftChars="0" w:left="0" w:right="0"/>
            </w:pPr>
            <w:r>
              <w:t>10</w:t>
            </w:r>
          </w:p>
        </w:tc>
        <w:tc>
          <w:tcPr>
            <w:cnfStyle w:evenVBand="false" w:oddVBand="true" w:firstColumn="false"/>
            <w:tcW w:w="25.000000%" w:type="pct"/>
          </w:tcPr>
          <w:p>
            <w:pPr>
              <w:ind w:leftChars="0" w:left="0" w:right="0"/>
            </w:pPr>
            <w:r>
              <w:t>Dividend amount paid in cash per share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20</w:t>
            </w:r>
          </w:p>
        </w:tc>
        <w:tc>
          <w:tcPr>
            <w:cnfStyle w:evenVBand="true" w:oddVBand="false" w:firstColumn="false"/>
            <w:tcW w:w="25.000000%" w:type="pct"/>
          </w:tcPr>
          <w:p>
            <w:pPr>
              <w:ind w:leftChars="0" w:left="0" w:right="0"/>
            </w:pPr>
            <w:r>
              <w:t>20</w:t>
            </w:r>
          </w:p>
        </w:tc>
        <w:tc>
          <w:tcPr>
            <w:cnfStyle w:evenVBand="false" w:oddVBand="true" w:firstColumn="false"/>
            <w:tcW w:w="25.000000%" w:type="pct"/>
          </w:tcPr>
          <w:p>
            <w:pPr>
              <w:ind w:leftChars="0" w:left="0" w:right="0"/>
            </w:pPr>
            <w:r>
              <w:t>Dividend amount paid in kind per share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11</w:t>
            </w:r>
          </w:p>
        </w:tc>
        <w:tc>
          <w:tcPr>
            <w:cnfStyle w:evenVBand="true" w:oddVBand="false" w:firstColumn="false"/>
            <w:tcW w:w="25.000000%" w:type="pct"/>
          </w:tcPr>
          <w:p>
            <w:pPr>
              <w:ind w:leftChars="0" w:left="0" w:right="0"/>
            </w:pPr>
            <w:r>
              <w:t>11</w:t>
            </w:r>
          </w:p>
        </w:tc>
        <w:tc>
          <w:tcPr>
            <w:cnfStyle w:evenVBand="false" w:oddVBand="true" w:firstColumn="false"/>
            <w:tcW w:w="25.000000%" w:type="pct"/>
          </w:tcPr>
          <w:p>
            <w:pPr>
              <w:ind w:leftChars="0" w:left="0" w:right="0"/>
            </w:pPr>
            <w:r>
              <w:t>Distributing income - Direct provision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12</w:t>
            </w:r>
          </w:p>
        </w:tc>
        <w:tc>
          <w:tcPr>
            <w:cnfStyle w:evenVBand="true" w:oddVBand="false" w:firstColumn="false"/>
            <w:tcW w:w="25.000000%" w:type="pct"/>
          </w:tcPr>
          <w:p>
            <w:pPr>
              <w:ind w:leftChars="0" w:left="0" w:right="0"/>
            </w:pPr>
            <w:r>
              <w:t>12</w:t>
            </w:r>
          </w:p>
        </w:tc>
        <w:tc>
          <w:tcPr>
            <w:cnfStyle w:evenVBand="false" w:oddVBand="true" w:firstColumn="false"/>
            <w:tcW w:w="25.000000%" w:type="pct"/>
          </w:tcPr>
          <w:p>
            <w:pPr>
              <w:ind w:leftChars="0" w:left="0" w:right="0"/>
            </w:pPr>
            <w:r>
              <w:t>Distributing income - Fund entity derivation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13</w:t>
            </w:r>
          </w:p>
        </w:tc>
        <w:tc>
          <w:tcPr>
            <w:cnfStyle w:evenVBand="true" w:oddVBand="false" w:firstColumn="false"/>
            <w:tcW w:w="25.000000%" w:type="pct"/>
          </w:tcPr>
          <w:p>
            <w:pPr>
              <w:ind w:leftChars="0" w:left="0" w:right="0"/>
            </w:pPr>
            <w:r>
              <w:t>13</w:t>
            </w:r>
          </w:p>
        </w:tc>
        <w:tc>
          <w:tcPr>
            <w:cnfStyle w:evenVBand="false" w:oddVBand="true" w:firstColumn="false"/>
            <w:tcW w:w="25.000000%" w:type="pct"/>
          </w:tcPr>
          <w:p>
            <w:pPr>
              <w:ind w:leftChars="0" w:left="0" w:right="0"/>
            </w:pPr>
            <w:r>
              <w:t>Distributing income - Benchmark derivation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21</w:t>
            </w:r>
          </w:p>
        </w:tc>
        <w:tc>
          <w:tcPr>
            <w:cnfStyle w:evenVBand="true" w:oddVBand="false" w:firstColumn="false"/>
            <w:tcW w:w="25.000000%" w:type="pct"/>
          </w:tcPr>
          <w:p>
            <w:pPr>
              <w:ind w:leftChars="0" w:left="0" w:right="0"/>
            </w:pPr>
            <w:r>
              <w:t>21</w:t>
            </w:r>
          </w:p>
        </w:tc>
        <w:tc>
          <w:tcPr>
            <w:cnfStyle w:evenVBand="false" w:oddVBand="true" w:firstColumn="false"/>
            <w:tcW w:w="25.000000%" w:type="pct"/>
          </w:tcPr>
          <w:p>
            <w:pPr>
              <w:ind w:leftChars="0" w:left="0" w:right="0"/>
            </w:pPr>
            <w:r>
              <w:t>Cumulative income - Direct provision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22</w:t>
            </w:r>
          </w:p>
        </w:tc>
        <w:tc>
          <w:tcPr>
            <w:cnfStyle w:evenVBand="true" w:oddVBand="false" w:firstColumn="false"/>
            <w:tcW w:w="25.000000%" w:type="pct"/>
          </w:tcPr>
          <w:p>
            <w:pPr>
              <w:ind w:leftChars="0" w:left="0" w:right="0"/>
            </w:pPr>
            <w:r>
              <w:t>22</w:t>
            </w:r>
          </w:p>
        </w:tc>
        <w:tc>
          <w:tcPr>
            <w:cnfStyle w:evenVBand="false" w:oddVBand="true" w:firstColumn="false"/>
            <w:tcW w:w="25.000000%" w:type="pct"/>
          </w:tcPr>
          <w:p>
            <w:pPr>
              <w:ind w:leftChars="0" w:left="0" w:right="0"/>
            </w:pPr>
            <w:r>
              <w:t>Cumulative income - Fund entity derivation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23</w:t>
            </w:r>
          </w:p>
        </w:tc>
        <w:tc>
          <w:tcPr>
            <w:cnfStyle w:evenVBand="true" w:oddVBand="false" w:firstColumn="false"/>
            <w:tcW w:w="25.000000%" w:type="pct"/>
          </w:tcPr>
          <w:p>
            <w:pPr>
              <w:ind w:leftChars="0" w:left="0" w:right="0"/>
            </w:pPr>
            <w:r>
              <w:t>23</w:t>
            </w:r>
          </w:p>
        </w:tc>
        <w:tc>
          <w:tcPr>
            <w:cnfStyle w:evenVBand="false" w:oddVBand="true" w:firstColumn="false"/>
            <w:tcW w:w="25.000000%" w:type="pct"/>
          </w:tcPr>
          <w:p>
            <w:pPr>
              <w:ind w:leftChars="0" w:left="0" w:right="0"/>
            </w:pPr>
            <w:r>
              <w:t>Cumulative income - Benchmark derivation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31</w:t>
            </w:r>
          </w:p>
        </w:tc>
        <w:tc>
          <w:tcPr>
            <w:cnfStyle w:evenVBand="true" w:oddVBand="false" w:firstColumn="false"/>
            <w:tcW w:w="25.000000%" w:type="pct"/>
          </w:tcPr>
          <w:p>
            <w:pPr>
              <w:ind w:leftChars="0" w:left="0" w:right="0"/>
            </w:pPr>
            <w:r>
              <w:t>31</w:t>
            </w:r>
          </w:p>
        </w:tc>
        <w:tc>
          <w:tcPr>
            <w:cnfStyle w:evenVBand="false" w:oddVBand="true" w:firstColumn="false"/>
            <w:tcW w:w="25.000000%" w:type="pct"/>
          </w:tcPr>
          <w:p>
            <w:pPr>
              <w:ind w:leftChars="0" w:left="0" w:right="0"/>
            </w:pPr>
            <w:r>
              <w:t>Mixed income - Direct provision</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32</w:t>
            </w:r>
          </w:p>
        </w:tc>
        <w:tc>
          <w:tcPr>
            <w:cnfStyle w:evenVBand="true" w:oddVBand="false" w:firstColumn="false"/>
            <w:tcW w:w="25.000000%" w:type="pct"/>
          </w:tcPr>
          <w:p>
            <w:pPr>
              <w:ind w:leftChars="0" w:left="0" w:right="0"/>
            </w:pPr>
            <w:r>
              <w:t>32</w:t>
            </w:r>
          </w:p>
        </w:tc>
        <w:tc>
          <w:tcPr>
            <w:cnfStyle w:evenVBand="false" w:oddVBand="true" w:firstColumn="false"/>
            <w:tcW w:w="25.000000%" w:type="pct"/>
          </w:tcPr>
          <w:p>
            <w:pPr>
              <w:ind w:leftChars="0" w:left="0" w:right="0"/>
            </w:pPr>
            <w:r>
              <w:t>Mixed income - Fund entity derivation</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33</w:t>
            </w:r>
          </w:p>
        </w:tc>
        <w:tc>
          <w:tcPr>
            <w:cnfStyle w:evenVBand="true" w:oddVBand="false" w:firstColumn="false"/>
            <w:tcW w:w="25.000000%" w:type="pct"/>
          </w:tcPr>
          <w:p>
            <w:pPr>
              <w:ind w:leftChars="0" w:left="0" w:right="0"/>
            </w:pPr>
            <w:r>
              <w:t>33</w:t>
            </w:r>
          </w:p>
        </w:tc>
        <w:tc>
          <w:tcPr>
            <w:cnfStyle w:evenVBand="false" w:oddVBand="true" w:firstColumn="false"/>
            <w:tcW w:w="25.000000%" w:type="pct"/>
          </w:tcPr>
          <w:p>
            <w:pPr>
              <w:ind w:leftChars="0" w:left="0" w:right="0"/>
            </w:pPr>
            <w:r>
              <w:t>Mixed income - Benchmark derivation</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91</w:t>
            </w:r>
          </w:p>
        </w:tc>
        <w:tc>
          <w:tcPr>
            <w:cnfStyle w:evenVBand="true" w:oddVBand="false" w:firstColumn="false"/>
            <w:tcW w:w="25.000000%" w:type="pct"/>
          </w:tcPr>
          <w:p>
            <w:pPr>
              <w:ind w:leftChars="0" w:left="0" w:right="0"/>
            </w:pPr>
            <w:r>
              <w:t>91</w:t>
            </w:r>
          </w:p>
        </w:tc>
        <w:tc>
          <w:tcPr>
            <w:cnfStyle w:evenVBand="false" w:oddVBand="true" w:firstColumn="false"/>
            <w:tcW w:w="25.000000%" w:type="pct"/>
          </w:tcPr>
          <w:p>
            <w:pPr>
              <w:ind w:leftChars="0" w:left="0" w:right="0"/>
            </w:pPr>
            <w:r>
              <w:t>No detailed information available - Direct provision</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92</w:t>
            </w:r>
          </w:p>
        </w:tc>
        <w:tc>
          <w:tcPr>
            <w:cnfStyle w:evenVBand="true" w:oddVBand="false" w:firstColumn="false"/>
            <w:tcW w:w="25.000000%" w:type="pct"/>
          </w:tcPr>
          <w:p>
            <w:pPr>
              <w:ind w:leftChars="0" w:left="0" w:right="0"/>
            </w:pPr>
            <w:r>
              <w:t>92</w:t>
            </w:r>
          </w:p>
        </w:tc>
        <w:tc>
          <w:tcPr>
            <w:cnfStyle w:evenVBand="false" w:oddVBand="true" w:firstColumn="false"/>
            <w:tcW w:w="25.000000%" w:type="pct"/>
          </w:tcPr>
          <w:p>
            <w:pPr>
              <w:ind w:leftChars="0" w:left="0" w:right="0"/>
            </w:pPr>
            <w:r>
              <w:t>No detailed information available - Fund entity derivation</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93</w:t>
            </w:r>
          </w:p>
        </w:tc>
        <w:tc>
          <w:tcPr>
            <w:cnfStyle w:evenVBand="true" w:oddVBand="false" w:firstColumn="false"/>
            <w:tcW w:w="25.000000%" w:type="pct"/>
          </w:tcPr>
          <w:p>
            <w:pPr>
              <w:ind w:leftChars="0" w:left="0" w:right="0"/>
            </w:pPr>
            <w:r>
              <w:t>93</w:t>
            </w:r>
          </w:p>
        </w:tc>
        <w:tc>
          <w:tcPr>
            <w:cnfStyle w:evenVBand="false" w:oddVBand="true" w:firstColumn="false"/>
            <w:tcW w:w="25.000000%" w:type="pct"/>
          </w:tcPr>
          <w:p>
            <w:pPr>
              <w:ind w:leftChars="0" w:left="0" w:right="0"/>
            </w:pPr>
            <w:r>
              <w:t>No detailed information available - Benchmark derivation</w:t>
            </w:r>
          </w:p>
        </w:tc>
        <w:tc>
          <w:tcPr>
            <w:cnfStyle w:evenVBand="true" w:oddVBand="false" w:firstColumn="false"/>
            <w:tcW w:w="25.000000%" w:type="pct"/>
          </w:tcPr>
          <w:p>
            <w:pPr>
              <w:ind w:leftChars="0" w:left="0" w:right="0"/>
            </w:pPr>
            <w:r>
              <w:t>14</w:t>
            </w:r>
          </w:p>
        </w:tc>
      </w:tr>
    </w:tbl>
    <w:p>
      <w:pPr>
        <w:pStyle w:val="Table Bottom Margin"/>
      </w:pPr>
    </w:p>
    <w:bookmarkEnd w:id="346"/>
    <w:bookmarkEnd w:id="345"/>
    <w:bookmarkStart w:id="347" w:name="_5c4002a51d1680aa595818b6e918f105"/>
    <w:bookmarkStart w:id="348" w:name="_a1a3f855c47acf9c1fbb0aef7464d796"/>
    <w:p>
      <w:pPr>
        <w:pStyle w:val="Heading5"/>
        <w:keepNext/>
      </w:pPr>
      <w:r>
        <w:t>ESA_SECTOR</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S11</w:t>
            </w:r>
          </w:p>
        </w:tc>
        <w:tc>
          <w:tcPr>
            <w:cnfStyle w:evenVBand="true" w:oddVBand="false" w:firstColumn="false"/>
            <w:tcW w:w="25.000000%" w:type="pct"/>
          </w:tcPr>
          <w:p>
            <w:pPr>
              <w:ind w:leftChars="0" w:left="0" w:right="0"/>
            </w:pPr>
            <w:r>
              <w:t>Μη χρηματοοικονομικές εταιρείες</w:t>
            </w:r>
          </w:p>
        </w:tc>
        <w:tc>
          <w:tcPr>
            <w:cnfStyle w:evenVBand="false" w:oddVBand="true" w:firstColumn="false"/>
            <w:tcW w:w="25.000000%" w:type="pct"/>
          </w:tcPr>
          <w:p>
            <w:pPr>
              <w:ind w:leftChars="0" w:left="0" w:right="0"/>
            </w:pPr>
            <w:r>
              <w:t>Περιλαμβάνεςι τις θεσμικές μονάδες που είναι ανεξάρτητες νομικές οντότητες και παραγωγοί εμπορεύσιμου προϊόντος, και των οποίων η κύρια δραστηριότητα συνίσταται στην παραγωγή αγαθών και μη χρηματοοικονομικών υπηρεσιών (ΕΣΛ 2010, παράγραφοι 2.45 έως 2.50).</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S121</w:t>
            </w:r>
          </w:p>
        </w:tc>
        <w:tc>
          <w:tcPr>
            <w:cnfStyle w:evenVBand="true" w:oddVBand="false" w:firstColumn="false"/>
            <w:tcW w:w="25.000000%" w:type="pct"/>
          </w:tcPr>
          <w:p>
            <w:pPr>
              <w:ind w:leftChars="0" w:left="0" w:right="0"/>
            </w:pPr>
            <w:r>
              <w:t>Κεντρική Τράπεζα</w:t>
            </w:r>
          </w:p>
        </w:tc>
        <w:tc>
          <w:tcPr>
            <w:cnfStyle w:evenVBand="false" w:oddVBand="true" w:firstColumn="false"/>
            <w:tcW w:w="25.000000%" w:type="pct"/>
          </w:tcPr>
          <w:p>
            <w:pPr>
              <w:ind w:leftChars="0" w:left="0" w:right="0"/>
            </w:pPr>
            <w:r>
              <w:t>Περιλαμβάνει όλες τις χρηματοοικονομικές εταιρείες και οιονεί εταιρείες, κύρια λειτουργία των οποίων είναι η έκδοση νομίσματος, η διατήρηση της εσωτερικής και εξωτερικής αξίας του νομίσματος και η τήρηση του συνόλου ή μέρους των διεθνών (συναλλαγματικών) αποθεμάτων της χώρας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S122</w:t>
            </w:r>
          </w:p>
        </w:tc>
        <w:tc>
          <w:tcPr>
            <w:cnfStyle w:evenVBand="true" w:oddVBand="false" w:firstColumn="false"/>
            <w:tcW w:w="25.000000%" w:type="pct"/>
          </w:tcPr>
          <w:p>
            <w:pPr>
              <w:ind w:leftChars="0" w:left="0" w:right="0"/>
            </w:pPr>
            <w:r>
              <w:t>Εταιρείες ποου δέχονται καταθέσεις, εκτός από τις κεντρικές τράπεζες</w:t>
            </w:r>
          </w:p>
        </w:tc>
        <w:tc>
          <w:tcPr>
            <w:cnfStyle w:evenVBand="false" w:oddVBand="true" w:firstColumn="false"/>
            <w:tcW w:w="25.000000%" w:type="pct"/>
          </w:tcPr>
          <w:p>
            <w:pPr>
              <w:ind w:leftChars="0" w:left="0" w:right="0"/>
            </w:pPr>
            <w:r>
              <w:t>Περιλαμβάνει οποιεσδήποτε από τις ακόλουθες οντότητες: α) πιστωτικά ιδρύματα που ασκούν δραστηριότητα κατά τις αναφορές του άρθρου 4 παράγραφος 1 σημείο 1) στοιχείο α) του κανονισμού (ΕΕ) αριθ. 575/2013, β) χρηματοπιστωτικά ιδρύματα εκτός εκείνων του ως άνω στοιχείου α), τα οποία δραστηριοποιούνται κατά κύριο λόγο στη χρηματοοικονομική διαμεσολάβηση κατά τις αναφορές της παραγράφου 2.56 του παραρτήματος A του κανονισμού (ΕΕ) αριθ. 549/2013 του Ευρωπαϊκού Κοινοβουλίου και του Συμβουλίου (11) και των οποίων η δραστηριότητα συνίσταται στην αποδοχή καταθέσεων ή/και συγγενών υποκατάστατων καταθέσεων κατά τις αναφορές του πρώτου μέρους του παραρτήματος I από θεσμικές μονάδες, περιλαμβανομένων των πιστωτικών ιδρυμάτων που δεν αποτελούν ΝΧΙ, και στη χορήγηση δανείων ή/και πραγματοποίηση επενδύσεων σε τίτλους για ίδιο λογαριασμό• γ) ιδρύματα ηλεκτρονικού χρήματος που δραστηριοποιούνται κατά κύριο λόγο στη χρηματοοικονομική διαμεσολάβηση κατά τις αναφορές του ως άνω στοιχείου β) υπό τη μορφή της έκδοσης ηλεκτρονικού χρήματος.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S123</w:t>
            </w:r>
          </w:p>
        </w:tc>
        <w:tc>
          <w:tcPr>
            <w:cnfStyle w:evenVBand="true" w:oddVBand="false" w:firstColumn="false"/>
            <w:tcW w:w="25.000000%" w:type="pct"/>
          </w:tcPr>
          <w:p>
            <w:pPr>
              <w:ind w:leftChars="0" w:left="0" w:right="0"/>
            </w:pPr>
            <w:r>
              <w:t>Αμοιβαία κεφάλαια χρηματαγοράς</w:t>
            </w:r>
          </w:p>
        </w:tc>
        <w:tc>
          <w:tcPr>
            <w:cnfStyle w:evenVBand="false" w:oddVBand="true" w:firstColumn="false"/>
            <w:tcW w:w="25.000000%" w:type="pct"/>
          </w:tcPr>
          <w:p>
            <w:pPr>
              <w:ind w:leftChars="0" w:left="0" w:right="0"/>
            </w:pPr>
            <w:r>
              <w:t>Περιλαμβάνει τους οργανισμούς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S124</w:t>
            </w:r>
          </w:p>
        </w:tc>
        <w:tc>
          <w:tcPr>
            <w:cnfStyle w:evenVBand="true" w:oddVBand="false" w:firstColumn="false"/>
            <w:tcW w:w="25.000000%" w:type="pct"/>
          </w:tcPr>
          <w:p>
            <w:pPr>
              <w:ind w:leftChars="0" w:left="0" w:right="0"/>
            </w:pPr>
            <w:r>
              <w:t>Επενδυτικοί οργανισμοί</w:t>
            </w:r>
          </w:p>
        </w:tc>
        <w:tc>
          <w:tcPr>
            <w:cnfStyle w:evenVBand="false" w:oddVBand="true" w:firstColumn="false"/>
            <w:tcW w:w="25.000000%" w:type="pct"/>
          </w:tcPr>
          <w:p>
            <w:pPr>
              <w:ind w:leftChars="0" w:left="0" w:right="0"/>
            </w:pPr>
            <w:r>
              <w:t>Περιλαμβάνει τους επενδυτικούς οργανισμούς, όπως ορίζονται στο άρθρο 2 του ΕΕ 2024/17.</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S125</w:t>
            </w:r>
          </w:p>
        </w:tc>
        <w:tc>
          <w:tcPr>
            <w:cnfStyle w:evenVBand="true" w:oddVBand="false" w:firstColumn="false"/>
            <w:tcW w:w="25.000000%" w:type="pct"/>
          </w:tcPr>
          <w:p>
            <w:pPr>
              <w:ind w:leftChars="0" w:left="0" w:right="0"/>
            </w:pPr>
            <w:r>
              <w:t>Λοιποί ενδιάμεσοι χρηματοοικονομικοί οργανισμοί, εκτός από τις ασφαλιστικές εταιρείες και τα συνταξιοδοτικά ταμεία</w:t>
            </w:r>
          </w:p>
        </w:tc>
        <w:tc>
          <w:tcPr>
            <w:cnfStyle w:evenVBand="false" w:oddVBand="true" w:firstColumn="false"/>
            <w:tcW w:w="25.000000%" w:type="pct"/>
          </w:tcPr>
          <w:p>
            <w:pPr>
              <w:ind w:leftChars="0" w:left="0" w:right="0"/>
            </w:pPr>
            <w:r>
              <w:t>Περιλαμβάνει όλες τις χρηματοοικονομικές εταιρείες οι οποίες έχουν ως κύρια δραστηριότητα τη χρηματοοικονομική διαμεσολάβηση μέσω της σύναψης υποχρεώσεων υπό μορφή διαφορετική από το νόμισμα, τις καταθέσεις (ή παραπλήσια υποκατάστατα καταθέσεων), ή τις μετοχές ΕΟ (ΕΣΛ 2010, παράγραφοι 2.86 έως 2.94).</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S126</w:t>
            </w:r>
          </w:p>
        </w:tc>
        <w:tc>
          <w:tcPr>
            <w:cnfStyle w:evenVBand="true" w:oddVBand="false" w:firstColumn="false"/>
            <w:tcW w:w="25.000000%" w:type="pct"/>
          </w:tcPr>
          <w:p>
            <w:pPr>
              <w:ind w:leftChars="0" w:left="0" w:right="0"/>
            </w:pPr>
            <w:r>
              <w:t>Επικουρικοί χρηματοοικονομικοί οργανισμοί και φορείς</w:t>
            </w:r>
          </w:p>
        </w:tc>
        <w:tc>
          <w:tcPr>
            <w:cnfStyle w:evenVBand="false" w:oddVBand="true" w:firstColumn="false"/>
            <w:tcW w:w="25.000000%" w:type="pct"/>
          </w:tcPr>
          <w:p>
            <w:pPr>
              <w:ind w:leftChars="0" w:left="0" w:right="0"/>
            </w:pPr>
            <w:r>
              <w:t>Περιλαμβάνει όλες τις χρηματοοικονομικές εταιρείες οι οποίες ασχολούνται κατά κύριο λόγο με δραστηριότητες που συνδέονται στενά με τη χρηματοοικονομική διαμεσολάβηση, χωρίς όμως να είναι ενδιάμεσοι χρηματοοικονομικοί οργανισμοί. Ο παρών υποτομέας περιλαμβάνει επίσης τα κεντρικά γραφεία των οποίων όλες οι θυγατρικές ή οι περισσότερες απ’ αυτές είναι χρηματοοικονομικές εταιρείες (ΕΣΛ 2010, παράγραφοι 2.95 έως 2.97).</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S127</w:t>
            </w:r>
          </w:p>
        </w:tc>
        <w:tc>
          <w:tcPr>
            <w:cnfStyle w:evenVBand="true" w:oddVBand="false" w:firstColumn="false"/>
            <w:tcW w:w="25.000000%" w:type="pct"/>
          </w:tcPr>
          <w:p>
            <w:pPr>
              <w:ind w:leftChars="0" w:left="0" w:right="0"/>
            </w:pPr>
            <w:r>
              <w:t>Θυγατρικοί χρηματοοικονομικοί οργανισμοί και δανειστές χρημάτων</w:t>
            </w:r>
          </w:p>
        </w:tc>
        <w:tc>
          <w:tcPr>
            <w:cnfStyle w:evenVBand="false" w:oddVBand="true" w:firstColumn="false"/>
            <w:tcW w:w="25.000000%" w:type="pct"/>
          </w:tcPr>
          <w:p>
            <w:pPr>
              <w:ind w:leftChars="0" w:left="0" w:right="0"/>
            </w:pPr>
            <w:r>
              <w:t>Περιλαμβάνει το σύνολο των χρηματοοικονομικών εταιρειών που δεν ασχολούνται με τη χρηματοοικονομική διαμεσολάβηση ούτε με την παροχή επικουρικών χρηματοοικονομικών υπηρεσιών και των οποίων το μεγαλύτερο μέρος είτε των στοιχείων του ενεργητικού ή του παθητικού δεν αποτελεί αντικείμενο συναλλαγής στις ανοιχτές αγορές. Ο παρών υποτομέας περιλαμβάνει εταιρείες χαρτοφυλακίου που έχουν στην κυριότητά τους πάνω από το 50 % του μετοχικού κεφαλαίου μιας ομάδας θυγατρικών εταιρειών και των οποίων η βασική δραστηριότητα έγκειται στο να έχουν την ομάδα στην κυριότητά τους, χωρίς να παρέχουν οιαδήποτε άλλη υπηρεσία στις επιχειρήσεις στις οποίες ανήκει το μετοχικό κεφάλαιο, δηλαδή ούτε διοικούν ούτε διαχειρίζονται άλλες μονάδες (ΕΣΛ 2010, παράγραφοι 2.98 έως 2.99).</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S128</w:t>
            </w:r>
          </w:p>
        </w:tc>
        <w:tc>
          <w:tcPr>
            <w:cnfStyle w:evenVBand="true" w:oddVBand="false" w:firstColumn="false"/>
            <w:tcW w:w="25.000000%" w:type="pct"/>
          </w:tcPr>
          <w:p>
            <w:pPr>
              <w:ind w:leftChars="0" w:left="0" w:right="0"/>
            </w:pPr>
            <w:r>
              <w:t>Ασφαλιστικές εταιρείες</w:t>
            </w:r>
          </w:p>
        </w:tc>
        <w:tc>
          <w:tcPr>
            <w:cnfStyle w:evenVBand="false" w:oddVBand="true" w:firstColumn="false"/>
            <w:tcW w:w="25.000000%" w:type="pct"/>
          </w:tcPr>
          <w:p>
            <w:pPr>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κυρίως υπό τη μορφή της άμεσης ασφάλισης ή της αντασφάλισης (ΕΣΛ 2010, παράγραφοι 2.100 έως 2.104).</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S129</w:t>
            </w:r>
          </w:p>
        </w:tc>
        <w:tc>
          <w:tcPr>
            <w:cnfStyle w:evenVBand="true" w:oddVBand="false" w:firstColumn="false"/>
            <w:tcW w:w="25.000000%" w:type="pct"/>
          </w:tcPr>
          <w:p>
            <w:pPr>
              <w:ind w:leftChars="0" w:left="0" w:right="0"/>
            </w:pPr>
            <w:r>
              <w:t>Συνταξιοδοτικά ταμεία</w:t>
            </w:r>
          </w:p>
        </w:tc>
        <w:tc>
          <w:tcPr>
            <w:cnfStyle w:evenVBand="false" w:oddVBand="true" w:firstColumn="false"/>
            <w:tcW w:w="25.000000%" w:type="pct"/>
          </w:tcPr>
          <w:p>
            <w:pPr>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και των αναγκών των ασφαλισμένων (κοινωνική ασφάλιση). Τα συνταξιοδοτικά ταμεία ως συστήματα κοινωνικής ασφάλισης παρέχουν εισόδημα κατά τη συνταξιοδότηση και, πολλές φορές, επιδόματα θανάτου και αναπηρίας (ΕΣΛ 2010, παράγραφοι 2.105 έως 2.110).</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S1311</w:t>
            </w:r>
          </w:p>
        </w:tc>
        <w:tc>
          <w:tcPr>
            <w:cnfStyle w:evenVBand="true" w:oddVBand="false" w:firstColumn="false"/>
            <w:tcW w:w="25.000000%" w:type="pct"/>
          </w:tcPr>
          <w:p>
            <w:pPr>
              <w:ind w:leftChars="0" w:left="0" w:right="0"/>
            </w:pPr>
            <w:r>
              <w:t>Κεντρική κυβέρνηση</w:t>
            </w:r>
          </w:p>
        </w:tc>
        <w:tc>
          <w:tcPr>
            <w:cnfStyle w:evenVBand="false" w:oddVBand="true" w:firstColumn="false"/>
            <w:tcW w:w="25.000000%" w:type="pct"/>
          </w:tcPr>
          <w:p>
            <w:pPr>
              <w:ind w:leftChars="0" w:left="0" w:right="0"/>
            </w:pPr>
            <w:r>
              <w:t>Περιλαμβάνει όλες τις διοικητικές υπηρεσίες του κράτους και τους λοιπούς κεντρικούς φορείς, η αρμοδιότητα των οποίων εκτείνεται κατά κανόνα σε όλη την οικονομική επικράτεια, εκτός από τη διοίκηση των οργανισμών κοινωνικής ασφάλισης (ΕΣΛ 2010, παράγραφος 2.114). Για τους σκοπούς του παρόντος κανονισμού, η κεντρική κυβέρνηση περιλαμβάνει επίσης όργανα και οργανισμούς της Ένωσης που ταξινομούνται στον τομέα της γενικής κυβέρνησης. Ο υποτομέας συνταξιοδοτικά ταμεία περιλαμβάνει όλες τις</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S1312</w:t>
            </w:r>
          </w:p>
        </w:tc>
        <w:tc>
          <w:tcPr>
            <w:cnfStyle w:evenVBand="true" w:oddVBand="false" w:firstColumn="false"/>
            <w:tcW w:w="25.000000%" w:type="pct"/>
          </w:tcPr>
          <w:p>
            <w:pPr>
              <w:ind w:leftChars="0" w:left="0" w:right="0"/>
            </w:pPr>
            <w:r>
              <w:t>κυβέρνηση ομόσπονδου κράτους</w:t>
            </w:r>
          </w:p>
        </w:tc>
        <w:tc>
          <w:tcPr>
            <w:cnfStyle w:evenVBand="false" w:oddVBand="true" w:firstColumn="false"/>
            <w:tcW w:w="25.000000%" w:type="pct"/>
          </w:tcPr>
          <w:p>
            <w:pPr>
              <w:ind w:leftChars="0" w:left="0" w:right="0"/>
            </w:pPr>
            <w:r>
              <w:t>Ο υποτομέας αυτός 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S1313</w:t>
            </w:r>
          </w:p>
        </w:tc>
        <w:tc>
          <w:tcPr>
            <w:cnfStyle w:evenVBand="true" w:oddVBand="false" w:firstColumn="false"/>
            <w:tcW w:w="25.000000%" w:type="pct"/>
          </w:tcPr>
          <w:p>
            <w:pPr>
              <w:ind w:leftChars="0" w:left="0" w:right="0"/>
            </w:pPr>
            <w:r>
              <w:t>Τοπική αυτοδιοίκηση</w:t>
            </w:r>
          </w:p>
        </w:tc>
        <w:tc>
          <w:tcPr>
            <w:cnfStyle w:evenVBand="false" w:oddVBand="true" w:firstColumn="false"/>
            <w:tcW w:w="25.000000%" w:type="pct"/>
          </w:tcPr>
          <w:p>
            <w:pPr>
              <w:ind w:leftChars="0" w:left="0" w:right="0"/>
            </w:pPr>
            <w:r>
              <w:t>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S1314</w:t>
            </w:r>
          </w:p>
        </w:tc>
        <w:tc>
          <w:tcPr>
            <w:cnfStyle w:evenVBand="true" w:oddVBand="false" w:firstColumn="false"/>
            <w:tcW w:w="25.000000%" w:type="pct"/>
          </w:tcPr>
          <w:p>
            <w:pPr>
              <w:ind w:leftChars="0" w:left="0" w:right="0"/>
            </w:pPr>
            <w:r>
              <w:t>Οργανισμοί κοινωνικής ασφάλισης</w:t>
            </w:r>
          </w:p>
        </w:tc>
        <w:tc>
          <w:tcPr>
            <w:cnfStyle w:evenVBand="false" w:oddVBand="true" w:firstColumn="false"/>
            <w:tcW w:w="25.000000%" w:type="pct"/>
          </w:tcPr>
          <w:p>
            <w:pPr>
              <w:ind w:leftChars="0" w:left="0" w:right="0"/>
            </w:pPr>
            <w:r>
              <w:t>Περιλαμβάνει όλες τις θεσμικές μονάδες (κεντρικές, ομόσπονδων κρατών και τοπικές), η κύρια δραστηριότητα των οποίων είναι να προσφέρουν κοινωνικές παροχές και οι οποίες πληρούν και τα δύο παρακάτω κριτήρια: α) με νόμο ή με κανονιστική ρύθμιση ορισμένες ομάδες πληθυσμού υποχρεώνονται να συμμετέχουν στο σύστημα ή να καταβάλλουν εισφορές· και β) η γενική κυβέρνηση είναι υπεύθυνη για τη διαχείριση του οργανισμού, όσον αφορά τον καθορισμό ή την έγκριση των εισφορών και των παροχών, ανεξάρτητα από τον ρόλο της ως εποπτικού φορέα ή εργοδότη. Συνήθως δεν υπάρχει άμεση σχέση μεταξύ του ύψους των εισφορών που καταβάλλει ένα άτομο και του κινδύνου στον οποίο αυτό το άτομο εκτίθεται (ΕΣΛ 2010, παράγραφος 2.117).</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S14</w:t>
            </w:r>
          </w:p>
        </w:tc>
        <w:tc>
          <w:tcPr>
            <w:cnfStyle w:evenVBand="true" w:oddVBand="false" w:firstColumn="false"/>
            <w:tcW w:w="25.000000%" w:type="pct"/>
          </w:tcPr>
          <w:p>
            <w:pPr>
              <w:ind w:leftChars="0" w:left="0" w:right="0"/>
            </w:pPr>
            <w:r>
              <w:t>Νοικοκυριά</w:t>
            </w:r>
          </w:p>
        </w:tc>
        <w:tc>
          <w:tcPr>
            <w:cnfStyle w:evenVBand="false" w:oddVBand="true" w:firstColumn="false"/>
            <w:tcW w:w="25.000000%" w:type="pct"/>
          </w:tcPr>
          <w:p>
            <w:pPr>
              <w:ind w:leftChars="0" w:left="0" w:right="0"/>
            </w:pPr>
            <w:r>
              <w:t>Περιλαμβάνει φυσικά πρόσωπα (ΕΣΛ 2010, παράγραφοι 2.118 έως 2.128).</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S15</w:t>
            </w:r>
          </w:p>
        </w:tc>
        <w:tc>
          <w:tcPr>
            <w:cnfStyle w:evenVBand="true" w:oddVBand="false" w:firstColumn="false"/>
            <w:tcW w:w="25.000000%" w:type="pct"/>
          </w:tcPr>
          <w:p>
            <w:pPr>
              <w:ind w:leftChars="0" w:left="0" w:right="0"/>
            </w:pPr>
            <w:r>
              <w:t>Μη κερδοσκοπικά ιδρύματα που εξυπηρετούν νοικοκυριά</w:t>
            </w:r>
          </w:p>
        </w:tc>
        <w:tc>
          <w:tcPr>
            <w:cnfStyle w:evenVBand="false" w:oddVBand="true" w:firstColumn="false"/>
            <w:tcW w:w="25.000000%" w:type="pct"/>
          </w:tcPr>
          <w:p>
            <w:pPr>
              <w:ind w:leftChars="0" w:left="0" w:right="0"/>
            </w:pPr>
            <w:r>
              <w:t>Ο τομέας των μη κερδοσκοπικών ιδρυμάτων που εξυπηρετούν νοικοκυριά (ΜΚΙΕΝ) αποτελείται από μη κερδοσκοπικά ιδρύματα τα οποία είναι χωριστές νομικές οντότητες, εξυπηρετούν νοικοκυριά και είναι ιδιωτικοί παραγωγοί μη εμπορεύσιμου προϊόντος. Οι κύριοι πόροι τους προέρχονται από προαιρετικές εισφορές σε χρήμα ή σε είδος νοικοκυριών υπό την ιδιότητά τους ως καταναλωτών, από πληρωμές εκ μέρους της γενικής κυβέρνησης, καθώς και από εισόδημα περιουσίας (ΕΣΛ 2010, παράγραφοι 2.129 έως 2.130).</w:t>
            </w:r>
          </w:p>
        </w:tc>
        <w:tc>
          <w:tcPr>
            <w:cnfStyle w:evenVBand="true" w:oddVBand="false" w:firstColumn="false"/>
            <w:tcW w:w="25.000000%" w:type="pct"/>
          </w:tcPr>
          <w:p>
            <w:pPr>
              <w:ind w:leftChars="0" w:left="0" w:right="0"/>
            </w:pPr>
            <w:r>
              <w:t>16</w:t>
            </w:r>
          </w:p>
        </w:tc>
      </w:tr>
    </w:tbl>
    <w:p>
      <w:pPr>
        <w:pStyle w:val="Table Bottom Margin"/>
      </w:pPr>
    </w:p>
    <w:bookmarkEnd w:id="348"/>
    <w:bookmarkEnd w:id="347"/>
    <w:bookmarkStart w:id="349" w:name="_6d9338b7305c3e1f15e50d3c4423448b"/>
    <w:bookmarkStart w:id="350" w:name="_9dac44b5c5a24652f465d47a45ef9e6c"/>
    <w:p>
      <w:pPr>
        <w:pStyle w:val="Heading5"/>
        <w:keepNext/>
      </w:pPr>
      <w:r>
        <w:t>FND_BND_FCS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COR</w:t>
            </w:r>
          </w:p>
        </w:tc>
        <w:tc>
          <w:tcPr>
            <w:cnfStyle w:evenVBand="true" w:oddVBand="false" w:firstColumn="false"/>
            <w:tcW w:w="25.000000%" w:type="pct"/>
          </w:tcPr>
          <w:p>
            <w:pPr>
              <w:ind w:leftChars="0" w:left="0" w:right="0"/>
            </w:pPr>
            <w:r>
              <w:t>Εταιρικό ομόλογο</w:t>
            </w:r>
          </w:p>
        </w:tc>
        <w:tc>
          <w:tcPr>
            <w:cnfStyle w:evenVBand="false" w:oddVBand="true" w:firstColumn="false"/>
            <w:tcW w:w="25.000000%" w:type="pct"/>
          </w:tcPr>
          <w:p>
            <w:pPr>
              <w:ind w:leftChars="0" w:left="480" w:right="0"/>
            </w:pPr>
            <w:r>
              <w:t>Τα εταιρικά ομόλογα (corporate bond funds) κατά κύριο λόγο (άνω του 50 %) επενδύουν σε χρεόγραφα έκδοσης χρηματοοικονομικών και μη χρηματοοικονομικών εταιρειών.</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GOV</w:t>
            </w:r>
          </w:p>
        </w:tc>
        <w:tc>
          <w:tcPr>
            <w:cnfStyle w:evenVBand="true" w:oddVBand="false" w:firstColumn="false"/>
            <w:tcW w:w="25.000000%" w:type="pct"/>
          </w:tcPr>
          <w:p>
            <w:pPr>
              <w:ind w:leftChars="0" w:left="0" w:right="0"/>
            </w:pPr>
            <w:r>
              <w:t>Κρατικό ομόλογο</w:t>
            </w:r>
          </w:p>
        </w:tc>
        <w:tc>
          <w:tcPr>
            <w:cnfStyle w:evenVBand="false" w:oddVBand="true" w:firstColumn="false"/>
            <w:tcW w:w="25.000000%" w:type="pct"/>
          </w:tcPr>
          <w:p>
            <w:pPr>
              <w:ind w:leftChars="0" w:left="480" w:right="0"/>
            </w:pPr>
            <w:r>
              <w:t>Τα κρατικά ομόλογα (government bond funds) κατά κύριο λόγο (άνω του 50 %) επενδύουν σε χρεόγραφα έκδοσης κυβερνήσεων.</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Μεικτό εταιρικό ομόλογο / κρατικό ομόλογο</w:t>
            </w:r>
          </w:p>
        </w:tc>
        <w:tc>
          <w:tcPr>
            <w:cnfStyle w:evenVBand="false" w:oddVBand="true" w:firstColumn="false"/>
            <w:tcW w:w="25.000000%" w:type="pct"/>
          </w:tcPr>
          <w:p>
            <w:pPr>
              <w:ind w:leftChars="0" w:left="480" w:right="0"/>
            </w:pPr>
            <w:r>
              <w:t>Bond funds that invest in both government and corporate bonds with no prevailing policy in favour of one or the other.</w:t>
            </w:r>
          </w:p>
        </w:tc>
        <w:tc>
          <w:tcPr>
            <w:cnfStyle w:evenVBand="true" w:oddVBand="false" w:firstColumn="false"/>
            <w:tcW w:w="25.000000%" w:type="pct"/>
          </w:tcPr>
          <w:p>
            <w:pPr>
              <w:ind w:leftChars="0" w:left="0" w:right="0"/>
            </w:pPr>
            <w:r>
              <w:t>3</w:t>
            </w:r>
          </w:p>
        </w:tc>
      </w:tr>
    </w:tbl>
    <w:p>
      <w:pPr>
        <w:pStyle w:val="Table Bottom Margin"/>
      </w:pPr>
    </w:p>
    <w:bookmarkEnd w:id="350"/>
    <w:bookmarkEnd w:id="349"/>
    <w:bookmarkStart w:id="351" w:name="_0108603fe11e1777ff45ce74e6ef3f1c"/>
    <w:bookmarkStart w:id="352" w:name="_d9a21c6f0c04d9ca3756e86bf29d6576"/>
    <w:p>
      <w:pPr>
        <w:pStyle w:val="Heading5"/>
        <w:keepNext/>
      </w:pPr>
      <w:r>
        <w:t>FND_DSTRBTN_PLCY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DIS</w:t>
            </w:r>
          </w:p>
        </w:tc>
        <w:tc>
          <w:tcPr>
            <w:cnfStyle w:evenVBand="true" w:oddVBand="false" w:firstColumn="false"/>
            <w:tcW w:w="25.000000%" w:type="pct"/>
          </w:tcPr>
          <w:p>
            <w:pPr>
              <w:ind w:leftChars="0" w:left="0" w:right="0"/>
            </w:pPr>
            <w:r>
              <w:t>Αμοιβαίο κεφάλαιο διανομής μερισμάτων</w:t>
            </w:r>
          </w:p>
        </w:tc>
        <w:tc>
          <w:tcPr>
            <w:cnfStyle w:evenVBand="false" w:oddVBand="true" w:firstColumn="false"/>
            <w:tcW w:w="25.000000%" w:type="pct"/>
          </w:tcPr>
          <w:p>
            <w:pPr>
              <w:ind w:leftChars="0" w:left="480" w:right="0"/>
            </w:pPr>
            <w:r>
              <w:t>Ως αμοιβαίο κεφάλαιο διανομής μερισμάτων (distribution fund) νοείται ο ΕΟ ο οποίος κατά κύριο λόγο (άνω του 50 %) καταβάλλει στους μετόχους του σε μετρητά το εισόδημα που εισπράττει.</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CUM</w:t>
            </w:r>
          </w:p>
        </w:tc>
        <w:tc>
          <w:tcPr>
            <w:cnfStyle w:evenVBand="true" w:oddVBand="false" w:firstColumn="false"/>
            <w:tcW w:w="25.000000%" w:type="pct"/>
          </w:tcPr>
          <w:p>
            <w:pPr>
              <w:ind w:leftChars="0" w:left="0" w:right="0"/>
            </w:pPr>
            <w:r>
              <w:t>Αμοιβαίο κεφάλαιο συσσώρευσης</w:t>
            </w:r>
          </w:p>
        </w:tc>
        <w:tc>
          <w:tcPr>
            <w:cnfStyle w:evenVBand="false" w:oddVBand="true" w:firstColumn="false"/>
            <w:tcW w:w="25.000000%" w:type="pct"/>
          </w:tcPr>
          <w:p>
            <w:pPr>
              <w:ind w:leftChars="0" w:left="480" w:right="0"/>
            </w:pPr>
            <w:r>
              <w:t>Ως αμοιβαίο κεφάλαιο συσσώρευσης (cumulative fund) νοείται ο ΕΟ ο οποίος κατά κύριο λόγο (άνω του 50 %) επανεπενδύει το εισόδημα που εισπράττει σύμφωνα με το επενδυτικό προϊόν του.</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Μεικτό αμοιβαίο κεφάλαιο διανομής μερισμάτων</w:t>
            </w:r>
          </w:p>
        </w:tc>
        <w:tc>
          <w:tcPr>
            <w:cnfStyle w:evenVBand="false" w:oddVBand="true" w:firstColumn="false"/>
            <w:tcW w:w="25.000000%" w:type="pct"/>
          </w:tcPr>
          <w:p>
            <w:pPr>
              <w:ind w:leftChars="0" w:left="480" w:right="0"/>
            </w:pPr>
            <w:r>
              <w:t>Ως μεικτό αμοιβαίο κεφάλαιο διανομής μερισμάτων (mixed dividend distribution fund) νοείται ο ΕΟ ο οποίος χρησιμοποιεί το εισόδημα που εισπράττει για να το καταβάλει στους μετόχους του σε μετρητά και για να το επανεπενδύσει σύμφωνα με το επενδυτικό προϊόν του.</w:t>
            </w:r>
          </w:p>
        </w:tc>
        <w:tc>
          <w:tcPr>
            <w:cnfStyle w:evenVBand="true" w:oddVBand="false" w:firstColumn="false"/>
            <w:tcW w:w="25.000000%" w:type="pct"/>
          </w:tcPr>
          <w:p>
            <w:pPr>
              <w:ind w:leftChars="0" w:left="0" w:right="0"/>
            </w:pPr>
            <w:r>
              <w:t>3</w:t>
            </w:r>
          </w:p>
        </w:tc>
      </w:tr>
    </w:tbl>
    <w:p>
      <w:pPr>
        <w:pStyle w:val="Table Bottom Margin"/>
      </w:pPr>
    </w:p>
    <w:bookmarkEnd w:id="352"/>
    <w:bookmarkEnd w:id="351"/>
    <w:bookmarkStart w:id="353" w:name="_92cd5fd51603b96a1af46143a8630f7c"/>
    <w:bookmarkStart w:id="354" w:name="_09fca9b3f21620ab57a7485ff7039115"/>
    <w:p>
      <w:pPr>
        <w:pStyle w:val="Heading5"/>
        <w:keepNext/>
      </w:pPr>
      <w:r>
        <w:t>FND_EQTY_TYP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OPEN</w:t>
            </w:r>
          </w:p>
        </w:tc>
        <w:tc>
          <w:tcPr>
            <w:cnfStyle w:evenVBand="true" w:oddVBand="false" w:firstColumn="false"/>
            <w:tcW w:w="25.000000%" w:type="pct"/>
          </w:tcPr>
          <w:p>
            <w:pPr>
              <w:ind w:leftChars="0" w:left="0" w:right="0"/>
            </w:pPr>
            <w:r>
              <w:t>Ανοιχτού τύπου</w:t>
            </w:r>
          </w:p>
        </w:tc>
        <w:tc>
          <w:tcPr>
            <w:cnfStyle w:evenVBand="false" w:oddVBand="true" w:firstColumn="false"/>
            <w:tcW w:w="25.000000%" w:type="pct"/>
          </w:tcPr>
          <w:p>
            <w:pPr>
              <w:ind w:leftChars="0" w:left="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CLOSE</w:t>
            </w:r>
          </w:p>
        </w:tc>
        <w:tc>
          <w:tcPr>
            <w:cnfStyle w:evenVBand="true" w:oddVBand="false" w:firstColumn="false"/>
            <w:tcW w:w="25.000000%" w:type="pct"/>
          </w:tcPr>
          <w:p>
            <w:pPr>
              <w:ind w:leftChars="0" w:left="0" w:right="0"/>
            </w:pPr>
            <w:r>
              <w:t>Κλειστού τύπου</w:t>
            </w:r>
          </w:p>
        </w:tc>
        <w:tc>
          <w:tcPr>
            <w:cnfStyle w:evenVBand="false" w:oddVBand="true" w:firstColumn="false"/>
            <w:tcW w:w="25.000000%" w:type="pct"/>
          </w:tcPr>
          <w:p>
            <w:pPr>
              <w:ind w:leftChars="0" w:left="0" w:right="0"/>
            </w:pPr>
            <w:r>
              <w:t>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w:t>
            </w:r>
          </w:p>
        </w:tc>
        <w:tc>
          <w:tcPr>
            <w:cnfStyle w:evenVBand="true" w:oddVBand="false" w:firstColumn="false"/>
            <w:tcW w:w="25.000000%" w:type="pct"/>
          </w:tcPr>
          <w:p>
            <w:pPr>
              <w:ind w:leftChars="0" w:left="0" w:right="0"/>
            </w:pPr>
            <w:r>
              <w:t>2</w:t>
            </w:r>
          </w:p>
        </w:tc>
      </w:tr>
    </w:tbl>
    <w:p>
      <w:pPr>
        <w:pStyle w:val="Table Bottom Margin"/>
      </w:pPr>
    </w:p>
    <w:bookmarkEnd w:id="354"/>
    <w:bookmarkEnd w:id="353"/>
    <w:bookmarkStart w:id="355" w:name="_19a3682718afa1abfef6b6ad94ba0897"/>
    <w:bookmarkStart w:id="356" w:name="_a9f396233b255dbfb6d6964c7d8e28d4"/>
    <w:p>
      <w:pPr>
        <w:pStyle w:val="Heading5"/>
        <w:keepNext/>
      </w:pPr>
      <w:r>
        <w:t>FND_GGRPHCL_FCS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DOM</w:t>
            </w:r>
          </w:p>
        </w:tc>
        <w:tc>
          <w:tcPr>
            <w:cnfStyle w:evenVBand="true" w:oddVBand="false" w:firstColumn="false"/>
            <w:tcW w:w="25.000000%" w:type="pct"/>
          </w:tcPr>
          <w:p>
            <w:pPr>
              <w:ind w:leftChars="0" w:left="0" w:right="0"/>
            </w:pPr>
            <w:r>
              <w:t>Εσωτερικό</w:t>
            </w:r>
          </w:p>
        </w:tc>
        <w:tc>
          <w:tcPr>
            <w:cnfStyle w:evenVBand="false" w:oddVBand="true" w:firstColumn="false"/>
            <w:tcW w:w="25.000000%" w:type="pct"/>
          </w:tcPr>
          <w:p>
            <w:pPr>
              <w:ind w:leftChars="0" w:left="480" w:right="0"/>
            </w:pPr>
            <w:r>
              <w:t>Predominantly domestic investments.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EEA</w:t>
            </w:r>
          </w:p>
        </w:tc>
        <w:tc>
          <w:tcPr>
            <w:cnfStyle w:evenVBand="true" w:oddVBand="false" w:firstColumn="false"/>
            <w:tcW w:w="25.000000%" w:type="pct"/>
          </w:tcPr>
          <w:p>
            <w:pPr>
              <w:ind w:leftChars="0" w:left="0" w:right="0"/>
            </w:pPr>
            <w:r>
              <w:t>Ευρώπη [Ευρωπαικός Οικονομικός Χώρος (ΕΟΧ)]</w:t>
            </w:r>
          </w:p>
        </w:tc>
        <w:tc>
          <w:tcPr>
            <w:cnfStyle w:evenVBand="false" w:oddVBand="true" w:firstColumn="false"/>
            <w:tcW w:w="25.000000%" w:type="pct"/>
          </w:tcPr>
          <w:p>
            <w:pPr>
              <w:ind w:leftChars="0" w:left="480" w:right="0"/>
            </w:pPr>
            <w:r>
              <w:t>Predominantly investments in Europe (EEA) region as defined in Guideline ESMA/2014/869EN.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OEA</w:t>
            </w:r>
          </w:p>
        </w:tc>
        <w:tc>
          <w:tcPr>
            <w:cnfStyle w:evenVBand="true" w:oddVBand="false" w:firstColumn="false"/>
            <w:tcW w:w="25.000000%" w:type="pct"/>
          </w:tcPr>
          <w:p>
            <w:pPr>
              <w:ind w:leftChars="0" w:left="0" w:right="0"/>
            </w:pPr>
            <w:r>
              <w:t>Ευρώπη (πλην του ΕΟΧ)</w:t>
            </w:r>
          </w:p>
        </w:tc>
        <w:tc>
          <w:tcPr>
            <w:cnfStyle w:evenVBand="false" w:oddVBand="true" w:firstColumn="false"/>
            <w:tcW w:w="25.000000%" w:type="pct"/>
          </w:tcPr>
          <w:p>
            <w:pPr>
              <w:ind w:leftChars="0" w:left="480" w:right="0"/>
            </w:pPr>
            <w:r>
              <w:t>Predominantly investments in Europe (other than EEA) region as defined in Guideline ESMA/2014/869EN.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NAM</w:t>
            </w:r>
          </w:p>
        </w:tc>
        <w:tc>
          <w:tcPr>
            <w:cnfStyle w:evenVBand="true" w:oddVBand="false" w:firstColumn="false"/>
            <w:tcW w:w="25.000000%" w:type="pct"/>
          </w:tcPr>
          <w:p>
            <w:pPr>
              <w:ind w:leftChars="0" w:left="0" w:right="0"/>
            </w:pPr>
            <w:r>
              <w:t>Βόρεια Αμερική</w:t>
            </w:r>
          </w:p>
        </w:tc>
        <w:tc>
          <w:tcPr>
            <w:cnfStyle w:evenVBand="false" w:oddVBand="true" w:firstColumn="false"/>
            <w:tcW w:w="25.000000%" w:type="pct"/>
          </w:tcPr>
          <w:p>
            <w:pPr>
              <w:ind w:leftChars="0" w:left="480" w:right="0"/>
            </w:pPr>
            <w:r>
              <w:t>Predominantly investments in North America region as defined in Guideline ESMA/2014/869EN.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SAM</w:t>
            </w:r>
          </w:p>
        </w:tc>
        <w:tc>
          <w:tcPr>
            <w:cnfStyle w:evenVBand="true" w:oddVBand="false" w:firstColumn="false"/>
            <w:tcW w:w="25.000000%" w:type="pct"/>
          </w:tcPr>
          <w:p>
            <w:pPr>
              <w:ind w:leftChars="0" w:left="0" w:right="0"/>
            </w:pPr>
            <w:r>
              <w:t>Νότια Αμερική</w:t>
            </w:r>
          </w:p>
        </w:tc>
        <w:tc>
          <w:tcPr>
            <w:cnfStyle w:evenVBand="false" w:oddVBand="true" w:firstColumn="false"/>
            <w:tcW w:w="25.000000%" w:type="pct"/>
          </w:tcPr>
          <w:p>
            <w:pPr>
              <w:ind w:leftChars="0" w:left="480" w:right="0"/>
            </w:pPr>
            <w:r>
              <w:t>Predominantly investments in South America region as defined in Guideline ESMA/2014/869EN.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ASP</w:t>
            </w:r>
          </w:p>
        </w:tc>
        <w:tc>
          <w:tcPr>
            <w:cnfStyle w:evenVBand="true" w:oddVBand="false" w:firstColumn="false"/>
            <w:tcW w:w="25.000000%" w:type="pct"/>
          </w:tcPr>
          <w:p>
            <w:pPr>
              <w:ind w:leftChars="0" w:left="0" w:right="0"/>
            </w:pPr>
            <w:r>
              <w:t>Ασία/Ειρηνικός</w:t>
            </w:r>
          </w:p>
        </w:tc>
        <w:tc>
          <w:tcPr>
            <w:cnfStyle w:evenVBand="false" w:oddVBand="true" w:firstColumn="false"/>
            <w:tcW w:w="25.000000%" w:type="pct"/>
          </w:tcPr>
          <w:p>
            <w:pPr>
              <w:ind w:leftChars="0" w:left="480" w:right="0"/>
            </w:pPr>
            <w:r>
              <w:t>Predominantly investments in Asia/Pacific region as defined in Guideline ESMA/2014/869EN.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MEA</w:t>
            </w:r>
          </w:p>
        </w:tc>
        <w:tc>
          <w:tcPr>
            <w:cnfStyle w:evenVBand="true" w:oddVBand="false" w:firstColumn="false"/>
            <w:tcW w:w="25.000000%" w:type="pct"/>
          </w:tcPr>
          <w:p>
            <w:pPr>
              <w:ind w:leftChars="0" w:left="0" w:right="0"/>
            </w:pPr>
            <w:r>
              <w:t>Μέση Ανατολή</w:t>
            </w:r>
          </w:p>
        </w:tc>
        <w:tc>
          <w:tcPr>
            <w:cnfStyle w:evenVBand="false" w:oddVBand="true" w:firstColumn="false"/>
            <w:tcW w:w="25.000000%" w:type="pct"/>
          </w:tcPr>
          <w:p>
            <w:pPr>
              <w:ind w:leftChars="0" w:left="480" w:right="0"/>
            </w:pPr>
            <w:r>
              <w:t>Predominantly investments in Middle East region as defined in Guideline ESMA/2014/869EN.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AFR</w:t>
            </w:r>
          </w:p>
        </w:tc>
        <w:tc>
          <w:tcPr>
            <w:cnfStyle w:evenVBand="true" w:oddVBand="false" w:firstColumn="false"/>
            <w:tcW w:w="25.000000%" w:type="pct"/>
          </w:tcPr>
          <w:p>
            <w:pPr>
              <w:ind w:leftChars="0" w:left="0" w:right="0"/>
            </w:pPr>
            <w:r>
              <w:t>Αφρική</w:t>
            </w:r>
          </w:p>
        </w:tc>
        <w:tc>
          <w:tcPr>
            <w:cnfStyle w:evenVBand="false" w:oddVBand="true" w:firstColumn="false"/>
            <w:tcW w:w="25.000000%" w:type="pct"/>
          </w:tcPr>
          <w:p>
            <w:pPr>
              <w:ind w:leftChars="0" w:left="480" w:right="0"/>
            </w:pPr>
            <w:r>
              <w:t>Predominantly investments in Africa region as defined in Guideline ESMA/2014/869EN. Defined in Guideline ESMA/2014/869EN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Υπερεθνική/πολλαπλή περιφέρεια</w:t>
            </w:r>
          </w:p>
        </w:tc>
        <w:tc>
          <w:tcPr>
            <w:cnfStyle w:evenVBand="false" w:oddVBand="true" w:firstColumn="false"/>
            <w:tcW w:w="25.000000%" w:type="pct"/>
          </w:tcPr>
          <w:p>
            <w:pPr>
              <w:ind w:leftChars="0" w:left="480" w:right="0"/>
            </w:pPr>
            <w:r>
              <w:t>Predominantly investments in assets issued by supranational entities or it does not predominantly invest in any single geographical region defined above.</w:t>
            </w:r>
          </w:p>
        </w:tc>
        <w:tc>
          <w:tcPr>
            <w:cnfStyle w:evenVBand="true" w:oddVBand="false" w:firstColumn="false"/>
            <w:tcW w:w="25.000000%" w:type="pct"/>
          </w:tcPr>
          <w:p>
            <w:pPr>
              <w:ind w:leftChars="0" w:left="0" w:right="0"/>
            </w:pPr>
            <w:r>
              <w:t>9</w:t>
            </w:r>
          </w:p>
        </w:tc>
      </w:tr>
    </w:tbl>
    <w:p>
      <w:pPr>
        <w:pStyle w:val="Table Bottom Margin"/>
      </w:pPr>
    </w:p>
    <w:bookmarkEnd w:id="356"/>
    <w:bookmarkEnd w:id="355"/>
    <w:bookmarkStart w:id="357" w:name="_5f78fc9f0b12cb68b4485020940bf044"/>
    <w:bookmarkStart w:id="358" w:name="_fd2347d43004a9dc810857672aaacc40"/>
    <w:p>
      <w:pPr>
        <w:pStyle w:val="Heading5"/>
        <w:keepNext/>
      </w:pPr>
      <w:r>
        <w:t>FND_GRN_TYP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LIGHT</w:t>
            </w:r>
          </w:p>
        </w:tc>
        <w:tc>
          <w:tcPr>
            <w:cnfStyle w:evenVBand="true" w:oddVBand="false" w:firstColumn="false"/>
            <w:tcW w:w="25.000000%" w:type="pct"/>
          </w:tcPr>
          <w:p>
            <w:pPr>
              <w:ind w:leftChars="0" w:left="0" w:right="0"/>
            </w:pPr>
            <w:r>
              <w:t>Light green fund</w:t>
            </w:r>
          </w:p>
        </w:tc>
        <w:tc>
          <w:tcPr>
            <w:cnfStyle w:evenVBand="false" w:oddVBand="true" w:firstColumn="false"/>
            <w:tcW w:w="25.000000%" w:type="pct"/>
          </w:tcPr>
          <w:p>
            <w:pPr>
              <w:ind w:leftChars="0" w:left="0" w:right="0"/>
            </w:pPr>
            <w:r>
              <w:t>Οι συμμορφούμενοι με το άρθρο 8 του κανονισμού γνωστοποιήσεων αειφορίας χρηματοπιστωτικών υπηρεσιών (SFDR) ΕΟ συμμορφώνονται με το άρθρο 8 του κανονισμού (ΕΕ) 2019/2088, προωθώντας, κατ’ αυτόν τον τρόπο, περιβαλλοντικά ή κοινωνικά χαρακτηριστικά.</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DARK</w:t>
            </w:r>
          </w:p>
        </w:tc>
        <w:tc>
          <w:tcPr>
            <w:cnfStyle w:evenVBand="true" w:oddVBand="false" w:firstColumn="false"/>
            <w:tcW w:w="25.000000%" w:type="pct"/>
          </w:tcPr>
          <w:p>
            <w:pPr>
              <w:ind w:leftChars="0" w:left="0" w:right="0"/>
            </w:pPr>
            <w:r>
              <w:t>Dark green fund</w:t>
            </w:r>
          </w:p>
        </w:tc>
        <w:tc>
          <w:tcPr>
            <w:cnfStyle w:evenVBand="false" w:oddVBand="true" w:firstColumn="false"/>
            <w:tcW w:w="25.000000%" w:type="pct"/>
          </w:tcPr>
          <w:p>
            <w:pPr>
              <w:ind w:leftChars="0" w:left="0" w:right="0"/>
            </w:pPr>
            <w:r>
              <w:t>Οι συμμορφούμενοι με το άρθρο 9 του κανονισμού γνωστοποιήσεων αειφορίας χρηματοπιστωτικών υπηρεσιών (SFDR) ΕΟ συμμορφώνονται με το άρθρο 9 του κανονισμού (ΕΕ) 2019/2088, έχοντας, κατ’ αυτόν τον τρόπο, ως στόχο τους αειφόρες επενδύσεις.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fund</w:t>
            </w:r>
          </w:p>
        </w:tc>
        <w:tc>
          <w:tcPr>
            <w:cnfStyle w:evenVBand="false" w:oddVBand="true" w:firstColumn="false"/>
            <w:tcW w:w="25.000000%" w:type="pct"/>
          </w:tcPr>
          <w:p>
            <w:pPr>
              <w:ind w:leftChars="0" w:left="0" w:right="0"/>
            </w:pPr>
            <w:r>
              <w:t>Οι λοιποί ΕΟ δεν συμμορφώνονται με το άρθρο 8 ούτε με το άρθρο 9 του κανονισμού (ΕΕ) 2019/2088.</w:t>
            </w:r>
          </w:p>
        </w:tc>
        <w:tc>
          <w:tcPr>
            <w:cnfStyle w:evenVBand="true" w:oddVBand="false" w:firstColumn="false"/>
            <w:tcW w:w="25.000000%" w:type="pct"/>
          </w:tcPr>
          <w:p>
            <w:pPr>
              <w:ind w:leftChars="0" w:left="0" w:right="0"/>
            </w:pPr>
            <w:r>
              <w:t>3</w:t>
            </w:r>
          </w:p>
        </w:tc>
      </w:tr>
    </w:tbl>
    <w:p>
      <w:pPr>
        <w:pStyle w:val="Table Bottom Margin"/>
      </w:pPr>
    </w:p>
    <w:bookmarkEnd w:id="358"/>
    <w:bookmarkEnd w:id="357"/>
    <w:bookmarkStart w:id="359" w:name="_54122ec04b7acee317cdb0198b8d29ae"/>
    <w:bookmarkStart w:id="360" w:name="_39cbc5ec65010c5c4d4952445622eff9"/>
    <w:p>
      <w:pPr>
        <w:pStyle w:val="Heading5"/>
        <w:keepNext/>
      </w:pPr>
      <w:r>
        <w:t>FND_INVSTMNT_PLCY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MMF</w:t>
            </w:r>
          </w:p>
        </w:tc>
        <w:tc>
          <w:tcPr>
            <w:cnfStyle w:evenVBand="true" w:oddVBand="false" w:firstColumn="false"/>
            <w:tcW w:w="25.000000%" w:type="pct"/>
          </w:tcPr>
          <w:p>
            <w:pPr>
              <w:ind w:leftChars="0" w:left="0" w:right="0"/>
            </w:pPr>
            <w:r>
              <w:t>Αμοιβαία κεφάλαια της χρηματαγοράς</w:t>
            </w:r>
          </w:p>
        </w:tc>
        <w:tc>
          <w:tcPr>
            <w:cnfStyle w:evenVBand="false" w:oddVBand="true" w:firstColumn="false"/>
            <w:tcW w:w="25.000000%" w:type="pct"/>
          </w:tcPr>
          <w:p>
            <w:pPr>
              <w:ind w:leftChars="0" w:left="0" w:right="0"/>
            </w:pPr>
            <w:r>
              <w:t>Ως «αμοιβαία κεφάλαια της χρηματαγοράς» ή «ΑΚΧΑ» νοούνται οργανισμοί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παρόντος κανονισμού·</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BON</w:t>
            </w:r>
          </w:p>
        </w:tc>
        <w:tc>
          <w:tcPr>
            <w:cnfStyle w:evenVBand="true" w:oddVBand="false" w:firstColumn="false"/>
            <w:tcW w:w="25.000000%" w:type="pct"/>
          </w:tcPr>
          <w:p>
            <w:pPr>
              <w:ind w:leftChars="0" w:left="0" w:right="0"/>
            </w:pPr>
            <w:r>
              <w:t>Ομολογιακοί ΕΟ</w:t>
            </w:r>
          </w:p>
        </w:tc>
        <w:tc>
          <w:tcPr>
            <w:cnfStyle w:evenVBand="false" w:oddVBand="true" w:firstColumn="false"/>
            <w:tcW w:w="25.000000%" w:type="pct"/>
          </w:tcPr>
          <w:p>
            <w:pPr>
              <w:ind w:leftChars="0" w:left="0" w:right="0"/>
            </w:pPr>
            <w:r>
              <w:t>Ως ομολογιακοί ΕΟ νοούνται οι ΕΟ που επενδύουν κατά κύριο λόγο σε χρεόγραφα.</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EQT</w:t>
            </w:r>
          </w:p>
        </w:tc>
        <w:tc>
          <w:tcPr>
            <w:cnfStyle w:evenVBand="true" w:oddVBand="false" w:firstColumn="false"/>
            <w:tcW w:w="25.000000%" w:type="pct"/>
          </w:tcPr>
          <w:p>
            <w:pPr>
              <w:ind w:leftChars="0" w:left="0" w:right="0"/>
            </w:pPr>
            <w:r>
              <w:t>Μετοχικοί ΕΟ</w:t>
            </w:r>
          </w:p>
        </w:tc>
        <w:tc>
          <w:tcPr>
            <w:cnfStyle w:evenVBand="false" w:oddVBand="true" w:firstColumn="false"/>
            <w:tcW w:w="25.000000%" w:type="pct"/>
          </w:tcPr>
          <w:p>
            <w:pPr>
              <w:ind w:leftChars="0" w:left="0" w:right="0"/>
            </w:pPr>
            <w:r>
              <w:t>Ως μετοχικοί ΕΟ νοούνται οι ΕΟ που επενδύουν κατά κύριο λόγο σε μετοχές.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Μεικτοί ΕΟ</w:t>
            </w:r>
          </w:p>
        </w:tc>
        <w:tc>
          <w:tcPr>
            <w:cnfStyle w:evenVBand="false" w:oddVBand="true" w:firstColumn="false"/>
            <w:tcW w:w="25.000000%" w:type="pct"/>
          </w:tcPr>
          <w:p>
            <w:pPr>
              <w:ind w:leftChars="0" w:left="0" w:right="0"/>
            </w:pPr>
            <w:r>
              <w:t>Ως μεικτοί ΕΟ νοούνται οι ΕΟ που επενδύουν εξίσου σε μετοχές και χρεόγραφα χωρίς υπεροχή της επένδυσης στο ένα ή το άλλο μέσο.</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RES</w:t>
            </w:r>
          </w:p>
        </w:tc>
        <w:tc>
          <w:tcPr>
            <w:cnfStyle w:evenVBand="true" w:oddVBand="false" w:firstColumn="false"/>
            <w:tcW w:w="25.000000%" w:type="pct"/>
          </w:tcPr>
          <w:p>
            <w:pPr>
              <w:ind w:leftChars="0" w:left="0" w:right="0"/>
            </w:pPr>
            <w:r>
              <w:t>ΕΟ ακίνητης περιουσίας</w:t>
            </w:r>
          </w:p>
        </w:tc>
        <w:tc>
          <w:tcPr>
            <w:cnfStyle w:evenVBand="false" w:oddVBand="true" w:firstColumn="false"/>
            <w:tcW w:w="25.000000%" w:type="pct"/>
          </w:tcPr>
          <w:p>
            <w:pPr>
              <w:ind w:leftChars="0" w:left="0" w:right="0"/>
            </w:pPr>
            <w:r>
              <w:t>Ως ΕΟ ακίνητης περιουσίας νοούνται οι ΕΟ που επενδύουν κατά κύριο λόγο σε ακίνητη περιουσία.</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HED</w:t>
            </w:r>
          </w:p>
        </w:tc>
        <w:tc>
          <w:tcPr>
            <w:cnfStyle w:evenVBand="true" w:oddVBand="false" w:firstColumn="false"/>
            <w:tcW w:w="25.000000%" w:type="pct"/>
          </w:tcPr>
          <w:p>
            <w:pPr>
              <w:ind w:leftChars="0" w:left="0" w:right="0"/>
            </w:pPr>
            <w:r>
              <w:t>Αμοιβαία κεφάλαια αντιστάθμισης κινδύνων</w:t>
            </w:r>
          </w:p>
        </w:tc>
        <w:tc>
          <w:tcPr>
            <w:cnfStyle w:evenVBand="false" w:oddVBand="true" w:firstColumn="false"/>
            <w:tcW w:w="25.000000%" w:type="pct"/>
          </w:tcPr>
          <w:p>
            <w:pPr>
              <w:ind w:leftChars="0" w:left="0" w:right="0"/>
            </w:pPr>
            <w:r>
              <w:t>Ως αμοιβαία κεφάλαια αντιστάθμισης κινδύνων (hedge funds) νοείται κάθε οργανισμός συλλογικών επενδύσεων, ανεξαρτήτως της νομικής του διάρθρωσης κατά το εθνικό δίκαιο, ο οποίος εφαρμόζει σχετικά απεριόριστες επενδυτικές στρατηγικές με σκοπό επίτευξης θετικής απόλυτης απόδοσης. Εκτός από τις αποδοχές τους για τη διαχείριση, οι διαχειριστές του αμοιβαίου κεφαλαίου αποζημιώνονται ανάλογα με την απόδοσή του. Για τον λόγο αυτόν τα αμοιβαία κεφάλαια αντιστάθμισης κινδύνων υπόκεινται σε λίγους περιορισμούς ως προς το είδος των χρηματοπιστωτικών μέσων στα οποία μπορούν να επενδύσουν και, επομένως, μπορούν να εφαρμόζουν με ευελιξία ένα ευρύ φάσμα χρηματοπιστωτικών τεχνικών όπως μόχλευση, ανοιχτές πωλήσεις ή οποιαδήποτε άλλη τεχνική. Ο παρών ορισμός καλύπτει επίσης τους ΕΟ που επενδύουν, εν όλω ή εν μέρει, σε άλλα αμοιβαία κεφάλαια αντιστάθμισης κινδύνων, εφόσον κατά τα λοιπά συνάδουν με τον εν λόγω ορισμό.</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LOA</w:t>
            </w:r>
          </w:p>
        </w:tc>
        <w:tc>
          <w:tcPr>
            <w:cnfStyle w:evenVBand="true" w:oddVBand="false" w:firstColumn="false"/>
            <w:tcW w:w="25.000000%" w:type="pct"/>
          </w:tcPr>
          <w:p>
            <w:pPr>
              <w:ind w:leftChars="0" w:left="0" w:right="0"/>
            </w:pPr>
            <w:r>
              <w:t>Δανειακά/πιστωτικά αμοιβαία κεφάλαια</w:t>
            </w:r>
          </w:p>
        </w:tc>
        <w:tc>
          <w:tcPr>
            <w:cnfStyle w:evenVBand="false" w:oddVBand="true" w:firstColumn="false"/>
            <w:tcW w:w="25.000000%" w:type="pct"/>
          </w:tcPr>
          <w:p>
            <w:pPr>
              <w:ind w:leftChars="0" w:left="0" w:right="0"/>
            </w:pPr>
            <w:r>
              <w:t>Ως δανειακά / πιστωτικά αμοιβαία κεφάλαια (loan / credit funds) νοούνται οι ΕΟ που επενδύουν κατά κύριο λόγο σε δάνεια.</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COM</w:t>
            </w:r>
          </w:p>
        </w:tc>
        <w:tc>
          <w:tcPr>
            <w:cnfStyle w:evenVBand="true" w:oddVBand="false" w:firstColumn="false"/>
            <w:tcW w:w="25.000000%" w:type="pct"/>
          </w:tcPr>
          <w:p>
            <w:pPr>
              <w:ind w:leftChars="0" w:left="0" w:right="0"/>
            </w:pPr>
            <w:r>
              <w:t>Αμοιβαία κεφάλαια εμπορευμάτων</w:t>
            </w:r>
          </w:p>
        </w:tc>
        <w:tc>
          <w:tcPr>
            <w:cnfStyle w:evenVBand="false" w:oddVBand="true" w:firstColumn="false"/>
            <w:tcW w:w="25.000000%" w:type="pct"/>
          </w:tcPr>
          <w:p>
            <w:pPr>
              <w:ind w:leftChars="0" w:left="0" w:right="0"/>
            </w:pPr>
            <w:r>
              <w:t>Ως αμοιβαία κεφάλαια εμπορευμάτων (commodity funds) νοούνται οι ΕΟ που επενδύουν κατά κύριο λόγο σε εμπορεύματα.</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INF</w:t>
            </w:r>
          </w:p>
        </w:tc>
        <w:tc>
          <w:tcPr>
            <w:cnfStyle w:evenVBand="true" w:oddVBand="false" w:firstColumn="false"/>
            <w:tcW w:w="25.000000%" w:type="pct"/>
          </w:tcPr>
          <w:p>
            <w:pPr>
              <w:ind w:leftChars="0" w:left="0" w:right="0"/>
            </w:pPr>
            <w:r>
              <w:t>Αμοιβαία κεφάλαια υποδομών</w:t>
            </w:r>
          </w:p>
        </w:tc>
        <w:tc>
          <w:tcPr>
            <w:cnfStyle w:evenVBand="false" w:oddVBand="true" w:firstColumn="false"/>
            <w:tcW w:w="25.000000%" w:type="pct"/>
          </w:tcPr>
          <w:p>
            <w:pPr>
              <w:ind w:leftChars="0" w:left="0" w:right="0"/>
            </w:pPr>
            <w:r>
              <w:t>Ως αμοιβαία κεφάλαια υποδομών (infrastructure funds) νοούνται οι ΕΟ που επενδύουν κατά κύριο λόγο σε δημόσιες κτιριακές υποδομές, όπως σχολεία, νοσοκομεία ή φυλακές, σε κοινωνικές υποδομές, όπως κοινωνική στέγαση, σε υποδομές μεταφορών, όπως δρόμοι, συστήματα μαζικής μεταφοράς ή αερολιμένες, σε υποδομές ενέργειας, όπως ενεργειακά δίκτυα, έργα σχετικά με την προσαρμογή στην κλιματική αλλαγή και τον μετριασμό της, σταθμοί παραγωγής ενέργειας ή αγωγοί, σε υποδομές διαχείρισης υδάτων, όπως συστήματα ύδρευσης, συστήματα λυμάτων ή άρδευσης και αποχέτευσης, σε υποδομές επικοινωνιών, όπως δίκτυα, και σε υποδομές διαχείρισης αποβλήτων, όπως συστήματα ανακύκλωσης ή συλλογής.</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Λοιπά αμοιβαία κεφάλαια</w:t>
            </w:r>
          </w:p>
        </w:tc>
        <w:tc>
          <w:tcPr>
            <w:cnfStyle w:evenVBand="false" w:oddVBand="true" w:firstColumn="false"/>
            <w:tcW w:w="25.000000%" w:type="pct"/>
          </w:tcPr>
          <w:p>
            <w:pPr>
              <w:ind w:leftChars="0" w:left="0" w:right="0"/>
            </w:pPr>
            <w:r>
              <w:t>Ως λοιποί ΕΟ νοούνται οι ΕΟ πλην των ομολογιακών, των μετοχικών, των μεικτών, των ΕΟ ακίνητης περιουσίας, των αμοιβαίων κεφαλαίων αντιστάθμισης κινδύνων, των δανειακών / πιστωτικών αμοιβαίων κεφαλαίων, των αμοιβαίων κεφαλαίων εμπορευμάτων ή των αμοιβαίων κεφαλαίων υποδομών.</w:t>
            </w:r>
          </w:p>
        </w:tc>
        <w:tc>
          <w:tcPr>
            <w:cnfStyle w:evenVBand="true" w:oddVBand="false" w:firstColumn="false"/>
            <w:tcW w:w="25.000000%" w:type="pct"/>
          </w:tcPr>
          <w:p>
            <w:pPr>
              <w:ind w:leftChars="0" w:left="0" w:right="0"/>
            </w:pPr>
            <w:r>
              <w:t>10</w:t>
            </w:r>
          </w:p>
        </w:tc>
      </w:tr>
    </w:tbl>
    <w:p>
      <w:pPr>
        <w:pStyle w:val="Table Bottom Margin"/>
      </w:pPr>
    </w:p>
    <w:bookmarkEnd w:id="360"/>
    <w:bookmarkEnd w:id="359"/>
    <w:bookmarkStart w:id="361" w:name="_a25bcfd2b94cf464c514b3093dd11033"/>
    <w:bookmarkStart w:id="362" w:name="_7a9fa3f61da43bb0f2ec61c20c72c860"/>
    <w:p>
      <w:pPr>
        <w:pStyle w:val="Heading5"/>
        <w:keepNext/>
      </w:pPr>
      <w:r>
        <w:t>FND_INVSTR_TYP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PRF</w:t>
            </w:r>
          </w:p>
        </w:tc>
        <w:tc>
          <w:tcPr>
            <w:cnfStyle w:evenVBand="true" w:oddVBand="false" w:firstColumn="false"/>
            <w:tcW w:w="25.000000%" w:type="pct"/>
          </w:tcPr>
          <w:p>
            <w:pPr>
              <w:ind w:leftChars="0" w:left="0" w:right="0"/>
            </w:pPr>
            <w:r>
              <w:t>Κατεξοχήν επαγγελματίες επενδυτές</w:t>
            </w:r>
          </w:p>
        </w:tc>
        <w:tc>
          <w:tcPr>
            <w:cnfStyle w:evenVBand="false" w:oddVBand="true" w:firstColumn="false"/>
            <w:tcW w:w="25.000000%" w:type="pct"/>
          </w:tcPr>
          <w:p>
            <w:pPr>
              <w:ind w:leftChars="0" w:left="0" w:right="0"/>
            </w:pPr>
            <w:r>
              <w:t>Ως «επαγγελματίας επενδυτής» νοείται οντότητα που πληροί τα κριτήρια του επαγγελματία πελάτη κατά το παράρτημα II της οδηγίας 2014/65/ΕΕ.</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RTL</w:t>
            </w:r>
          </w:p>
        </w:tc>
        <w:tc>
          <w:tcPr>
            <w:cnfStyle w:evenVBand="true" w:oddVBand="false" w:firstColumn="false"/>
            <w:tcW w:w="25.000000%" w:type="pct"/>
          </w:tcPr>
          <w:p>
            <w:pPr>
              <w:ind w:leftChars="0" w:left="0" w:right="0"/>
            </w:pPr>
            <w:r>
              <w:t>Κατεξοχήν ιδιώτες επενδυτές</w:t>
            </w:r>
          </w:p>
        </w:tc>
        <w:tc>
          <w:tcPr>
            <w:cnfStyle w:evenVBand="false" w:oddVBand="true" w:firstColumn="false"/>
            <w:tcW w:w="25.000000%" w:type="pct"/>
          </w:tcPr>
          <w:p>
            <w:pPr>
              <w:ind w:leftChars="0" w:left="0" w:right="0"/>
            </w:pPr>
            <w:r>
              <w:t>Ως «ιδιώτης επενδυτής» νοείται πελάτης που δεν είναι «επαγγελματίας επενδυτής».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Συνδυασμός επαγγελματιών και ιδιωτών επενδυτών</w:t>
            </w:r>
          </w:p>
        </w:tc>
        <w:tc>
          <w:tcPr>
            <w:cnfStyle w:evenVBand="false" w:oddVBand="true" w:firstColumn="false"/>
            <w:tcW w:w="25.000000%" w:type="pct"/>
          </w:tcPr>
          <w:p>
            <w:pPr>
              <w:ind w:leftChars="0" w:left="0" w:right="0"/>
            </w:pPr>
            <w:r>
              <w:t>Συνδυασμός των παραπάνω δύο κατηγοριών επενδυτών.</w:t>
            </w:r>
          </w:p>
        </w:tc>
        <w:tc>
          <w:tcPr>
            <w:cnfStyle w:evenVBand="true" w:oddVBand="false" w:firstColumn="false"/>
            <w:tcW w:w="25.000000%" w:type="pct"/>
          </w:tcPr>
          <w:p>
            <w:pPr>
              <w:ind w:leftChars="0" w:left="0" w:right="0"/>
            </w:pPr>
            <w:r>
              <w:t>3</w:t>
            </w:r>
          </w:p>
        </w:tc>
      </w:tr>
    </w:tbl>
    <w:p>
      <w:pPr>
        <w:pStyle w:val="Table Bottom Margin"/>
      </w:pPr>
    </w:p>
    <w:bookmarkEnd w:id="362"/>
    <w:bookmarkEnd w:id="361"/>
    <w:bookmarkStart w:id="363" w:name="_50c537c8f1a8dcff4bf156b897a63101"/>
    <w:bookmarkStart w:id="364" w:name="_bfe1a8b8f70352bd1b3942e6f32b4b11"/>
    <w:p>
      <w:pPr>
        <w:pStyle w:val="Heading5"/>
        <w:keepNext/>
      </w:pPr>
      <w:r>
        <w:t>FND_LGL_TYP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UCITS</w:t>
            </w:r>
          </w:p>
        </w:tc>
        <w:tc>
          <w:tcPr>
            <w:cnfStyle w:evenVBand="true" w:oddVBand="false" w:firstColumn="false"/>
            <w:tcW w:w="25.000000%" w:type="pct"/>
          </w:tcPr>
          <w:p>
            <w:pPr>
              <w:ind w:leftChars="0" w:left="0" w:right="0"/>
            </w:pPr>
            <w:r>
              <w:t>Συμμορφούμενος με την οδηγία για τους ΟΣΕΚΑ</w:t>
            </w:r>
          </w:p>
        </w:tc>
        <w:tc>
          <w:tcPr>
            <w:cnfStyle w:evenVBand="false" w:oddVBand="true" w:firstColumn="false"/>
            <w:tcW w:w="25.000000%" w:type="pct"/>
          </w:tcPr>
          <w:p>
            <w:pPr>
              <w:ind w:leftChars="0" w:left="0" w:right="0"/>
            </w:pPr>
            <w:r>
              <w:t>Οι οργανισμοί συλλογικών επενδύσεων σε κινητές αξίες (ΟΣΕΚΑ) είναι ΕΟ που έχουν συσταθεί σύμφωνα με την οδηγία 2009/65/ΕΚ.</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RAIF</w:t>
            </w:r>
          </w:p>
        </w:tc>
        <w:tc>
          <w:tcPr>
            <w:cnfStyle w:evenVBand="true" w:oddVBand="false" w:firstColumn="false"/>
            <w:tcW w:w="25.000000%" w:type="pct"/>
          </w:tcPr>
          <w:p>
            <w:pPr>
              <w:ind w:leftChars="0" w:left="0" w:right="0"/>
            </w:pPr>
            <w:r>
              <w:t>Συμμορφούμενος με την οδηγία για τους ΟΕΕ (εκτός ΑΕΕΑΠ) με ιδιώτες επενδυτές</w:t>
            </w:r>
          </w:p>
        </w:tc>
        <w:tc>
          <w:tcPr>
            <w:cnfStyle w:evenVBand="false" w:oddVBand="true" w:firstColumn="false"/>
            <w:tcW w:w="25.000000%" w:type="pct"/>
          </w:tcPr>
          <w:p>
            <w:pPr>
              <w:ind w:leftChars="0" w:left="0" w:right="0"/>
            </w:pPr>
            <w:r>
              <w:t>ΕΟ που έχουν συσταθεί σύμφωνα με την οδηγία 2011/61/ΕΕ οι οποίοι δεν είναι εταιρείς επενδύσεων σε ακίνητα και απευθύνονται σε ιδιώτες επενδυτές.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OAIF</w:t>
            </w:r>
          </w:p>
        </w:tc>
        <w:tc>
          <w:tcPr>
            <w:cnfStyle w:evenVBand="true" w:oddVBand="false" w:firstColumn="false"/>
            <w:tcW w:w="25.000000%" w:type="pct"/>
          </w:tcPr>
          <w:p>
            <w:pPr>
              <w:ind w:leftChars="0" w:left="0" w:right="0"/>
            </w:pPr>
            <w:r>
              <w:t>Συμμορφούμενος με την οδηγία για τους ΟΕΕ (εκτός ΑΕΕΑΠ) με θεσμικούς επενδυτές</w:t>
            </w:r>
          </w:p>
        </w:tc>
        <w:tc>
          <w:tcPr>
            <w:cnfStyle w:evenVBand="false" w:oddVBand="true" w:firstColumn="false"/>
            <w:tcW w:w="25.000000%" w:type="pct"/>
          </w:tcPr>
          <w:p>
            <w:pPr>
              <w:ind w:leftChars="0" w:left="0" w:right="0"/>
            </w:pPr>
            <w:r>
              <w:t>ΕΟ που έχουν συσταθεί σύμφωνα με την οδηγία 2011/61/ΕΕ οι οποίοι δεν είναι εταιρείς επενδύσεων σε ακίνητα και απευθύνονται σε θεσμικούς επενδυτές.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REIT</w:t>
            </w:r>
          </w:p>
        </w:tc>
        <w:tc>
          <w:tcPr>
            <w:cnfStyle w:evenVBand="true" w:oddVBand="false" w:firstColumn="false"/>
            <w:tcW w:w="25.000000%" w:type="pct"/>
          </w:tcPr>
          <w:p>
            <w:pPr>
              <w:ind w:leftChars="0" w:left="0" w:right="0"/>
            </w:pPr>
            <w:r>
              <w:t>Εταιρεία επενδύσεων σε ακίνητα</w:t>
            </w:r>
          </w:p>
        </w:tc>
        <w:tc>
          <w:tcPr>
            <w:cnfStyle w:evenVBand="false" w:oddVBand="true" w:firstColumn="false"/>
            <w:tcW w:w="25.000000%" w:type="pct"/>
          </w:tcPr>
          <w:p>
            <w:pPr>
              <w:ind w:leftChars="0" w:left="0" w:right="0"/>
            </w:pPr>
            <w:r>
              <w:t>Ως εταιρεία επενδύσεων σε ακίνητα (real estate investment trust – REIT) νοείται η οντότητα η οποία κατέχει ή χρηματοδοτεί ακίνητα που παράγουν εισόδημα και η οποία υπόκειται σε ορισμένο εθνικό νομικό πλαίσιο που καθορίζει τη νομική μορφή, τα επιλέξιμα περιουσιακά στοιχεία και το φορολογικό καθεστώς της.</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ΕΟ μη συμμορφούμενος με κάποια από τις προηγούμενες κατηγορίες</w:t>
            </w:r>
          </w:p>
        </w:tc>
        <w:tc>
          <w:tcPr>
            <w:cnfStyle w:evenVBand="false" w:oddVBand="true" w:firstColumn="false"/>
            <w:tcW w:w="25.000000%" w:type="pct"/>
          </w:tcPr>
          <w:p>
            <w:pPr>
              <w:ind w:leftChars="0" w:left="0" w:right="0"/>
            </w:pPr>
            <w:r>
              <w:t>ΕΟ που δεν ανήκουν σε μία από τις παραπάνω κατηγορίες.</w:t>
            </w:r>
          </w:p>
        </w:tc>
        <w:tc>
          <w:tcPr>
            <w:cnfStyle w:evenVBand="true" w:oddVBand="false" w:firstColumn="false"/>
            <w:tcW w:w="25.000000%" w:type="pct"/>
          </w:tcPr>
          <w:p>
            <w:pPr>
              <w:ind w:leftChars="0" w:left="0" w:right="0"/>
            </w:pPr>
            <w:r>
              <w:t>5</w:t>
            </w:r>
          </w:p>
        </w:tc>
      </w:tr>
    </w:tbl>
    <w:p>
      <w:pPr>
        <w:pStyle w:val="Table Bottom Margin"/>
      </w:pPr>
    </w:p>
    <w:bookmarkEnd w:id="364"/>
    <w:bookmarkEnd w:id="363"/>
    <w:bookmarkStart w:id="365" w:name="_e772f01debb4814be06b599f43de1382"/>
    <w:bookmarkStart w:id="366" w:name="_bd4c5cb890a760f9eba644316a29181b"/>
    <w:p>
      <w:pPr>
        <w:pStyle w:val="Heading5"/>
        <w:keepNext/>
      </w:pPr>
      <w:r>
        <w:t>FND_RL_ESTT_TYP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RES</w:t>
            </w:r>
          </w:p>
        </w:tc>
        <w:tc>
          <w:tcPr>
            <w:cnfStyle w:evenVBand="true" w:oddVBand="false" w:firstColumn="false"/>
            <w:tcW w:w="25.000000%" w:type="pct"/>
          </w:tcPr>
          <w:p>
            <w:pPr>
              <w:ind w:leftChars="0" w:left="0" w:right="0"/>
            </w:pPr>
            <w:r>
              <w:t>Residential real estate fund</w:t>
            </w:r>
          </w:p>
        </w:tc>
        <w:tc>
          <w:tcPr>
            <w:cnfStyle w:evenVBand="false" w:oddVBand="true" w:firstColumn="false"/>
            <w:tcW w:w="25.000000%" w:type="pct"/>
          </w:tcPr>
          <w:p>
            <w:pPr>
              <w:ind w:leftChars="0" w:left="0" w:right="0"/>
            </w:pPr>
            <w:r>
              <w:t>Οι ΕΟ ακινήτων κατοικίας (residential real estate funds) κατά κύριο λόγο (άνω του 50 %) επενδύουν σε ακίνητα κατοικίας. Το ακίνητο κατοικίας είναι η κατοικία που καταλαμβάνει ο ιδιοκτήτης ή ο μισθωτής αυτής. [Άρθρο 4 παράγραφος 1 σημείο 75) του κανονισμού (ΕΕ) αριθ. 575/2013 του Ευρωπαϊκού Κοινοβουλίου και του Συμβουλίου)]</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COM</w:t>
            </w:r>
          </w:p>
        </w:tc>
        <w:tc>
          <w:tcPr>
            <w:cnfStyle w:evenVBand="true" w:oddVBand="false" w:firstColumn="false"/>
            <w:tcW w:w="25.000000%" w:type="pct"/>
          </w:tcPr>
          <w:p>
            <w:pPr>
              <w:ind w:leftChars="0" w:left="0" w:right="0"/>
            </w:pPr>
            <w:r>
              <w:t>Commercial real estate fund</w:t>
            </w:r>
          </w:p>
        </w:tc>
        <w:tc>
          <w:tcPr>
            <w:cnfStyle w:evenVBand="false" w:oddVBand="true" w:firstColumn="false"/>
            <w:tcW w:w="25.000000%" w:type="pct"/>
          </w:tcPr>
          <w:p>
            <w:pPr>
              <w:ind w:leftChars="0" w:left="0" w:right="0"/>
            </w:pPr>
            <w:r>
              <w:t>Οι ΕΟ εμπορικών ακινήτων (commercial real estate funds) κατά κύριο λόγο (άνω του 50 %) επενδύουν σε ακίνητα που χρησιμοποιούνται για εμπορικούς σκοπούς, όπως λιανικό εμπόριο και ξενοδοχεία.</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IND</w:t>
            </w:r>
          </w:p>
        </w:tc>
        <w:tc>
          <w:tcPr>
            <w:cnfStyle w:evenVBand="true" w:oddVBand="false" w:firstColumn="false"/>
            <w:tcW w:w="25.000000%" w:type="pct"/>
          </w:tcPr>
          <w:p>
            <w:pPr>
              <w:ind w:leftChars="0" w:left="0" w:right="0"/>
            </w:pPr>
            <w:r>
              <w:t>Industrial real estate fund</w:t>
            </w:r>
          </w:p>
        </w:tc>
        <w:tc>
          <w:tcPr>
            <w:cnfStyle w:evenVBand="false" w:oddVBand="true" w:firstColumn="false"/>
            <w:tcW w:w="25.000000%" w:type="pct"/>
          </w:tcPr>
          <w:p>
            <w:pPr>
              <w:ind w:leftChars="0" w:left="0" w:right="0"/>
            </w:pPr>
            <w:r>
              <w:t>Οι ΕΟ βιομηχανικών ακινήτων (industrial real estate funds) κατά κύριο λόγο (άνω του 50 %) επενδύουν σε ακίνητα που χρησιμοποιούνται για την κατασκευή, παραγωγή, αποθήκευση και διανομή αγαθών.</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MUL</w:t>
            </w:r>
          </w:p>
        </w:tc>
        <w:tc>
          <w:tcPr>
            <w:cnfStyle w:evenVBand="true" w:oddVBand="false" w:firstColumn="false"/>
            <w:tcW w:w="25.000000%" w:type="pct"/>
          </w:tcPr>
          <w:p>
            <w:pPr>
              <w:ind w:leftChars="0" w:left="0" w:right="0"/>
            </w:pPr>
            <w:r>
              <w:t>Multi-strategy real estate fund</w:t>
            </w:r>
          </w:p>
        </w:tc>
        <w:tc>
          <w:tcPr>
            <w:cnfStyle w:evenVBand="false" w:oddVBand="true" w:firstColumn="false"/>
            <w:tcW w:w="25.000000%" w:type="pct"/>
          </w:tcPr>
          <w:p>
            <w:pPr>
              <w:ind w:leftChars="0" w:left="0" w:right="0"/>
            </w:pPr>
            <w:r>
              <w:t>Οι ΕΟ ακίνητης περιουσίας πολλαπλών στρατηγικών (multi-strategy real estate funds) επενδύουν σε ακίνητα κατοικίας, καθώς και σε εμπορικά και βιομηχανικά ακίνητα, χωρίς να επικεντρώνονται σε κάποιο από αυτά.</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OFC</w:t>
            </w:r>
          </w:p>
        </w:tc>
        <w:tc>
          <w:tcPr>
            <w:cnfStyle w:evenVBand="true" w:oddVBand="false" w:firstColumn="false"/>
            <w:tcW w:w="25.000000%" w:type="pct"/>
          </w:tcPr>
          <w:p>
            <w:pPr>
              <w:ind w:leftChars="0" w:left="0" w:right="0"/>
            </w:pPr>
            <w:r>
              <w:t>Office real estate funds</w:t>
            </w:r>
          </w:p>
        </w:tc>
        <w:tc>
          <w:tcPr>
            <w:cnfStyle w:evenVBand="false" w:oddVBand="true" w:firstColumn="false"/>
            <w:tcW w:w="25.000000%" w:type="pct"/>
          </w:tcPr>
          <w:p>
            <w:pPr>
              <w:ind w:leftChars="0" w:left="0" w:right="0"/>
            </w:pPr>
            <w:r>
              <w:t>Οι ΕΟ γραφείων κατά κύριο λόγο (άνω του 50%) επενδύουν σε ακίνητα που χρησιμοποιούνται ως γραφεία.</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real estate fund</w:t>
            </w:r>
          </w:p>
        </w:tc>
        <w:tc>
          <w:tcPr>
            <w:cnfStyle w:evenVBand="false" w:oddVBand="true" w:firstColumn="false"/>
            <w:tcW w:w="25.000000%" w:type="pct"/>
          </w:tcPr>
          <w:p>
            <w:pPr>
              <w:ind w:leftChars="0" w:left="0" w:right="0"/>
            </w:pPr>
            <w:r>
              <w:t>Ως λοιποί ΕΟ ακίνητης περιουσίας (other real estate funds) νοούνται οι ΕΟ ακίνητης περιουσίας που δεν είναι ΕΟ ακινήτων κατοικίας, εμπορικών ακινήτων, βιομηχανικών ακινήτων ή περιουσίας πολλαπλών στρατηγικών.</w:t>
            </w:r>
          </w:p>
        </w:tc>
        <w:tc>
          <w:tcPr>
            <w:cnfStyle w:evenVBand="true" w:oddVBand="false" w:firstColumn="false"/>
            <w:tcW w:w="25.000000%" w:type="pct"/>
          </w:tcPr>
          <w:p>
            <w:pPr>
              <w:ind w:leftChars="0" w:left="0" w:right="0"/>
            </w:pPr>
            <w:r>
              <w:t>6</w:t>
            </w:r>
          </w:p>
        </w:tc>
      </w:tr>
    </w:tbl>
    <w:p>
      <w:pPr>
        <w:pStyle w:val="Table Bottom Margin"/>
      </w:pPr>
    </w:p>
    <w:bookmarkEnd w:id="366"/>
    <w:bookmarkEnd w:id="365"/>
    <w:bookmarkStart w:id="367" w:name="_4d24309c58d333234b758df903ceb0a8"/>
    <w:bookmarkStart w:id="368" w:name="_974276b210105bfa877c09028af78545"/>
    <w:p>
      <w:pPr>
        <w:pStyle w:val="Heading5"/>
        <w:keepNext/>
      </w:pPr>
      <w:r>
        <w:t>FND_STRTGY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ACTIVE</w:t>
            </w:r>
          </w:p>
        </w:tc>
        <w:tc>
          <w:tcPr>
            <w:cnfStyle w:evenVBand="true" w:oddVBand="false" w:firstColumn="false"/>
            <w:tcW w:w="25.000000%" w:type="pct"/>
          </w:tcPr>
          <w:p>
            <w:pPr>
              <w:ind w:leftChars="0" w:left="0" w:right="0"/>
            </w:pPr>
            <w:r>
              <w:t>Ενεργητική</w:t>
            </w:r>
          </w:p>
        </w:tc>
        <w:tc>
          <w:tcPr>
            <w:cnfStyle w:evenVBand="false" w:oddVBand="true" w:firstColumn="false"/>
            <w:tcW w:w="25.000000%" w:type="pct"/>
          </w:tcPr>
          <w:p>
            <w:pPr>
              <w:ind w:leftChars="0" w:left="480" w:right="0"/>
            </w:pPr>
            <w:r>
              <w:t>Active investment funds are investment funds whose managers have discretionary choice on its investment decisions. These investment funds may, but do not have to, be managed in reference to a stated benchmark.</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SYNPAS</w:t>
            </w:r>
          </w:p>
        </w:tc>
        <w:tc>
          <w:tcPr>
            <w:cnfStyle w:evenVBand="true" w:oddVBand="false" w:firstColumn="false"/>
            <w:tcW w:w="25.000000%" w:type="pct"/>
          </w:tcPr>
          <w:p>
            <w:pPr>
              <w:ind w:leftChars="0" w:left="0" w:right="0"/>
            </w:pPr>
            <w:r>
              <w:t>Παθητική συνθετική</w:t>
            </w:r>
          </w:p>
        </w:tc>
        <w:tc>
          <w:tcPr>
            <w:cnfStyle w:evenVBand="false" w:oddVBand="true" w:firstColumn="false"/>
            <w:tcW w:w="25.000000%" w:type="pct"/>
          </w:tcPr>
          <w:p>
            <w:pPr>
              <w:ind w:leftChars="0" w:left="480" w:right="0"/>
            </w:pPr>
            <w:r>
              <w:t>Passive synthetic investment funds pursue an index-tracking objective by means of synthetic replication, using financial derivatives such as swaps to replicate the returns of the index it is tracking.</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SYNPHY</w:t>
            </w:r>
          </w:p>
        </w:tc>
        <w:tc>
          <w:tcPr>
            <w:cnfStyle w:evenVBand="true" w:oddVBand="false" w:firstColumn="false"/>
            <w:tcW w:w="25.000000%" w:type="pct"/>
          </w:tcPr>
          <w:p>
            <w:pPr>
              <w:ind w:leftChars="0" w:left="0" w:right="0"/>
            </w:pPr>
            <w:r>
              <w:t>Παθητική φυσική</w:t>
            </w:r>
          </w:p>
        </w:tc>
        <w:tc>
          <w:tcPr>
            <w:cnfStyle w:evenVBand="false" w:oddVBand="true" w:firstColumn="false"/>
            <w:tcW w:w="25.000000%" w:type="pct"/>
          </w:tcPr>
          <w:p>
            <w:pPr>
              <w:ind w:leftChars="0" w:left="480" w:right="0"/>
            </w:pPr>
            <w:r>
              <w:t>Passive physical investment funds pursue an index-tracking objective by means of physical replication, holding the assets, or a sample of the assets, underlying the index it is tracking.</w:t>
            </w:r>
          </w:p>
        </w:tc>
        <w:tc>
          <w:tcPr>
            <w:cnfStyle w:evenVBand="true" w:oddVBand="false" w:firstColumn="false"/>
            <w:tcW w:w="25.000000%" w:type="pct"/>
          </w:tcPr>
          <w:p>
            <w:pPr>
              <w:ind w:leftChars="0" w:left="0" w:right="0"/>
            </w:pPr>
            <w:r>
              <w:t>3</w:t>
            </w:r>
          </w:p>
        </w:tc>
      </w:tr>
    </w:tbl>
    <w:p>
      <w:pPr>
        <w:pStyle w:val="Table Bottom Margin"/>
      </w:pPr>
    </w:p>
    <w:bookmarkEnd w:id="368"/>
    <w:bookmarkEnd w:id="367"/>
    <w:bookmarkStart w:id="369" w:name="_b522beb4dd0139763983b90986b32a65"/>
    <w:bookmarkStart w:id="370" w:name="_80ee891f107eacc6f154a874c3e32b57"/>
    <w:p>
      <w:pPr>
        <w:pStyle w:val="Heading5"/>
        <w:keepNext/>
      </w:pPr>
      <w:r>
        <w:t>GEN_CNTRY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AE</w:t>
            </w:r>
          </w:p>
        </w:tc>
        <w:tc>
          <w:tcPr>
            <w:cnfStyle w:evenVBand="true" w:oddVBand="false" w:firstColumn="false"/>
            <w:tcW w:w="25.000000%" w:type="pct"/>
          </w:tcPr>
          <w:p>
            <w:pPr>
              <w:ind w:leftChars="0" w:left="0" w:right="0"/>
            </w:pPr>
            <w:r>
              <w:t>United Arab Emirates (the)</w:t>
            </w:r>
          </w:p>
        </w:tc>
        <w:tc>
          <w:tcPr>
            <w:cnfStyle w:evenVBand="false" w:oddVBand="true" w:firstColumn="false"/>
            <w:tcW w:w="25.000000%" w:type="pct"/>
          </w:tcPr>
          <w:p>
            <w:pPr>
              <w:ind w:leftChars="0" w:left="0" w:right="0"/>
            </w:pPr>
            <w:r>
              <w:t>United Arab Emirates (the)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AF</w:t>
            </w:r>
          </w:p>
        </w:tc>
        <w:tc>
          <w:tcPr>
            <w:cnfStyle w:evenVBand="true" w:oddVBand="false" w:firstColumn="false"/>
            <w:tcW w:w="25.000000%" w:type="pct"/>
          </w:tcPr>
          <w:p>
            <w:pPr>
              <w:ind w:leftChars="0" w:left="0" w:right="0"/>
            </w:pPr>
            <w:r>
              <w:t>Afghanistan</w:t>
            </w:r>
          </w:p>
        </w:tc>
        <w:tc>
          <w:tcPr>
            <w:cnfStyle w:evenVBand="false" w:oddVBand="true" w:firstColumn="false"/>
            <w:tcW w:w="25.000000%" w:type="pct"/>
          </w:tcPr>
          <w:p>
            <w:pPr>
              <w:ind w:leftChars="0" w:left="0" w:right="0"/>
            </w:pPr>
            <w:r>
              <w:t>Afghanistan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AL</w:t>
            </w:r>
          </w:p>
        </w:tc>
        <w:tc>
          <w:tcPr>
            <w:cnfStyle w:evenVBand="true" w:oddVBand="false" w:firstColumn="false"/>
            <w:tcW w:w="25.000000%" w:type="pct"/>
          </w:tcPr>
          <w:p>
            <w:pPr>
              <w:ind w:leftChars="0" w:left="0" w:right="0"/>
            </w:pPr>
            <w:r>
              <w:t>Albania</w:t>
            </w:r>
          </w:p>
        </w:tc>
        <w:tc>
          <w:tcPr>
            <w:cnfStyle w:evenVBand="false" w:oddVBand="true" w:firstColumn="false"/>
            <w:tcW w:w="25.000000%" w:type="pct"/>
          </w:tcPr>
          <w:p>
            <w:pPr>
              <w:ind w:leftChars="0" w:left="0" w:right="0"/>
            </w:pPr>
            <w:r>
              <w:t>Albania</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AO</w:t>
            </w:r>
          </w:p>
        </w:tc>
        <w:tc>
          <w:tcPr>
            <w:cnfStyle w:evenVBand="true" w:oddVBand="false" w:firstColumn="false"/>
            <w:tcW w:w="25.000000%" w:type="pct"/>
          </w:tcPr>
          <w:p>
            <w:pPr>
              <w:ind w:leftChars="0" w:left="0" w:right="0"/>
            </w:pPr>
            <w:r>
              <w:t>Angola</w:t>
            </w:r>
          </w:p>
        </w:tc>
        <w:tc>
          <w:tcPr>
            <w:cnfStyle w:evenVBand="false" w:oddVBand="true" w:firstColumn="false"/>
            <w:tcW w:w="25.000000%" w:type="pct"/>
          </w:tcPr>
          <w:p>
            <w:pPr>
              <w:ind w:leftChars="0" w:left="0" w:right="0"/>
            </w:pPr>
            <w:r>
              <w:t>Angola</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Argentina</w:t>
            </w:r>
          </w:p>
        </w:tc>
        <w:tc>
          <w:tcPr>
            <w:cnfStyle w:evenVBand="false" w:oddVBand="true" w:firstColumn="false"/>
            <w:tcW w:w="25.000000%" w:type="pct"/>
          </w:tcPr>
          <w:p>
            <w:pPr>
              <w:ind w:leftChars="0" w:left="0" w:right="0"/>
            </w:pPr>
            <w:r>
              <w:t>Argentina</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AT</w:t>
            </w:r>
          </w:p>
        </w:tc>
        <w:tc>
          <w:tcPr>
            <w:cnfStyle w:evenVBand="true" w:oddVBand="false" w:firstColumn="false"/>
            <w:tcW w:w="25.000000%" w:type="pct"/>
          </w:tcPr>
          <w:p>
            <w:pPr>
              <w:ind w:leftChars="0" w:left="0" w:right="0"/>
            </w:pPr>
            <w:r>
              <w:t>Austria</w:t>
            </w:r>
          </w:p>
        </w:tc>
        <w:tc>
          <w:tcPr>
            <w:cnfStyle w:evenVBand="false" w:oddVBand="true" w:firstColumn="false"/>
            <w:tcW w:w="25.000000%" w:type="pct"/>
          </w:tcPr>
          <w:p>
            <w:pPr>
              <w:ind w:leftChars="0" w:left="0" w:right="0"/>
            </w:pPr>
            <w:r>
              <w:t>Austria</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AU</w:t>
            </w:r>
          </w:p>
        </w:tc>
        <w:tc>
          <w:tcPr>
            <w:cnfStyle w:evenVBand="true" w:oddVBand="false" w:firstColumn="false"/>
            <w:tcW w:w="25.000000%" w:type="pct"/>
          </w:tcPr>
          <w:p>
            <w:pPr>
              <w:ind w:leftChars="0" w:left="0" w:right="0"/>
            </w:pPr>
            <w:r>
              <w:t>Australia</w:t>
            </w:r>
          </w:p>
        </w:tc>
        <w:tc>
          <w:tcPr>
            <w:cnfStyle w:evenVBand="false" w:oddVBand="true" w:firstColumn="false"/>
            <w:tcW w:w="25.000000%" w:type="pct"/>
          </w:tcPr>
          <w:p>
            <w:pPr>
              <w:ind w:leftChars="0" w:left="0" w:right="0"/>
            </w:pPr>
            <w:r>
              <w:t>Australia</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BE</w:t>
            </w:r>
          </w:p>
        </w:tc>
        <w:tc>
          <w:tcPr>
            <w:cnfStyle w:evenVBand="true" w:oddVBand="false" w:firstColumn="false"/>
            <w:tcW w:w="25.000000%" w:type="pct"/>
          </w:tcPr>
          <w:p>
            <w:pPr>
              <w:ind w:leftChars="0" w:left="0" w:right="0"/>
            </w:pPr>
            <w:r>
              <w:t>Belgium</w:t>
            </w:r>
          </w:p>
        </w:tc>
        <w:tc>
          <w:tcPr>
            <w:cnfStyle w:evenVBand="false" w:oddVBand="true" w:firstColumn="false"/>
            <w:tcW w:w="25.000000%" w:type="pct"/>
          </w:tcPr>
          <w:p>
            <w:pPr>
              <w:ind w:leftChars="0" w:left="0" w:right="0"/>
            </w:pPr>
            <w:r>
              <w:t>Belgium</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BG</w:t>
            </w:r>
          </w:p>
        </w:tc>
        <w:tc>
          <w:tcPr>
            <w:cnfStyle w:evenVBand="true" w:oddVBand="false" w:firstColumn="false"/>
            <w:tcW w:w="25.000000%" w:type="pct"/>
          </w:tcPr>
          <w:p>
            <w:pPr>
              <w:ind w:leftChars="0" w:left="0" w:right="0"/>
            </w:pPr>
            <w:r>
              <w:t>Bulgaria</w:t>
            </w:r>
          </w:p>
        </w:tc>
        <w:tc>
          <w:tcPr>
            <w:cnfStyle w:evenVBand="false" w:oddVBand="true" w:firstColumn="false"/>
            <w:tcW w:w="25.000000%" w:type="pct"/>
          </w:tcPr>
          <w:p>
            <w:pPr>
              <w:ind w:leftChars="0" w:left="0" w:right="0"/>
            </w:pPr>
            <w:r>
              <w:t>Bulgaria</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BH</w:t>
            </w:r>
          </w:p>
        </w:tc>
        <w:tc>
          <w:tcPr>
            <w:cnfStyle w:evenVBand="true" w:oddVBand="false" w:firstColumn="false"/>
            <w:tcW w:w="25.000000%" w:type="pct"/>
          </w:tcPr>
          <w:p>
            <w:pPr>
              <w:ind w:leftChars="0" w:left="0" w:right="0"/>
            </w:pPr>
            <w:r>
              <w:t>Bahrain</w:t>
            </w:r>
          </w:p>
        </w:tc>
        <w:tc>
          <w:tcPr>
            <w:cnfStyle w:evenVBand="false" w:oddVBand="true" w:firstColumn="false"/>
            <w:tcW w:w="25.000000%" w:type="pct"/>
          </w:tcPr>
          <w:p>
            <w:pPr>
              <w:ind w:leftChars="0" w:left="0" w:right="0"/>
            </w:pPr>
            <w:r>
              <w:t>Bahrain</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BJ</w:t>
            </w:r>
          </w:p>
        </w:tc>
        <w:tc>
          <w:tcPr>
            <w:cnfStyle w:evenVBand="true" w:oddVBand="false" w:firstColumn="false"/>
            <w:tcW w:w="25.000000%" w:type="pct"/>
          </w:tcPr>
          <w:p>
            <w:pPr>
              <w:ind w:leftChars="0" w:left="0" w:right="0"/>
            </w:pPr>
            <w:r>
              <w:t>Benin</w:t>
            </w:r>
          </w:p>
        </w:tc>
        <w:tc>
          <w:tcPr>
            <w:cnfStyle w:evenVBand="false" w:oddVBand="true" w:firstColumn="false"/>
            <w:tcW w:w="25.000000%" w:type="pct"/>
          </w:tcPr>
          <w:p>
            <w:pPr>
              <w:ind w:leftChars="0" w:left="0" w:right="0"/>
            </w:pPr>
            <w:r>
              <w:t>Benin</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Bermuda</w:t>
            </w:r>
          </w:p>
        </w:tc>
        <w:tc>
          <w:tcPr>
            <w:cnfStyle w:evenVBand="false" w:oddVBand="true" w:firstColumn="false"/>
            <w:tcW w:w="25.000000%" w:type="pct"/>
          </w:tcPr>
          <w:p>
            <w:pPr>
              <w:ind w:leftChars="0" w:left="0" w:right="0"/>
            </w:pPr>
            <w:r>
              <w:t>Bermuda</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BR</w:t>
            </w:r>
          </w:p>
        </w:tc>
        <w:tc>
          <w:tcPr>
            <w:cnfStyle w:evenVBand="true" w:oddVBand="false" w:firstColumn="false"/>
            <w:tcW w:w="25.000000%" w:type="pct"/>
          </w:tcPr>
          <w:p>
            <w:pPr>
              <w:ind w:leftChars="0" w:left="0" w:right="0"/>
            </w:pPr>
            <w:r>
              <w:t>Brazil</w:t>
            </w:r>
          </w:p>
        </w:tc>
        <w:tc>
          <w:tcPr>
            <w:cnfStyle w:evenVBand="false" w:oddVBand="true" w:firstColumn="false"/>
            <w:tcW w:w="25.000000%" w:type="pct"/>
          </w:tcPr>
          <w:p>
            <w:pPr>
              <w:ind w:leftChars="0" w:left="0" w:right="0"/>
            </w:pPr>
            <w:r>
              <w:t>Brazil</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BS</w:t>
            </w:r>
          </w:p>
        </w:tc>
        <w:tc>
          <w:tcPr>
            <w:cnfStyle w:evenVBand="true" w:oddVBand="false" w:firstColumn="false"/>
            <w:tcW w:w="25.000000%" w:type="pct"/>
          </w:tcPr>
          <w:p>
            <w:pPr>
              <w:ind w:leftChars="0" w:left="0" w:right="0"/>
            </w:pPr>
            <w:r>
              <w:t>Bahamas (the)</w:t>
            </w:r>
          </w:p>
        </w:tc>
        <w:tc>
          <w:tcPr>
            <w:cnfStyle w:evenVBand="false" w:oddVBand="true" w:firstColumn="false"/>
            <w:tcW w:w="25.000000%" w:type="pct"/>
          </w:tcPr>
          <w:p>
            <w:pPr>
              <w:ind w:leftChars="0" w:left="0" w:right="0"/>
            </w:pPr>
            <w:r>
              <w:t>Bahamas (the)</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BY</w:t>
            </w:r>
          </w:p>
        </w:tc>
        <w:tc>
          <w:tcPr>
            <w:cnfStyle w:evenVBand="true" w:oddVBand="false" w:firstColumn="false"/>
            <w:tcW w:w="25.000000%" w:type="pct"/>
          </w:tcPr>
          <w:p>
            <w:pPr>
              <w:ind w:leftChars="0" w:left="0" w:right="0"/>
            </w:pPr>
            <w:r>
              <w:t>Belarus</w:t>
            </w:r>
          </w:p>
        </w:tc>
        <w:tc>
          <w:tcPr>
            <w:cnfStyle w:evenVBand="false" w:oddVBand="true" w:firstColumn="false"/>
            <w:tcW w:w="25.000000%" w:type="pct"/>
          </w:tcPr>
          <w:p>
            <w:pPr>
              <w:ind w:leftChars="0" w:left="0" w:right="0"/>
            </w:pPr>
            <w:r>
              <w:t>Belarus</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BZ</w:t>
            </w:r>
          </w:p>
        </w:tc>
        <w:tc>
          <w:tcPr>
            <w:cnfStyle w:evenVBand="true" w:oddVBand="false" w:firstColumn="false"/>
            <w:tcW w:w="25.000000%" w:type="pct"/>
          </w:tcPr>
          <w:p>
            <w:pPr>
              <w:ind w:leftChars="0" w:left="0" w:right="0"/>
            </w:pPr>
            <w:r>
              <w:t>Belize</w:t>
            </w:r>
          </w:p>
        </w:tc>
        <w:tc>
          <w:tcPr>
            <w:cnfStyle w:evenVBand="false" w:oddVBand="true" w:firstColumn="false"/>
            <w:tcW w:w="25.000000%" w:type="pct"/>
          </w:tcPr>
          <w:p>
            <w:pPr>
              <w:ind w:leftChars="0" w:left="0" w:right="0"/>
            </w:pPr>
            <w:r>
              <w:t>Belize</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CA</w:t>
            </w:r>
          </w:p>
        </w:tc>
        <w:tc>
          <w:tcPr>
            <w:cnfStyle w:evenVBand="true" w:oddVBand="false" w:firstColumn="false"/>
            <w:tcW w:w="25.000000%" w:type="pct"/>
          </w:tcPr>
          <w:p>
            <w:pPr>
              <w:ind w:leftChars="0" w:left="0" w:right="0"/>
            </w:pPr>
            <w:r>
              <w:t>Canada</w:t>
            </w:r>
          </w:p>
        </w:tc>
        <w:tc>
          <w:tcPr>
            <w:cnfStyle w:evenVBand="false" w:oddVBand="true" w:firstColumn="false"/>
            <w:tcW w:w="25.000000%" w:type="pct"/>
          </w:tcPr>
          <w:p>
            <w:pPr>
              <w:ind w:leftChars="0" w:left="0" w:right="0"/>
            </w:pPr>
            <w:r>
              <w:t>Canada</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CG</w:t>
            </w:r>
          </w:p>
        </w:tc>
        <w:tc>
          <w:tcPr>
            <w:cnfStyle w:evenVBand="true" w:oddVBand="false" w:firstColumn="false"/>
            <w:tcW w:w="25.000000%" w:type="pct"/>
          </w:tcPr>
          <w:p>
            <w:pPr>
              <w:ind w:leftChars="0" w:left="0" w:right="0"/>
            </w:pPr>
            <w:r>
              <w:t>Congo (the)</w:t>
            </w:r>
          </w:p>
        </w:tc>
        <w:tc>
          <w:tcPr>
            <w:cnfStyle w:evenVBand="false" w:oddVBand="true" w:firstColumn="false"/>
            <w:tcW w:w="25.000000%" w:type="pct"/>
          </w:tcPr>
          <w:p>
            <w:pPr>
              <w:ind w:leftChars="0" w:left="0" w:right="0"/>
            </w:pPr>
            <w:r>
              <w:t>Congo (the)</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CH</w:t>
            </w:r>
          </w:p>
        </w:tc>
        <w:tc>
          <w:tcPr>
            <w:cnfStyle w:evenVBand="true" w:oddVBand="false" w:firstColumn="false"/>
            <w:tcW w:w="25.000000%" w:type="pct"/>
          </w:tcPr>
          <w:p>
            <w:pPr>
              <w:ind w:leftChars="0" w:left="0" w:right="0"/>
            </w:pPr>
            <w:r>
              <w:t>Switzerland</w:t>
            </w:r>
          </w:p>
        </w:tc>
        <w:tc>
          <w:tcPr>
            <w:cnfStyle w:evenVBand="false" w:oddVBand="true" w:firstColumn="false"/>
            <w:tcW w:w="25.000000%" w:type="pct"/>
          </w:tcPr>
          <w:p>
            <w:pPr>
              <w:ind w:leftChars="0" w:left="0" w:right="0"/>
            </w:pPr>
            <w:r>
              <w:t>Switzerland</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CL</w:t>
            </w:r>
          </w:p>
        </w:tc>
        <w:tc>
          <w:tcPr>
            <w:cnfStyle w:evenVBand="true" w:oddVBand="false" w:firstColumn="false"/>
            <w:tcW w:w="25.000000%" w:type="pct"/>
          </w:tcPr>
          <w:p>
            <w:pPr>
              <w:ind w:leftChars="0" w:left="0" w:right="0"/>
            </w:pPr>
            <w:r>
              <w:t>Chile</w:t>
            </w:r>
          </w:p>
        </w:tc>
        <w:tc>
          <w:tcPr>
            <w:cnfStyle w:evenVBand="false" w:oddVBand="true" w:firstColumn="false"/>
            <w:tcW w:w="25.000000%" w:type="pct"/>
          </w:tcPr>
          <w:p>
            <w:pPr>
              <w:ind w:leftChars="0" w:left="0" w:right="0"/>
            </w:pPr>
            <w:r>
              <w:t>Chile</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CM</w:t>
            </w:r>
          </w:p>
        </w:tc>
        <w:tc>
          <w:tcPr>
            <w:cnfStyle w:evenVBand="true" w:oddVBand="false" w:firstColumn="false"/>
            <w:tcW w:w="25.000000%" w:type="pct"/>
          </w:tcPr>
          <w:p>
            <w:pPr>
              <w:ind w:leftChars="0" w:left="0" w:right="0"/>
            </w:pPr>
            <w:r>
              <w:t>Cameroon</w:t>
            </w:r>
          </w:p>
        </w:tc>
        <w:tc>
          <w:tcPr>
            <w:cnfStyle w:evenVBand="false" w:oddVBand="true" w:firstColumn="false"/>
            <w:tcW w:w="25.000000%" w:type="pct"/>
          </w:tcPr>
          <w:p>
            <w:pPr>
              <w:ind w:leftChars="0" w:left="0" w:right="0"/>
            </w:pPr>
            <w:r>
              <w:t>Cameroon</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CN</w:t>
            </w:r>
          </w:p>
        </w:tc>
        <w:tc>
          <w:tcPr>
            <w:cnfStyle w:evenVBand="true" w:oddVBand="false" w:firstColumn="false"/>
            <w:tcW w:w="25.000000%" w:type="pct"/>
          </w:tcPr>
          <w:p>
            <w:pPr>
              <w:ind w:leftChars="0" w:left="0" w:right="0"/>
            </w:pPr>
            <w:r>
              <w:t>China</w:t>
            </w:r>
          </w:p>
        </w:tc>
        <w:tc>
          <w:tcPr>
            <w:cnfStyle w:evenVBand="false" w:oddVBand="true" w:firstColumn="false"/>
            <w:tcW w:w="25.000000%" w:type="pct"/>
          </w:tcPr>
          <w:p>
            <w:pPr>
              <w:ind w:leftChars="0" w:left="0" w:right="0"/>
            </w:pPr>
            <w:r>
              <w:t>China excluding Taiwan (TW), Hong Kong (HK), Macao (MO)</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CO</w:t>
            </w:r>
          </w:p>
        </w:tc>
        <w:tc>
          <w:tcPr>
            <w:cnfStyle w:evenVBand="true" w:oddVBand="false" w:firstColumn="false"/>
            <w:tcW w:w="25.000000%" w:type="pct"/>
          </w:tcPr>
          <w:p>
            <w:pPr>
              <w:ind w:leftChars="0" w:left="0" w:right="0"/>
            </w:pPr>
            <w:r>
              <w:t>Colombia</w:t>
            </w:r>
          </w:p>
        </w:tc>
        <w:tc>
          <w:tcPr>
            <w:cnfStyle w:evenVBand="false" w:oddVBand="true" w:firstColumn="false"/>
            <w:tcW w:w="25.000000%" w:type="pct"/>
          </w:tcPr>
          <w:p>
            <w:pPr>
              <w:ind w:leftChars="0" w:left="0" w:right="0"/>
            </w:pPr>
            <w:r>
              <w:t>Colombia</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CW</w:t>
            </w:r>
          </w:p>
        </w:tc>
        <w:tc>
          <w:tcPr>
            <w:cnfStyle w:evenVBand="true" w:oddVBand="false" w:firstColumn="false"/>
            <w:tcW w:w="25.000000%" w:type="pct"/>
          </w:tcPr>
          <w:p>
            <w:pPr>
              <w:ind w:leftChars="0" w:left="0" w:right="0"/>
            </w:pPr>
            <w:r>
              <w:t>Curacao</w:t>
            </w:r>
          </w:p>
        </w:tc>
        <w:tc>
          <w:tcPr>
            <w:cnfStyle w:evenVBand="false" w:oddVBand="true" w:firstColumn="false"/>
            <w:tcW w:w="25.000000%" w:type="pct"/>
          </w:tcPr>
          <w:p>
            <w:pPr>
              <w:ind w:leftChars="0" w:left="0" w:right="0"/>
            </w:pPr>
            <w:r>
              <w:t>Curacao</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CY</w:t>
            </w:r>
          </w:p>
        </w:tc>
        <w:tc>
          <w:tcPr>
            <w:cnfStyle w:evenVBand="true" w:oddVBand="false" w:firstColumn="false"/>
            <w:tcW w:w="25.000000%" w:type="pct"/>
          </w:tcPr>
          <w:p>
            <w:pPr>
              <w:ind w:leftChars="0" w:left="0" w:right="0"/>
            </w:pPr>
            <w:r>
              <w:t>Cyprus</w:t>
            </w:r>
          </w:p>
        </w:tc>
        <w:tc>
          <w:tcPr>
            <w:cnfStyle w:evenVBand="false" w:oddVBand="true" w:firstColumn="false"/>
            <w:tcW w:w="25.000000%" w:type="pct"/>
          </w:tcPr>
          <w:p>
            <w:pPr>
              <w:ind w:leftChars="0" w:left="0" w:right="0"/>
            </w:pPr>
            <w:r>
              <w:t>Cyprus</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CZ</w:t>
            </w:r>
          </w:p>
        </w:tc>
        <w:tc>
          <w:tcPr>
            <w:cnfStyle w:evenVBand="true" w:oddVBand="false" w:firstColumn="false"/>
            <w:tcW w:w="25.000000%" w:type="pct"/>
          </w:tcPr>
          <w:p>
            <w:pPr>
              <w:ind w:leftChars="0" w:left="0" w:right="0"/>
            </w:pPr>
            <w:r>
              <w:t>Czechia</w:t>
            </w:r>
          </w:p>
        </w:tc>
        <w:tc>
          <w:tcPr>
            <w:cnfStyle w:evenVBand="false" w:oddVBand="true" w:firstColumn="false"/>
            <w:tcW w:w="25.000000%" w:type="pct"/>
          </w:tcPr>
          <w:p>
            <w:pPr>
              <w:ind w:leftChars="0" w:left="0" w:right="0"/>
            </w:pPr>
            <w:r>
              <w:t>Czechia</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DE</w:t>
            </w:r>
          </w:p>
        </w:tc>
        <w:tc>
          <w:tcPr>
            <w:cnfStyle w:evenVBand="true" w:oddVBand="false" w:firstColumn="false"/>
            <w:tcW w:w="25.000000%" w:type="pct"/>
          </w:tcPr>
          <w:p>
            <w:pPr>
              <w:ind w:leftChars="0" w:left="0" w:right="0"/>
            </w:pPr>
            <w:r>
              <w:t>Germany</w:t>
            </w:r>
          </w:p>
        </w:tc>
        <w:tc>
          <w:tcPr>
            <w:cnfStyle w:evenVBand="false" w:oddVBand="true" w:firstColumn="false"/>
            <w:tcW w:w="25.000000%" w:type="pct"/>
          </w:tcPr>
          <w:p>
            <w:pPr>
              <w:ind w:leftChars="0" w:left="0" w:right="0"/>
            </w:pPr>
            <w:r>
              <w:t>Germany</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DK</w:t>
            </w:r>
          </w:p>
        </w:tc>
        <w:tc>
          <w:tcPr>
            <w:cnfStyle w:evenVBand="true" w:oddVBand="false" w:firstColumn="false"/>
            <w:tcW w:w="25.000000%" w:type="pct"/>
          </w:tcPr>
          <w:p>
            <w:pPr>
              <w:ind w:leftChars="0" w:left="0" w:right="0"/>
            </w:pPr>
            <w:r>
              <w:t>Denmark</w:t>
            </w:r>
          </w:p>
        </w:tc>
        <w:tc>
          <w:tcPr>
            <w:cnfStyle w:evenVBand="false" w:oddVBand="true" w:firstColumn="false"/>
            <w:tcW w:w="25.000000%" w:type="pct"/>
          </w:tcPr>
          <w:p>
            <w:pPr>
              <w:ind w:leftChars="0" w:left="0" w:right="0"/>
            </w:pPr>
            <w:r>
              <w:t>Denmark</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DO</w:t>
            </w:r>
          </w:p>
        </w:tc>
        <w:tc>
          <w:tcPr>
            <w:cnfStyle w:evenVBand="true" w:oddVBand="false" w:firstColumn="false"/>
            <w:tcW w:w="25.000000%" w:type="pct"/>
          </w:tcPr>
          <w:p>
            <w:pPr>
              <w:ind w:leftChars="0" w:left="0" w:right="0"/>
            </w:pPr>
            <w:r>
              <w:t>Dominican Republic (the)</w:t>
            </w:r>
          </w:p>
        </w:tc>
        <w:tc>
          <w:tcPr>
            <w:cnfStyle w:evenVBand="false" w:oddVBand="true" w:firstColumn="false"/>
            <w:tcW w:w="25.000000%" w:type="pct"/>
          </w:tcPr>
          <w:p>
            <w:pPr>
              <w:ind w:leftChars="0" w:left="0" w:right="0"/>
            </w:pPr>
            <w:r>
              <w:t>Dominican Republic (the)</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EG</w:t>
            </w:r>
          </w:p>
        </w:tc>
        <w:tc>
          <w:tcPr>
            <w:cnfStyle w:evenVBand="true" w:oddVBand="false" w:firstColumn="false"/>
            <w:tcW w:w="25.000000%" w:type="pct"/>
          </w:tcPr>
          <w:p>
            <w:pPr>
              <w:ind w:leftChars="0" w:left="0" w:right="0"/>
            </w:pPr>
            <w:r>
              <w:t>Egypt</w:t>
            </w:r>
          </w:p>
        </w:tc>
        <w:tc>
          <w:tcPr>
            <w:cnfStyle w:evenVBand="false" w:oddVBand="true" w:firstColumn="false"/>
            <w:tcW w:w="25.000000%" w:type="pct"/>
          </w:tcPr>
          <w:p>
            <w:pPr>
              <w:ind w:leftChars="0" w:left="0" w:right="0"/>
            </w:pPr>
            <w:r>
              <w:t>Egypt</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ER</w:t>
            </w:r>
          </w:p>
        </w:tc>
        <w:tc>
          <w:tcPr>
            <w:cnfStyle w:evenVBand="true" w:oddVBand="false" w:firstColumn="false"/>
            <w:tcW w:w="25.000000%" w:type="pct"/>
          </w:tcPr>
          <w:p>
            <w:pPr>
              <w:ind w:leftChars="0" w:left="0" w:right="0"/>
            </w:pPr>
            <w:r>
              <w:t>Eritrea</w:t>
            </w:r>
          </w:p>
        </w:tc>
        <w:tc>
          <w:tcPr>
            <w:cnfStyle w:evenVBand="false" w:oddVBand="true" w:firstColumn="false"/>
            <w:tcW w:w="25.000000%" w:type="pct"/>
          </w:tcPr>
          <w:p>
            <w:pPr>
              <w:ind w:leftChars="0" w:left="0" w:right="0"/>
            </w:pPr>
            <w:r>
              <w:t>Eritrea</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ES</w:t>
            </w:r>
          </w:p>
        </w:tc>
        <w:tc>
          <w:tcPr>
            <w:cnfStyle w:evenVBand="true" w:oddVBand="false" w:firstColumn="false"/>
            <w:tcW w:w="25.000000%" w:type="pct"/>
          </w:tcPr>
          <w:p>
            <w:pPr>
              <w:ind w:leftChars="0" w:left="0" w:right="0"/>
            </w:pPr>
            <w:r>
              <w:t>Spain</w:t>
            </w:r>
          </w:p>
        </w:tc>
        <w:tc>
          <w:tcPr>
            <w:cnfStyle w:evenVBand="false" w:oddVBand="true" w:firstColumn="false"/>
            <w:tcW w:w="25.000000%" w:type="pct"/>
          </w:tcPr>
          <w:p>
            <w:pPr>
              <w:ind w:leftChars="0" w:left="0" w:right="0"/>
            </w:pPr>
            <w:r>
              <w:t>Spain</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FI</w:t>
            </w:r>
          </w:p>
        </w:tc>
        <w:tc>
          <w:tcPr>
            <w:cnfStyle w:evenVBand="true" w:oddVBand="false" w:firstColumn="false"/>
            <w:tcW w:w="25.000000%" w:type="pct"/>
          </w:tcPr>
          <w:p>
            <w:pPr>
              <w:ind w:leftChars="0" w:left="0" w:right="0"/>
            </w:pPr>
            <w:r>
              <w:t>Finland</w:t>
            </w:r>
          </w:p>
        </w:tc>
        <w:tc>
          <w:tcPr>
            <w:cnfStyle w:evenVBand="false" w:oddVBand="true" w:firstColumn="false"/>
            <w:tcW w:w="25.000000%" w:type="pct"/>
          </w:tcPr>
          <w:p>
            <w:pPr>
              <w:ind w:leftChars="0" w:left="0" w:right="0"/>
            </w:pPr>
            <w:r>
              <w:t>Finland excluding Aland (AX)</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FO</w:t>
            </w:r>
          </w:p>
        </w:tc>
        <w:tc>
          <w:tcPr>
            <w:cnfStyle w:evenVBand="true" w:oddVBand="false" w:firstColumn="false"/>
            <w:tcW w:w="25.000000%" w:type="pct"/>
          </w:tcPr>
          <w:p>
            <w:pPr>
              <w:ind w:leftChars="0" w:left="0" w:right="0"/>
            </w:pPr>
            <w:r>
              <w:t>Faroe Islands (the)</w:t>
            </w:r>
          </w:p>
        </w:tc>
        <w:tc>
          <w:tcPr>
            <w:cnfStyle w:evenVBand="false" w:oddVBand="true" w:firstColumn="false"/>
            <w:tcW w:w="25.000000%" w:type="pct"/>
          </w:tcPr>
          <w:p>
            <w:pPr>
              <w:ind w:leftChars="0" w:left="0" w:right="0"/>
            </w:pPr>
            <w:r>
              <w:t>Faroe Islands (the)</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FR</w:t>
            </w:r>
          </w:p>
        </w:tc>
        <w:tc>
          <w:tcPr>
            <w:cnfStyle w:evenVBand="true" w:oddVBand="false" w:firstColumn="false"/>
            <w:tcW w:w="25.000000%" w:type="pct"/>
          </w:tcPr>
          <w:p>
            <w:pPr>
              <w:ind w:leftChars="0" w:left="0" w:right="0"/>
            </w:pPr>
            <w:r>
              <w:t>France</w:t>
            </w:r>
          </w:p>
        </w:tc>
        <w:tc>
          <w:tcPr>
            <w:cnfStyle w:evenVBand="false" w:oddVBand="true" w:firstColumn="false"/>
            <w:tcW w:w="25.000000%" w:type="pct"/>
          </w:tcPr>
          <w:p>
            <w:pPr>
              <w:ind w:leftChars="0" w:left="0" w:right="0"/>
            </w:pPr>
            <w:r>
              <w:t>France excluding Guadeloupe (GP), Guyane (GF), La Réunion (RE), Martinique (MQ), Mayotte (YT), Nouvelle-Calédonie (NC), Polynésie française (PF), Saint-Barthélemy (BL), Saint-Martin (MF), Saint-Pierre-et-Miquelon (PM), Terres australes françaises (TF), Wallis-et-Futuna (WF)</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GB</w:t>
            </w:r>
          </w:p>
        </w:tc>
        <w:tc>
          <w:tcPr>
            <w:cnfStyle w:evenVBand="true" w:oddVBand="false" w:firstColumn="false"/>
            <w:tcW w:w="25.000000%" w:type="pct"/>
          </w:tcPr>
          <w:p>
            <w:pPr>
              <w:ind w:leftChars="0" w:left="0" w:right="0"/>
            </w:pPr>
            <w:r>
              <w:t>United Kingdom of Great Britain and Northern Ireland (the)</w:t>
            </w:r>
          </w:p>
        </w:tc>
        <w:tc>
          <w:tcPr>
            <w:cnfStyle w:evenVBand="false" w:oddVBand="true" w:firstColumn="false"/>
            <w:tcW w:w="25.000000%" w:type="pct"/>
          </w:tcPr>
          <w:p>
            <w:pPr>
              <w:ind w:leftChars="0" w:left="0" w:right="0"/>
            </w:pPr>
            <w:r>
              <w:t>United Kingdom of Great Britain and Northern Ireland (the)</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GE</w:t>
            </w:r>
          </w:p>
        </w:tc>
        <w:tc>
          <w:tcPr>
            <w:cnfStyle w:evenVBand="true" w:oddVBand="false" w:firstColumn="false"/>
            <w:tcW w:w="25.000000%" w:type="pct"/>
          </w:tcPr>
          <w:p>
            <w:pPr>
              <w:ind w:leftChars="0" w:left="0" w:right="0"/>
            </w:pPr>
            <w:r>
              <w:t>Georgia</w:t>
            </w:r>
          </w:p>
        </w:tc>
        <w:tc>
          <w:tcPr>
            <w:cnfStyle w:evenVBand="false" w:oddVBand="true" w:firstColumn="false"/>
            <w:tcW w:w="25.000000%" w:type="pct"/>
          </w:tcPr>
          <w:p>
            <w:pPr>
              <w:ind w:leftChars="0" w:left="0" w:right="0"/>
            </w:pPr>
            <w:r>
              <w:t>Georgia</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GG</w:t>
            </w:r>
          </w:p>
        </w:tc>
        <w:tc>
          <w:tcPr>
            <w:cnfStyle w:evenVBand="true" w:oddVBand="false" w:firstColumn="false"/>
            <w:tcW w:w="25.000000%" w:type="pct"/>
          </w:tcPr>
          <w:p>
            <w:pPr>
              <w:ind w:leftChars="0" w:left="0" w:right="0"/>
            </w:pPr>
            <w:r>
              <w:t>Guernsey</w:t>
            </w:r>
          </w:p>
        </w:tc>
        <w:tc>
          <w:tcPr>
            <w:cnfStyle w:evenVBand="false" w:oddVBand="true" w:firstColumn="false"/>
            <w:tcW w:w="25.000000%" w:type="pct"/>
          </w:tcPr>
          <w:p>
            <w:pPr>
              <w:ind w:leftChars="0" w:left="0" w:right="0"/>
            </w:pPr>
            <w:r>
              <w:t>Guernsey</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GI</w:t>
            </w:r>
          </w:p>
        </w:tc>
        <w:tc>
          <w:tcPr>
            <w:cnfStyle w:evenVBand="true" w:oddVBand="false" w:firstColumn="false"/>
            <w:tcW w:w="25.000000%" w:type="pct"/>
          </w:tcPr>
          <w:p>
            <w:pPr>
              <w:ind w:leftChars="0" w:left="0" w:right="0"/>
            </w:pPr>
            <w:r>
              <w:t>Gibraltar</w:t>
            </w:r>
          </w:p>
        </w:tc>
        <w:tc>
          <w:tcPr>
            <w:cnfStyle w:evenVBand="false" w:oddVBand="true" w:firstColumn="false"/>
            <w:tcW w:w="25.000000%" w:type="pct"/>
          </w:tcPr>
          <w:p>
            <w:pPr>
              <w:ind w:leftChars="0" w:left="0" w:right="0"/>
            </w:pPr>
            <w:r>
              <w:t>Gibraltar</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GR</w:t>
            </w:r>
          </w:p>
        </w:tc>
        <w:tc>
          <w:tcPr>
            <w:cnfStyle w:evenVBand="true" w:oddVBand="false" w:firstColumn="false"/>
            <w:tcW w:w="25.000000%" w:type="pct"/>
          </w:tcPr>
          <w:p>
            <w:pPr>
              <w:ind w:leftChars="0" w:left="0" w:right="0"/>
            </w:pPr>
            <w:r>
              <w:t>Greece</w:t>
            </w:r>
          </w:p>
        </w:tc>
        <w:tc>
          <w:tcPr>
            <w:cnfStyle w:evenVBand="false" w:oddVBand="true" w:firstColumn="false"/>
            <w:tcW w:w="25.000000%" w:type="pct"/>
          </w:tcPr>
          <w:p>
            <w:pPr>
              <w:ind w:leftChars="0" w:left="0" w:right="0"/>
            </w:pPr>
            <w:r>
              <w:t>Greece</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HK</w:t>
            </w:r>
          </w:p>
        </w:tc>
        <w:tc>
          <w:tcPr>
            <w:cnfStyle w:evenVBand="true" w:oddVBand="false" w:firstColumn="false"/>
            <w:tcW w:w="25.000000%" w:type="pct"/>
          </w:tcPr>
          <w:p>
            <w:pPr>
              <w:ind w:leftChars="0" w:left="0" w:right="0"/>
            </w:pPr>
            <w:r>
              <w:t>Hong Kong</w:t>
            </w:r>
          </w:p>
        </w:tc>
        <w:tc>
          <w:tcPr>
            <w:cnfStyle w:evenVBand="false" w:oddVBand="true" w:firstColumn="false"/>
            <w:tcW w:w="25.000000%" w:type="pct"/>
          </w:tcPr>
          <w:p>
            <w:pPr>
              <w:ind w:leftChars="0" w:left="0" w:right="0"/>
            </w:pPr>
            <w:r>
              <w:t>Hong Kong</w:t>
            </w:r>
          </w:p>
        </w:tc>
        <w:tc>
          <w:tcPr>
            <w:cnfStyle w:evenVBand="true" w:oddVBand="false" w:firstColumn="false"/>
            <w:tcW w:w="25.000000%" w:type="pct"/>
          </w:tcPr>
          <w:p>
            <w:pPr>
              <w:ind w:leftChars="0" w:left="0" w:right="0"/>
            </w:pPr>
            <w:r>
              <w:t>41</w:t>
            </w:r>
          </w:p>
        </w:tc>
      </w:tr>
      <w:tr>
        <w:trPr>
          <w:cnfStyle w:evenHBand="false" w:oddHBand="true" w:firstRow="false"/>
        </w:trPr>
        <w:tc>
          <w:tcPr>
            <w:cnfStyle w:evenVBand="false" w:oddVBand="true" w:firstColumn="false"/>
            <w:tcW w:w="25.000000%" w:type="pct"/>
          </w:tcPr>
          <w:p>
            <w:pPr>
              <w:ind w:leftChars="0" w:left="0" w:right="0"/>
            </w:pPr>
            <w:r>
              <w:t>HR</w:t>
            </w:r>
          </w:p>
        </w:tc>
        <w:tc>
          <w:tcPr>
            <w:cnfStyle w:evenVBand="true" w:oddVBand="false" w:firstColumn="false"/>
            <w:tcW w:w="25.000000%" w:type="pct"/>
          </w:tcPr>
          <w:p>
            <w:pPr>
              <w:ind w:leftChars="0" w:left="0" w:right="0"/>
            </w:pPr>
            <w:r>
              <w:t>Croatia</w:t>
            </w:r>
          </w:p>
        </w:tc>
        <w:tc>
          <w:tcPr>
            <w:cnfStyle w:evenVBand="false" w:oddVBand="true" w:firstColumn="false"/>
            <w:tcW w:w="25.000000%" w:type="pct"/>
          </w:tcPr>
          <w:p>
            <w:pPr>
              <w:ind w:leftChars="0" w:left="0" w:right="0"/>
            </w:pPr>
            <w:r>
              <w:t>Croatia</w:t>
            </w:r>
          </w:p>
        </w:tc>
        <w:tc>
          <w:tcPr>
            <w:cnfStyle w:evenVBand="true" w:oddVBand="false" w:firstColumn="false"/>
            <w:tcW w:w="25.000000%" w:type="pct"/>
          </w:tcPr>
          <w:p>
            <w:pPr>
              <w:ind w:leftChars="0" w:left="0" w:right="0"/>
            </w:pPr>
            <w:r>
              <w:t>42</w:t>
            </w:r>
          </w:p>
        </w:tc>
      </w:tr>
      <w:tr>
        <w:trPr>
          <w:cnfStyle w:evenHBand="true" w:oddHBand="false" w:firstRow="false"/>
        </w:trPr>
        <w:tc>
          <w:tcPr>
            <w:cnfStyle w:evenVBand="false" w:oddVBand="true" w:firstColumn="false"/>
            <w:tcW w:w="25.000000%" w:type="pct"/>
          </w:tcPr>
          <w:p>
            <w:pPr>
              <w:ind w:leftChars="0" w:left="0" w:right="0"/>
            </w:pPr>
            <w:r>
              <w:t>HU</w:t>
            </w:r>
          </w:p>
        </w:tc>
        <w:tc>
          <w:tcPr>
            <w:cnfStyle w:evenVBand="true" w:oddVBand="false" w:firstColumn="false"/>
            <w:tcW w:w="25.000000%" w:type="pct"/>
          </w:tcPr>
          <w:p>
            <w:pPr>
              <w:ind w:leftChars="0" w:left="0" w:right="0"/>
            </w:pPr>
            <w:r>
              <w:t>Hungary</w:t>
            </w:r>
          </w:p>
        </w:tc>
        <w:tc>
          <w:tcPr>
            <w:cnfStyle w:evenVBand="false" w:oddVBand="true" w:firstColumn="false"/>
            <w:tcW w:w="25.000000%" w:type="pct"/>
          </w:tcPr>
          <w:p>
            <w:pPr>
              <w:ind w:leftChars="0" w:left="0" w:right="0"/>
            </w:pPr>
            <w:r>
              <w:t>Hungary</w:t>
            </w:r>
          </w:p>
        </w:tc>
        <w:tc>
          <w:tcPr>
            <w:cnfStyle w:evenVBand="true" w:oddVBand="false" w:firstColumn="false"/>
            <w:tcW w:w="25.000000%" w:type="pct"/>
          </w:tcPr>
          <w:p>
            <w:pPr>
              <w:ind w:leftChars="0" w:left="0" w:right="0"/>
            </w:pPr>
            <w:r>
              <w:t>43</w:t>
            </w:r>
          </w:p>
        </w:tc>
      </w:tr>
      <w:tr>
        <w:trPr>
          <w:cnfStyle w:evenHBand="false" w:oddHBand="true" w:firstRow="false"/>
        </w:trPr>
        <w:tc>
          <w:tcPr>
            <w:cnfStyle w:evenVBand="false" w:oddVBand="true" w:firstColumn="false"/>
            <w:tcW w:w="25.000000%" w:type="pct"/>
          </w:tcPr>
          <w:p>
            <w:pPr>
              <w:ind w:leftChars="0" w:left="0" w:right="0"/>
            </w:pPr>
            <w:r>
              <w:t>ID</w:t>
            </w:r>
          </w:p>
        </w:tc>
        <w:tc>
          <w:tcPr>
            <w:cnfStyle w:evenVBand="true" w:oddVBand="false" w:firstColumn="false"/>
            <w:tcW w:w="25.000000%" w:type="pct"/>
          </w:tcPr>
          <w:p>
            <w:pPr>
              <w:ind w:leftChars="0" w:left="0" w:right="0"/>
            </w:pPr>
            <w:r>
              <w:t>Indonesia</w:t>
            </w:r>
          </w:p>
        </w:tc>
        <w:tc>
          <w:tcPr>
            <w:cnfStyle w:evenVBand="false" w:oddVBand="true" w:firstColumn="false"/>
            <w:tcW w:w="25.000000%" w:type="pct"/>
          </w:tcPr>
          <w:p>
            <w:pPr>
              <w:ind w:leftChars="0" w:left="0" w:right="0"/>
            </w:pPr>
            <w:r>
              <w:t>Indonesia</w:t>
            </w:r>
          </w:p>
        </w:tc>
        <w:tc>
          <w:tcPr>
            <w:cnfStyle w:evenVBand="true" w:oddVBand="false" w:firstColumn="false"/>
            <w:tcW w:w="25.000000%" w:type="pct"/>
          </w:tcPr>
          <w:p>
            <w:pPr>
              <w:ind w:leftChars="0" w:left="0" w:right="0"/>
            </w:pPr>
            <w:r>
              <w:t>44</w:t>
            </w:r>
          </w:p>
        </w:tc>
      </w:tr>
      <w:tr>
        <w:trPr>
          <w:cnfStyle w:evenHBand="true" w:oddHBand="false" w:firstRow="false"/>
        </w:trPr>
        <w:tc>
          <w:tcPr>
            <w:cnfStyle w:evenVBand="false" w:oddVBand="true" w:firstColumn="false"/>
            <w:tcW w:w="25.000000%" w:type="pct"/>
          </w:tcPr>
          <w:p>
            <w:pPr>
              <w:ind w:leftChars="0" w:left="0" w:right="0"/>
            </w:pPr>
            <w:r>
              <w:t>IE</w:t>
            </w:r>
          </w:p>
        </w:tc>
        <w:tc>
          <w:tcPr>
            <w:cnfStyle w:evenVBand="true" w:oddVBand="false" w:firstColumn="false"/>
            <w:tcW w:w="25.000000%" w:type="pct"/>
          </w:tcPr>
          <w:p>
            <w:pPr>
              <w:ind w:leftChars="0" w:left="0" w:right="0"/>
            </w:pPr>
            <w:r>
              <w:t>Ireland</w:t>
            </w:r>
          </w:p>
        </w:tc>
        <w:tc>
          <w:tcPr>
            <w:cnfStyle w:evenVBand="false" w:oddVBand="true" w:firstColumn="false"/>
            <w:tcW w:w="25.000000%" w:type="pct"/>
          </w:tcPr>
          <w:p>
            <w:pPr>
              <w:ind w:leftChars="0" w:left="0" w:right="0"/>
            </w:pPr>
            <w:r>
              <w:t>Ireland</w:t>
            </w:r>
          </w:p>
        </w:tc>
        <w:tc>
          <w:tcPr>
            <w:cnfStyle w:evenVBand="true" w:oddVBand="false" w:firstColumn="false"/>
            <w:tcW w:w="25.000000%" w:type="pct"/>
          </w:tcPr>
          <w:p>
            <w:pPr>
              <w:ind w:leftChars="0" w:left="0" w:right="0"/>
            </w:pPr>
            <w:r>
              <w:t>45</w:t>
            </w:r>
          </w:p>
        </w:tc>
      </w:tr>
      <w:tr>
        <w:trPr>
          <w:cnfStyle w:evenHBand="false" w:oddHBand="true" w:firstRow="false"/>
        </w:trPr>
        <w:tc>
          <w:tcPr>
            <w:cnfStyle w:evenVBand="false" w:oddVBand="true" w:firstColumn="false"/>
            <w:tcW w:w="25.000000%" w:type="pct"/>
          </w:tcPr>
          <w:p>
            <w:pPr>
              <w:ind w:leftChars="0" w:left="0" w:right="0"/>
            </w:pPr>
            <w:r>
              <w:t>IL</w:t>
            </w:r>
          </w:p>
        </w:tc>
        <w:tc>
          <w:tcPr>
            <w:cnfStyle w:evenVBand="true" w:oddVBand="false" w:firstColumn="false"/>
            <w:tcW w:w="25.000000%" w:type="pct"/>
          </w:tcPr>
          <w:p>
            <w:pPr>
              <w:ind w:leftChars="0" w:left="0" w:right="0"/>
            </w:pPr>
            <w:r>
              <w:t>Israel</w:t>
            </w:r>
          </w:p>
        </w:tc>
        <w:tc>
          <w:tcPr>
            <w:cnfStyle w:evenVBand="false" w:oddVBand="true" w:firstColumn="false"/>
            <w:tcW w:w="25.000000%" w:type="pct"/>
          </w:tcPr>
          <w:p>
            <w:pPr>
              <w:ind w:leftChars="0" w:left="0" w:right="0"/>
            </w:pPr>
            <w:r>
              <w:t>Israel</w:t>
            </w:r>
          </w:p>
        </w:tc>
        <w:tc>
          <w:tcPr>
            <w:cnfStyle w:evenVBand="true" w:oddVBand="false" w:firstColumn="false"/>
            <w:tcW w:w="25.000000%" w:type="pct"/>
          </w:tcPr>
          <w:p>
            <w:pPr>
              <w:ind w:leftChars="0" w:left="0" w:right="0"/>
            </w:pPr>
            <w:r>
              <w:t>46</w:t>
            </w:r>
          </w:p>
        </w:tc>
      </w:tr>
      <w:tr>
        <w:trPr>
          <w:cnfStyle w:evenHBand="true" w:oddHBand="false" w:firstRow="false"/>
        </w:trPr>
        <w:tc>
          <w:tcPr>
            <w:cnfStyle w:evenVBand="false" w:oddVBand="true" w:firstColumn="false"/>
            <w:tcW w:w="25.000000%" w:type="pct"/>
          </w:tcPr>
          <w:p>
            <w:pPr>
              <w:ind w:leftChars="0" w:left="0" w:right="0"/>
            </w:pPr>
            <w:r>
              <w:t>IM</w:t>
            </w:r>
          </w:p>
        </w:tc>
        <w:tc>
          <w:tcPr>
            <w:cnfStyle w:evenVBand="true" w:oddVBand="false" w:firstColumn="false"/>
            <w:tcW w:w="25.000000%" w:type="pct"/>
          </w:tcPr>
          <w:p>
            <w:pPr>
              <w:ind w:leftChars="0" w:left="0" w:right="0"/>
            </w:pPr>
            <w:r>
              <w:t>Isle of Man</w:t>
            </w:r>
          </w:p>
        </w:tc>
        <w:tc>
          <w:tcPr>
            <w:cnfStyle w:evenVBand="false" w:oddVBand="true" w:firstColumn="false"/>
            <w:tcW w:w="25.000000%" w:type="pct"/>
          </w:tcPr>
          <w:p>
            <w:pPr>
              <w:ind w:leftChars="0" w:left="0" w:right="0"/>
            </w:pPr>
            <w:r>
              <w:t>Isle of Man</w:t>
            </w:r>
          </w:p>
        </w:tc>
        <w:tc>
          <w:tcPr>
            <w:cnfStyle w:evenVBand="true" w:oddVBand="false" w:firstColumn="false"/>
            <w:tcW w:w="25.000000%" w:type="pct"/>
          </w:tcPr>
          <w:p>
            <w:pPr>
              <w:ind w:leftChars="0" w:left="0" w:right="0"/>
            </w:pPr>
            <w:r>
              <w:t>47</w:t>
            </w:r>
          </w:p>
        </w:tc>
      </w:tr>
      <w:tr>
        <w:trPr>
          <w:cnfStyle w:evenHBand="false" w:oddHBand="true" w:firstRow="false"/>
        </w:trPr>
        <w:tc>
          <w:tcPr>
            <w:cnfStyle w:evenVBand="false" w:oddVBand="true" w:firstColumn="false"/>
            <w:tcW w:w="25.000000%" w:type="pct"/>
          </w:tcPr>
          <w:p>
            <w:pPr>
              <w:ind w:leftChars="0" w:left="0" w:right="0"/>
            </w:pPr>
            <w:r>
              <w:t>IN</w:t>
            </w:r>
          </w:p>
        </w:tc>
        <w:tc>
          <w:tcPr>
            <w:cnfStyle w:evenVBand="true" w:oddVBand="false" w:firstColumn="false"/>
            <w:tcW w:w="25.000000%" w:type="pct"/>
          </w:tcPr>
          <w:p>
            <w:pPr>
              <w:ind w:leftChars="0" w:left="0" w:right="0"/>
            </w:pPr>
            <w:r>
              <w:t>India</w:t>
            </w:r>
          </w:p>
        </w:tc>
        <w:tc>
          <w:tcPr>
            <w:cnfStyle w:evenVBand="false" w:oddVBand="true" w:firstColumn="false"/>
            <w:tcW w:w="25.000000%" w:type="pct"/>
          </w:tcPr>
          <w:p>
            <w:pPr>
              <w:ind w:leftChars="0" w:left="0" w:right="0"/>
            </w:pPr>
            <w:r>
              <w:t>India</w:t>
            </w:r>
          </w:p>
        </w:tc>
        <w:tc>
          <w:tcPr>
            <w:cnfStyle w:evenVBand="true" w:oddVBand="false" w:firstColumn="false"/>
            <w:tcW w:w="25.000000%" w:type="pct"/>
          </w:tcPr>
          <w:p>
            <w:pPr>
              <w:ind w:leftChars="0" w:left="0" w:right="0"/>
            </w:pPr>
            <w:r>
              <w:t>48</w:t>
            </w:r>
          </w:p>
        </w:tc>
      </w:tr>
      <w:tr>
        <w:trPr>
          <w:cnfStyle w:evenHBand="true" w:oddHBand="false" w:firstRow="false"/>
        </w:trPr>
        <w:tc>
          <w:tcPr>
            <w:cnfStyle w:evenVBand="false" w:oddVBand="true" w:firstColumn="false"/>
            <w:tcW w:w="25.000000%" w:type="pct"/>
          </w:tcPr>
          <w:p>
            <w:pPr>
              <w:ind w:leftChars="0" w:left="0" w:right="0"/>
            </w:pPr>
            <w:r>
              <w:t>IO</w:t>
            </w:r>
          </w:p>
        </w:tc>
        <w:tc>
          <w:tcPr>
            <w:cnfStyle w:evenVBand="true" w:oddVBand="false" w:firstColumn="false"/>
            <w:tcW w:w="25.000000%" w:type="pct"/>
          </w:tcPr>
          <w:p>
            <w:pPr>
              <w:ind w:leftChars="0" w:left="0" w:right="0"/>
            </w:pPr>
            <w:r>
              <w:t>British Indian Ocean Territory (the)</w:t>
            </w:r>
          </w:p>
        </w:tc>
        <w:tc>
          <w:tcPr>
            <w:cnfStyle w:evenVBand="false" w:oddVBand="true" w:firstColumn="false"/>
            <w:tcW w:w="25.000000%" w:type="pct"/>
          </w:tcPr>
          <w:p>
            <w:pPr>
              <w:ind w:leftChars="0" w:left="0" w:right="0"/>
            </w:pPr>
            <w:r>
              <w:t>British Indian Ocean Territory (the)</w:t>
            </w:r>
          </w:p>
        </w:tc>
        <w:tc>
          <w:tcPr>
            <w:cnfStyle w:evenVBand="true" w:oddVBand="false" w:firstColumn="false"/>
            <w:tcW w:w="25.000000%" w:type="pct"/>
          </w:tcPr>
          <w:p>
            <w:pPr>
              <w:ind w:leftChars="0" w:left="0" w:right="0"/>
            </w:pPr>
            <w:r>
              <w:t>49</w:t>
            </w:r>
          </w:p>
        </w:tc>
      </w:tr>
      <w:tr>
        <w:trPr>
          <w:cnfStyle w:evenHBand="false" w:oddHBand="true" w:firstRow="false"/>
        </w:trPr>
        <w:tc>
          <w:tcPr>
            <w:cnfStyle w:evenVBand="false" w:oddVBand="true" w:firstColumn="false"/>
            <w:tcW w:w="25.000000%" w:type="pct"/>
          </w:tcPr>
          <w:p>
            <w:pPr>
              <w:ind w:leftChars="0" w:left="0" w:right="0"/>
            </w:pPr>
            <w:r>
              <w:t>IS</w:t>
            </w:r>
          </w:p>
        </w:tc>
        <w:tc>
          <w:tcPr>
            <w:cnfStyle w:evenVBand="true" w:oddVBand="false" w:firstColumn="false"/>
            <w:tcW w:w="25.000000%" w:type="pct"/>
          </w:tcPr>
          <w:p>
            <w:pPr>
              <w:ind w:leftChars="0" w:left="0" w:right="0"/>
            </w:pPr>
            <w:r>
              <w:t>Iceland</w:t>
            </w:r>
          </w:p>
        </w:tc>
        <w:tc>
          <w:tcPr>
            <w:cnfStyle w:evenVBand="false" w:oddVBand="true" w:firstColumn="false"/>
            <w:tcW w:w="25.000000%" w:type="pct"/>
          </w:tcPr>
          <w:p>
            <w:pPr>
              <w:ind w:leftChars="0" w:left="0" w:right="0"/>
            </w:pPr>
            <w:r>
              <w:t>Iceland</w:t>
            </w:r>
          </w:p>
        </w:tc>
        <w:tc>
          <w:tcPr>
            <w:cnfStyle w:evenVBand="true" w:oddVBand="false" w:firstColumn="false"/>
            <w:tcW w:w="25.000000%" w:type="pct"/>
          </w:tcPr>
          <w:p>
            <w:pPr>
              <w:ind w:leftChars="0" w:left="0" w:right="0"/>
            </w:pPr>
            <w:r>
              <w:t>50</w:t>
            </w:r>
          </w:p>
        </w:tc>
      </w:tr>
      <w:tr>
        <w:trPr>
          <w:cnfStyle w:evenHBand="true" w:oddHBand="false" w:firstRow="false"/>
        </w:trPr>
        <w:tc>
          <w:tcPr>
            <w:cnfStyle w:evenVBand="false" w:oddVBand="true" w:firstColumn="false"/>
            <w:tcW w:w="25.000000%" w:type="pct"/>
          </w:tcPr>
          <w:p>
            <w:pPr>
              <w:ind w:leftChars="0" w:left="0" w:right="0"/>
            </w:pPr>
            <w:r>
              <w:t>IT</w:t>
            </w:r>
          </w:p>
        </w:tc>
        <w:tc>
          <w:tcPr>
            <w:cnfStyle w:evenVBand="true" w:oddVBand="false" w:firstColumn="false"/>
            <w:tcW w:w="25.000000%" w:type="pct"/>
          </w:tcPr>
          <w:p>
            <w:pPr>
              <w:ind w:leftChars="0" w:left="0" w:right="0"/>
            </w:pPr>
            <w:r>
              <w:t>Italy</w:t>
            </w:r>
          </w:p>
        </w:tc>
        <w:tc>
          <w:tcPr>
            <w:cnfStyle w:evenVBand="false" w:oddVBand="true" w:firstColumn="false"/>
            <w:tcW w:w="25.000000%" w:type="pct"/>
          </w:tcPr>
          <w:p>
            <w:pPr>
              <w:ind w:leftChars="0" w:left="0" w:right="0"/>
            </w:pPr>
            <w:r>
              <w:t>Italy</w:t>
            </w:r>
          </w:p>
        </w:tc>
        <w:tc>
          <w:tcPr>
            <w:cnfStyle w:evenVBand="true" w:oddVBand="false" w:firstColumn="false"/>
            <w:tcW w:w="25.000000%" w:type="pct"/>
          </w:tcPr>
          <w:p>
            <w:pPr>
              <w:ind w:leftChars="0" w:left="0" w:right="0"/>
            </w:pPr>
            <w:r>
              <w:t>51</w:t>
            </w:r>
          </w:p>
        </w:tc>
      </w:tr>
      <w:tr>
        <w:trPr>
          <w:cnfStyle w:evenHBand="false" w:oddHBand="true" w:firstRow="false"/>
        </w:trPr>
        <w:tc>
          <w:tcPr>
            <w:cnfStyle w:evenVBand="false" w:oddVBand="true" w:firstColumn="false"/>
            <w:tcW w:w="25.000000%" w:type="pct"/>
          </w:tcPr>
          <w:p>
            <w:pPr>
              <w:ind w:leftChars="0" w:left="0" w:right="0"/>
            </w:pPr>
            <w:r>
              <w:t>JE</w:t>
            </w:r>
          </w:p>
        </w:tc>
        <w:tc>
          <w:tcPr>
            <w:cnfStyle w:evenVBand="true" w:oddVBand="false" w:firstColumn="false"/>
            <w:tcW w:w="25.000000%" w:type="pct"/>
          </w:tcPr>
          <w:p>
            <w:pPr>
              <w:ind w:leftChars="0" w:left="0" w:right="0"/>
            </w:pPr>
            <w:r>
              <w:t>Jersey</w:t>
            </w:r>
          </w:p>
        </w:tc>
        <w:tc>
          <w:tcPr>
            <w:cnfStyle w:evenVBand="false" w:oddVBand="true" w:firstColumn="false"/>
            <w:tcW w:w="25.000000%" w:type="pct"/>
          </w:tcPr>
          <w:p>
            <w:pPr>
              <w:ind w:leftChars="0" w:left="0" w:right="0"/>
            </w:pPr>
            <w:r>
              <w:t>Jersey</w:t>
            </w:r>
          </w:p>
        </w:tc>
        <w:tc>
          <w:tcPr>
            <w:cnfStyle w:evenVBand="true" w:oddVBand="false" w:firstColumn="false"/>
            <w:tcW w:w="25.000000%" w:type="pct"/>
          </w:tcPr>
          <w:p>
            <w:pPr>
              <w:ind w:leftChars="0" w:left="0" w:right="0"/>
            </w:pPr>
            <w:r>
              <w:t>52</w:t>
            </w:r>
          </w:p>
        </w:tc>
      </w:tr>
      <w:tr>
        <w:trPr>
          <w:cnfStyle w:evenHBand="true" w:oddHBand="false" w:firstRow="false"/>
        </w:trPr>
        <w:tc>
          <w:tcPr>
            <w:cnfStyle w:evenVBand="false" w:oddVBand="true" w:firstColumn="false"/>
            <w:tcW w:w="25.000000%" w:type="pct"/>
          </w:tcPr>
          <w:p>
            <w:pPr>
              <w:ind w:leftChars="0" w:left="0" w:right="0"/>
            </w:pPr>
            <w:r>
              <w:t>JP</w:t>
            </w:r>
          </w:p>
        </w:tc>
        <w:tc>
          <w:tcPr>
            <w:cnfStyle w:evenVBand="true" w:oddVBand="false" w:firstColumn="false"/>
            <w:tcW w:w="25.000000%" w:type="pct"/>
          </w:tcPr>
          <w:p>
            <w:pPr>
              <w:ind w:leftChars="0" w:left="0" w:right="0"/>
            </w:pPr>
            <w:r>
              <w:t>Japan</w:t>
            </w:r>
          </w:p>
        </w:tc>
        <w:tc>
          <w:tcPr>
            <w:cnfStyle w:evenVBand="false" w:oddVBand="true" w:firstColumn="false"/>
            <w:tcW w:w="25.000000%" w:type="pct"/>
          </w:tcPr>
          <w:p>
            <w:pPr>
              <w:ind w:leftChars="0" w:left="0" w:right="0"/>
            </w:pPr>
            <w:r>
              <w:t>Japan</w:t>
            </w:r>
          </w:p>
        </w:tc>
        <w:tc>
          <w:tcPr>
            <w:cnfStyle w:evenVBand="true" w:oddVBand="false" w:firstColumn="false"/>
            <w:tcW w:w="25.000000%" w:type="pct"/>
          </w:tcPr>
          <w:p>
            <w:pPr>
              <w:ind w:leftChars="0" w:left="0" w:right="0"/>
            </w:pPr>
            <w:r>
              <w:t>53</w:t>
            </w:r>
          </w:p>
        </w:tc>
      </w:tr>
      <w:tr>
        <w:trPr>
          <w:cnfStyle w:evenHBand="false" w:oddHBand="true" w:firstRow="false"/>
        </w:trPr>
        <w:tc>
          <w:tcPr>
            <w:cnfStyle w:evenVBand="false" w:oddVBand="true" w:firstColumn="false"/>
            <w:tcW w:w="25.000000%" w:type="pct"/>
          </w:tcPr>
          <w:p>
            <w:pPr>
              <w:ind w:leftChars="0" w:left="0" w:right="0"/>
            </w:pPr>
            <w:r>
              <w:t>KE</w:t>
            </w:r>
          </w:p>
        </w:tc>
        <w:tc>
          <w:tcPr>
            <w:cnfStyle w:evenVBand="true" w:oddVBand="false" w:firstColumn="false"/>
            <w:tcW w:w="25.000000%" w:type="pct"/>
          </w:tcPr>
          <w:p>
            <w:pPr>
              <w:ind w:leftChars="0" w:left="0" w:right="0"/>
            </w:pPr>
            <w:r>
              <w:t>Kenya</w:t>
            </w:r>
          </w:p>
        </w:tc>
        <w:tc>
          <w:tcPr>
            <w:cnfStyle w:evenVBand="false" w:oddVBand="true" w:firstColumn="false"/>
            <w:tcW w:w="25.000000%" w:type="pct"/>
          </w:tcPr>
          <w:p>
            <w:pPr>
              <w:ind w:leftChars="0" w:left="0" w:right="0"/>
            </w:pPr>
            <w:r>
              <w:t>Kenya</w:t>
            </w:r>
          </w:p>
        </w:tc>
        <w:tc>
          <w:tcPr>
            <w:cnfStyle w:evenVBand="true" w:oddVBand="false" w:firstColumn="false"/>
            <w:tcW w:w="25.000000%" w:type="pct"/>
          </w:tcPr>
          <w:p>
            <w:pPr>
              <w:ind w:leftChars="0" w:left="0" w:right="0"/>
            </w:pPr>
            <w:r>
              <w:t>54</w:t>
            </w:r>
          </w:p>
        </w:tc>
      </w:tr>
      <w:tr>
        <w:trPr>
          <w:cnfStyle w:evenHBand="true" w:oddHBand="false" w:firstRow="false"/>
        </w:trPr>
        <w:tc>
          <w:tcPr>
            <w:cnfStyle w:evenVBand="false" w:oddVBand="true" w:firstColumn="false"/>
            <w:tcW w:w="25.000000%" w:type="pct"/>
          </w:tcPr>
          <w:p>
            <w:pPr>
              <w:ind w:leftChars="0" w:left="0" w:right="0"/>
            </w:pPr>
            <w:r>
              <w:t>KR</w:t>
            </w:r>
          </w:p>
        </w:tc>
        <w:tc>
          <w:tcPr>
            <w:cnfStyle w:evenVBand="true" w:oddVBand="false" w:firstColumn="false"/>
            <w:tcW w:w="25.000000%" w:type="pct"/>
          </w:tcPr>
          <w:p>
            <w:pPr>
              <w:ind w:leftChars="0" w:left="0" w:right="0"/>
            </w:pPr>
            <w:r>
              <w:t>Korea (the Republic of)</w:t>
            </w:r>
          </w:p>
        </w:tc>
        <w:tc>
          <w:tcPr>
            <w:cnfStyle w:evenVBand="false" w:oddVBand="true" w:firstColumn="false"/>
            <w:tcW w:w="25.000000%" w:type="pct"/>
          </w:tcPr>
          <w:p>
            <w:pPr>
              <w:ind w:leftChars="0" w:left="0" w:right="0"/>
            </w:pPr>
            <w:r>
              <w:t>Korea (the Republic of)</w:t>
            </w:r>
          </w:p>
        </w:tc>
        <w:tc>
          <w:tcPr>
            <w:cnfStyle w:evenVBand="true" w:oddVBand="false" w:firstColumn="false"/>
            <w:tcW w:w="25.000000%" w:type="pct"/>
          </w:tcPr>
          <w:p>
            <w:pPr>
              <w:ind w:leftChars="0" w:left="0" w:right="0"/>
            </w:pPr>
            <w:r>
              <w:t>55</w:t>
            </w:r>
          </w:p>
        </w:tc>
      </w:tr>
      <w:tr>
        <w:trPr>
          <w:cnfStyle w:evenHBand="false" w:oddHBand="true" w:firstRow="false"/>
        </w:trPr>
        <w:tc>
          <w:tcPr>
            <w:cnfStyle w:evenVBand="false" w:oddVBand="true" w:firstColumn="false"/>
            <w:tcW w:w="25.000000%" w:type="pct"/>
          </w:tcPr>
          <w:p>
            <w:pPr>
              <w:ind w:leftChars="0" w:left="0" w:right="0"/>
            </w:pPr>
            <w:r>
              <w:t>KY</w:t>
            </w:r>
          </w:p>
        </w:tc>
        <w:tc>
          <w:tcPr>
            <w:cnfStyle w:evenVBand="true" w:oddVBand="false" w:firstColumn="false"/>
            <w:tcW w:w="25.000000%" w:type="pct"/>
          </w:tcPr>
          <w:p>
            <w:pPr>
              <w:ind w:leftChars="0" w:left="0" w:right="0"/>
            </w:pPr>
            <w:r>
              <w:t>Cayman Islands (the)</w:t>
            </w:r>
          </w:p>
        </w:tc>
        <w:tc>
          <w:tcPr>
            <w:cnfStyle w:evenVBand="false" w:oddVBand="true" w:firstColumn="false"/>
            <w:tcW w:w="25.000000%" w:type="pct"/>
          </w:tcPr>
          <w:p>
            <w:pPr>
              <w:ind w:leftChars="0" w:left="0" w:right="0"/>
            </w:pPr>
            <w:r>
              <w:t>Cayman Islands (the)</w:t>
            </w:r>
          </w:p>
        </w:tc>
        <w:tc>
          <w:tcPr>
            <w:cnfStyle w:evenVBand="true" w:oddVBand="false" w:firstColumn="false"/>
            <w:tcW w:w="25.000000%" w:type="pct"/>
          </w:tcPr>
          <w:p>
            <w:pPr>
              <w:ind w:leftChars="0" w:left="0" w:right="0"/>
            </w:pPr>
            <w:r>
              <w:t>56</w:t>
            </w:r>
          </w:p>
        </w:tc>
      </w:tr>
      <w:tr>
        <w:trPr>
          <w:cnfStyle w:evenHBand="true" w:oddHBand="false" w:firstRow="false"/>
        </w:trPr>
        <w:tc>
          <w:tcPr>
            <w:cnfStyle w:evenVBand="false" w:oddVBand="true" w:firstColumn="false"/>
            <w:tcW w:w="25.000000%" w:type="pct"/>
          </w:tcPr>
          <w:p>
            <w:pPr>
              <w:ind w:leftChars="0" w:left="0" w:right="0"/>
            </w:pPr>
            <w:r>
              <w:t>KZ</w:t>
            </w:r>
          </w:p>
        </w:tc>
        <w:tc>
          <w:tcPr>
            <w:cnfStyle w:evenVBand="true" w:oddVBand="false" w:firstColumn="false"/>
            <w:tcW w:w="25.000000%" w:type="pct"/>
          </w:tcPr>
          <w:p>
            <w:pPr>
              <w:ind w:leftChars="0" w:left="0" w:right="0"/>
            </w:pPr>
            <w:r>
              <w:t>Kazakhstan</w:t>
            </w:r>
          </w:p>
        </w:tc>
        <w:tc>
          <w:tcPr>
            <w:cnfStyle w:evenVBand="false" w:oddVBand="true" w:firstColumn="false"/>
            <w:tcW w:w="25.000000%" w:type="pct"/>
          </w:tcPr>
          <w:p>
            <w:pPr>
              <w:ind w:leftChars="0" w:left="0" w:right="0"/>
            </w:pPr>
            <w:r>
              <w:t>Kazakhstan</w:t>
            </w:r>
          </w:p>
        </w:tc>
        <w:tc>
          <w:tcPr>
            <w:cnfStyle w:evenVBand="true" w:oddVBand="false" w:firstColumn="false"/>
            <w:tcW w:w="25.000000%" w:type="pct"/>
          </w:tcPr>
          <w:p>
            <w:pPr>
              <w:ind w:leftChars="0" w:left="0" w:right="0"/>
            </w:pPr>
            <w:r>
              <w:t>57</w:t>
            </w:r>
          </w:p>
        </w:tc>
      </w:tr>
      <w:tr>
        <w:trPr>
          <w:cnfStyle w:evenHBand="false" w:oddHBand="true" w:firstRow="false"/>
        </w:trPr>
        <w:tc>
          <w:tcPr>
            <w:cnfStyle w:evenVBand="false" w:oddVBand="true" w:firstColumn="false"/>
            <w:tcW w:w="25.000000%" w:type="pct"/>
          </w:tcPr>
          <w:p>
            <w:pPr>
              <w:ind w:leftChars="0" w:left="0" w:right="0"/>
            </w:pPr>
            <w:r>
              <w:t>LB</w:t>
            </w:r>
          </w:p>
        </w:tc>
        <w:tc>
          <w:tcPr>
            <w:cnfStyle w:evenVBand="true" w:oddVBand="false" w:firstColumn="false"/>
            <w:tcW w:w="25.000000%" w:type="pct"/>
          </w:tcPr>
          <w:p>
            <w:pPr>
              <w:ind w:leftChars="0" w:left="0" w:right="0"/>
            </w:pPr>
            <w:r>
              <w:t>Lebanon</w:t>
            </w:r>
          </w:p>
        </w:tc>
        <w:tc>
          <w:tcPr>
            <w:cnfStyle w:evenVBand="false" w:oddVBand="true" w:firstColumn="false"/>
            <w:tcW w:w="25.000000%" w:type="pct"/>
          </w:tcPr>
          <w:p>
            <w:pPr>
              <w:ind w:leftChars="0" w:left="0" w:right="0"/>
            </w:pPr>
            <w:r>
              <w:t>Lebanon</w:t>
            </w:r>
          </w:p>
        </w:tc>
        <w:tc>
          <w:tcPr>
            <w:cnfStyle w:evenVBand="true" w:oddVBand="false" w:firstColumn="false"/>
            <w:tcW w:w="25.000000%" w:type="pct"/>
          </w:tcPr>
          <w:p>
            <w:pPr>
              <w:ind w:leftChars="0" w:left="0" w:right="0"/>
            </w:pPr>
            <w:r>
              <w:t>58</w:t>
            </w:r>
          </w:p>
        </w:tc>
      </w:tr>
      <w:tr>
        <w:trPr>
          <w:cnfStyle w:evenHBand="true" w:oddHBand="false" w:firstRow="false"/>
        </w:trPr>
        <w:tc>
          <w:tcPr>
            <w:cnfStyle w:evenVBand="false" w:oddVBand="true" w:firstColumn="false"/>
            <w:tcW w:w="25.000000%" w:type="pct"/>
          </w:tcPr>
          <w:p>
            <w:pPr>
              <w:ind w:leftChars="0" w:left="0" w:right="0"/>
            </w:pPr>
            <w:r>
              <w:t>LR</w:t>
            </w:r>
          </w:p>
        </w:tc>
        <w:tc>
          <w:tcPr>
            <w:cnfStyle w:evenVBand="true" w:oddVBand="false" w:firstColumn="false"/>
            <w:tcW w:w="25.000000%" w:type="pct"/>
          </w:tcPr>
          <w:p>
            <w:pPr>
              <w:ind w:leftChars="0" w:left="0" w:right="0"/>
            </w:pPr>
            <w:r>
              <w:t>Liberia</w:t>
            </w:r>
          </w:p>
        </w:tc>
        <w:tc>
          <w:tcPr>
            <w:cnfStyle w:evenVBand="false" w:oddVBand="true" w:firstColumn="false"/>
            <w:tcW w:w="25.000000%" w:type="pct"/>
          </w:tcPr>
          <w:p>
            <w:pPr>
              <w:ind w:leftChars="0" w:left="0" w:right="0"/>
            </w:pPr>
            <w:r>
              <w:t>Liberia</w:t>
            </w:r>
          </w:p>
        </w:tc>
        <w:tc>
          <w:tcPr>
            <w:cnfStyle w:evenVBand="true" w:oddVBand="false" w:firstColumn="false"/>
            <w:tcW w:w="25.000000%" w:type="pct"/>
          </w:tcPr>
          <w:p>
            <w:pPr>
              <w:ind w:leftChars="0" w:left="0" w:right="0"/>
            </w:pPr>
            <w:r>
              <w:t>59</w:t>
            </w:r>
          </w:p>
        </w:tc>
      </w:tr>
      <w:tr>
        <w:trPr>
          <w:cnfStyle w:evenHBand="false" w:oddHBand="true" w:firstRow="false"/>
        </w:trPr>
        <w:tc>
          <w:tcPr>
            <w:cnfStyle w:evenVBand="false" w:oddVBand="true" w:firstColumn="false"/>
            <w:tcW w:w="25.000000%" w:type="pct"/>
          </w:tcPr>
          <w:p>
            <w:pPr>
              <w:ind w:leftChars="0" w:left="0" w:right="0"/>
            </w:pPr>
            <w:r>
              <w:t>LU</w:t>
            </w:r>
          </w:p>
        </w:tc>
        <w:tc>
          <w:tcPr>
            <w:cnfStyle w:evenVBand="true" w:oddVBand="false" w:firstColumn="false"/>
            <w:tcW w:w="25.000000%" w:type="pct"/>
          </w:tcPr>
          <w:p>
            <w:pPr>
              <w:ind w:leftChars="0" w:left="0" w:right="0"/>
            </w:pPr>
            <w:r>
              <w:t>Luxembourg</w:t>
            </w:r>
          </w:p>
        </w:tc>
        <w:tc>
          <w:tcPr>
            <w:cnfStyle w:evenVBand="false" w:oddVBand="true" w:firstColumn="false"/>
            <w:tcW w:w="25.000000%" w:type="pct"/>
          </w:tcPr>
          <w:p>
            <w:pPr>
              <w:ind w:leftChars="0" w:left="0" w:right="0"/>
            </w:pPr>
            <w:r>
              <w:t>Luxembourg</w:t>
            </w:r>
          </w:p>
        </w:tc>
        <w:tc>
          <w:tcPr>
            <w:cnfStyle w:evenVBand="true" w:oddVBand="false" w:firstColumn="false"/>
            <w:tcW w:w="25.000000%" w:type="pct"/>
          </w:tcPr>
          <w:p>
            <w:pPr>
              <w:ind w:leftChars="0" w:left="0" w:right="0"/>
            </w:pPr>
            <w:r>
              <w:t>60</w:t>
            </w:r>
          </w:p>
        </w:tc>
      </w:tr>
      <w:tr>
        <w:trPr>
          <w:cnfStyle w:evenHBand="true" w:oddHBand="false" w:firstRow="false"/>
        </w:trPr>
        <w:tc>
          <w:tcPr>
            <w:cnfStyle w:evenVBand="false" w:oddVBand="true" w:firstColumn="false"/>
            <w:tcW w:w="25.000000%" w:type="pct"/>
          </w:tcPr>
          <w:p>
            <w:pPr>
              <w:ind w:leftChars="0" w:left="0" w:right="0"/>
            </w:pPr>
            <w:r>
              <w:t>LV</w:t>
            </w:r>
          </w:p>
        </w:tc>
        <w:tc>
          <w:tcPr>
            <w:cnfStyle w:evenVBand="true" w:oddVBand="false" w:firstColumn="false"/>
            <w:tcW w:w="25.000000%" w:type="pct"/>
          </w:tcPr>
          <w:p>
            <w:pPr>
              <w:ind w:leftChars="0" w:left="0" w:right="0"/>
            </w:pPr>
            <w:r>
              <w:t>Latvia</w:t>
            </w:r>
          </w:p>
        </w:tc>
        <w:tc>
          <w:tcPr>
            <w:cnfStyle w:evenVBand="false" w:oddVBand="true" w:firstColumn="false"/>
            <w:tcW w:w="25.000000%" w:type="pct"/>
          </w:tcPr>
          <w:p>
            <w:pPr>
              <w:ind w:leftChars="0" w:left="0" w:right="0"/>
            </w:pPr>
            <w:r>
              <w:t>Latvia</w:t>
            </w:r>
          </w:p>
        </w:tc>
        <w:tc>
          <w:tcPr>
            <w:cnfStyle w:evenVBand="true" w:oddVBand="false" w:firstColumn="false"/>
            <w:tcW w:w="25.000000%" w:type="pct"/>
          </w:tcPr>
          <w:p>
            <w:pPr>
              <w:ind w:leftChars="0" w:left="0" w:right="0"/>
            </w:pPr>
            <w:r>
              <w:t>61</w:t>
            </w:r>
          </w:p>
        </w:tc>
      </w:tr>
      <w:tr>
        <w:trPr>
          <w:cnfStyle w:evenHBand="false" w:oddHBand="true" w:firstRow="false"/>
        </w:trPr>
        <w:tc>
          <w:tcPr>
            <w:cnfStyle w:evenVBand="false" w:oddVBand="true" w:firstColumn="false"/>
            <w:tcW w:w="25.000000%" w:type="pct"/>
          </w:tcPr>
          <w:p>
            <w:pPr>
              <w:ind w:leftChars="0" w:left="0" w:right="0"/>
            </w:pPr>
            <w:r>
              <w:t>LY</w:t>
            </w:r>
          </w:p>
        </w:tc>
        <w:tc>
          <w:tcPr>
            <w:cnfStyle w:evenVBand="true" w:oddVBand="false" w:firstColumn="false"/>
            <w:tcW w:w="25.000000%" w:type="pct"/>
          </w:tcPr>
          <w:p>
            <w:pPr>
              <w:ind w:leftChars="0" w:left="0" w:right="0"/>
            </w:pPr>
            <w:r>
              <w:t>Libya</w:t>
            </w:r>
          </w:p>
        </w:tc>
        <w:tc>
          <w:tcPr>
            <w:cnfStyle w:evenVBand="false" w:oddVBand="true" w:firstColumn="false"/>
            <w:tcW w:w="25.000000%" w:type="pct"/>
          </w:tcPr>
          <w:p>
            <w:pPr>
              <w:ind w:leftChars="0" w:left="0" w:right="0"/>
            </w:pPr>
            <w:r>
              <w:t>Libya</w:t>
            </w:r>
          </w:p>
        </w:tc>
        <w:tc>
          <w:tcPr>
            <w:cnfStyle w:evenVBand="true" w:oddVBand="false" w:firstColumn="false"/>
            <w:tcW w:w="25.000000%" w:type="pct"/>
          </w:tcPr>
          <w:p>
            <w:pPr>
              <w:ind w:leftChars="0" w:left="0" w:right="0"/>
            </w:pPr>
            <w:r>
              <w:t>62</w:t>
            </w:r>
          </w:p>
        </w:tc>
      </w:tr>
      <w:tr>
        <w:trPr>
          <w:cnfStyle w:evenHBand="true" w:oddHBand="false" w:firstRow="false"/>
        </w:trPr>
        <w:tc>
          <w:tcPr>
            <w:cnfStyle w:evenVBand="false" w:oddVBand="true" w:firstColumn="false"/>
            <w:tcW w:w="25.000000%" w:type="pct"/>
          </w:tcPr>
          <w:p>
            <w:pPr>
              <w:ind w:leftChars="0" w:left="0" w:right="0"/>
            </w:pPr>
            <w:r>
              <w:t>ME</w:t>
            </w:r>
          </w:p>
        </w:tc>
        <w:tc>
          <w:tcPr>
            <w:cnfStyle w:evenVBand="true" w:oddVBand="false" w:firstColumn="false"/>
            <w:tcW w:w="25.000000%" w:type="pct"/>
          </w:tcPr>
          <w:p>
            <w:pPr>
              <w:ind w:leftChars="0" w:left="0" w:right="0"/>
            </w:pPr>
            <w:r>
              <w:t>Montenegro</w:t>
            </w:r>
          </w:p>
        </w:tc>
        <w:tc>
          <w:tcPr>
            <w:cnfStyle w:evenVBand="false" w:oddVBand="true" w:firstColumn="false"/>
            <w:tcW w:w="25.000000%" w:type="pct"/>
          </w:tcPr>
          <w:p>
            <w:pPr>
              <w:ind w:leftChars="0" w:left="0" w:right="0"/>
            </w:pPr>
            <w:r>
              <w:t>Montenegro</w:t>
            </w:r>
          </w:p>
        </w:tc>
        <w:tc>
          <w:tcPr>
            <w:cnfStyle w:evenVBand="true" w:oddVBand="false" w:firstColumn="false"/>
            <w:tcW w:w="25.000000%" w:type="pct"/>
          </w:tcPr>
          <w:p>
            <w:pPr>
              <w:ind w:leftChars="0" w:left="0" w:right="0"/>
            </w:pPr>
            <w:r>
              <w:t>63</w:t>
            </w:r>
          </w:p>
        </w:tc>
      </w:tr>
      <w:tr>
        <w:trPr>
          <w:cnfStyle w:evenHBand="false" w:oddHBand="true" w:firstRow="false"/>
        </w:trPr>
        <w:tc>
          <w:tcPr>
            <w:cnfStyle w:evenVBand="false" w:oddVBand="true" w:firstColumn="false"/>
            <w:tcW w:w="25.000000%" w:type="pct"/>
          </w:tcPr>
          <w:p>
            <w:pPr>
              <w:ind w:leftChars="0" w:left="0" w:right="0"/>
            </w:pPr>
            <w:r>
              <w:t>MH</w:t>
            </w:r>
          </w:p>
        </w:tc>
        <w:tc>
          <w:tcPr>
            <w:cnfStyle w:evenVBand="true" w:oddVBand="false" w:firstColumn="false"/>
            <w:tcW w:w="25.000000%" w:type="pct"/>
          </w:tcPr>
          <w:p>
            <w:pPr>
              <w:ind w:leftChars="0" w:left="0" w:right="0"/>
            </w:pPr>
            <w:r>
              <w:t>Marshall Islands (the)</w:t>
            </w:r>
          </w:p>
        </w:tc>
        <w:tc>
          <w:tcPr>
            <w:cnfStyle w:evenVBand="false" w:oddVBand="true" w:firstColumn="false"/>
            <w:tcW w:w="25.000000%" w:type="pct"/>
          </w:tcPr>
          <w:p>
            <w:pPr>
              <w:ind w:leftChars="0" w:left="0" w:right="0"/>
            </w:pPr>
            <w:r>
              <w:t>Marshall Islands (the)</w:t>
            </w:r>
          </w:p>
        </w:tc>
        <w:tc>
          <w:tcPr>
            <w:cnfStyle w:evenVBand="true" w:oddVBand="false" w:firstColumn="false"/>
            <w:tcW w:w="25.000000%" w:type="pct"/>
          </w:tcPr>
          <w:p>
            <w:pPr>
              <w:ind w:leftChars="0" w:left="0" w:right="0"/>
            </w:pPr>
            <w:r>
              <w:t>64</w:t>
            </w:r>
          </w:p>
        </w:tc>
      </w:tr>
      <w:tr>
        <w:trPr>
          <w:cnfStyle w:evenHBand="true" w:oddHBand="false" w:firstRow="false"/>
        </w:trPr>
        <w:tc>
          <w:tcPr>
            <w:cnfStyle w:evenVBand="false" w:oddVBand="true" w:firstColumn="false"/>
            <w:tcW w:w="25.000000%" w:type="pct"/>
          </w:tcPr>
          <w:p>
            <w:pPr>
              <w:ind w:leftChars="0" w:left="0" w:right="0"/>
            </w:pPr>
            <w:r>
              <w:t>MK</w:t>
            </w:r>
          </w:p>
        </w:tc>
        <w:tc>
          <w:tcPr>
            <w:cnfStyle w:evenVBand="true" w:oddVBand="false" w:firstColumn="false"/>
            <w:tcW w:w="25.000000%" w:type="pct"/>
          </w:tcPr>
          <w:p>
            <w:pPr>
              <w:ind w:leftChars="0" w:left="0" w:right="0"/>
            </w:pPr>
            <w:r>
              <w:t>Macedonia (the former Yugoslav Republic of)</w:t>
            </w:r>
          </w:p>
        </w:tc>
        <w:tc>
          <w:tcPr>
            <w:cnfStyle w:evenVBand="false" w:oddVBand="true" w:firstColumn="false"/>
            <w:tcW w:w="25.000000%" w:type="pct"/>
          </w:tcPr>
          <w:p>
            <w:pPr>
              <w:ind w:leftChars="0" w:left="0" w:right="0"/>
            </w:pPr>
            <w:r>
              <w:t>Macedonia (the former Yugoslav Republic of)</w:t>
            </w:r>
          </w:p>
        </w:tc>
        <w:tc>
          <w:tcPr>
            <w:cnfStyle w:evenVBand="true" w:oddVBand="false" w:firstColumn="false"/>
            <w:tcW w:w="25.000000%" w:type="pct"/>
          </w:tcPr>
          <w:p>
            <w:pPr>
              <w:ind w:leftChars="0" w:left="0" w:right="0"/>
            </w:pPr>
            <w:r>
              <w:t>65</w:t>
            </w:r>
          </w:p>
        </w:tc>
      </w:tr>
      <w:tr>
        <w:trPr>
          <w:cnfStyle w:evenHBand="false" w:oddHBand="true" w:firstRow="false"/>
        </w:trPr>
        <w:tc>
          <w:tcPr>
            <w:cnfStyle w:evenVBand="false" w:oddVBand="true" w:firstColumn="false"/>
            <w:tcW w:w="25.000000%" w:type="pct"/>
          </w:tcPr>
          <w:p>
            <w:pPr>
              <w:ind w:leftChars="0" w:left="0" w:right="0"/>
            </w:pPr>
            <w:r>
              <w:t>MN</w:t>
            </w:r>
          </w:p>
        </w:tc>
        <w:tc>
          <w:tcPr>
            <w:cnfStyle w:evenVBand="true" w:oddVBand="false" w:firstColumn="false"/>
            <w:tcW w:w="25.000000%" w:type="pct"/>
          </w:tcPr>
          <w:p>
            <w:pPr>
              <w:ind w:leftChars="0" w:left="0" w:right="0"/>
            </w:pPr>
            <w:r>
              <w:t>Mongolia</w:t>
            </w:r>
          </w:p>
        </w:tc>
        <w:tc>
          <w:tcPr>
            <w:cnfStyle w:evenVBand="false" w:oddVBand="true" w:firstColumn="false"/>
            <w:tcW w:w="25.000000%" w:type="pct"/>
          </w:tcPr>
          <w:p>
            <w:pPr>
              <w:ind w:leftChars="0" w:left="0" w:right="0"/>
            </w:pPr>
            <w:r>
              <w:t>Mongolia</w:t>
            </w:r>
          </w:p>
        </w:tc>
        <w:tc>
          <w:tcPr>
            <w:cnfStyle w:evenVBand="true" w:oddVBand="false" w:firstColumn="false"/>
            <w:tcW w:w="25.000000%" w:type="pct"/>
          </w:tcPr>
          <w:p>
            <w:pPr>
              <w:ind w:leftChars="0" w:left="0" w:right="0"/>
            </w:pPr>
            <w:r>
              <w:t>66</w:t>
            </w:r>
          </w:p>
        </w:tc>
      </w:tr>
      <w:tr>
        <w:trPr>
          <w:cnfStyle w:evenHBand="true" w:oddHBand="false" w:firstRow="false"/>
        </w:trPr>
        <w:tc>
          <w:tcPr>
            <w:cnfStyle w:evenVBand="false" w:oddVBand="true" w:firstColumn="false"/>
            <w:tcW w:w="25.000000%" w:type="pct"/>
          </w:tcPr>
          <w:p>
            <w:pPr>
              <w:ind w:leftChars="0" w:left="0" w:right="0"/>
            </w:pPr>
            <w:r>
              <w:t>MU</w:t>
            </w:r>
          </w:p>
        </w:tc>
        <w:tc>
          <w:tcPr>
            <w:cnfStyle w:evenVBand="true" w:oddVBand="false" w:firstColumn="false"/>
            <w:tcW w:w="25.000000%" w:type="pct"/>
          </w:tcPr>
          <w:p>
            <w:pPr>
              <w:ind w:leftChars="0" w:left="0" w:right="0"/>
            </w:pPr>
            <w:r>
              <w:t>Mauritius</w:t>
            </w:r>
          </w:p>
        </w:tc>
        <w:tc>
          <w:tcPr>
            <w:cnfStyle w:evenVBand="false" w:oddVBand="true" w:firstColumn="false"/>
            <w:tcW w:w="25.000000%" w:type="pct"/>
          </w:tcPr>
          <w:p>
            <w:pPr>
              <w:ind w:leftChars="0" w:left="0" w:right="0"/>
            </w:pPr>
            <w:r>
              <w:t>Mauritius</w:t>
            </w:r>
          </w:p>
        </w:tc>
        <w:tc>
          <w:tcPr>
            <w:cnfStyle w:evenVBand="true" w:oddVBand="false" w:firstColumn="false"/>
            <w:tcW w:w="25.000000%" w:type="pct"/>
          </w:tcPr>
          <w:p>
            <w:pPr>
              <w:ind w:leftChars="0" w:left="0" w:right="0"/>
            </w:pPr>
            <w:r>
              <w:t>67</w:t>
            </w:r>
          </w:p>
        </w:tc>
      </w:tr>
      <w:tr>
        <w:trPr>
          <w:cnfStyle w:evenHBand="false" w:oddHBand="true" w:firstRow="false"/>
        </w:trPr>
        <w:tc>
          <w:tcPr>
            <w:cnfStyle w:evenVBand="false" w:oddVBand="true" w:firstColumn="false"/>
            <w:tcW w:w="25.000000%" w:type="pct"/>
          </w:tcPr>
          <w:p>
            <w:pPr>
              <w:ind w:leftChars="0" w:left="0" w:right="0"/>
            </w:pPr>
            <w:r>
              <w:t>MW</w:t>
            </w:r>
          </w:p>
        </w:tc>
        <w:tc>
          <w:tcPr>
            <w:cnfStyle w:evenVBand="true" w:oddVBand="false" w:firstColumn="false"/>
            <w:tcW w:w="25.000000%" w:type="pct"/>
          </w:tcPr>
          <w:p>
            <w:pPr>
              <w:ind w:leftChars="0" w:left="0" w:right="0"/>
            </w:pPr>
            <w:r>
              <w:t>Malawi</w:t>
            </w:r>
          </w:p>
        </w:tc>
        <w:tc>
          <w:tcPr>
            <w:cnfStyle w:evenVBand="false" w:oddVBand="true" w:firstColumn="false"/>
            <w:tcW w:w="25.000000%" w:type="pct"/>
          </w:tcPr>
          <w:p>
            <w:pPr>
              <w:ind w:leftChars="0" w:left="0" w:right="0"/>
            </w:pPr>
            <w:r>
              <w:t>Malawi</w:t>
            </w:r>
          </w:p>
        </w:tc>
        <w:tc>
          <w:tcPr>
            <w:cnfStyle w:evenVBand="true" w:oddVBand="false" w:firstColumn="false"/>
            <w:tcW w:w="25.000000%" w:type="pct"/>
          </w:tcPr>
          <w:p>
            <w:pPr>
              <w:ind w:leftChars="0" w:left="0" w:right="0"/>
            </w:pPr>
            <w:r>
              <w:t>68</w:t>
            </w:r>
          </w:p>
        </w:tc>
      </w:tr>
      <w:tr>
        <w:trPr>
          <w:cnfStyle w:evenHBand="true" w:oddHBand="false" w:firstRow="false"/>
        </w:trPr>
        <w:tc>
          <w:tcPr>
            <w:cnfStyle w:evenVBand="false" w:oddVBand="true" w:firstColumn="false"/>
            <w:tcW w:w="25.000000%" w:type="pct"/>
          </w:tcPr>
          <w:p>
            <w:pPr>
              <w:ind w:leftChars="0" w:left="0" w:right="0"/>
            </w:pPr>
            <w:r>
              <w:t>MX</w:t>
            </w:r>
          </w:p>
        </w:tc>
        <w:tc>
          <w:tcPr>
            <w:cnfStyle w:evenVBand="true" w:oddVBand="false" w:firstColumn="false"/>
            <w:tcW w:w="25.000000%" w:type="pct"/>
          </w:tcPr>
          <w:p>
            <w:pPr>
              <w:ind w:leftChars="0" w:left="0" w:right="0"/>
            </w:pPr>
            <w:r>
              <w:t>Mexico</w:t>
            </w:r>
          </w:p>
        </w:tc>
        <w:tc>
          <w:tcPr>
            <w:cnfStyle w:evenVBand="false" w:oddVBand="true" w:firstColumn="false"/>
            <w:tcW w:w="25.000000%" w:type="pct"/>
          </w:tcPr>
          <w:p>
            <w:pPr>
              <w:ind w:leftChars="0" w:left="0" w:right="0"/>
            </w:pPr>
            <w:r>
              <w:t>Mexico</w:t>
            </w:r>
          </w:p>
        </w:tc>
        <w:tc>
          <w:tcPr>
            <w:cnfStyle w:evenVBand="true" w:oddVBand="false" w:firstColumn="false"/>
            <w:tcW w:w="25.000000%" w:type="pct"/>
          </w:tcPr>
          <w:p>
            <w:pPr>
              <w:ind w:leftChars="0" w:left="0" w:right="0"/>
            </w:pPr>
            <w:r>
              <w:t>69</w:t>
            </w:r>
          </w:p>
        </w:tc>
      </w:tr>
      <w:tr>
        <w:trPr>
          <w:cnfStyle w:evenHBand="false" w:oddHBand="true" w:firstRow="false"/>
        </w:trPr>
        <w:tc>
          <w:tcPr>
            <w:cnfStyle w:evenVBand="false" w:oddVBand="true" w:firstColumn="false"/>
            <w:tcW w:w="25.000000%" w:type="pct"/>
          </w:tcPr>
          <w:p>
            <w:pPr>
              <w:ind w:leftChars="0" w:left="0" w:right="0"/>
            </w:pPr>
            <w:r>
              <w:t>NG</w:t>
            </w:r>
          </w:p>
        </w:tc>
        <w:tc>
          <w:tcPr>
            <w:cnfStyle w:evenVBand="true" w:oddVBand="false" w:firstColumn="false"/>
            <w:tcW w:w="25.000000%" w:type="pct"/>
          </w:tcPr>
          <w:p>
            <w:pPr>
              <w:ind w:leftChars="0" w:left="0" w:right="0"/>
            </w:pPr>
            <w:r>
              <w:t>Nigeria</w:t>
            </w:r>
          </w:p>
        </w:tc>
        <w:tc>
          <w:tcPr>
            <w:cnfStyle w:evenVBand="false" w:oddVBand="true" w:firstColumn="false"/>
            <w:tcW w:w="25.000000%" w:type="pct"/>
          </w:tcPr>
          <w:p>
            <w:pPr>
              <w:ind w:leftChars="0" w:left="0" w:right="0"/>
            </w:pPr>
            <w:r>
              <w:t>Nigeria</w:t>
            </w:r>
          </w:p>
        </w:tc>
        <w:tc>
          <w:tcPr>
            <w:cnfStyle w:evenVBand="true" w:oddVBand="false" w:firstColumn="false"/>
            <w:tcW w:w="25.000000%" w:type="pct"/>
          </w:tcPr>
          <w:p>
            <w:pPr>
              <w:ind w:leftChars="0" w:left="0" w:right="0"/>
            </w:pPr>
            <w:r>
              <w:t>70</w:t>
            </w:r>
          </w:p>
        </w:tc>
      </w:tr>
      <w:tr>
        <w:trPr>
          <w:cnfStyle w:evenHBand="true" w:oddHBand="false" w:firstRow="false"/>
        </w:trPr>
        <w:tc>
          <w:tcPr>
            <w:cnfStyle w:evenVBand="false" w:oddVBand="true" w:firstColumn="false"/>
            <w:tcW w:w="25.000000%" w:type="pct"/>
          </w:tcPr>
          <w:p>
            <w:pPr>
              <w:ind w:leftChars="0" w:left="0" w:right="0"/>
            </w:pPr>
            <w:r>
              <w:t>NL</w:t>
            </w:r>
          </w:p>
        </w:tc>
        <w:tc>
          <w:tcPr>
            <w:cnfStyle w:evenVBand="true" w:oddVBand="false" w:firstColumn="false"/>
            <w:tcW w:w="25.000000%" w:type="pct"/>
          </w:tcPr>
          <w:p>
            <w:pPr>
              <w:ind w:leftChars="0" w:left="0" w:right="0"/>
            </w:pPr>
            <w:r>
              <w:t>Netherlands (the)</w:t>
            </w:r>
          </w:p>
        </w:tc>
        <w:tc>
          <w:tcPr>
            <w:cnfStyle w:evenVBand="false" w:oddVBand="true" w:firstColumn="false"/>
            <w:tcW w:w="25.000000%" w:type="pct"/>
          </w:tcPr>
          <w:p>
            <w:pPr>
              <w:ind w:leftChars="0" w:left="0" w:right="0"/>
            </w:pPr>
            <w:r>
              <w:t>Netherlands excluding Aruba (AW), Bonaire, Saint Eustatius and Saba (BQ), Curacao (CW), Sint Maarten (SX)</w:t>
            </w:r>
          </w:p>
        </w:tc>
        <w:tc>
          <w:tcPr>
            <w:cnfStyle w:evenVBand="true" w:oddVBand="false" w:firstColumn="false"/>
            <w:tcW w:w="25.000000%" w:type="pct"/>
          </w:tcPr>
          <w:p>
            <w:pPr>
              <w:ind w:leftChars="0" w:left="0" w:right="0"/>
            </w:pPr>
            <w:r>
              <w:t>71</w:t>
            </w:r>
          </w:p>
        </w:tc>
      </w:tr>
      <w:tr>
        <w:trPr>
          <w:cnfStyle w:evenHBand="false" w:oddHBand="true" w:firstRow="false"/>
        </w:trPr>
        <w:tc>
          <w:tcPr>
            <w:cnfStyle w:evenVBand="false" w:oddVBand="true" w:firstColumn="false"/>
            <w:tcW w:w="25.000000%" w:type="pct"/>
          </w:tcPr>
          <w:p>
            <w:pPr>
              <w:ind w:leftChars="0" w:left="0" w:right="0"/>
            </w:pPr>
            <w:r>
              <w:t>NO</w:t>
            </w:r>
          </w:p>
        </w:tc>
        <w:tc>
          <w:tcPr>
            <w:cnfStyle w:evenVBand="true" w:oddVBand="false" w:firstColumn="false"/>
            <w:tcW w:w="25.000000%" w:type="pct"/>
          </w:tcPr>
          <w:p>
            <w:pPr>
              <w:ind w:leftChars="0" w:left="0" w:right="0"/>
            </w:pPr>
            <w:r>
              <w:t>Norway</w:t>
            </w:r>
          </w:p>
        </w:tc>
        <w:tc>
          <w:tcPr>
            <w:cnfStyle w:evenVBand="false" w:oddVBand="true" w:firstColumn="false"/>
            <w:tcW w:w="25.000000%" w:type="pct"/>
          </w:tcPr>
          <w:p>
            <w:pPr>
              <w:ind w:leftChars="0" w:left="0" w:right="0"/>
            </w:pPr>
            <w:r>
              <w:t>Norway excluding Svalbard and Jan Mayen (SJ)</w:t>
            </w:r>
          </w:p>
        </w:tc>
        <w:tc>
          <w:tcPr>
            <w:cnfStyle w:evenVBand="true" w:oddVBand="false" w:firstColumn="false"/>
            <w:tcW w:w="25.000000%" w:type="pct"/>
          </w:tcPr>
          <w:p>
            <w:pPr>
              <w:ind w:leftChars="0" w:left="0" w:right="0"/>
            </w:pPr>
            <w:r>
              <w:t>72</w:t>
            </w:r>
          </w:p>
        </w:tc>
      </w:tr>
      <w:tr>
        <w:trPr>
          <w:cnfStyle w:evenHBand="true" w:oddHBand="false" w:firstRow="false"/>
        </w:trPr>
        <w:tc>
          <w:tcPr>
            <w:cnfStyle w:evenVBand="false" w:oddVBand="true" w:firstColumn="false"/>
            <w:tcW w:w="25.000000%" w:type="pct"/>
          </w:tcPr>
          <w:p>
            <w:pPr>
              <w:ind w:leftChars="0" w:left="0" w:right="0"/>
            </w:pPr>
            <w:r>
              <w:t>NZ</w:t>
            </w:r>
          </w:p>
        </w:tc>
        <w:tc>
          <w:tcPr>
            <w:cnfStyle w:evenVBand="true" w:oddVBand="false" w:firstColumn="false"/>
            <w:tcW w:w="25.000000%" w:type="pct"/>
          </w:tcPr>
          <w:p>
            <w:pPr>
              <w:ind w:leftChars="0" w:left="0" w:right="0"/>
            </w:pPr>
            <w:r>
              <w:t>New Zealand</w:t>
            </w:r>
          </w:p>
        </w:tc>
        <w:tc>
          <w:tcPr>
            <w:cnfStyle w:evenVBand="false" w:oddVBand="true" w:firstColumn="false"/>
            <w:tcW w:w="25.000000%" w:type="pct"/>
          </w:tcPr>
          <w:p>
            <w:pPr>
              <w:ind w:leftChars="0" w:left="0" w:right="0"/>
            </w:pPr>
            <w:r>
              <w:t>New Zealand</w:t>
            </w:r>
          </w:p>
        </w:tc>
        <w:tc>
          <w:tcPr>
            <w:cnfStyle w:evenVBand="true" w:oddVBand="false" w:firstColumn="false"/>
            <w:tcW w:w="25.000000%" w:type="pct"/>
          </w:tcPr>
          <w:p>
            <w:pPr>
              <w:ind w:leftChars="0" w:left="0" w:right="0"/>
            </w:pPr>
            <w:r>
              <w:t>73</w:t>
            </w:r>
          </w:p>
        </w:tc>
      </w:tr>
      <w:tr>
        <w:trPr>
          <w:cnfStyle w:evenHBand="false" w:oddHBand="true" w:firstRow="false"/>
        </w:trPr>
        <w:tc>
          <w:tcPr>
            <w:cnfStyle w:evenVBand="false" w:oddVBand="true" w:firstColumn="false"/>
            <w:tcW w:w="25.000000%" w:type="pct"/>
          </w:tcPr>
          <w:p>
            <w:pPr>
              <w:ind w:leftChars="0" w:left="0" w:right="0"/>
            </w:pPr>
            <w:r>
              <w:t>OM</w:t>
            </w:r>
          </w:p>
        </w:tc>
        <w:tc>
          <w:tcPr>
            <w:cnfStyle w:evenVBand="true" w:oddVBand="false" w:firstColumn="false"/>
            <w:tcW w:w="25.000000%" w:type="pct"/>
          </w:tcPr>
          <w:p>
            <w:pPr>
              <w:ind w:leftChars="0" w:left="0" w:right="0"/>
            </w:pPr>
            <w:r>
              <w:t>Oman</w:t>
            </w:r>
          </w:p>
        </w:tc>
        <w:tc>
          <w:tcPr>
            <w:cnfStyle w:evenVBand="false" w:oddVBand="true" w:firstColumn="false"/>
            <w:tcW w:w="25.000000%" w:type="pct"/>
          </w:tcPr>
          <w:p>
            <w:pPr>
              <w:ind w:leftChars="0" w:left="0" w:right="0"/>
            </w:pPr>
            <w:r>
              <w:t>Oman</w:t>
            </w:r>
          </w:p>
        </w:tc>
        <w:tc>
          <w:tcPr>
            <w:cnfStyle w:evenVBand="true" w:oddVBand="false" w:firstColumn="false"/>
            <w:tcW w:w="25.000000%" w:type="pct"/>
          </w:tcPr>
          <w:p>
            <w:pPr>
              <w:ind w:leftChars="0" w:left="0" w:right="0"/>
            </w:pPr>
            <w:r>
              <w:t>74</w:t>
            </w:r>
          </w:p>
        </w:tc>
      </w:tr>
      <w:tr>
        <w:trPr>
          <w:cnfStyle w:evenHBand="true" w:oddHBand="false" w:firstRow="false"/>
        </w:trPr>
        <w:tc>
          <w:tcPr>
            <w:cnfStyle w:evenVBand="false" w:oddVBand="true" w:firstColumn="false"/>
            <w:tcW w:w="25.000000%" w:type="pct"/>
          </w:tcPr>
          <w:p>
            <w:pPr>
              <w:ind w:leftChars="0" w:left="0" w:right="0"/>
            </w:pPr>
            <w:r>
              <w:t>PA</w:t>
            </w:r>
          </w:p>
        </w:tc>
        <w:tc>
          <w:tcPr>
            <w:cnfStyle w:evenVBand="true" w:oddVBand="false" w:firstColumn="false"/>
            <w:tcW w:w="25.000000%" w:type="pct"/>
          </w:tcPr>
          <w:p>
            <w:pPr>
              <w:ind w:leftChars="0" w:left="0" w:right="0"/>
            </w:pPr>
            <w:r>
              <w:t>Panama</w:t>
            </w:r>
          </w:p>
        </w:tc>
        <w:tc>
          <w:tcPr>
            <w:cnfStyle w:evenVBand="false" w:oddVBand="true" w:firstColumn="false"/>
            <w:tcW w:w="25.000000%" w:type="pct"/>
          </w:tcPr>
          <w:p>
            <w:pPr>
              <w:ind w:leftChars="0" w:left="0" w:right="0"/>
            </w:pPr>
            <w:r>
              <w:t>Panama</w:t>
            </w:r>
          </w:p>
        </w:tc>
        <w:tc>
          <w:tcPr>
            <w:cnfStyle w:evenVBand="true" w:oddVBand="false" w:firstColumn="false"/>
            <w:tcW w:w="25.000000%" w:type="pct"/>
          </w:tcPr>
          <w:p>
            <w:pPr>
              <w:ind w:leftChars="0" w:left="0" w:right="0"/>
            </w:pPr>
            <w:r>
              <w:t>75</w:t>
            </w:r>
          </w:p>
        </w:tc>
      </w:tr>
      <w:tr>
        <w:trPr>
          <w:cnfStyle w:evenHBand="false" w:oddHBand="true" w:firstRow="false"/>
        </w:trPr>
        <w:tc>
          <w:tcPr>
            <w:cnfStyle w:evenVBand="false" w:oddVBand="true" w:firstColumn="false"/>
            <w:tcW w:w="25.000000%" w:type="pct"/>
          </w:tcPr>
          <w:p>
            <w:pPr>
              <w:ind w:leftChars="0" w:left="0" w:right="0"/>
            </w:pPr>
            <w:r>
              <w:t>PE</w:t>
            </w:r>
          </w:p>
        </w:tc>
        <w:tc>
          <w:tcPr>
            <w:cnfStyle w:evenVBand="true" w:oddVBand="false" w:firstColumn="false"/>
            <w:tcW w:w="25.000000%" w:type="pct"/>
          </w:tcPr>
          <w:p>
            <w:pPr>
              <w:ind w:leftChars="0" w:left="0" w:right="0"/>
            </w:pPr>
            <w:r>
              <w:t>Peru</w:t>
            </w:r>
          </w:p>
        </w:tc>
        <w:tc>
          <w:tcPr>
            <w:cnfStyle w:evenVBand="false" w:oddVBand="true" w:firstColumn="false"/>
            <w:tcW w:w="25.000000%" w:type="pct"/>
          </w:tcPr>
          <w:p>
            <w:pPr>
              <w:ind w:leftChars="0" w:left="0" w:right="0"/>
            </w:pPr>
            <w:r>
              <w:t>Peru</w:t>
            </w:r>
          </w:p>
        </w:tc>
        <w:tc>
          <w:tcPr>
            <w:cnfStyle w:evenVBand="true" w:oddVBand="false" w:firstColumn="false"/>
            <w:tcW w:w="25.000000%" w:type="pct"/>
          </w:tcPr>
          <w:p>
            <w:pPr>
              <w:ind w:leftChars="0" w:left="0" w:right="0"/>
            </w:pPr>
            <w:r>
              <w:t>76</w:t>
            </w:r>
          </w:p>
        </w:tc>
      </w:tr>
      <w:tr>
        <w:trPr>
          <w:cnfStyle w:evenHBand="true" w:oddHBand="false" w:firstRow="false"/>
        </w:trPr>
        <w:tc>
          <w:tcPr>
            <w:cnfStyle w:evenVBand="false" w:oddVBand="true" w:firstColumn="false"/>
            <w:tcW w:w="25.000000%" w:type="pct"/>
          </w:tcPr>
          <w:p>
            <w:pPr>
              <w:ind w:leftChars="0" w:left="0" w:right="0"/>
            </w:pPr>
            <w:r>
              <w:t>PG</w:t>
            </w:r>
          </w:p>
        </w:tc>
        <w:tc>
          <w:tcPr>
            <w:cnfStyle w:evenVBand="true" w:oddVBand="false" w:firstColumn="false"/>
            <w:tcW w:w="25.000000%" w:type="pct"/>
          </w:tcPr>
          <w:p>
            <w:pPr>
              <w:ind w:leftChars="0" w:left="0" w:right="0"/>
            </w:pPr>
            <w:r>
              <w:t>Papua New Guinea</w:t>
            </w:r>
          </w:p>
        </w:tc>
        <w:tc>
          <w:tcPr>
            <w:cnfStyle w:evenVBand="false" w:oddVBand="true" w:firstColumn="false"/>
            <w:tcW w:w="25.000000%" w:type="pct"/>
          </w:tcPr>
          <w:p>
            <w:pPr>
              <w:ind w:leftChars="0" w:left="0" w:right="0"/>
            </w:pPr>
            <w:r>
              <w:t>Papua New Guinea</w:t>
            </w:r>
          </w:p>
        </w:tc>
        <w:tc>
          <w:tcPr>
            <w:cnfStyle w:evenVBand="true" w:oddVBand="false" w:firstColumn="false"/>
            <w:tcW w:w="25.000000%" w:type="pct"/>
          </w:tcPr>
          <w:p>
            <w:pPr>
              <w:ind w:leftChars="0" w:left="0" w:right="0"/>
            </w:pPr>
            <w:r>
              <w:t>77</w:t>
            </w:r>
          </w:p>
        </w:tc>
      </w:tr>
      <w:tr>
        <w:trPr>
          <w:cnfStyle w:evenHBand="false" w:oddHBand="true" w:firstRow="false"/>
        </w:trPr>
        <w:tc>
          <w:tcPr>
            <w:cnfStyle w:evenVBand="false" w:oddVBand="true" w:firstColumn="false"/>
            <w:tcW w:w="25.000000%" w:type="pct"/>
          </w:tcPr>
          <w:p>
            <w:pPr>
              <w:ind w:leftChars="0" w:left="0" w:right="0"/>
            </w:pPr>
            <w:r>
              <w:t>PH</w:t>
            </w:r>
          </w:p>
        </w:tc>
        <w:tc>
          <w:tcPr>
            <w:cnfStyle w:evenVBand="true" w:oddVBand="false" w:firstColumn="false"/>
            <w:tcW w:w="25.000000%" w:type="pct"/>
          </w:tcPr>
          <w:p>
            <w:pPr>
              <w:ind w:leftChars="0" w:left="0" w:right="0"/>
            </w:pPr>
            <w:r>
              <w:t>Philippines (the)</w:t>
            </w:r>
          </w:p>
        </w:tc>
        <w:tc>
          <w:tcPr>
            <w:cnfStyle w:evenVBand="false" w:oddVBand="true" w:firstColumn="false"/>
            <w:tcW w:w="25.000000%" w:type="pct"/>
          </w:tcPr>
          <w:p>
            <w:pPr>
              <w:ind w:leftChars="0" w:left="0" w:right="0"/>
            </w:pPr>
            <w:r>
              <w:t>Philippines (the)</w:t>
            </w:r>
          </w:p>
        </w:tc>
        <w:tc>
          <w:tcPr>
            <w:cnfStyle w:evenVBand="true" w:oddVBand="false" w:firstColumn="false"/>
            <w:tcW w:w="25.000000%" w:type="pct"/>
          </w:tcPr>
          <w:p>
            <w:pPr>
              <w:ind w:leftChars="0" w:left="0" w:right="0"/>
            </w:pPr>
            <w:r>
              <w:t>78</w:t>
            </w:r>
          </w:p>
        </w:tc>
      </w:tr>
      <w:tr>
        <w:trPr>
          <w:cnfStyle w:evenHBand="true" w:oddHBand="false" w:firstRow="false"/>
        </w:trPr>
        <w:tc>
          <w:tcPr>
            <w:cnfStyle w:evenVBand="false" w:oddVBand="true" w:firstColumn="false"/>
            <w:tcW w:w="25.000000%" w:type="pct"/>
          </w:tcPr>
          <w:p>
            <w:pPr>
              <w:ind w:leftChars="0" w:left="0" w:right="0"/>
            </w:pPr>
            <w:r>
              <w:t>PL</w:t>
            </w:r>
          </w:p>
        </w:tc>
        <w:tc>
          <w:tcPr>
            <w:cnfStyle w:evenVBand="true" w:oddVBand="false" w:firstColumn="false"/>
            <w:tcW w:w="25.000000%" w:type="pct"/>
          </w:tcPr>
          <w:p>
            <w:pPr>
              <w:ind w:leftChars="0" w:left="0" w:right="0"/>
            </w:pPr>
            <w:r>
              <w:t>Poland</w:t>
            </w:r>
          </w:p>
        </w:tc>
        <w:tc>
          <w:tcPr>
            <w:cnfStyle w:evenVBand="false" w:oddVBand="true" w:firstColumn="false"/>
            <w:tcW w:w="25.000000%" w:type="pct"/>
          </w:tcPr>
          <w:p>
            <w:pPr>
              <w:ind w:leftChars="0" w:left="0" w:right="0"/>
            </w:pPr>
            <w:r>
              <w:t>Poland</w:t>
            </w:r>
          </w:p>
        </w:tc>
        <w:tc>
          <w:tcPr>
            <w:cnfStyle w:evenVBand="true" w:oddVBand="false" w:firstColumn="false"/>
            <w:tcW w:w="25.000000%" w:type="pct"/>
          </w:tcPr>
          <w:p>
            <w:pPr>
              <w:ind w:leftChars="0" w:left="0" w:right="0"/>
            </w:pPr>
            <w:r>
              <w:t>79</w:t>
            </w:r>
          </w:p>
        </w:tc>
      </w:tr>
      <w:tr>
        <w:trPr>
          <w:cnfStyle w:evenHBand="false" w:oddHBand="true" w:firstRow="false"/>
        </w:trPr>
        <w:tc>
          <w:tcPr>
            <w:cnfStyle w:evenVBand="false" w:oddVBand="true" w:firstColumn="false"/>
            <w:tcW w:w="25.000000%" w:type="pct"/>
          </w:tcPr>
          <w:p>
            <w:pPr>
              <w:ind w:leftChars="0" w:left="0" w:right="0"/>
            </w:pPr>
            <w:r>
              <w:t>PT</w:t>
            </w:r>
          </w:p>
        </w:tc>
        <w:tc>
          <w:tcPr>
            <w:cnfStyle w:evenVBand="true" w:oddVBand="false" w:firstColumn="false"/>
            <w:tcW w:w="25.000000%" w:type="pct"/>
          </w:tcPr>
          <w:p>
            <w:pPr>
              <w:ind w:leftChars="0" w:left="0" w:right="0"/>
            </w:pPr>
            <w:r>
              <w:t>Portugal</w:t>
            </w:r>
          </w:p>
        </w:tc>
        <w:tc>
          <w:tcPr>
            <w:cnfStyle w:evenVBand="false" w:oddVBand="true" w:firstColumn="false"/>
            <w:tcW w:w="25.000000%" w:type="pct"/>
          </w:tcPr>
          <w:p>
            <w:pPr>
              <w:ind w:leftChars="0" w:left="0" w:right="0"/>
            </w:pPr>
            <w:r>
              <w:t>Portugal</w:t>
            </w:r>
          </w:p>
        </w:tc>
        <w:tc>
          <w:tcPr>
            <w:cnfStyle w:evenVBand="true" w:oddVBand="false" w:firstColumn="false"/>
            <w:tcW w:w="25.000000%" w:type="pct"/>
          </w:tcPr>
          <w:p>
            <w:pPr>
              <w:ind w:leftChars="0" w:left="0" w:right="0"/>
            </w:pPr>
            <w:r>
              <w:t>80</w:t>
            </w:r>
          </w:p>
        </w:tc>
      </w:tr>
      <w:tr>
        <w:trPr>
          <w:cnfStyle w:evenHBand="true" w:oddHBand="false" w:firstRow="false"/>
        </w:trPr>
        <w:tc>
          <w:tcPr>
            <w:cnfStyle w:evenVBand="false" w:oddVBand="true" w:firstColumn="false"/>
            <w:tcW w:w="25.000000%" w:type="pct"/>
          </w:tcPr>
          <w:p>
            <w:pPr>
              <w:ind w:leftChars="0" w:left="0" w:right="0"/>
            </w:pPr>
            <w:r>
              <w:t>QA</w:t>
            </w:r>
          </w:p>
        </w:tc>
        <w:tc>
          <w:tcPr>
            <w:cnfStyle w:evenVBand="true" w:oddVBand="false" w:firstColumn="false"/>
            <w:tcW w:w="25.000000%" w:type="pct"/>
          </w:tcPr>
          <w:p>
            <w:pPr>
              <w:ind w:leftChars="0" w:left="0" w:right="0"/>
            </w:pPr>
            <w:r>
              <w:t>Qatar</w:t>
            </w:r>
          </w:p>
        </w:tc>
        <w:tc>
          <w:tcPr>
            <w:cnfStyle w:evenVBand="false" w:oddVBand="true" w:firstColumn="false"/>
            <w:tcW w:w="25.000000%" w:type="pct"/>
          </w:tcPr>
          <w:p>
            <w:pPr>
              <w:ind w:leftChars="0" w:left="0" w:right="0"/>
            </w:pPr>
            <w:r>
              <w:t>Qatar</w:t>
            </w:r>
          </w:p>
        </w:tc>
        <w:tc>
          <w:tcPr>
            <w:cnfStyle w:evenVBand="true" w:oddVBand="false" w:firstColumn="false"/>
            <w:tcW w:w="25.000000%" w:type="pct"/>
          </w:tcPr>
          <w:p>
            <w:pPr>
              <w:ind w:leftChars="0" w:left="0" w:right="0"/>
            </w:pPr>
            <w:r>
              <w:t>81</w:t>
            </w:r>
          </w:p>
        </w:tc>
      </w:tr>
      <w:tr>
        <w:trPr>
          <w:cnfStyle w:evenHBand="false" w:oddHBand="true" w:firstRow="false"/>
        </w:trPr>
        <w:tc>
          <w:tcPr>
            <w:cnfStyle w:evenVBand="false" w:oddVBand="true" w:firstColumn="false"/>
            <w:tcW w:w="25.000000%" w:type="pct"/>
          </w:tcPr>
          <w:p>
            <w:pPr>
              <w:ind w:leftChars="0" w:left="0" w:right="0"/>
            </w:pPr>
            <w:r>
              <w:t>RO</w:t>
            </w:r>
          </w:p>
        </w:tc>
        <w:tc>
          <w:tcPr>
            <w:cnfStyle w:evenVBand="true" w:oddVBand="false" w:firstColumn="false"/>
            <w:tcW w:w="25.000000%" w:type="pct"/>
          </w:tcPr>
          <w:p>
            <w:pPr>
              <w:ind w:leftChars="0" w:left="0" w:right="0"/>
            </w:pPr>
            <w:r>
              <w:t>Romania</w:t>
            </w:r>
          </w:p>
        </w:tc>
        <w:tc>
          <w:tcPr>
            <w:cnfStyle w:evenVBand="false" w:oddVBand="true" w:firstColumn="false"/>
            <w:tcW w:w="25.000000%" w:type="pct"/>
          </w:tcPr>
          <w:p>
            <w:pPr>
              <w:ind w:leftChars="0" w:left="0" w:right="0"/>
            </w:pPr>
            <w:r>
              <w:t>Romania</w:t>
            </w:r>
          </w:p>
        </w:tc>
        <w:tc>
          <w:tcPr>
            <w:cnfStyle w:evenVBand="true" w:oddVBand="false" w:firstColumn="false"/>
            <w:tcW w:w="25.000000%" w:type="pct"/>
          </w:tcPr>
          <w:p>
            <w:pPr>
              <w:ind w:leftChars="0" w:left="0" w:right="0"/>
            </w:pPr>
            <w:r>
              <w:t>82</w:t>
            </w:r>
          </w:p>
        </w:tc>
      </w:tr>
      <w:tr>
        <w:trPr>
          <w:cnfStyle w:evenHBand="true" w:oddHBand="false" w:firstRow="false"/>
        </w:trPr>
        <w:tc>
          <w:tcPr>
            <w:cnfStyle w:evenVBand="false" w:oddVBand="true" w:firstColumn="false"/>
            <w:tcW w:w="25.000000%" w:type="pct"/>
          </w:tcPr>
          <w:p>
            <w:pPr>
              <w:ind w:leftChars="0" w:left="0" w:right="0"/>
            </w:pPr>
            <w:r>
              <w:t>RS</w:t>
            </w:r>
          </w:p>
        </w:tc>
        <w:tc>
          <w:tcPr>
            <w:cnfStyle w:evenVBand="true" w:oddVBand="false" w:firstColumn="false"/>
            <w:tcW w:w="25.000000%" w:type="pct"/>
          </w:tcPr>
          <w:p>
            <w:pPr>
              <w:ind w:leftChars="0" w:left="0" w:right="0"/>
            </w:pPr>
            <w:r>
              <w:t>Serbia</w:t>
            </w:r>
          </w:p>
        </w:tc>
        <w:tc>
          <w:tcPr>
            <w:cnfStyle w:evenVBand="false" w:oddVBand="true" w:firstColumn="false"/>
            <w:tcW w:w="25.000000%" w:type="pct"/>
          </w:tcPr>
          <w:p>
            <w:pPr>
              <w:ind w:leftChars="0" w:left="0" w:right="0"/>
            </w:pPr>
            <w:r>
              <w:t>Serbia</w:t>
            </w:r>
          </w:p>
        </w:tc>
        <w:tc>
          <w:tcPr>
            <w:cnfStyle w:evenVBand="true" w:oddVBand="false" w:firstColumn="false"/>
            <w:tcW w:w="25.000000%" w:type="pct"/>
          </w:tcPr>
          <w:p>
            <w:pPr>
              <w:ind w:leftChars="0" w:left="0" w:right="0"/>
            </w:pPr>
            <w:r>
              <w:t>83</w:t>
            </w:r>
          </w:p>
        </w:tc>
      </w:tr>
      <w:tr>
        <w:trPr>
          <w:cnfStyle w:evenHBand="false" w:oddHBand="true" w:firstRow="false"/>
        </w:trPr>
        <w:tc>
          <w:tcPr>
            <w:cnfStyle w:evenVBand="false" w:oddVBand="true" w:firstColumn="false"/>
            <w:tcW w:w="25.000000%" w:type="pct"/>
          </w:tcPr>
          <w:p>
            <w:pPr>
              <w:ind w:leftChars="0" w:left="0" w:right="0"/>
            </w:pPr>
            <w:r>
              <w:t>RU</w:t>
            </w:r>
          </w:p>
        </w:tc>
        <w:tc>
          <w:tcPr>
            <w:cnfStyle w:evenVBand="true" w:oddVBand="false" w:firstColumn="false"/>
            <w:tcW w:w="25.000000%" w:type="pct"/>
          </w:tcPr>
          <w:p>
            <w:pPr>
              <w:ind w:leftChars="0" w:left="0" w:right="0"/>
            </w:pPr>
            <w:r>
              <w:t>Russian Federation (the)</w:t>
            </w:r>
          </w:p>
        </w:tc>
        <w:tc>
          <w:tcPr>
            <w:cnfStyle w:evenVBand="false" w:oddVBand="true" w:firstColumn="false"/>
            <w:tcW w:w="25.000000%" w:type="pct"/>
          </w:tcPr>
          <w:p>
            <w:pPr>
              <w:ind w:leftChars="0" w:left="0" w:right="0"/>
            </w:pPr>
            <w:r>
              <w:t>Russian Federation (the)</w:t>
            </w:r>
          </w:p>
        </w:tc>
        <w:tc>
          <w:tcPr>
            <w:cnfStyle w:evenVBand="true" w:oddVBand="false" w:firstColumn="false"/>
            <w:tcW w:w="25.000000%" w:type="pct"/>
          </w:tcPr>
          <w:p>
            <w:pPr>
              <w:ind w:leftChars="0" w:left="0" w:right="0"/>
            </w:pPr>
            <w:r>
              <w:t>84</w:t>
            </w:r>
          </w:p>
        </w:tc>
      </w:tr>
      <w:tr>
        <w:trPr>
          <w:cnfStyle w:evenHBand="true" w:oddHBand="fals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Saudi Arabia</w:t>
            </w:r>
          </w:p>
        </w:tc>
        <w:tc>
          <w:tcPr>
            <w:cnfStyle w:evenVBand="false" w:oddVBand="true" w:firstColumn="false"/>
            <w:tcW w:w="25.000000%" w:type="pct"/>
          </w:tcPr>
          <w:p>
            <w:pPr>
              <w:ind w:leftChars="0" w:left="0" w:right="0"/>
            </w:pPr>
            <w:r>
              <w:t>Saudi Arabia</w:t>
            </w:r>
          </w:p>
        </w:tc>
        <w:tc>
          <w:tcPr>
            <w:cnfStyle w:evenVBand="true" w:oddVBand="false" w:firstColumn="false"/>
            <w:tcW w:w="25.000000%" w:type="pct"/>
          </w:tcPr>
          <w:p>
            <w:pPr>
              <w:ind w:leftChars="0" w:left="0" w:right="0"/>
            </w:pPr>
            <w:r>
              <w:t>85</w:t>
            </w:r>
          </w:p>
        </w:tc>
      </w:tr>
      <w:tr>
        <w:trPr>
          <w:cnfStyle w:evenHBand="false" w:oddHBand="true" w:firstRow="false"/>
        </w:trPr>
        <w:tc>
          <w:tcPr>
            <w:cnfStyle w:evenVBand="false" w:oddVBand="true" w:firstColumn="false"/>
            <w:tcW w:w="25.000000%" w:type="pct"/>
          </w:tcPr>
          <w:p>
            <w:pPr>
              <w:ind w:leftChars="0" w:left="0" w:right="0"/>
            </w:pPr>
            <w:r>
              <w:t>SC</w:t>
            </w:r>
          </w:p>
        </w:tc>
        <w:tc>
          <w:tcPr>
            <w:cnfStyle w:evenVBand="true" w:oddVBand="false" w:firstColumn="false"/>
            <w:tcW w:w="25.000000%" w:type="pct"/>
          </w:tcPr>
          <w:p>
            <w:pPr>
              <w:ind w:leftChars="0" w:left="0" w:right="0"/>
            </w:pPr>
            <w:r>
              <w:t>Seychelles</w:t>
            </w:r>
          </w:p>
        </w:tc>
        <w:tc>
          <w:tcPr>
            <w:cnfStyle w:evenVBand="false" w:oddVBand="true" w:firstColumn="false"/>
            <w:tcW w:w="25.000000%" w:type="pct"/>
          </w:tcPr>
          <w:p>
            <w:pPr>
              <w:ind w:leftChars="0" w:left="0" w:right="0"/>
            </w:pPr>
            <w:r>
              <w:t>Seychelles</w:t>
            </w:r>
          </w:p>
        </w:tc>
        <w:tc>
          <w:tcPr>
            <w:cnfStyle w:evenVBand="true" w:oddVBand="false" w:firstColumn="false"/>
            <w:tcW w:w="25.000000%" w:type="pct"/>
          </w:tcPr>
          <w:p>
            <w:pPr>
              <w:ind w:leftChars="0" w:left="0" w:right="0"/>
            </w:pPr>
            <w:r>
              <w:t>86</w:t>
            </w:r>
          </w:p>
        </w:tc>
      </w:tr>
      <w:tr>
        <w:trPr>
          <w:cnfStyle w:evenHBand="true" w:oddHBand="false" w:firstRow="false"/>
        </w:trPr>
        <w:tc>
          <w:tcPr>
            <w:cnfStyle w:evenVBand="false" w:oddVBand="true" w:firstColumn="false"/>
            <w:tcW w:w="25.000000%" w:type="pct"/>
          </w:tcPr>
          <w:p>
            <w:pPr>
              <w:ind w:leftChars="0" w:left="0" w:right="0"/>
            </w:pPr>
            <w:r>
              <w:t>SD</w:t>
            </w:r>
          </w:p>
        </w:tc>
        <w:tc>
          <w:tcPr>
            <w:cnfStyle w:evenVBand="true" w:oddVBand="false" w:firstColumn="false"/>
            <w:tcW w:w="25.000000%" w:type="pct"/>
          </w:tcPr>
          <w:p>
            <w:pPr>
              <w:ind w:leftChars="0" w:left="0" w:right="0"/>
            </w:pPr>
            <w:r>
              <w:t>Sudan (the)</w:t>
            </w:r>
          </w:p>
        </w:tc>
        <w:tc>
          <w:tcPr>
            <w:cnfStyle w:evenVBand="false" w:oddVBand="true" w:firstColumn="false"/>
            <w:tcW w:w="25.000000%" w:type="pct"/>
          </w:tcPr>
          <w:p>
            <w:pPr>
              <w:ind w:leftChars="0" w:left="0" w:right="0"/>
            </w:pPr>
            <w:r>
              <w:t>Sudan (the)</w:t>
            </w:r>
          </w:p>
        </w:tc>
        <w:tc>
          <w:tcPr>
            <w:cnfStyle w:evenVBand="true" w:oddVBand="false" w:firstColumn="false"/>
            <w:tcW w:w="25.000000%" w:type="pct"/>
          </w:tcPr>
          <w:p>
            <w:pPr>
              <w:ind w:leftChars="0" w:left="0" w:right="0"/>
            </w:pPr>
            <w:r>
              <w:t>87</w:t>
            </w:r>
          </w:p>
        </w:tc>
      </w:tr>
      <w:tr>
        <w:trPr>
          <w:cnfStyle w:evenHBand="false" w:oddHBand="true" w:firstRow="false"/>
        </w:trPr>
        <w:tc>
          <w:tcPr>
            <w:cnfStyle w:evenVBand="false" w:oddVBand="true" w:firstColumn="false"/>
            <w:tcW w:w="25.000000%" w:type="pct"/>
          </w:tcPr>
          <w:p>
            <w:pPr>
              <w:ind w:leftChars="0" w:left="0" w:right="0"/>
            </w:pPr>
            <w:r>
              <w:t>SE</w:t>
            </w:r>
          </w:p>
        </w:tc>
        <w:tc>
          <w:tcPr>
            <w:cnfStyle w:evenVBand="true" w:oddVBand="false" w:firstColumn="false"/>
            <w:tcW w:w="25.000000%" w:type="pct"/>
          </w:tcPr>
          <w:p>
            <w:pPr>
              <w:ind w:leftChars="0" w:left="0" w:right="0"/>
            </w:pPr>
            <w:r>
              <w:t>Sweden</w:t>
            </w:r>
          </w:p>
        </w:tc>
        <w:tc>
          <w:tcPr>
            <w:cnfStyle w:evenVBand="false" w:oddVBand="true" w:firstColumn="false"/>
            <w:tcW w:w="25.000000%" w:type="pct"/>
          </w:tcPr>
          <w:p>
            <w:pPr>
              <w:ind w:leftChars="0" w:left="0" w:right="0"/>
            </w:pPr>
            <w:r>
              <w:t>Sweden</w:t>
            </w:r>
          </w:p>
        </w:tc>
        <w:tc>
          <w:tcPr>
            <w:cnfStyle w:evenVBand="true" w:oddVBand="false" w:firstColumn="false"/>
            <w:tcW w:w="25.000000%" w:type="pct"/>
          </w:tcPr>
          <w:p>
            <w:pPr>
              <w:ind w:leftChars="0" w:left="0" w:right="0"/>
            </w:pPr>
            <w:r>
              <w:t>88</w:t>
            </w:r>
          </w:p>
        </w:tc>
      </w:tr>
      <w:tr>
        <w:trPr>
          <w:cnfStyle w:evenHBand="true" w:oddHBand="false" w:firstRow="false"/>
        </w:trPr>
        <w:tc>
          <w:tcPr>
            <w:cnfStyle w:evenVBand="false" w:oddVBand="true" w:firstColumn="false"/>
            <w:tcW w:w="25.000000%" w:type="pct"/>
          </w:tcPr>
          <w:p>
            <w:pPr>
              <w:ind w:leftChars="0" w:left="0" w:right="0"/>
            </w:pPr>
            <w:r>
              <w:t>SG</w:t>
            </w:r>
          </w:p>
        </w:tc>
        <w:tc>
          <w:tcPr>
            <w:cnfStyle w:evenVBand="true" w:oddVBand="false" w:firstColumn="false"/>
            <w:tcW w:w="25.000000%" w:type="pct"/>
          </w:tcPr>
          <w:p>
            <w:pPr>
              <w:ind w:leftChars="0" w:left="0" w:right="0"/>
            </w:pPr>
            <w:r>
              <w:t>Singapore</w:t>
            </w:r>
          </w:p>
        </w:tc>
        <w:tc>
          <w:tcPr>
            <w:cnfStyle w:evenVBand="false" w:oddVBand="true" w:firstColumn="false"/>
            <w:tcW w:w="25.000000%" w:type="pct"/>
          </w:tcPr>
          <w:p>
            <w:pPr>
              <w:ind w:leftChars="0" w:left="0" w:right="0"/>
            </w:pPr>
            <w:r>
              <w:t>Singapore</w:t>
            </w:r>
          </w:p>
        </w:tc>
        <w:tc>
          <w:tcPr>
            <w:cnfStyle w:evenVBand="true" w:oddVBand="false" w:firstColumn="false"/>
            <w:tcW w:w="25.000000%" w:type="pct"/>
          </w:tcPr>
          <w:p>
            <w:pPr>
              <w:ind w:leftChars="0" w:left="0" w:right="0"/>
            </w:pPr>
            <w:r>
              <w:t>89</w:t>
            </w:r>
          </w:p>
        </w:tc>
      </w:tr>
      <w:tr>
        <w:trPr>
          <w:cnfStyle w:evenHBand="false" w:oddHBand="true" w:firstRow="false"/>
        </w:trPr>
        <w:tc>
          <w:tcPr>
            <w:cnfStyle w:evenVBand="false" w:oddVBand="true" w:firstColumn="false"/>
            <w:tcW w:w="25.000000%" w:type="pct"/>
          </w:tcPr>
          <w:p>
            <w:pPr>
              <w:ind w:leftChars="0" w:left="0" w:right="0"/>
            </w:pPr>
            <w:r>
              <w:t>SH</w:t>
            </w:r>
          </w:p>
        </w:tc>
        <w:tc>
          <w:tcPr>
            <w:cnfStyle w:evenVBand="true" w:oddVBand="false" w:firstColumn="false"/>
            <w:tcW w:w="25.000000%" w:type="pct"/>
          </w:tcPr>
          <w:p>
            <w:pPr>
              <w:ind w:leftChars="0" w:left="0" w:right="0"/>
            </w:pPr>
            <w:r>
              <w:t>Saint Helena, Ascension and Tristan da Cunha</w:t>
            </w:r>
          </w:p>
        </w:tc>
        <w:tc>
          <w:tcPr>
            <w:cnfStyle w:evenVBand="false" w:oddVBand="true" w:firstColumn="false"/>
            <w:tcW w:w="25.000000%" w:type="pct"/>
          </w:tcPr>
          <w:p>
            <w:pPr>
              <w:ind w:leftChars="0" w:left="0" w:right="0"/>
            </w:pPr>
            <w:r>
              <w:t>Saint Helena, Ascension and Tristan da Cunha</w:t>
            </w:r>
          </w:p>
        </w:tc>
        <w:tc>
          <w:tcPr>
            <w:cnfStyle w:evenVBand="true" w:oddVBand="false" w:firstColumn="false"/>
            <w:tcW w:w="25.000000%" w:type="pct"/>
          </w:tcPr>
          <w:p>
            <w:pPr>
              <w:ind w:leftChars="0" w:left="0" w:right="0"/>
            </w:pPr>
            <w:r>
              <w:t>90</w:t>
            </w:r>
          </w:p>
        </w:tc>
      </w:tr>
      <w:tr>
        <w:trPr>
          <w:cnfStyle w:evenHBand="true" w:oddHBand="false" w:firstRow="false"/>
        </w:trPr>
        <w:tc>
          <w:tcPr>
            <w:cnfStyle w:evenVBand="false" w:oddVBand="true" w:firstColumn="false"/>
            <w:tcW w:w="25.000000%" w:type="pct"/>
          </w:tcPr>
          <w:p>
            <w:pPr>
              <w:ind w:leftChars="0" w:left="0" w:right="0"/>
            </w:pPr>
            <w:r>
              <w:t>SI</w:t>
            </w:r>
          </w:p>
        </w:tc>
        <w:tc>
          <w:tcPr>
            <w:cnfStyle w:evenVBand="true" w:oddVBand="false" w:firstColumn="false"/>
            <w:tcW w:w="25.000000%" w:type="pct"/>
          </w:tcPr>
          <w:p>
            <w:pPr>
              <w:ind w:leftChars="0" w:left="0" w:right="0"/>
            </w:pPr>
            <w:r>
              <w:t>Slovenia</w:t>
            </w:r>
          </w:p>
        </w:tc>
        <w:tc>
          <w:tcPr>
            <w:cnfStyle w:evenVBand="false" w:oddVBand="true" w:firstColumn="false"/>
            <w:tcW w:w="25.000000%" w:type="pct"/>
          </w:tcPr>
          <w:p>
            <w:pPr>
              <w:ind w:leftChars="0" w:left="0" w:right="0"/>
            </w:pPr>
            <w:r>
              <w:t>Slovenia</w:t>
            </w:r>
          </w:p>
        </w:tc>
        <w:tc>
          <w:tcPr>
            <w:cnfStyle w:evenVBand="true" w:oddVBand="false" w:firstColumn="false"/>
            <w:tcW w:w="25.000000%" w:type="pct"/>
          </w:tcPr>
          <w:p>
            <w:pPr>
              <w:ind w:leftChars="0" w:left="0" w:right="0"/>
            </w:pPr>
            <w:r>
              <w:t>91</w:t>
            </w:r>
          </w:p>
        </w:tc>
      </w:tr>
      <w:tr>
        <w:trPr>
          <w:cnfStyle w:evenHBand="false" w:oddHBand="true" w:firstRow="false"/>
        </w:trPr>
        <w:tc>
          <w:tcPr>
            <w:cnfStyle w:evenVBand="false" w:oddVBand="true" w:firstColumn="false"/>
            <w:tcW w:w="25.000000%" w:type="pct"/>
          </w:tcPr>
          <w:p>
            <w:pPr>
              <w:ind w:leftChars="0" w:left="0" w:right="0"/>
            </w:pPr>
            <w:r>
              <w:t>SK</w:t>
            </w:r>
          </w:p>
        </w:tc>
        <w:tc>
          <w:tcPr>
            <w:cnfStyle w:evenVBand="true" w:oddVBand="false" w:firstColumn="false"/>
            <w:tcW w:w="25.000000%" w:type="pct"/>
          </w:tcPr>
          <w:p>
            <w:pPr>
              <w:ind w:leftChars="0" w:left="0" w:right="0"/>
            </w:pPr>
            <w:r>
              <w:t>Slovakia</w:t>
            </w:r>
          </w:p>
        </w:tc>
        <w:tc>
          <w:tcPr>
            <w:cnfStyle w:evenVBand="false" w:oddVBand="true" w:firstColumn="false"/>
            <w:tcW w:w="25.000000%" w:type="pct"/>
          </w:tcPr>
          <w:p>
            <w:pPr>
              <w:ind w:leftChars="0" w:left="0" w:right="0"/>
            </w:pPr>
            <w:r>
              <w:t>Slovakia</w:t>
            </w:r>
          </w:p>
        </w:tc>
        <w:tc>
          <w:tcPr>
            <w:cnfStyle w:evenVBand="true" w:oddVBand="false" w:firstColumn="false"/>
            <w:tcW w:w="25.000000%" w:type="pct"/>
          </w:tcPr>
          <w:p>
            <w:pPr>
              <w:ind w:leftChars="0" w:left="0" w:right="0"/>
            </w:pPr>
            <w:r>
              <w:t>92</w:t>
            </w:r>
          </w:p>
        </w:tc>
      </w:tr>
      <w:tr>
        <w:trPr>
          <w:cnfStyle w:evenHBand="true" w:oddHBand="false" w:firstRow="false"/>
        </w:trPr>
        <w:tc>
          <w:tcPr>
            <w:cnfStyle w:evenVBand="false" w:oddVBand="true" w:firstColumn="false"/>
            <w:tcW w:w="25.000000%" w:type="pct"/>
          </w:tcPr>
          <w:p>
            <w:pPr>
              <w:ind w:leftChars="0" w:left="0" w:right="0"/>
            </w:pPr>
            <w:r>
              <w:t>TH</w:t>
            </w:r>
          </w:p>
        </w:tc>
        <w:tc>
          <w:tcPr>
            <w:cnfStyle w:evenVBand="true" w:oddVBand="false" w:firstColumn="false"/>
            <w:tcW w:w="25.000000%" w:type="pct"/>
          </w:tcPr>
          <w:p>
            <w:pPr>
              <w:ind w:leftChars="0" w:left="0" w:right="0"/>
            </w:pPr>
            <w:r>
              <w:t>Thailand</w:t>
            </w:r>
          </w:p>
        </w:tc>
        <w:tc>
          <w:tcPr>
            <w:cnfStyle w:evenVBand="false" w:oddVBand="true" w:firstColumn="false"/>
            <w:tcW w:w="25.000000%" w:type="pct"/>
          </w:tcPr>
          <w:p>
            <w:pPr>
              <w:ind w:leftChars="0" w:left="0" w:right="0"/>
            </w:pPr>
            <w:r>
              <w:t>Thailand</w:t>
            </w:r>
          </w:p>
        </w:tc>
        <w:tc>
          <w:tcPr>
            <w:cnfStyle w:evenVBand="true" w:oddVBand="false" w:firstColumn="false"/>
            <w:tcW w:w="25.000000%" w:type="pct"/>
          </w:tcPr>
          <w:p>
            <w:pPr>
              <w:ind w:leftChars="0" w:left="0" w:right="0"/>
            </w:pPr>
            <w:r>
              <w:t>93</w:t>
            </w:r>
          </w:p>
        </w:tc>
      </w:tr>
      <w:tr>
        <w:trPr>
          <w:cnfStyle w:evenHBand="false" w:oddHBand="true" w:firstRow="false"/>
        </w:trPr>
        <w:tc>
          <w:tcPr>
            <w:cnfStyle w:evenVBand="false" w:oddVBand="true" w:firstColumn="false"/>
            <w:tcW w:w="25.000000%" w:type="pct"/>
          </w:tcPr>
          <w:p>
            <w:pPr>
              <w:ind w:leftChars="0" w:left="0" w:right="0"/>
            </w:pPr>
            <w:r>
              <w:t>TR</w:t>
            </w:r>
          </w:p>
        </w:tc>
        <w:tc>
          <w:tcPr>
            <w:cnfStyle w:evenVBand="true" w:oddVBand="false" w:firstColumn="false"/>
            <w:tcW w:w="25.000000%" w:type="pct"/>
          </w:tcPr>
          <w:p>
            <w:pPr>
              <w:ind w:leftChars="0" w:left="0" w:right="0"/>
            </w:pPr>
            <w:r>
              <w:t>Turkey</w:t>
            </w:r>
          </w:p>
        </w:tc>
        <w:tc>
          <w:tcPr>
            <w:cnfStyle w:evenVBand="false" w:oddVBand="true" w:firstColumn="false"/>
            <w:tcW w:w="25.000000%" w:type="pct"/>
          </w:tcPr>
          <w:p>
            <w:pPr>
              <w:ind w:leftChars="0" w:left="0" w:right="0"/>
            </w:pPr>
            <w:r>
              <w:t>Turkey</w:t>
            </w:r>
          </w:p>
        </w:tc>
        <w:tc>
          <w:tcPr>
            <w:cnfStyle w:evenVBand="true" w:oddVBand="false" w:firstColumn="false"/>
            <w:tcW w:w="25.000000%" w:type="pct"/>
          </w:tcPr>
          <w:p>
            <w:pPr>
              <w:ind w:leftChars="0" w:left="0" w:right="0"/>
            </w:pPr>
            <w:r>
              <w:t>94</w:t>
            </w:r>
          </w:p>
        </w:tc>
      </w:tr>
      <w:tr>
        <w:trPr>
          <w:cnfStyle w:evenHBand="true" w:oddHBand="false" w:firstRow="false"/>
        </w:trPr>
        <w:tc>
          <w:tcPr>
            <w:cnfStyle w:evenVBand="false" w:oddVBand="true" w:firstColumn="false"/>
            <w:tcW w:w="25.000000%" w:type="pct"/>
          </w:tcPr>
          <w:p>
            <w:pPr>
              <w:ind w:leftChars="0" w:left="0" w:right="0"/>
            </w:pPr>
            <w:r>
              <w:t>TW</w:t>
            </w:r>
          </w:p>
        </w:tc>
        <w:tc>
          <w:tcPr>
            <w:cnfStyle w:evenVBand="true" w:oddVBand="false" w:firstColumn="false"/>
            <w:tcW w:w="25.000000%" w:type="pct"/>
          </w:tcPr>
          <w:p>
            <w:pPr>
              <w:ind w:leftChars="0" w:left="0" w:right="0"/>
            </w:pPr>
            <w:r>
              <w:t>Taiwan (Province of China)</w:t>
            </w:r>
          </w:p>
        </w:tc>
        <w:tc>
          <w:tcPr>
            <w:cnfStyle w:evenVBand="false" w:oddVBand="true" w:firstColumn="false"/>
            <w:tcW w:w="25.000000%" w:type="pct"/>
          </w:tcPr>
          <w:p>
            <w:pPr>
              <w:ind w:leftChars="0" w:left="0" w:right="0"/>
            </w:pPr>
            <w:r>
              <w:t>Taiwan (Province of China)</w:t>
            </w:r>
          </w:p>
        </w:tc>
        <w:tc>
          <w:tcPr>
            <w:cnfStyle w:evenVBand="true" w:oddVBand="false" w:firstColumn="false"/>
            <w:tcW w:w="25.000000%" w:type="pct"/>
          </w:tcPr>
          <w:p>
            <w:pPr>
              <w:ind w:leftChars="0" w:left="0" w:right="0"/>
            </w:pPr>
            <w:r>
              <w:t>95</w:t>
            </w:r>
          </w:p>
        </w:tc>
      </w:tr>
      <w:tr>
        <w:trPr>
          <w:cnfStyle w:evenHBand="false" w:oddHBand="true" w:firstRow="false"/>
        </w:trPr>
        <w:tc>
          <w:tcPr>
            <w:cnfStyle w:evenVBand="false" w:oddVBand="true" w:firstColumn="false"/>
            <w:tcW w:w="25.000000%" w:type="pct"/>
          </w:tcPr>
          <w:p>
            <w:pPr>
              <w:ind w:leftChars="0" w:left="0" w:right="0"/>
            </w:pPr>
            <w:r>
              <w:t>TZ</w:t>
            </w:r>
          </w:p>
        </w:tc>
        <w:tc>
          <w:tcPr>
            <w:cnfStyle w:evenVBand="true" w:oddVBand="false" w:firstColumn="false"/>
            <w:tcW w:w="25.000000%" w:type="pct"/>
          </w:tcPr>
          <w:p>
            <w:pPr>
              <w:ind w:leftChars="0" w:left="0" w:right="0"/>
            </w:pPr>
            <w:r>
              <w:t>Tanzania, United Republic of</w:t>
            </w:r>
          </w:p>
        </w:tc>
        <w:tc>
          <w:tcPr>
            <w:cnfStyle w:evenVBand="false" w:oddVBand="true" w:firstColumn="false"/>
            <w:tcW w:w="25.000000%" w:type="pct"/>
          </w:tcPr>
          <w:p>
            <w:pPr>
              <w:ind w:leftChars="0" w:left="0" w:right="0"/>
            </w:pPr>
            <w:r>
              <w:t>Tanzania, United Republic of</w:t>
            </w:r>
          </w:p>
        </w:tc>
        <w:tc>
          <w:tcPr>
            <w:cnfStyle w:evenVBand="true" w:oddVBand="false" w:firstColumn="false"/>
            <w:tcW w:w="25.000000%" w:type="pct"/>
          </w:tcPr>
          <w:p>
            <w:pPr>
              <w:ind w:leftChars="0" w:left="0" w:right="0"/>
            </w:pPr>
            <w:r>
              <w:t>96</w:t>
            </w:r>
          </w:p>
        </w:tc>
      </w:tr>
      <w:tr>
        <w:trPr>
          <w:cnfStyle w:evenHBand="true" w:oddHBand="false" w:firstRow="false"/>
        </w:trPr>
        <w:tc>
          <w:tcPr>
            <w:cnfStyle w:evenVBand="false" w:oddVBand="true" w:firstColumn="false"/>
            <w:tcW w:w="25.000000%" w:type="pct"/>
          </w:tcPr>
          <w:p>
            <w:pPr>
              <w:ind w:leftChars="0" w:left="0" w:right="0"/>
            </w:pPr>
            <w:r>
              <w:t>UA</w:t>
            </w:r>
          </w:p>
        </w:tc>
        <w:tc>
          <w:tcPr>
            <w:cnfStyle w:evenVBand="true" w:oddVBand="false" w:firstColumn="false"/>
            <w:tcW w:w="25.000000%" w:type="pct"/>
          </w:tcPr>
          <w:p>
            <w:pPr>
              <w:ind w:leftChars="0" w:left="0" w:right="0"/>
            </w:pPr>
            <w:r>
              <w:t>Ukraine</w:t>
            </w:r>
          </w:p>
        </w:tc>
        <w:tc>
          <w:tcPr>
            <w:cnfStyle w:evenVBand="false" w:oddVBand="true" w:firstColumn="false"/>
            <w:tcW w:w="25.000000%" w:type="pct"/>
          </w:tcPr>
          <w:p>
            <w:pPr>
              <w:ind w:leftChars="0" w:left="0" w:right="0"/>
            </w:pPr>
            <w:r>
              <w:t>Ukraine</w:t>
            </w:r>
          </w:p>
        </w:tc>
        <w:tc>
          <w:tcPr>
            <w:cnfStyle w:evenVBand="true" w:oddVBand="false" w:firstColumn="false"/>
            <w:tcW w:w="25.000000%" w:type="pct"/>
          </w:tcPr>
          <w:p>
            <w:pPr>
              <w:ind w:leftChars="0" w:left="0" w:right="0"/>
            </w:pPr>
            <w:r>
              <w:t>97</w:t>
            </w:r>
          </w:p>
        </w:tc>
      </w:tr>
      <w:tr>
        <w:trPr>
          <w:cnfStyle w:evenHBand="false" w:oddHBand="true" w:firstRow="false"/>
        </w:trPr>
        <w:tc>
          <w:tcPr>
            <w:cnfStyle w:evenVBand="false" w:oddVBand="true" w:firstColumn="false"/>
            <w:tcW w:w="25.000000%" w:type="pct"/>
          </w:tcPr>
          <w:p>
            <w:pPr>
              <w:ind w:leftChars="0" w:left="0" w:right="0"/>
            </w:pPr>
            <w:r>
              <w:t>US</w:t>
            </w:r>
          </w:p>
        </w:tc>
        <w:tc>
          <w:tcPr>
            <w:cnfStyle w:evenVBand="true" w:oddVBand="false" w:firstColumn="false"/>
            <w:tcW w:w="25.000000%" w:type="pct"/>
          </w:tcPr>
          <w:p>
            <w:pPr>
              <w:ind w:leftChars="0" w:left="0" w:right="0"/>
            </w:pPr>
            <w:r>
              <w:t>United States of America (the)</w:t>
            </w:r>
          </w:p>
        </w:tc>
        <w:tc>
          <w:tcPr>
            <w:cnfStyle w:evenVBand="false" w:oddVBand="true" w:firstColumn="false"/>
            <w:tcW w:w="25.000000%" w:type="pct"/>
          </w:tcPr>
          <w:p>
            <w:pPr>
              <w:ind w:leftChars="0" w:left="0" w:right="0"/>
            </w:pPr>
            <w:r>
              <w:t>United States excluding American Samoa (AS), Guam (GU), Northern Mariana Islands (MP), Puerto Rico (PR), United States Minor Outlying Islands (UM), Virgin Islands, U.S. (VI)</w:t>
            </w:r>
          </w:p>
        </w:tc>
        <w:tc>
          <w:tcPr>
            <w:cnfStyle w:evenVBand="true" w:oddVBand="false" w:firstColumn="false"/>
            <w:tcW w:w="25.000000%" w:type="pct"/>
          </w:tcPr>
          <w:p>
            <w:pPr>
              <w:ind w:leftChars="0" w:left="0" w:right="0"/>
            </w:pPr>
            <w:r>
              <w:t>98</w:t>
            </w:r>
          </w:p>
        </w:tc>
      </w:tr>
      <w:tr>
        <w:trPr>
          <w:cnfStyle w:evenHBand="true" w:oddHBand="false" w:firstRow="false"/>
        </w:trPr>
        <w:tc>
          <w:tcPr>
            <w:cnfStyle w:evenVBand="false" w:oddVBand="true" w:firstColumn="false"/>
            <w:tcW w:w="25.000000%" w:type="pct"/>
          </w:tcPr>
          <w:p>
            <w:pPr>
              <w:ind w:leftChars="0" w:left="0" w:right="0"/>
            </w:pPr>
            <w:r>
              <w:t>VA</w:t>
            </w:r>
          </w:p>
        </w:tc>
        <w:tc>
          <w:tcPr>
            <w:cnfStyle w:evenVBand="true" w:oddVBand="false" w:firstColumn="false"/>
            <w:tcW w:w="25.000000%" w:type="pct"/>
          </w:tcPr>
          <w:p>
            <w:pPr>
              <w:ind w:leftChars="0" w:left="0" w:right="0"/>
            </w:pPr>
            <w:r>
              <w:t>Holy See (the)</w:t>
            </w:r>
          </w:p>
        </w:tc>
        <w:tc>
          <w:tcPr>
            <w:cnfStyle w:evenVBand="false" w:oddVBand="true" w:firstColumn="false"/>
            <w:tcW w:w="25.000000%" w:type="pct"/>
          </w:tcPr>
          <w:p>
            <w:pPr>
              <w:ind w:leftChars="0" w:left="0" w:right="0"/>
            </w:pPr>
            <w:r>
              <w:t>Holy See (the)</w:t>
            </w:r>
          </w:p>
        </w:tc>
        <w:tc>
          <w:tcPr>
            <w:cnfStyle w:evenVBand="true" w:oddVBand="false" w:firstColumn="false"/>
            <w:tcW w:w="25.000000%" w:type="pct"/>
          </w:tcPr>
          <w:p>
            <w:pPr>
              <w:ind w:leftChars="0" w:left="0" w:right="0"/>
            </w:pPr>
            <w:r>
              <w:t>99</w:t>
            </w:r>
          </w:p>
        </w:tc>
      </w:tr>
      <w:tr>
        <w:trPr>
          <w:cnfStyle w:evenHBand="false" w:oddHBand="true" w:firstRow="false"/>
        </w:trPr>
        <w:tc>
          <w:tcPr>
            <w:cnfStyle w:evenVBand="false" w:oddVBand="true" w:firstColumn="false"/>
            <w:tcW w:w="25.000000%" w:type="pct"/>
          </w:tcPr>
          <w:p>
            <w:pPr>
              <w:ind w:leftChars="0" w:left="0" w:right="0"/>
            </w:pPr>
            <w:r>
              <w:t>VE</w:t>
            </w:r>
          </w:p>
        </w:tc>
        <w:tc>
          <w:tcPr>
            <w:cnfStyle w:evenVBand="true" w:oddVBand="false" w:firstColumn="false"/>
            <w:tcW w:w="25.000000%" w:type="pct"/>
          </w:tcPr>
          <w:p>
            <w:pPr>
              <w:ind w:leftChars="0" w:left="0" w:right="0"/>
            </w:pPr>
            <w:r>
              <w:t>Venezuela (Bolivarian Republic of)</w:t>
            </w:r>
          </w:p>
        </w:tc>
        <w:tc>
          <w:tcPr>
            <w:cnfStyle w:evenVBand="false" w:oddVBand="true" w:firstColumn="false"/>
            <w:tcW w:w="25.000000%" w:type="pct"/>
          </w:tcPr>
          <w:p>
            <w:pPr>
              <w:ind w:leftChars="0" w:left="0" w:right="0"/>
            </w:pPr>
            <w:r>
              <w:t>Venezuela (Bolivarian Republic of)</w:t>
            </w:r>
          </w:p>
        </w:tc>
        <w:tc>
          <w:tcPr>
            <w:cnfStyle w:evenVBand="true" w:oddVBand="false" w:firstColumn="false"/>
            <w:tcW w:w="25.000000%" w:type="pct"/>
          </w:tcPr>
          <w:p>
            <w:pPr>
              <w:ind w:leftChars="0" w:left="0" w:right="0"/>
            </w:pPr>
            <w:r>
              <w:t>100</w:t>
            </w:r>
          </w:p>
        </w:tc>
      </w:tr>
      <w:tr>
        <w:trPr>
          <w:cnfStyle w:evenHBand="true" w:oddHBand="false" w:firstRow="false"/>
        </w:trPr>
        <w:tc>
          <w:tcPr>
            <w:cnfStyle w:evenVBand="false" w:oddVBand="true" w:firstColumn="false"/>
            <w:tcW w:w="25.000000%" w:type="pct"/>
          </w:tcPr>
          <w:p>
            <w:pPr>
              <w:ind w:leftChars="0" w:left="0" w:right="0"/>
            </w:pPr>
            <w:r>
              <w:t>VG</w:t>
            </w:r>
          </w:p>
        </w:tc>
        <w:tc>
          <w:tcPr>
            <w:cnfStyle w:evenVBand="true" w:oddVBand="false" w:firstColumn="false"/>
            <w:tcW w:w="25.000000%" w:type="pct"/>
          </w:tcPr>
          <w:p>
            <w:pPr>
              <w:ind w:leftChars="0" w:left="0" w:right="0"/>
            </w:pPr>
            <w:r>
              <w:t>Virgin Islands (British)</w:t>
            </w:r>
          </w:p>
        </w:tc>
        <w:tc>
          <w:tcPr>
            <w:cnfStyle w:evenVBand="false" w:oddVBand="true" w:firstColumn="false"/>
            <w:tcW w:w="25.000000%" w:type="pct"/>
          </w:tcPr>
          <w:p>
            <w:pPr>
              <w:ind w:leftChars="0" w:left="0" w:right="0"/>
            </w:pPr>
            <w:r>
              <w:t>Virgin Islands (British)</w:t>
            </w:r>
          </w:p>
        </w:tc>
        <w:tc>
          <w:tcPr>
            <w:cnfStyle w:evenVBand="true" w:oddVBand="false" w:firstColumn="false"/>
            <w:tcW w:w="25.000000%" w:type="pct"/>
          </w:tcPr>
          <w:p>
            <w:pPr>
              <w:ind w:leftChars="0" w:left="0" w:right="0"/>
            </w:pPr>
            <w:r>
              <w:t>101</w:t>
            </w:r>
          </w:p>
        </w:tc>
      </w:tr>
      <w:tr>
        <w:trPr>
          <w:cnfStyle w:evenHBand="false" w:oddHBand="true" w:firstRow="false"/>
        </w:trPr>
        <w:tc>
          <w:tcPr>
            <w:cnfStyle w:evenVBand="false" w:oddVBand="true" w:firstColumn="false"/>
            <w:tcW w:w="25.000000%" w:type="pct"/>
          </w:tcPr>
          <w:p>
            <w:pPr>
              <w:ind w:leftChars="0" w:left="0" w:right="0"/>
            </w:pPr>
            <w:r>
              <w:t>ZA</w:t>
            </w:r>
          </w:p>
        </w:tc>
        <w:tc>
          <w:tcPr>
            <w:cnfStyle w:evenVBand="true" w:oddVBand="false" w:firstColumn="false"/>
            <w:tcW w:w="25.000000%" w:type="pct"/>
          </w:tcPr>
          <w:p>
            <w:pPr>
              <w:ind w:leftChars="0" w:left="0" w:right="0"/>
            </w:pPr>
            <w:r>
              <w:t>South Africa</w:t>
            </w:r>
          </w:p>
        </w:tc>
        <w:tc>
          <w:tcPr>
            <w:cnfStyle w:evenVBand="false" w:oddVBand="true" w:firstColumn="false"/>
            <w:tcW w:w="25.000000%" w:type="pct"/>
          </w:tcPr>
          <w:p>
            <w:pPr>
              <w:ind w:leftChars="0" w:left="0" w:right="0"/>
            </w:pPr>
            <w:r>
              <w:t>South Africa</w:t>
            </w:r>
          </w:p>
        </w:tc>
        <w:tc>
          <w:tcPr>
            <w:cnfStyle w:evenVBand="true" w:oddVBand="false" w:firstColumn="false"/>
            <w:tcW w:w="25.000000%" w:type="pct"/>
          </w:tcPr>
          <w:p>
            <w:pPr>
              <w:ind w:leftChars="0" w:left="0" w:right="0"/>
            </w:pPr>
            <w:r>
              <w:t>102</w:t>
            </w:r>
          </w:p>
        </w:tc>
      </w:tr>
      <w:tr>
        <w:trPr>
          <w:cnfStyle w:evenHBand="true" w:oddHBand="false" w:firstRow="false"/>
        </w:trPr>
        <w:tc>
          <w:tcPr>
            <w:cnfStyle w:evenVBand="false" w:oddVBand="true" w:firstColumn="false"/>
            <w:tcW w:w="25.000000%" w:type="pct"/>
          </w:tcPr>
          <w:p>
            <w:pPr>
              <w:ind w:leftChars="0" w:left="0" w:right="0"/>
            </w:pPr>
            <w:r>
              <w:t>ZM</w:t>
            </w:r>
          </w:p>
        </w:tc>
        <w:tc>
          <w:tcPr>
            <w:cnfStyle w:evenVBand="true" w:oddVBand="false" w:firstColumn="false"/>
            <w:tcW w:w="25.000000%" w:type="pct"/>
          </w:tcPr>
          <w:p>
            <w:pPr>
              <w:ind w:leftChars="0" w:left="0" w:right="0"/>
            </w:pPr>
            <w:r>
              <w:t>Zambia</w:t>
            </w:r>
          </w:p>
        </w:tc>
        <w:tc>
          <w:tcPr>
            <w:cnfStyle w:evenVBand="false" w:oddVBand="true" w:firstColumn="false"/>
            <w:tcW w:w="25.000000%" w:type="pct"/>
          </w:tcPr>
          <w:p>
            <w:pPr>
              <w:ind w:leftChars="0" w:left="0" w:right="0"/>
            </w:pPr>
            <w:r>
              <w:t>Zambia</w:t>
            </w:r>
          </w:p>
        </w:tc>
        <w:tc>
          <w:tcPr>
            <w:cnfStyle w:evenVBand="true" w:oddVBand="false" w:firstColumn="false"/>
            <w:tcW w:w="25.000000%" w:type="pct"/>
          </w:tcPr>
          <w:p>
            <w:pPr>
              <w:ind w:leftChars="0" w:left="0" w:right="0"/>
            </w:pPr>
            <w:r>
              <w:t>103</w:t>
            </w:r>
          </w:p>
        </w:tc>
      </w:tr>
    </w:tbl>
    <w:p>
      <w:pPr>
        <w:pStyle w:val="Table Bottom Margin"/>
      </w:pPr>
    </w:p>
    <w:bookmarkEnd w:id="370"/>
    <w:bookmarkEnd w:id="369"/>
    <w:bookmarkStart w:id="371" w:name="_6201aa4d7e76fbd6b080361f324d593c"/>
    <w:bookmarkStart w:id="372" w:name="_a8c727a790456739b84e0c5b6c3f86b3"/>
    <w:p>
      <w:pPr>
        <w:pStyle w:val="Heading5"/>
        <w:keepNext/>
      </w:pPr>
      <w:r>
        <w:t>GEN_CRRNCY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ARS</w:t>
            </w:r>
          </w:p>
        </w:tc>
        <w:tc>
          <w:tcPr>
            <w:cnfStyle w:evenVBand="true" w:oddVBand="false" w:firstColumn="false"/>
            <w:tcW w:w="25.000000%" w:type="pct"/>
          </w:tcPr>
          <w:p>
            <w:pPr>
              <w:ind w:leftChars="0" w:left="0" w:right="0"/>
            </w:pPr>
            <w:r>
              <w:t>Argentine Peso</w:t>
            </w:r>
          </w:p>
        </w:tc>
        <w:tc>
          <w:tcPr>
            <w:cnfStyle w:evenVBand="false" w:oddVBand="true" w:firstColumn="false"/>
            <w:tcW w:w="25.000000%" w:type="pct"/>
          </w:tcPr>
          <w:p>
            <w:pPr>
              <w:ind w:leftChars="0" w:left="0" w:right="0"/>
            </w:pPr>
            <w:r>
              <w:t>Argentine Peso</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AUD</w:t>
            </w:r>
          </w:p>
        </w:tc>
        <w:tc>
          <w:tcPr>
            <w:cnfStyle w:evenVBand="true" w:oddVBand="false" w:firstColumn="false"/>
            <w:tcW w:w="25.000000%" w:type="pct"/>
          </w:tcPr>
          <w:p>
            <w:pPr>
              <w:ind w:leftChars="0" w:left="0" w:right="0"/>
            </w:pPr>
            <w:r>
              <w:t>Australian Dollar</w:t>
            </w:r>
          </w:p>
        </w:tc>
        <w:tc>
          <w:tcPr>
            <w:cnfStyle w:evenVBand="false" w:oddVBand="true" w:firstColumn="false"/>
            <w:tcW w:w="25.000000%" w:type="pct"/>
          </w:tcPr>
          <w:p>
            <w:pPr>
              <w:ind w:leftChars="0" w:left="0" w:right="0"/>
            </w:pPr>
            <w:r>
              <w:t>Australian Dollar</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BGN</w:t>
            </w:r>
          </w:p>
        </w:tc>
        <w:tc>
          <w:tcPr>
            <w:cnfStyle w:evenVBand="true" w:oddVBand="false" w:firstColumn="false"/>
            <w:tcW w:w="25.000000%" w:type="pct"/>
          </w:tcPr>
          <w:p>
            <w:pPr>
              <w:ind w:leftChars="0" w:left="0" w:right="0"/>
            </w:pPr>
            <w:r>
              <w:t>Bulgarian Lev</w:t>
            </w:r>
          </w:p>
        </w:tc>
        <w:tc>
          <w:tcPr>
            <w:cnfStyle w:evenVBand="false" w:oddVBand="true" w:firstColumn="false"/>
            <w:tcW w:w="25.000000%" w:type="pct"/>
          </w:tcPr>
          <w:p>
            <w:pPr>
              <w:ind w:leftChars="0" w:left="0" w:right="0"/>
            </w:pPr>
            <w:r>
              <w:t>Bulgarian Lev</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BRL</w:t>
            </w:r>
          </w:p>
        </w:tc>
        <w:tc>
          <w:tcPr>
            <w:cnfStyle w:evenVBand="true" w:oddVBand="false" w:firstColumn="false"/>
            <w:tcW w:w="25.000000%" w:type="pct"/>
          </w:tcPr>
          <w:p>
            <w:pPr>
              <w:ind w:leftChars="0" w:left="0" w:right="0"/>
            </w:pPr>
            <w:r>
              <w:t>Brazilian Real</w:t>
            </w:r>
          </w:p>
        </w:tc>
        <w:tc>
          <w:tcPr>
            <w:cnfStyle w:evenVBand="false" w:oddVBand="true" w:firstColumn="false"/>
            <w:tcW w:w="25.000000%" w:type="pct"/>
          </w:tcPr>
          <w:p>
            <w:pPr>
              <w:ind w:leftChars="0" w:left="0" w:right="0"/>
            </w:pPr>
            <w:r>
              <w:t>Brazilian Real</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CAD</w:t>
            </w:r>
          </w:p>
        </w:tc>
        <w:tc>
          <w:tcPr>
            <w:cnfStyle w:evenVBand="true" w:oddVBand="false" w:firstColumn="false"/>
            <w:tcW w:w="25.000000%" w:type="pct"/>
          </w:tcPr>
          <w:p>
            <w:pPr>
              <w:ind w:leftChars="0" w:left="0" w:right="0"/>
            </w:pPr>
            <w:r>
              <w:t>Canadian Dollar</w:t>
            </w:r>
          </w:p>
        </w:tc>
        <w:tc>
          <w:tcPr>
            <w:cnfStyle w:evenVBand="false" w:oddVBand="true" w:firstColumn="false"/>
            <w:tcW w:w="25.000000%" w:type="pct"/>
          </w:tcPr>
          <w:p>
            <w:pPr>
              <w:ind w:leftChars="0" w:left="0" w:right="0"/>
            </w:pPr>
            <w:r>
              <w:t>Canadian Dollar</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CHF</w:t>
            </w:r>
          </w:p>
        </w:tc>
        <w:tc>
          <w:tcPr>
            <w:cnfStyle w:evenVBand="true" w:oddVBand="false" w:firstColumn="false"/>
            <w:tcW w:w="25.000000%" w:type="pct"/>
          </w:tcPr>
          <w:p>
            <w:pPr>
              <w:ind w:leftChars="0" w:left="0" w:right="0"/>
            </w:pPr>
            <w:r>
              <w:t>Swiss Franc</w:t>
            </w:r>
          </w:p>
        </w:tc>
        <w:tc>
          <w:tcPr>
            <w:cnfStyle w:evenVBand="false" w:oddVBand="true" w:firstColumn="false"/>
            <w:tcW w:w="25.000000%" w:type="pct"/>
          </w:tcPr>
          <w:p>
            <w:pPr>
              <w:ind w:leftChars="0" w:left="0" w:right="0"/>
            </w:pPr>
            <w:r>
              <w:t>Swiss Franc</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CLP</w:t>
            </w:r>
          </w:p>
        </w:tc>
        <w:tc>
          <w:tcPr>
            <w:cnfStyle w:evenVBand="true" w:oddVBand="false" w:firstColumn="false"/>
            <w:tcW w:w="25.000000%" w:type="pct"/>
          </w:tcPr>
          <w:p>
            <w:pPr>
              <w:ind w:leftChars="0" w:left="0" w:right="0"/>
            </w:pPr>
            <w:r>
              <w:t>Chilean Peso</w:t>
            </w:r>
          </w:p>
        </w:tc>
        <w:tc>
          <w:tcPr>
            <w:cnfStyle w:evenVBand="false" w:oddVBand="true" w:firstColumn="false"/>
            <w:tcW w:w="25.000000%" w:type="pct"/>
          </w:tcPr>
          <w:p>
            <w:pPr>
              <w:ind w:leftChars="0" w:left="0" w:right="0"/>
            </w:pPr>
            <w:r>
              <w:t>Chilean Peso</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CNY</w:t>
            </w:r>
          </w:p>
        </w:tc>
        <w:tc>
          <w:tcPr>
            <w:cnfStyle w:evenVBand="true" w:oddVBand="false" w:firstColumn="false"/>
            <w:tcW w:w="25.000000%" w:type="pct"/>
          </w:tcPr>
          <w:p>
            <w:pPr>
              <w:ind w:leftChars="0" w:left="0" w:right="0"/>
            </w:pPr>
            <w:r>
              <w:t>Yuan Renminbi</w:t>
            </w:r>
          </w:p>
        </w:tc>
        <w:tc>
          <w:tcPr>
            <w:cnfStyle w:evenVBand="false" w:oddVBand="true" w:firstColumn="false"/>
            <w:tcW w:w="25.000000%" w:type="pct"/>
          </w:tcPr>
          <w:p>
            <w:pPr>
              <w:ind w:leftChars="0" w:left="0" w:right="0"/>
            </w:pPr>
            <w:r>
              <w:t>Yuan Renminbi</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COP</w:t>
            </w:r>
          </w:p>
        </w:tc>
        <w:tc>
          <w:tcPr>
            <w:cnfStyle w:evenVBand="true" w:oddVBand="false" w:firstColumn="false"/>
            <w:tcW w:w="25.000000%" w:type="pct"/>
          </w:tcPr>
          <w:p>
            <w:pPr>
              <w:ind w:leftChars="0" w:left="0" w:right="0"/>
            </w:pPr>
            <w:r>
              <w:t>Colombian Peso</w:t>
            </w:r>
          </w:p>
        </w:tc>
        <w:tc>
          <w:tcPr>
            <w:cnfStyle w:evenVBand="false" w:oddVBand="true" w:firstColumn="false"/>
            <w:tcW w:w="25.000000%" w:type="pct"/>
          </w:tcPr>
          <w:p>
            <w:pPr>
              <w:ind w:leftChars="0" w:left="0" w:right="0"/>
            </w:pPr>
            <w:r>
              <w:t>Colombian Peso</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CZK</w:t>
            </w:r>
          </w:p>
        </w:tc>
        <w:tc>
          <w:tcPr>
            <w:cnfStyle w:evenVBand="true" w:oddVBand="false" w:firstColumn="false"/>
            <w:tcW w:w="25.000000%" w:type="pct"/>
          </w:tcPr>
          <w:p>
            <w:pPr>
              <w:ind w:leftChars="0" w:left="0" w:right="0"/>
            </w:pPr>
            <w:r>
              <w:t>Czech Koruna</w:t>
            </w:r>
          </w:p>
        </w:tc>
        <w:tc>
          <w:tcPr>
            <w:cnfStyle w:evenVBand="false" w:oddVBand="true" w:firstColumn="false"/>
            <w:tcW w:w="25.000000%" w:type="pct"/>
          </w:tcPr>
          <w:p>
            <w:pPr>
              <w:ind w:leftChars="0" w:left="0" w:right="0"/>
            </w:pPr>
            <w:r>
              <w:t>Czech Koruna</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DKK</w:t>
            </w:r>
          </w:p>
        </w:tc>
        <w:tc>
          <w:tcPr>
            <w:cnfStyle w:evenVBand="true" w:oddVBand="false" w:firstColumn="false"/>
            <w:tcW w:w="25.000000%" w:type="pct"/>
          </w:tcPr>
          <w:p>
            <w:pPr>
              <w:ind w:leftChars="0" w:left="0" w:right="0"/>
            </w:pPr>
            <w:r>
              <w:t>Danish Krone</w:t>
            </w:r>
          </w:p>
        </w:tc>
        <w:tc>
          <w:tcPr>
            <w:cnfStyle w:evenVBand="false" w:oddVBand="true" w:firstColumn="false"/>
            <w:tcW w:w="25.000000%" w:type="pct"/>
          </w:tcPr>
          <w:p>
            <w:pPr>
              <w:ind w:leftChars="0" w:left="0" w:right="0"/>
            </w:pPr>
            <w:r>
              <w:t>Danish Krone</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EGP</w:t>
            </w:r>
          </w:p>
        </w:tc>
        <w:tc>
          <w:tcPr>
            <w:cnfStyle w:evenVBand="true" w:oddVBand="false" w:firstColumn="false"/>
            <w:tcW w:w="25.000000%" w:type="pct"/>
          </w:tcPr>
          <w:p>
            <w:pPr>
              <w:ind w:leftChars="0" w:left="0" w:right="0"/>
            </w:pPr>
            <w:r>
              <w:t>Egyptian Pound</w:t>
            </w:r>
          </w:p>
        </w:tc>
        <w:tc>
          <w:tcPr>
            <w:cnfStyle w:evenVBand="false" w:oddVBand="true" w:firstColumn="false"/>
            <w:tcW w:w="25.000000%" w:type="pct"/>
          </w:tcPr>
          <w:p>
            <w:pPr>
              <w:ind w:leftChars="0" w:left="0" w:right="0"/>
            </w:pPr>
            <w:r>
              <w:t>Egyptian Pound</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EUR</w:t>
            </w:r>
          </w:p>
        </w:tc>
        <w:tc>
          <w:tcPr>
            <w:cnfStyle w:evenVBand="true" w:oddVBand="false" w:firstColumn="false"/>
            <w:tcW w:w="25.000000%" w:type="pct"/>
          </w:tcPr>
          <w:p>
            <w:pPr>
              <w:ind w:leftChars="0" w:left="0" w:right="0"/>
            </w:pPr>
            <w:r>
              <w:t>Euro</w:t>
            </w:r>
          </w:p>
        </w:tc>
        <w:tc>
          <w:tcPr>
            <w:cnfStyle w:evenVBand="false" w:oddVBand="true" w:firstColumn="false"/>
            <w:tcW w:w="25.000000%" w:type="pct"/>
          </w:tcPr>
          <w:p>
            <w:pPr>
              <w:ind w:leftChars="0" w:left="0" w:right="0"/>
            </w:pPr>
            <w:r>
              <w:t>Euro</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GBP</w:t>
            </w:r>
          </w:p>
        </w:tc>
        <w:tc>
          <w:tcPr>
            <w:cnfStyle w:evenVBand="true" w:oddVBand="false" w:firstColumn="false"/>
            <w:tcW w:w="25.000000%" w:type="pct"/>
          </w:tcPr>
          <w:p>
            <w:pPr>
              <w:ind w:leftChars="0" w:left="0" w:right="0"/>
            </w:pPr>
            <w:r>
              <w:t>Pound Sterling</w:t>
            </w:r>
          </w:p>
        </w:tc>
        <w:tc>
          <w:tcPr>
            <w:cnfStyle w:evenVBand="false" w:oddVBand="true" w:firstColumn="false"/>
            <w:tcW w:w="25.000000%" w:type="pct"/>
          </w:tcPr>
          <w:p>
            <w:pPr>
              <w:ind w:leftChars="0" w:left="0" w:right="0"/>
            </w:pPr>
            <w:r>
              <w:t>Pound Sterling</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HKD</w:t>
            </w:r>
          </w:p>
        </w:tc>
        <w:tc>
          <w:tcPr>
            <w:cnfStyle w:evenVBand="true" w:oddVBand="false" w:firstColumn="false"/>
            <w:tcW w:w="25.000000%" w:type="pct"/>
          </w:tcPr>
          <w:p>
            <w:pPr>
              <w:ind w:leftChars="0" w:left="0" w:right="0"/>
            </w:pPr>
            <w:r>
              <w:t>Hong Kong Dollar</w:t>
            </w:r>
          </w:p>
        </w:tc>
        <w:tc>
          <w:tcPr>
            <w:cnfStyle w:evenVBand="false" w:oddVBand="true" w:firstColumn="false"/>
            <w:tcW w:w="25.000000%" w:type="pct"/>
          </w:tcPr>
          <w:p>
            <w:pPr>
              <w:ind w:leftChars="0" w:left="0" w:right="0"/>
            </w:pPr>
            <w:r>
              <w:t>Hong Kong Dollar</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HRK</w:t>
            </w:r>
          </w:p>
        </w:tc>
        <w:tc>
          <w:tcPr>
            <w:cnfStyle w:evenVBand="true" w:oddVBand="false" w:firstColumn="false"/>
            <w:tcW w:w="25.000000%" w:type="pct"/>
          </w:tcPr>
          <w:p>
            <w:pPr>
              <w:ind w:leftChars="0" w:left="0" w:right="0"/>
            </w:pPr>
            <w:r>
              <w:t>Croatian Kuna</w:t>
            </w:r>
          </w:p>
        </w:tc>
        <w:tc>
          <w:tcPr>
            <w:cnfStyle w:evenVBand="false" w:oddVBand="true" w:firstColumn="false"/>
            <w:tcW w:w="25.000000%" w:type="pct"/>
          </w:tcPr>
          <w:p>
            <w:pPr>
              <w:ind w:leftChars="0" w:left="0" w:right="0"/>
            </w:pPr>
            <w:r>
              <w:t>Croatian Kuna</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HUF</w:t>
            </w:r>
          </w:p>
        </w:tc>
        <w:tc>
          <w:tcPr>
            <w:cnfStyle w:evenVBand="true" w:oddVBand="false" w:firstColumn="false"/>
            <w:tcW w:w="25.000000%" w:type="pct"/>
          </w:tcPr>
          <w:p>
            <w:pPr>
              <w:ind w:leftChars="0" w:left="0" w:right="0"/>
            </w:pPr>
            <w:r>
              <w:t>Hungarian Forint</w:t>
            </w:r>
          </w:p>
        </w:tc>
        <w:tc>
          <w:tcPr>
            <w:cnfStyle w:evenVBand="false" w:oddVBand="true" w:firstColumn="false"/>
            <w:tcW w:w="25.000000%" w:type="pct"/>
          </w:tcPr>
          <w:p>
            <w:pPr>
              <w:ind w:leftChars="0" w:left="0" w:right="0"/>
            </w:pPr>
            <w:r>
              <w:t>Hungarian Forint</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IDR</w:t>
            </w:r>
          </w:p>
        </w:tc>
        <w:tc>
          <w:tcPr>
            <w:cnfStyle w:evenVBand="true" w:oddVBand="false" w:firstColumn="false"/>
            <w:tcW w:w="25.000000%" w:type="pct"/>
          </w:tcPr>
          <w:p>
            <w:pPr>
              <w:ind w:leftChars="0" w:left="0" w:right="0"/>
            </w:pPr>
            <w:r>
              <w:t>Rupiah</w:t>
            </w:r>
          </w:p>
        </w:tc>
        <w:tc>
          <w:tcPr>
            <w:cnfStyle w:evenVBand="false" w:oddVBand="true" w:firstColumn="false"/>
            <w:tcW w:w="25.000000%" w:type="pct"/>
          </w:tcPr>
          <w:p>
            <w:pPr>
              <w:ind w:leftChars="0" w:left="0" w:right="0"/>
            </w:pPr>
            <w:r>
              <w:t>Rupiah</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ILS</w:t>
            </w:r>
          </w:p>
        </w:tc>
        <w:tc>
          <w:tcPr>
            <w:cnfStyle w:evenVBand="true" w:oddVBand="false" w:firstColumn="false"/>
            <w:tcW w:w="25.000000%" w:type="pct"/>
          </w:tcPr>
          <w:p>
            <w:pPr>
              <w:ind w:leftChars="0" w:left="0" w:right="0"/>
            </w:pPr>
            <w:r>
              <w:t>New Israeli Sheqel</w:t>
            </w:r>
          </w:p>
        </w:tc>
        <w:tc>
          <w:tcPr>
            <w:cnfStyle w:evenVBand="false" w:oddVBand="true" w:firstColumn="false"/>
            <w:tcW w:w="25.000000%" w:type="pct"/>
          </w:tcPr>
          <w:p>
            <w:pPr>
              <w:ind w:leftChars="0" w:left="0" w:right="0"/>
            </w:pPr>
            <w:r>
              <w:t>New Israeli Sheqel</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INR</w:t>
            </w:r>
          </w:p>
        </w:tc>
        <w:tc>
          <w:tcPr>
            <w:cnfStyle w:evenVBand="true" w:oddVBand="false" w:firstColumn="false"/>
            <w:tcW w:w="25.000000%" w:type="pct"/>
          </w:tcPr>
          <w:p>
            <w:pPr>
              <w:ind w:leftChars="0" w:left="0" w:right="0"/>
            </w:pPr>
            <w:r>
              <w:t>Indian Rupee</w:t>
            </w:r>
          </w:p>
        </w:tc>
        <w:tc>
          <w:tcPr>
            <w:cnfStyle w:evenVBand="false" w:oddVBand="true" w:firstColumn="false"/>
            <w:tcW w:w="25.000000%" w:type="pct"/>
          </w:tcPr>
          <w:p>
            <w:pPr>
              <w:ind w:leftChars="0" w:left="0" w:right="0"/>
            </w:pPr>
            <w:r>
              <w:t>Indian Rupee</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JPY</w:t>
            </w:r>
          </w:p>
        </w:tc>
        <w:tc>
          <w:tcPr>
            <w:cnfStyle w:evenVBand="true" w:oddVBand="false" w:firstColumn="false"/>
            <w:tcW w:w="25.000000%" w:type="pct"/>
          </w:tcPr>
          <w:p>
            <w:pPr>
              <w:ind w:leftChars="0" w:left="0" w:right="0"/>
            </w:pPr>
            <w:r>
              <w:t>Japanese Yen</w:t>
            </w:r>
          </w:p>
        </w:tc>
        <w:tc>
          <w:tcPr>
            <w:cnfStyle w:evenVBand="false" w:oddVBand="true" w:firstColumn="false"/>
            <w:tcW w:w="25.000000%" w:type="pct"/>
          </w:tcPr>
          <w:p>
            <w:pPr>
              <w:ind w:leftChars="0" w:left="0" w:right="0"/>
            </w:pPr>
            <w:r>
              <w:t>Japanese Yen</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KRW</w:t>
            </w:r>
          </w:p>
        </w:tc>
        <w:tc>
          <w:tcPr>
            <w:cnfStyle w:evenVBand="true" w:oddVBand="false" w:firstColumn="false"/>
            <w:tcW w:w="25.000000%" w:type="pct"/>
          </w:tcPr>
          <w:p>
            <w:pPr>
              <w:ind w:leftChars="0" w:left="0" w:right="0"/>
            </w:pPr>
            <w:r>
              <w:t>South Korean Won</w:t>
            </w:r>
          </w:p>
        </w:tc>
        <w:tc>
          <w:tcPr>
            <w:cnfStyle w:evenVBand="false" w:oddVBand="true" w:firstColumn="false"/>
            <w:tcW w:w="25.000000%" w:type="pct"/>
          </w:tcPr>
          <w:p>
            <w:pPr>
              <w:ind w:leftChars="0" w:left="0" w:right="0"/>
            </w:pPr>
            <w:r>
              <w:t>South Korean Won</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KZT</w:t>
            </w:r>
          </w:p>
        </w:tc>
        <w:tc>
          <w:tcPr>
            <w:cnfStyle w:evenVBand="true" w:oddVBand="false" w:firstColumn="false"/>
            <w:tcW w:w="25.000000%" w:type="pct"/>
          </w:tcPr>
          <w:p>
            <w:pPr>
              <w:ind w:leftChars="0" w:left="0" w:right="0"/>
            </w:pPr>
            <w:r>
              <w:t>Tenge</w:t>
            </w:r>
          </w:p>
        </w:tc>
        <w:tc>
          <w:tcPr>
            <w:cnfStyle w:evenVBand="false" w:oddVBand="true" w:firstColumn="false"/>
            <w:tcW w:w="25.000000%" w:type="pct"/>
          </w:tcPr>
          <w:p>
            <w:pPr>
              <w:ind w:leftChars="0" w:left="0" w:right="0"/>
            </w:pPr>
            <w:r>
              <w:t>Tenge</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MXN</w:t>
            </w:r>
          </w:p>
        </w:tc>
        <w:tc>
          <w:tcPr>
            <w:cnfStyle w:evenVBand="true" w:oddVBand="false" w:firstColumn="false"/>
            <w:tcW w:w="25.000000%" w:type="pct"/>
          </w:tcPr>
          <w:p>
            <w:pPr>
              <w:ind w:leftChars="0" w:left="0" w:right="0"/>
            </w:pPr>
            <w:r>
              <w:t>Mexican Peso</w:t>
            </w:r>
          </w:p>
        </w:tc>
        <w:tc>
          <w:tcPr>
            <w:cnfStyle w:evenVBand="false" w:oddVBand="true" w:firstColumn="false"/>
            <w:tcW w:w="25.000000%" w:type="pct"/>
          </w:tcPr>
          <w:p>
            <w:pPr>
              <w:ind w:leftChars="0" w:left="0" w:right="0"/>
            </w:pPr>
            <w:r>
              <w:t>Mexican Peso</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NOK</w:t>
            </w:r>
          </w:p>
        </w:tc>
        <w:tc>
          <w:tcPr>
            <w:cnfStyle w:evenVBand="true" w:oddVBand="false" w:firstColumn="false"/>
            <w:tcW w:w="25.000000%" w:type="pct"/>
          </w:tcPr>
          <w:p>
            <w:pPr>
              <w:ind w:leftChars="0" w:left="0" w:right="0"/>
            </w:pPr>
            <w:r>
              <w:t>Norwegian Krone</w:t>
            </w:r>
          </w:p>
        </w:tc>
        <w:tc>
          <w:tcPr>
            <w:cnfStyle w:evenVBand="false" w:oddVBand="true" w:firstColumn="false"/>
            <w:tcW w:w="25.000000%" w:type="pct"/>
          </w:tcPr>
          <w:p>
            <w:pPr>
              <w:ind w:leftChars="0" w:left="0" w:right="0"/>
            </w:pPr>
            <w:r>
              <w:t>Norwegian Krone</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PEN</w:t>
            </w:r>
          </w:p>
        </w:tc>
        <w:tc>
          <w:tcPr>
            <w:cnfStyle w:evenVBand="true" w:oddVBand="false" w:firstColumn="false"/>
            <w:tcW w:w="25.000000%" w:type="pct"/>
          </w:tcPr>
          <w:p>
            <w:pPr>
              <w:ind w:leftChars="0" w:left="0" w:right="0"/>
            </w:pPr>
            <w:r>
              <w:t>Nuevo Sol</w:t>
            </w:r>
          </w:p>
        </w:tc>
        <w:tc>
          <w:tcPr>
            <w:cnfStyle w:evenVBand="false" w:oddVBand="true" w:firstColumn="false"/>
            <w:tcW w:w="25.000000%" w:type="pct"/>
          </w:tcPr>
          <w:p>
            <w:pPr>
              <w:ind w:leftChars="0" w:left="0" w:right="0"/>
            </w:pPr>
            <w:r>
              <w:t>Nuevo Sol</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PGK</w:t>
            </w:r>
          </w:p>
        </w:tc>
        <w:tc>
          <w:tcPr>
            <w:cnfStyle w:evenVBand="true" w:oddVBand="false" w:firstColumn="false"/>
            <w:tcW w:w="25.000000%" w:type="pct"/>
          </w:tcPr>
          <w:p>
            <w:pPr>
              <w:ind w:leftChars="0" w:left="0" w:right="0"/>
            </w:pPr>
            <w:r>
              <w:t>Kina</w:t>
            </w:r>
          </w:p>
        </w:tc>
        <w:tc>
          <w:tcPr>
            <w:cnfStyle w:evenVBand="false" w:oddVBand="true" w:firstColumn="false"/>
            <w:tcW w:w="25.000000%" w:type="pct"/>
          </w:tcPr>
          <w:p>
            <w:pPr>
              <w:ind w:leftChars="0" w:left="0" w:right="0"/>
            </w:pPr>
            <w:r>
              <w:t>Kina</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PHP</w:t>
            </w:r>
          </w:p>
        </w:tc>
        <w:tc>
          <w:tcPr>
            <w:cnfStyle w:evenVBand="true" w:oddVBand="false" w:firstColumn="false"/>
            <w:tcW w:w="25.000000%" w:type="pct"/>
          </w:tcPr>
          <w:p>
            <w:pPr>
              <w:ind w:leftChars="0" w:left="0" w:right="0"/>
            </w:pPr>
            <w:r>
              <w:t>Philippine Peso</w:t>
            </w:r>
          </w:p>
        </w:tc>
        <w:tc>
          <w:tcPr>
            <w:cnfStyle w:evenVBand="false" w:oddVBand="true" w:firstColumn="false"/>
            <w:tcW w:w="25.000000%" w:type="pct"/>
          </w:tcPr>
          <w:p>
            <w:pPr>
              <w:ind w:leftChars="0" w:left="0" w:right="0"/>
            </w:pPr>
            <w:r>
              <w:t>Philippine Peso</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PLN</w:t>
            </w:r>
          </w:p>
        </w:tc>
        <w:tc>
          <w:tcPr>
            <w:cnfStyle w:evenVBand="true" w:oddVBand="false" w:firstColumn="false"/>
            <w:tcW w:w="25.000000%" w:type="pct"/>
          </w:tcPr>
          <w:p>
            <w:pPr>
              <w:ind w:leftChars="0" w:left="0" w:right="0"/>
            </w:pPr>
            <w:r>
              <w:t>Polish Zloty</w:t>
            </w:r>
          </w:p>
        </w:tc>
        <w:tc>
          <w:tcPr>
            <w:cnfStyle w:evenVBand="false" w:oddVBand="true" w:firstColumn="false"/>
            <w:tcW w:w="25.000000%" w:type="pct"/>
          </w:tcPr>
          <w:p>
            <w:pPr>
              <w:ind w:leftChars="0" w:left="0" w:right="0"/>
            </w:pPr>
            <w:r>
              <w:t>Polish Zloty</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RON</w:t>
            </w:r>
          </w:p>
        </w:tc>
        <w:tc>
          <w:tcPr>
            <w:cnfStyle w:evenVBand="true" w:oddVBand="false" w:firstColumn="false"/>
            <w:tcW w:w="25.000000%" w:type="pct"/>
          </w:tcPr>
          <w:p>
            <w:pPr>
              <w:ind w:leftChars="0" w:left="0" w:right="0"/>
            </w:pPr>
            <w:r>
              <w:t>New Leu</w:t>
            </w:r>
          </w:p>
        </w:tc>
        <w:tc>
          <w:tcPr>
            <w:cnfStyle w:evenVBand="false" w:oddVBand="true" w:firstColumn="false"/>
            <w:tcW w:w="25.000000%" w:type="pct"/>
          </w:tcPr>
          <w:p>
            <w:pPr>
              <w:ind w:leftChars="0" w:left="0" w:right="0"/>
            </w:pPr>
            <w:r>
              <w:t>New Leu</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RSD</w:t>
            </w:r>
          </w:p>
        </w:tc>
        <w:tc>
          <w:tcPr>
            <w:cnfStyle w:evenVBand="true" w:oddVBand="false" w:firstColumn="false"/>
            <w:tcW w:w="25.000000%" w:type="pct"/>
          </w:tcPr>
          <w:p>
            <w:pPr>
              <w:ind w:leftChars="0" w:left="0" w:right="0"/>
            </w:pPr>
            <w:r>
              <w:t>Serbian Dinar</w:t>
            </w:r>
          </w:p>
        </w:tc>
        <w:tc>
          <w:tcPr>
            <w:cnfStyle w:evenVBand="false" w:oddVBand="true" w:firstColumn="false"/>
            <w:tcW w:w="25.000000%" w:type="pct"/>
          </w:tcPr>
          <w:p>
            <w:pPr>
              <w:ind w:leftChars="0" w:left="0" w:right="0"/>
            </w:pPr>
            <w:r>
              <w:t>Serbian Dinar</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RUB</w:t>
            </w:r>
          </w:p>
        </w:tc>
        <w:tc>
          <w:tcPr>
            <w:cnfStyle w:evenVBand="true" w:oddVBand="false" w:firstColumn="false"/>
            <w:tcW w:w="25.000000%" w:type="pct"/>
          </w:tcPr>
          <w:p>
            <w:pPr>
              <w:ind w:leftChars="0" w:left="0" w:right="0"/>
            </w:pPr>
            <w:r>
              <w:t>Russian Ruble</w:t>
            </w:r>
          </w:p>
        </w:tc>
        <w:tc>
          <w:tcPr>
            <w:cnfStyle w:evenVBand="false" w:oddVBand="true" w:firstColumn="false"/>
            <w:tcW w:w="25.000000%" w:type="pct"/>
          </w:tcPr>
          <w:p>
            <w:pPr>
              <w:ind w:leftChars="0" w:left="0" w:right="0"/>
            </w:pPr>
            <w:r>
              <w:t>Russian Ruble</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SEK</w:t>
            </w:r>
          </w:p>
        </w:tc>
        <w:tc>
          <w:tcPr>
            <w:cnfStyle w:evenVBand="true" w:oddVBand="false" w:firstColumn="false"/>
            <w:tcW w:w="25.000000%" w:type="pct"/>
          </w:tcPr>
          <w:p>
            <w:pPr>
              <w:ind w:leftChars="0" w:left="0" w:right="0"/>
            </w:pPr>
            <w:r>
              <w:t>Swedish Krona</w:t>
            </w:r>
          </w:p>
        </w:tc>
        <w:tc>
          <w:tcPr>
            <w:cnfStyle w:evenVBand="false" w:oddVBand="true" w:firstColumn="false"/>
            <w:tcW w:w="25.000000%" w:type="pct"/>
          </w:tcPr>
          <w:p>
            <w:pPr>
              <w:ind w:leftChars="0" w:left="0" w:right="0"/>
            </w:pPr>
            <w:r>
              <w:t>Swedish Krona</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SGD</w:t>
            </w:r>
          </w:p>
        </w:tc>
        <w:tc>
          <w:tcPr>
            <w:cnfStyle w:evenVBand="true" w:oddVBand="false" w:firstColumn="false"/>
            <w:tcW w:w="25.000000%" w:type="pct"/>
          </w:tcPr>
          <w:p>
            <w:pPr>
              <w:ind w:leftChars="0" w:left="0" w:right="0"/>
            </w:pPr>
            <w:r>
              <w:t>Singapore Dollar</w:t>
            </w:r>
          </w:p>
        </w:tc>
        <w:tc>
          <w:tcPr>
            <w:cnfStyle w:evenVBand="false" w:oddVBand="true" w:firstColumn="false"/>
            <w:tcW w:w="25.000000%" w:type="pct"/>
          </w:tcPr>
          <w:p>
            <w:pPr>
              <w:ind w:leftChars="0" w:left="0" w:right="0"/>
            </w:pPr>
            <w:r>
              <w:t>Singapore Dollar</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THB</w:t>
            </w:r>
          </w:p>
        </w:tc>
        <w:tc>
          <w:tcPr>
            <w:cnfStyle w:evenVBand="true" w:oddVBand="false" w:firstColumn="false"/>
            <w:tcW w:w="25.000000%" w:type="pct"/>
          </w:tcPr>
          <w:p>
            <w:pPr>
              <w:ind w:leftChars="0" w:left="0" w:right="0"/>
            </w:pPr>
            <w:r>
              <w:t>Thai Baht</w:t>
            </w:r>
          </w:p>
        </w:tc>
        <w:tc>
          <w:tcPr>
            <w:cnfStyle w:evenVBand="false" w:oddVBand="true" w:firstColumn="false"/>
            <w:tcW w:w="25.000000%" w:type="pct"/>
          </w:tcPr>
          <w:p>
            <w:pPr>
              <w:ind w:leftChars="0" w:left="0" w:right="0"/>
            </w:pPr>
            <w:r>
              <w:t>Thai Baht</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TRY</w:t>
            </w:r>
          </w:p>
        </w:tc>
        <w:tc>
          <w:tcPr>
            <w:cnfStyle w:evenVBand="true" w:oddVBand="false" w:firstColumn="false"/>
            <w:tcW w:w="25.000000%" w:type="pct"/>
          </w:tcPr>
          <w:p>
            <w:pPr>
              <w:ind w:leftChars="0" w:left="0" w:right="0"/>
            </w:pPr>
            <w:r>
              <w:t>New Turkish Lira</w:t>
            </w:r>
          </w:p>
        </w:tc>
        <w:tc>
          <w:tcPr>
            <w:cnfStyle w:evenVBand="false" w:oddVBand="true" w:firstColumn="false"/>
            <w:tcW w:w="25.000000%" w:type="pct"/>
          </w:tcPr>
          <w:p>
            <w:pPr>
              <w:ind w:leftChars="0" w:left="0" w:right="0"/>
            </w:pPr>
            <w:r>
              <w:t>New Turkish Lira</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TWD</w:t>
            </w:r>
          </w:p>
        </w:tc>
        <w:tc>
          <w:tcPr>
            <w:cnfStyle w:evenVBand="true" w:oddVBand="false" w:firstColumn="false"/>
            <w:tcW w:w="25.000000%" w:type="pct"/>
          </w:tcPr>
          <w:p>
            <w:pPr>
              <w:ind w:leftChars="0" w:left="0" w:right="0"/>
            </w:pPr>
            <w:r>
              <w:t>New Taiwan Dollar</w:t>
            </w:r>
          </w:p>
        </w:tc>
        <w:tc>
          <w:tcPr>
            <w:cnfStyle w:evenVBand="false" w:oddVBand="true" w:firstColumn="false"/>
            <w:tcW w:w="25.000000%" w:type="pct"/>
          </w:tcPr>
          <w:p>
            <w:pPr>
              <w:ind w:leftChars="0" w:left="0" w:right="0"/>
            </w:pPr>
            <w:r>
              <w:t>New Taiwan Dollar</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UAH</w:t>
            </w:r>
          </w:p>
        </w:tc>
        <w:tc>
          <w:tcPr>
            <w:cnfStyle w:evenVBand="true" w:oddVBand="false" w:firstColumn="false"/>
            <w:tcW w:w="25.000000%" w:type="pct"/>
          </w:tcPr>
          <w:p>
            <w:pPr>
              <w:ind w:leftChars="0" w:left="0" w:right="0"/>
            </w:pPr>
            <w:r>
              <w:t>Hryvnia</w:t>
            </w:r>
          </w:p>
        </w:tc>
        <w:tc>
          <w:tcPr>
            <w:cnfStyle w:evenVBand="false" w:oddVBand="true" w:firstColumn="false"/>
            <w:tcW w:w="25.000000%" w:type="pct"/>
          </w:tcPr>
          <w:p>
            <w:pPr>
              <w:ind w:leftChars="0" w:left="0" w:right="0"/>
            </w:pPr>
            <w:r>
              <w:t>Hryvnia</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USD</w:t>
            </w:r>
          </w:p>
        </w:tc>
        <w:tc>
          <w:tcPr>
            <w:cnfStyle w:evenVBand="true" w:oddVBand="false" w:firstColumn="false"/>
            <w:tcW w:w="25.000000%" w:type="pct"/>
          </w:tcPr>
          <w:p>
            <w:pPr>
              <w:ind w:leftChars="0" w:left="0" w:right="0"/>
            </w:pPr>
            <w:r>
              <w:t>US Dollar</w:t>
            </w:r>
          </w:p>
        </w:tc>
        <w:tc>
          <w:tcPr>
            <w:cnfStyle w:evenVBand="false" w:oddVBand="true" w:firstColumn="false"/>
            <w:tcW w:w="25.000000%" w:type="pct"/>
          </w:tcPr>
          <w:p>
            <w:pPr>
              <w:ind w:leftChars="0" w:left="0" w:right="0"/>
            </w:pPr>
            <w:r>
              <w:t>US Dollar</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ZAR</w:t>
            </w:r>
          </w:p>
        </w:tc>
        <w:tc>
          <w:tcPr>
            <w:cnfStyle w:evenVBand="true" w:oddVBand="false" w:firstColumn="false"/>
            <w:tcW w:w="25.000000%" w:type="pct"/>
          </w:tcPr>
          <w:p>
            <w:pPr>
              <w:ind w:leftChars="0" w:left="0" w:right="0"/>
            </w:pPr>
            <w:r>
              <w:t>South African Rand</w:t>
            </w:r>
          </w:p>
        </w:tc>
        <w:tc>
          <w:tcPr>
            <w:cnfStyle w:evenVBand="false" w:oddVBand="true" w:firstColumn="false"/>
            <w:tcW w:w="25.000000%" w:type="pct"/>
          </w:tcPr>
          <w:p>
            <w:pPr>
              <w:ind w:leftChars="0" w:left="0" w:right="0"/>
            </w:pPr>
            <w:r>
              <w:t>South African Rand</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GRD</w:t>
            </w:r>
          </w:p>
        </w:tc>
        <w:tc>
          <w:tcPr>
            <w:cnfStyle w:evenVBand="true" w:oddVBand="false" w:firstColumn="false"/>
            <w:tcW w:w="25.000000%" w:type="pct"/>
          </w:tcPr>
          <w:p>
            <w:pPr>
              <w:ind w:leftChars="0" w:left="0" w:right="0"/>
            </w:pPr>
            <w:r>
              <w:t>GRD</w:t>
            </w:r>
          </w:p>
        </w:tc>
        <w:tc>
          <w:tcPr>
            <w:cnfStyle w:evenVBand="false" w:oddVBand="true" w:firstColumn="false"/>
            <w:tcW w:w="25.000000%" w:type="pct"/>
          </w:tcPr>
          <w:p>
            <w:pPr>
              <w:ind w:leftChars="0" w:left="0" w:right="0"/>
            </w:pPr>
            <w:r>
              <w:t>Greek Drachma</w:t>
            </w:r>
          </w:p>
        </w:tc>
        <w:tc>
          <w:tcPr>
            <w:cnfStyle w:evenVBand="true" w:oddVBand="false" w:firstColumn="false"/>
            <w:tcW w:w="25.000000%" w:type="pct"/>
          </w:tcPr>
          <w:p>
            <w:pPr>
              <w:ind w:leftChars="0" w:left="0" w:right="0"/>
            </w:pPr>
            <w:r>
              <w:t>41</w:t>
            </w:r>
          </w:p>
        </w:tc>
      </w:tr>
    </w:tbl>
    <w:p>
      <w:pPr>
        <w:pStyle w:val="Table Bottom Margin"/>
      </w:pPr>
    </w:p>
    <w:bookmarkEnd w:id="372"/>
    <w:bookmarkEnd w:id="371"/>
    <w:bookmarkStart w:id="373" w:name="_77c9de23473c152c286ed7a9d7bde81b"/>
    <w:bookmarkStart w:id="374" w:name="_9e6144199356667c75962fdba77292db"/>
    <w:p>
      <w:pPr>
        <w:pStyle w:val="Heading5"/>
        <w:keepNext/>
      </w:pPr>
      <w:r>
        <w:t>GEN_FRQNCY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w:t>
            </w:r>
          </w:p>
        </w:tc>
        <w:tc>
          <w:tcPr>
            <w:cnfStyle w:evenVBand="true" w:oddVBand="false" w:firstColumn="false"/>
            <w:tcW w:w="25.000000%" w:type="pct"/>
          </w:tcPr>
          <w:p>
            <w:pPr>
              <w:ind w:leftChars="0" w:left="0" w:right="0"/>
            </w:pPr>
            <w:r>
              <w:t>Annual</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Daily - businessweek</w:t>
            </w:r>
          </w:p>
        </w:tc>
        <w:tc>
          <w:tcPr>
            <w:cnfStyle w:evenVBand="false" w:oddVBand="true" w:firstColumn="false"/>
            <w:tcW w:w="25.000000%" w:type="pct"/>
          </w:tcPr>
          <w:p>
            <w:pPr>
              <w:ind w:leftChars="0" w:left="0" w:right="0"/>
            </w:pPr>
            <w:r>
              <w:t>Daily - businessweek</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D</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0" w:right="0"/>
            </w:pPr>
            <w:r>
              <w:t>Daily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H</w:t>
            </w:r>
          </w:p>
        </w:tc>
        <w:tc>
          <w:tcPr>
            <w:cnfStyle w:evenVBand="true" w:oddVBand="false" w:firstColumn="false"/>
            <w:tcW w:w="25.000000%" w:type="pct"/>
          </w:tcPr>
          <w:p>
            <w:pPr>
              <w:ind w:leftChars="0" w:left="0" w:right="0"/>
            </w:pPr>
            <w:r>
              <w:t>Hourly</w:t>
            </w:r>
          </w:p>
        </w:tc>
        <w:tc>
          <w:tcPr>
            <w:cnfStyle w:evenVBand="false" w:oddVBand="true" w:firstColumn="false"/>
            <w:tcW w:w="25.000000%" w:type="pct"/>
          </w:tcPr>
          <w:p>
            <w:pPr>
              <w:ind w:leftChars="0" w:left="0" w:right="0"/>
            </w:pPr>
            <w:r>
              <w:t>Hourly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N</w:t>
            </w:r>
          </w:p>
        </w:tc>
        <w:tc>
          <w:tcPr>
            <w:cnfStyle w:evenVBand="true" w:oddVBand="false" w:firstColumn="false"/>
            <w:tcW w:w="25.000000%" w:type="pct"/>
          </w:tcPr>
          <w:p>
            <w:pPr>
              <w:ind w:leftChars="0" w:left="0" w:right="0"/>
            </w:pPr>
            <w:r>
              <w:t>Minutely</w:t>
            </w:r>
          </w:p>
        </w:tc>
        <w:tc>
          <w:tcPr>
            <w:cnfStyle w:evenVBand="false" w:oddVBand="true" w:firstColumn="false"/>
            <w:tcW w:w="25.000000%" w:type="pct"/>
          </w:tcPr>
          <w:p>
            <w:pPr>
              <w:ind w:leftChars="0" w:left="0" w:right="0"/>
            </w:pPr>
            <w:r>
              <w:t>Minutely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Q</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S</w:t>
            </w:r>
          </w:p>
        </w:tc>
        <w:tc>
          <w:tcPr>
            <w:cnfStyle w:evenVBand="true" w:oddVBand="false" w:firstColumn="false"/>
            <w:tcW w:w="25.000000%" w:type="pct"/>
          </w:tcPr>
          <w:p>
            <w:pPr>
              <w:ind w:leftChars="0" w:left="0" w:right="0"/>
            </w:pPr>
            <w:r>
              <w:t>Half-yearly, semester</w:t>
            </w:r>
          </w:p>
        </w:tc>
        <w:tc>
          <w:tcPr>
            <w:cnfStyle w:evenVBand="false" w:oddVBand="true" w:firstColumn="false"/>
            <w:tcW w:w="25.000000%" w:type="pct"/>
          </w:tcPr>
          <w:p>
            <w:pPr>
              <w:ind w:leftChars="0" w:left="0" w:right="0"/>
            </w:pPr>
            <w:r>
              <w:t>Half-yearly, semester</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W</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0" w:right="0"/>
            </w:pPr>
            <w:r>
              <w:t>Weekly</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A2</w:t>
            </w:r>
          </w:p>
        </w:tc>
        <w:tc>
          <w:tcPr>
            <w:cnfStyle w:evenVBand="true" w:oddVBand="false" w:firstColumn="false"/>
            <w:tcW w:w="25.000000%" w:type="pct"/>
          </w:tcPr>
          <w:p>
            <w:pPr>
              <w:ind w:leftChars="0" w:left="0" w:right="0"/>
            </w:pPr>
            <w:r>
              <w:t>Biennial</w:t>
            </w:r>
          </w:p>
        </w:tc>
        <w:tc>
          <w:tcPr>
            <w:cnfStyle w:evenVBand="false" w:oddVBand="true" w:firstColumn="false"/>
            <w:tcW w:w="25.000000%" w:type="pct"/>
          </w:tcPr>
          <w:p>
            <w:pPr>
              <w:ind w:leftChars="0" w:left="0" w:right="0"/>
            </w:pPr>
            <w:r>
              <w:t>Biennial</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A3</w:t>
            </w:r>
          </w:p>
        </w:tc>
        <w:tc>
          <w:tcPr>
            <w:cnfStyle w:evenVBand="true" w:oddVBand="false" w:firstColumn="false"/>
            <w:tcW w:w="25.000000%" w:type="pct"/>
          </w:tcPr>
          <w:p>
            <w:pPr>
              <w:ind w:leftChars="0" w:left="0" w:right="0"/>
            </w:pPr>
            <w:r>
              <w:t>Triennial</w:t>
            </w:r>
          </w:p>
        </w:tc>
        <w:tc>
          <w:tcPr>
            <w:cnfStyle w:evenVBand="false" w:oddVBand="true" w:firstColumn="false"/>
            <w:tcW w:w="25.000000%" w:type="pct"/>
          </w:tcPr>
          <w:p>
            <w:pPr>
              <w:ind w:leftChars="0" w:left="0" w:right="0"/>
            </w:pPr>
            <w:r>
              <w:t>Triennial</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A4</w:t>
            </w:r>
          </w:p>
        </w:tc>
        <w:tc>
          <w:tcPr>
            <w:cnfStyle w:evenVBand="true" w:oddVBand="false" w:firstColumn="false"/>
            <w:tcW w:w="25.000000%" w:type="pct"/>
          </w:tcPr>
          <w:p>
            <w:pPr>
              <w:ind w:leftChars="0" w:left="0" w:right="0"/>
            </w:pPr>
            <w:r>
              <w:t>Quadrennial</w:t>
            </w:r>
          </w:p>
        </w:tc>
        <w:tc>
          <w:tcPr>
            <w:cnfStyle w:evenVBand="false" w:oddVBand="true" w:firstColumn="false"/>
            <w:tcW w:w="25.000000%" w:type="pct"/>
          </w:tcPr>
          <w:p>
            <w:pPr>
              <w:ind w:leftChars="0" w:left="0" w:right="0"/>
            </w:pPr>
            <w:r>
              <w:t>Quadrennial</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A5</w:t>
            </w:r>
          </w:p>
        </w:tc>
        <w:tc>
          <w:tcPr>
            <w:cnfStyle w:evenVBand="true" w:oddVBand="false" w:firstColumn="false"/>
            <w:tcW w:w="25.000000%" w:type="pct"/>
          </w:tcPr>
          <w:p>
            <w:pPr>
              <w:ind w:leftChars="0" w:left="0" w:right="0"/>
            </w:pPr>
            <w:r>
              <w:t>Quinquennial</w:t>
            </w:r>
          </w:p>
        </w:tc>
        <w:tc>
          <w:tcPr>
            <w:cnfStyle w:evenVBand="false" w:oddVBand="true" w:firstColumn="false"/>
            <w:tcW w:w="25.000000%" w:type="pct"/>
          </w:tcPr>
          <w:p>
            <w:pPr>
              <w:ind w:leftChars="0" w:left="0" w:right="0"/>
            </w:pPr>
            <w:r>
              <w:t>Quinquennial</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A10</w:t>
            </w:r>
          </w:p>
        </w:tc>
        <w:tc>
          <w:tcPr>
            <w:cnfStyle w:evenVBand="true" w:oddVBand="false" w:firstColumn="false"/>
            <w:tcW w:w="25.000000%" w:type="pct"/>
          </w:tcPr>
          <w:p>
            <w:pPr>
              <w:ind w:leftChars="0" w:left="0" w:right="0"/>
            </w:pPr>
            <w:r>
              <w:t>Decennial</w:t>
            </w:r>
          </w:p>
        </w:tc>
        <w:tc>
          <w:tcPr>
            <w:cnfStyle w:evenVBand="false" w:oddVBand="true" w:firstColumn="false"/>
            <w:tcW w:w="25.000000%" w:type="pct"/>
          </w:tcPr>
          <w:p>
            <w:pPr>
              <w:ind w:leftChars="0" w:left="0" w:right="0"/>
            </w:pPr>
            <w:r>
              <w:t>Decennial</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A20</w:t>
            </w:r>
          </w:p>
        </w:tc>
        <w:tc>
          <w:tcPr>
            <w:cnfStyle w:evenVBand="true" w:oddVBand="false" w:firstColumn="false"/>
            <w:tcW w:w="25.000000%" w:type="pct"/>
          </w:tcPr>
          <w:p>
            <w:pPr>
              <w:ind w:leftChars="0" w:left="0" w:right="0"/>
            </w:pPr>
            <w:r>
              <w:t>Bidecennial</w:t>
            </w:r>
          </w:p>
        </w:tc>
        <w:tc>
          <w:tcPr>
            <w:cnfStyle w:evenVBand="false" w:oddVBand="true" w:firstColumn="false"/>
            <w:tcW w:w="25.000000%" w:type="pct"/>
          </w:tcPr>
          <w:p>
            <w:pPr>
              <w:ind w:leftChars="0" w:left="0" w:right="0"/>
            </w:pPr>
            <w:r>
              <w:t>Bidecennial</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A30</w:t>
            </w:r>
          </w:p>
        </w:tc>
        <w:tc>
          <w:tcPr>
            <w:cnfStyle w:evenVBand="true" w:oddVBand="false" w:firstColumn="false"/>
            <w:tcW w:w="25.000000%" w:type="pct"/>
          </w:tcPr>
          <w:p>
            <w:pPr>
              <w:ind w:leftChars="0" w:left="0" w:right="0"/>
            </w:pPr>
            <w:r>
              <w:t>Tridecennial</w:t>
            </w:r>
          </w:p>
        </w:tc>
        <w:tc>
          <w:tcPr>
            <w:cnfStyle w:evenVBand="false" w:oddVBand="true" w:firstColumn="false"/>
            <w:tcW w:w="25.000000%" w:type="pct"/>
          </w:tcPr>
          <w:p>
            <w:pPr>
              <w:ind w:leftChars="0" w:left="0" w:right="0"/>
            </w:pPr>
            <w:r>
              <w:t>Tridecennial</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A_3</w:t>
            </w:r>
          </w:p>
        </w:tc>
        <w:tc>
          <w:tcPr>
            <w:cnfStyle w:evenVBand="true" w:oddVBand="false" w:firstColumn="false"/>
            <w:tcW w:w="25.000000%" w:type="pct"/>
          </w:tcPr>
          <w:p>
            <w:pPr>
              <w:ind w:leftChars="0" w:left="0" w:right="0"/>
            </w:pPr>
            <w:r>
              <w:t>Three times a year</w:t>
            </w:r>
          </w:p>
        </w:tc>
        <w:tc>
          <w:tcPr>
            <w:cnfStyle w:evenVBand="false" w:oddVBand="true" w:firstColumn="false"/>
            <w:tcW w:w="25.000000%" w:type="pct"/>
          </w:tcPr>
          <w:p>
            <w:pPr>
              <w:ind w:leftChars="0" w:left="0" w:right="0"/>
            </w:pPr>
            <w:r>
              <w:t>Three times a year</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M2</w:t>
            </w:r>
          </w:p>
        </w:tc>
        <w:tc>
          <w:tcPr>
            <w:cnfStyle w:evenVBand="true" w:oddVBand="false" w:firstColumn="false"/>
            <w:tcW w:w="25.000000%" w:type="pct"/>
          </w:tcPr>
          <w:p>
            <w:pPr>
              <w:ind w:leftChars="0" w:left="0" w:right="0"/>
            </w:pPr>
            <w:r>
              <w:t>Bimonthly</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M_2</w:t>
            </w:r>
          </w:p>
        </w:tc>
        <w:tc>
          <w:tcPr>
            <w:cnfStyle w:evenVBand="true" w:oddVBand="false" w:firstColumn="false"/>
            <w:tcW w:w="25.000000%" w:type="pct"/>
          </w:tcPr>
          <w:p>
            <w:pPr>
              <w:ind w:leftChars="0" w:left="0" w:right="0"/>
            </w:pPr>
            <w:r>
              <w:t>Semimonthly</w:t>
            </w:r>
          </w:p>
        </w:tc>
        <w:tc>
          <w:tcPr>
            <w:cnfStyle w:evenVBand="false" w:oddVBand="true" w:firstColumn="false"/>
            <w:tcW w:w="25.000000%" w:type="pct"/>
          </w:tcPr>
          <w:p>
            <w:pPr>
              <w:ind w:leftChars="0" w:left="0" w:right="0"/>
            </w:pPr>
            <w:r>
              <w:t>Semimonthly</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M_3</w:t>
            </w:r>
          </w:p>
        </w:tc>
        <w:tc>
          <w:tcPr>
            <w:cnfStyle w:evenVBand="true" w:oddVBand="false" w:firstColumn="false"/>
            <w:tcW w:w="25.000000%" w:type="pct"/>
          </w:tcPr>
          <w:p>
            <w:pPr>
              <w:ind w:leftChars="0" w:left="0" w:right="0"/>
            </w:pPr>
            <w:r>
              <w:t>Three times a month</w:t>
            </w:r>
          </w:p>
        </w:tc>
        <w:tc>
          <w:tcPr>
            <w:cnfStyle w:evenVBand="false" w:oddVBand="true" w:firstColumn="false"/>
            <w:tcW w:w="25.000000%" w:type="pct"/>
          </w:tcPr>
          <w:p>
            <w:pPr>
              <w:ind w:leftChars="0" w:left="0" w:right="0"/>
            </w:pPr>
            <w:r>
              <w:t>Three times a month</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W2</w:t>
            </w:r>
          </w:p>
        </w:tc>
        <w:tc>
          <w:tcPr>
            <w:cnfStyle w:evenVBand="true" w:oddVBand="false" w:firstColumn="false"/>
            <w:tcW w:w="25.000000%" w:type="pct"/>
          </w:tcPr>
          <w:p>
            <w:pPr>
              <w:ind w:leftChars="0" w:left="0" w:right="0"/>
            </w:pPr>
            <w:r>
              <w:t>Biweekly</w:t>
            </w:r>
          </w:p>
        </w:tc>
        <w:tc>
          <w:tcPr>
            <w:cnfStyle w:evenVBand="false" w:oddVBand="true" w:firstColumn="false"/>
            <w:tcW w:w="25.000000%" w:type="pct"/>
          </w:tcPr>
          <w:p>
            <w:pPr>
              <w:ind w:leftChars="0" w:left="0" w:right="0"/>
            </w:pPr>
            <w:r>
              <w:t>Biweekly</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W3</w:t>
            </w:r>
          </w:p>
        </w:tc>
        <w:tc>
          <w:tcPr>
            <w:cnfStyle w:evenVBand="true" w:oddVBand="false" w:firstColumn="false"/>
            <w:tcW w:w="25.000000%" w:type="pct"/>
          </w:tcPr>
          <w:p>
            <w:pPr>
              <w:ind w:leftChars="0" w:left="0" w:right="0"/>
            </w:pPr>
            <w:r>
              <w:t>Triweekly</w:t>
            </w:r>
          </w:p>
        </w:tc>
        <w:tc>
          <w:tcPr>
            <w:cnfStyle w:evenVBand="false" w:oddVBand="true" w:firstColumn="false"/>
            <w:tcW w:w="25.000000%" w:type="pct"/>
          </w:tcPr>
          <w:p>
            <w:pPr>
              <w:ind w:leftChars="0" w:left="0" w:right="0"/>
            </w:pPr>
            <w:r>
              <w:t>Triweekly</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W4</w:t>
            </w:r>
          </w:p>
        </w:tc>
        <w:tc>
          <w:tcPr>
            <w:cnfStyle w:evenVBand="true" w:oddVBand="false" w:firstColumn="false"/>
            <w:tcW w:w="25.000000%" w:type="pct"/>
          </w:tcPr>
          <w:p>
            <w:pPr>
              <w:ind w:leftChars="0" w:left="0" w:right="0"/>
            </w:pPr>
            <w:r>
              <w:t>Four-weekly</w:t>
            </w:r>
          </w:p>
        </w:tc>
        <w:tc>
          <w:tcPr>
            <w:cnfStyle w:evenVBand="false" w:oddVBand="true" w:firstColumn="false"/>
            <w:tcW w:w="25.000000%" w:type="pct"/>
          </w:tcPr>
          <w:p>
            <w:pPr>
              <w:ind w:leftChars="0" w:left="0" w:right="0"/>
            </w:pPr>
            <w:r>
              <w:t>Four-weekly</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W_2</w:t>
            </w:r>
          </w:p>
        </w:tc>
        <w:tc>
          <w:tcPr>
            <w:cnfStyle w:evenVBand="true" w:oddVBand="false" w:firstColumn="false"/>
            <w:tcW w:w="25.000000%" w:type="pct"/>
          </w:tcPr>
          <w:p>
            <w:pPr>
              <w:ind w:leftChars="0" w:left="0" w:right="0"/>
            </w:pPr>
            <w:r>
              <w:t>Semiweekly</w:t>
            </w:r>
          </w:p>
        </w:tc>
        <w:tc>
          <w:tcPr>
            <w:cnfStyle w:evenVBand="false" w:oddVBand="true" w:firstColumn="false"/>
            <w:tcW w:w="25.000000%" w:type="pct"/>
          </w:tcPr>
          <w:p>
            <w:pPr>
              <w:ind w:leftChars="0" w:left="0" w:right="0"/>
            </w:pPr>
            <w:r>
              <w:t>Semiweekly</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W_3</w:t>
            </w:r>
          </w:p>
        </w:tc>
        <w:tc>
          <w:tcPr>
            <w:cnfStyle w:evenVBand="true" w:oddVBand="false" w:firstColumn="false"/>
            <w:tcW w:w="25.000000%" w:type="pct"/>
          </w:tcPr>
          <w:p>
            <w:pPr>
              <w:ind w:leftChars="0" w:left="0" w:right="0"/>
            </w:pPr>
            <w:r>
              <w:t>Three times a week</w:t>
            </w:r>
          </w:p>
        </w:tc>
        <w:tc>
          <w:tcPr>
            <w:cnfStyle w:evenVBand="false" w:oddVBand="true" w:firstColumn="false"/>
            <w:tcW w:w="25.000000%" w:type="pct"/>
          </w:tcPr>
          <w:p>
            <w:pPr>
              <w:ind w:leftChars="0" w:left="0" w:right="0"/>
            </w:pPr>
            <w:r>
              <w:t>Three times a week</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D_2</w:t>
            </w:r>
          </w:p>
        </w:tc>
        <w:tc>
          <w:tcPr>
            <w:cnfStyle w:evenVBand="true" w:oddVBand="false" w:firstColumn="false"/>
            <w:tcW w:w="25.000000%" w:type="pct"/>
          </w:tcPr>
          <w:p>
            <w:pPr>
              <w:ind w:leftChars="0" w:left="0" w:right="0"/>
            </w:pPr>
            <w:r>
              <w:t>Twice a day</w:t>
            </w:r>
          </w:p>
        </w:tc>
        <w:tc>
          <w:tcPr>
            <w:cnfStyle w:evenVBand="false" w:oddVBand="true" w:firstColumn="false"/>
            <w:tcW w:w="25.000000%" w:type="pct"/>
          </w:tcPr>
          <w:p>
            <w:pPr>
              <w:ind w:leftChars="0" w:left="0" w:right="0"/>
            </w:pPr>
            <w:r>
              <w:t>Twice a day</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H2</w:t>
            </w:r>
          </w:p>
        </w:tc>
        <w:tc>
          <w:tcPr>
            <w:cnfStyle w:evenVBand="true" w:oddVBand="false" w:firstColumn="false"/>
            <w:tcW w:w="25.000000%" w:type="pct"/>
          </w:tcPr>
          <w:p>
            <w:pPr>
              <w:ind w:leftChars="0" w:left="0" w:right="0"/>
            </w:pPr>
            <w:r>
              <w:t>Bihourly</w:t>
            </w:r>
          </w:p>
        </w:tc>
        <w:tc>
          <w:tcPr>
            <w:cnfStyle w:evenVBand="false" w:oddVBand="true" w:firstColumn="false"/>
            <w:tcW w:w="25.000000%" w:type="pct"/>
          </w:tcPr>
          <w:p>
            <w:pPr>
              <w:ind w:leftChars="0" w:left="0" w:right="0"/>
            </w:pPr>
            <w:r>
              <w:t>Bihourly</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H3</w:t>
            </w:r>
          </w:p>
        </w:tc>
        <w:tc>
          <w:tcPr>
            <w:cnfStyle w:evenVBand="true" w:oddVBand="false" w:firstColumn="false"/>
            <w:tcW w:w="25.000000%" w:type="pct"/>
          </w:tcPr>
          <w:p>
            <w:pPr>
              <w:ind w:leftChars="0" w:left="0" w:right="0"/>
            </w:pPr>
            <w:r>
              <w:t>Trihourly</w:t>
            </w:r>
          </w:p>
        </w:tc>
        <w:tc>
          <w:tcPr>
            <w:cnfStyle w:evenVBand="false" w:oddVBand="true" w:firstColumn="false"/>
            <w:tcW w:w="25.000000%" w:type="pct"/>
          </w:tcPr>
          <w:p>
            <w:pPr>
              <w:ind w:leftChars="0" w:left="0" w:right="0"/>
            </w:pPr>
            <w:r>
              <w:t>Trihourly</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I</w:t>
            </w:r>
          </w:p>
        </w:tc>
        <w:tc>
          <w:tcPr>
            <w:cnfStyle w:evenVBand="true" w:oddVBand="false" w:firstColumn="false"/>
            <w:tcW w:w="25.000000%" w:type="pct"/>
          </w:tcPr>
          <w:p>
            <w:pPr>
              <w:ind w:leftChars="0" w:left="0" w:right="0"/>
            </w:pPr>
            <w:r>
              <w:t>Irregular</w:t>
            </w:r>
          </w:p>
        </w:tc>
        <w:tc>
          <w:tcPr>
            <w:cnfStyle w:evenVBand="false" w:oddVBand="true" w:firstColumn="false"/>
            <w:tcW w:w="25.000000%" w:type="pct"/>
          </w:tcPr>
          <w:p>
            <w:pPr>
              <w:ind w:leftChars="0" w:left="0" w:right="0"/>
            </w:pPr>
            <w:r>
              <w:t>Irregular</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OA</w:t>
            </w:r>
          </w:p>
        </w:tc>
        <w:tc>
          <w:tcPr>
            <w:cnfStyle w:evenVBand="true" w:oddVBand="false" w:firstColumn="false"/>
            <w:tcW w:w="25.000000%" w:type="pct"/>
          </w:tcPr>
          <w:p>
            <w:pPr>
              <w:ind w:leftChars="0" w:left="0" w:right="0"/>
            </w:pPr>
            <w:r>
              <w:t>Occasional annual</w:t>
            </w:r>
          </w:p>
        </w:tc>
        <w:tc>
          <w:tcPr>
            <w:cnfStyle w:evenVBand="false" w:oddVBand="true" w:firstColumn="false"/>
            <w:tcW w:w="25.000000%" w:type="pct"/>
          </w:tcPr>
          <w:p>
            <w:pPr>
              <w:ind w:leftChars="0" w:left="0" w:right="0"/>
            </w:pPr>
            <w:r>
              <w:t>Occasional annual</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OM</w:t>
            </w:r>
          </w:p>
        </w:tc>
        <w:tc>
          <w:tcPr>
            <w:cnfStyle w:evenVBand="true" w:oddVBand="false" w:firstColumn="false"/>
            <w:tcW w:w="25.000000%" w:type="pct"/>
          </w:tcPr>
          <w:p>
            <w:pPr>
              <w:ind w:leftChars="0" w:left="0" w:right="0"/>
            </w:pPr>
            <w:r>
              <w:t>Occasional monthly</w:t>
            </w:r>
          </w:p>
        </w:tc>
        <w:tc>
          <w:tcPr>
            <w:cnfStyle w:evenVBand="false" w:oddVBand="true" w:firstColumn="false"/>
            <w:tcW w:w="25.000000%" w:type="pct"/>
          </w:tcPr>
          <w:p>
            <w:pPr>
              <w:ind w:leftChars="0" w:left="0" w:right="0"/>
            </w:pPr>
            <w:r>
              <w:t>Occasional monthly</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_O</w:t>
            </w:r>
          </w:p>
        </w:tc>
        <w:tc>
          <w:tcPr>
            <w:cnfStyle w:evenVBand="true" w:oddVBand="false" w:firstColumn="false"/>
            <w:tcW w:w="25.000000%" w:type="pct"/>
          </w:tcPr>
          <w:p>
            <w:pPr>
              <w:ind w:leftChars="0" w:left="0" w:right="0"/>
            </w:pPr>
            <w:r>
              <w:t>Other</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_U</w:t>
            </w:r>
          </w:p>
        </w:tc>
        <w:tc>
          <w:tcPr>
            <w:cnfStyle w:evenVBand="true" w:oddVBand="false" w:firstColumn="false"/>
            <w:tcW w:w="25.000000%" w:type="pct"/>
          </w:tcPr>
          <w:p>
            <w:pPr>
              <w:ind w:leftChars="0" w:left="0" w:right="0"/>
            </w:pPr>
            <w:r>
              <w:t>Unspecified</w:t>
            </w:r>
          </w:p>
        </w:tc>
        <w:tc>
          <w:tcPr>
            <w:cnfStyle w:evenVBand="false" w:oddVBand="true" w:firstColumn="false"/>
            <w:tcW w:w="25.000000%" w:type="pct"/>
          </w:tcPr>
          <w:p>
            <w:pPr>
              <w:ind w:leftChars="0" w:left="0" w:right="0"/>
            </w:pPr>
            <w:r>
              <w:t>Unspecified</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_Z</w:t>
            </w:r>
          </w:p>
        </w:tc>
        <w:tc>
          <w:tcPr>
            <w:cnfStyle w:evenVBand="true" w:oddVBand="false" w:firstColumn="false"/>
            <w:tcW w:w="25.000000%" w:type="pct"/>
          </w:tcPr>
          <w:p>
            <w:pPr>
              <w:ind w:leftChars="0" w:left="0" w:right="0"/>
            </w:pPr>
            <w:r>
              <w:t>Not applicable</w:t>
            </w:r>
          </w:p>
        </w:tc>
        <w:tc>
          <w:tcPr>
            <w:cnfStyle w:evenVBand="false" w:oddVBand="true" w:firstColumn="false"/>
            <w:tcW w:w="25.000000%" w:type="pct"/>
          </w:tcPr>
          <w:p>
            <w:pPr>
              <w:ind w:leftChars="0" w:left="0" w:right="0"/>
            </w:pPr>
            <w:r>
              <w:t>Not applicable</w:t>
            </w:r>
          </w:p>
        </w:tc>
        <w:tc>
          <w:tcPr>
            <w:cnfStyle w:evenVBand="true" w:oddVBand="false" w:firstColumn="false"/>
            <w:tcW w:w="25.000000%" w:type="pct"/>
          </w:tcPr>
          <w:p>
            <w:pPr>
              <w:ind w:leftChars="0" w:left="0" w:right="0"/>
            </w:pPr>
            <w:r>
              <w:t>34</w:t>
            </w:r>
          </w:p>
        </w:tc>
      </w:tr>
    </w:tbl>
    <w:p>
      <w:pPr>
        <w:pStyle w:val="Table Bottom Margin"/>
      </w:pPr>
    </w:p>
    <w:bookmarkEnd w:id="374"/>
    <w:bookmarkEnd w:id="373"/>
    <w:bookmarkStart w:id="375" w:name="_1f3ab44fbbf40a94fc70cb3a0da5c28d"/>
    <w:bookmarkStart w:id="376" w:name="_84b23f4933408d6fc5a1b09990d4169d"/>
    <w:p>
      <w:pPr>
        <w:pStyle w:val="Heading5"/>
        <w:keepNext/>
      </w:pPr>
      <w:r>
        <w:t>GEN_MRKT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3579</w:t>
            </w:r>
          </w:p>
        </w:tc>
        <w:tc>
          <w:tcPr>
            <w:cnfStyle w:evenVBand="true" w:oddVBand="false" w:firstColumn="false"/>
            <w:tcW w:w="25.000000%" w:type="pct"/>
          </w:tcPr>
          <w:p>
            <w:pPr>
              <w:ind w:leftChars="0" w:left="0" w:right="0"/>
            </w:pPr>
            <w:r>
              <w:t>3579</w:t>
            </w:r>
          </w:p>
        </w:tc>
        <w:tc>
          <w:tcPr>
            <w:cnfStyle w:evenVBand="false" w:oddVBand="true" w:firstColumn="false"/>
            <w:tcW w:w="25.000000%" w:type="pct"/>
          </w:tcPr>
          <w:p>
            <w:pPr>
              <w:ind w:leftChars="0" w:left="0" w:right="0"/>
            </w:pPr>
            <w:r>
              <w:t>SSY FUTURES LTD -  FREIGHT SCREEN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24EX</w:t>
            </w:r>
          </w:p>
        </w:tc>
        <w:tc>
          <w:tcPr>
            <w:cnfStyle w:evenVBand="true" w:oddVBand="false" w:firstColumn="false"/>
            <w:tcW w:w="25.000000%" w:type="pct"/>
          </w:tcPr>
          <w:p>
            <w:pPr>
              <w:ind w:leftChars="0" w:left="0" w:right="0"/>
            </w:pPr>
            <w:r>
              <w:t>24EX</w:t>
            </w:r>
          </w:p>
        </w:tc>
        <w:tc>
          <w:tcPr>
            <w:cnfStyle w:evenVBand="false" w:oddVBand="true" w:firstColumn="false"/>
            <w:tcW w:w="25.000000%" w:type="pct"/>
          </w:tcPr>
          <w:p>
            <w:pPr>
              <w:ind w:leftChars="0" w:left="0" w:right="0"/>
            </w:pPr>
            <w:r>
              <w:t>24 EXCHANGE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360T</w:t>
            </w:r>
          </w:p>
        </w:tc>
        <w:tc>
          <w:tcPr>
            <w:cnfStyle w:evenVBand="true" w:oddVBand="false" w:firstColumn="false"/>
            <w:tcW w:w="25.000000%" w:type="pct"/>
          </w:tcPr>
          <w:p>
            <w:pPr>
              <w:ind w:leftChars="0" w:left="0" w:right="0"/>
            </w:pPr>
            <w:r>
              <w:t>360T</w:t>
            </w:r>
          </w:p>
        </w:tc>
        <w:tc>
          <w:tcPr>
            <w:cnfStyle w:evenVBand="false" w:oddVBand="true" w:firstColumn="false"/>
            <w:tcW w:w="25.000000%" w:type="pct"/>
          </w:tcPr>
          <w:p>
            <w:pPr>
              <w:ind w:leftChars="0" w:left="0" w:right="0"/>
            </w:pPr>
            <w:r>
              <w:t>360T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4AXE</w:t>
            </w:r>
          </w:p>
        </w:tc>
        <w:tc>
          <w:tcPr>
            <w:cnfStyle w:evenVBand="true" w:oddVBand="false" w:firstColumn="false"/>
            <w:tcW w:w="25.000000%" w:type="pct"/>
          </w:tcPr>
          <w:p>
            <w:pPr>
              <w:ind w:leftChars="0" w:left="0" w:right="0"/>
            </w:pPr>
            <w:r>
              <w:t>4AXE</w:t>
            </w:r>
          </w:p>
        </w:tc>
        <w:tc>
          <w:tcPr>
            <w:cnfStyle w:evenVBand="false" w:oddVBand="true" w:firstColumn="false"/>
            <w:tcW w:w="25.000000%" w:type="pct"/>
          </w:tcPr>
          <w:p>
            <w:pPr>
              <w:ind w:leftChars="0" w:left="0" w:right="0"/>
            </w:pPr>
            <w:r>
              <w:t>4 AFRICA EXCHANGE (PTY) LTD</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A2XX</w:t>
            </w:r>
          </w:p>
        </w:tc>
        <w:tc>
          <w:tcPr>
            <w:cnfStyle w:evenVBand="true" w:oddVBand="false" w:firstColumn="false"/>
            <w:tcW w:w="25.000000%" w:type="pct"/>
          </w:tcPr>
          <w:p>
            <w:pPr>
              <w:ind w:leftChars="0" w:left="0" w:right="0"/>
            </w:pPr>
            <w:r>
              <w:t>A2XX</w:t>
            </w:r>
          </w:p>
        </w:tc>
        <w:tc>
          <w:tcPr>
            <w:cnfStyle w:evenVBand="false" w:oddVBand="true" w:firstColumn="false"/>
            <w:tcW w:w="25.000000%" w:type="pct"/>
          </w:tcPr>
          <w:p>
            <w:pPr>
              <w:ind w:leftChars="0" w:left="0" w:right="0"/>
            </w:pPr>
            <w:r>
              <w:t>A2X</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AACA</w:t>
            </w:r>
          </w:p>
        </w:tc>
        <w:tc>
          <w:tcPr>
            <w:cnfStyle w:evenVBand="true" w:oddVBand="false" w:firstColumn="false"/>
            <w:tcW w:w="25.000000%" w:type="pct"/>
          </w:tcPr>
          <w:p>
            <w:pPr>
              <w:ind w:leftChars="0" w:left="0" w:right="0"/>
            </w:pPr>
            <w:r>
              <w:t>AACA</w:t>
            </w:r>
          </w:p>
        </w:tc>
        <w:tc>
          <w:tcPr>
            <w:cnfStyle w:evenVBand="false" w:oddVBand="true" w:firstColumn="false"/>
            <w:tcW w:w="25.000000%" w:type="pct"/>
          </w:tcPr>
          <w:p>
            <w:pPr>
              <w:ind w:leftChars="0" w:left="0" w:right="0"/>
            </w:pPr>
            <w:r>
              <w:t>CREDIT AGRICOLE CIB - SYSTEMATIC INTERNALISER</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AAPA</w:t>
            </w:r>
          </w:p>
        </w:tc>
        <w:tc>
          <w:tcPr>
            <w:cnfStyle w:evenVBand="true" w:oddVBand="false" w:firstColumn="false"/>
            <w:tcW w:w="25.000000%" w:type="pct"/>
          </w:tcPr>
          <w:p>
            <w:pPr>
              <w:ind w:leftChars="0" w:left="0" w:right="0"/>
            </w:pPr>
            <w:r>
              <w:t>AAPA</w:t>
            </w:r>
          </w:p>
        </w:tc>
        <w:tc>
          <w:tcPr>
            <w:cnfStyle w:evenVBand="false" w:oddVBand="true" w:firstColumn="false"/>
            <w:tcW w:w="25.000000%" w:type="pct"/>
          </w:tcPr>
          <w:p>
            <w:pPr>
              <w:ind w:leftChars="0" w:left="0" w:right="0"/>
            </w:pPr>
            <w:r>
              <w:t>ATHENS EXCHANGE - APA</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AATS</w:t>
            </w:r>
          </w:p>
        </w:tc>
        <w:tc>
          <w:tcPr>
            <w:cnfStyle w:evenVBand="true" w:oddVBand="false" w:firstColumn="false"/>
            <w:tcW w:w="25.000000%" w:type="pct"/>
          </w:tcPr>
          <w:p>
            <w:pPr>
              <w:ind w:leftChars="0" w:left="0" w:right="0"/>
            </w:pPr>
            <w:r>
              <w:t>AATS</w:t>
            </w:r>
          </w:p>
        </w:tc>
        <w:tc>
          <w:tcPr>
            <w:cnfStyle w:evenVBand="false" w:oddVBand="true" w:firstColumn="false"/>
            <w:tcW w:w="25.000000%" w:type="pct"/>
          </w:tcPr>
          <w:p>
            <w:pPr>
              <w:ind w:leftChars="0" w:left="0" w:right="0"/>
            </w:pPr>
            <w:r>
              <w:t>ASSENT ATS</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ABAN</w:t>
            </w:r>
          </w:p>
        </w:tc>
        <w:tc>
          <w:tcPr>
            <w:cnfStyle w:evenVBand="true" w:oddVBand="false" w:firstColumn="false"/>
            <w:tcW w:w="25.000000%" w:type="pct"/>
          </w:tcPr>
          <w:p>
            <w:pPr>
              <w:ind w:leftChars="0" w:left="0" w:right="0"/>
            </w:pPr>
            <w:r>
              <w:t>ABAN</w:t>
            </w:r>
          </w:p>
        </w:tc>
        <w:tc>
          <w:tcPr>
            <w:cnfStyle w:evenVBand="false" w:oddVBand="true" w:firstColumn="false"/>
            <w:tcW w:w="25.000000%" w:type="pct"/>
          </w:tcPr>
          <w:p>
            <w:pPr>
              <w:ind w:leftChars="0" w:left="0" w:right="0"/>
            </w:pPr>
            <w:r>
              <w:t>ABANCA</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ABFI</w:t>
            </w:r>
          </w:p>
        </w:tc>
        <w:tc>
          <w:tcPr>
            <w:cnfStyle w:evenVBand="true" w:oddVBand="false" w:firstColumn="false"/>
            <w:tcW w:w="25.000000%" w:type="pct"/>
          </w:tcPr>
          <w:p>
            <w:pPr>
              <w:ind w:leftChars="0" w:left="0" w:right="0"/>
            </w:pPr>
            <w:r>
              <w:t>ABFI</w:t>
            </w:r>
          </w:p>
        </w:tc>
        <w:tc>
          <w:tcPr>
            <w:cnfStyle w:evenVBand="false" w:oddVBand="true" w:firstColumn="false"/>
            <w:tcW w:w="25.000000%" w:type="pct"/>
          </w:tcPr>
          <w:p>
            <w:pPr>
              <w:ind w:leftChars="0" w:left="0" w:right="0"/>
            </w:pPr>
            <w:r>
              <w:t>ALPHA BANK - SYSTEMATIC INTERNALISER</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ABNA</w:t>
            </w:r>
          </w:p>
        </w:tc>
        <w:tc>
          <w:tcPr>
            <w:cnfStyle w:evenVBand="true" w:oddVBand="false" w:firstColumn="false"/>
            <w:tcW w:w="25.000000%" w:type="pct"/>
          </w:tcPr>
          <w:p>
            <w:pPr>
              <w:ind w:leftChars="0" w:left="0" w:right="0"/>
            </w:pPr>
            <w:r>
              <w:t>ABNA</w:t>
            </w:r>
          </w:p>
        </w:tc>
        <w:tc>
          <w:tcPr>
            <w:cnfStyle w:evenVBand="false" w:oddVBand="true" w:firstColumn="false"/>
            <w:tcW w:w="25.000000%" w:type="pct"/>
          </w:tcPr>
          <w:p>
            <w:pPr>
              <w:ind w:leftChars="0" w:left="0" w:right="0"/>
            </w:pPr>
            <w:r>
              <w:t>ABN AMRO BANK NV - SYSTEMATIC INTERNALISER</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ABNC</w:t>
            </w:r>
          </w:p>
        </w:tc>
        <w:tc>
          <w:tcPr>
            <w:cnfStyle w:evenVBand="true" w:oddVBand="false" w:firstColumn="false"/>
            <w:tcW w:w="25.000000%" w:type="pct"/>
          </w:tcPr>
          <w:p>
            <w:pPr>
              <w:ind w:leftChars="0" w:left="0" w:right="0"/>
            </w:pPr>
            <w:r>
              <w:t>ABNC</w:t>
            </w:r>
          </w:p>
        </w:tc>
        <w:tc>
          <w:tcPr>
            <w:cnfStyle w:evenVBand="false" w:oddVBand="true" w:firstColumn="false"/>
            <w:tcW w:w="25.000000%" w:type="pct"/>
          </w:tcPr>
          <w:p>
            <w:pPr>
              <w:ind w:leftChars="0" w:left="0" w:right="0"/>
            </w:pPr>
            <w:r>
              <w:t>ABN AMRO CLEARING BANK - SYSTEMATIC INTERNALISER</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ABSI</w:t>
            </w:r>
          </w:p>
        </w:tc>
        <w:tc>
          <w:tcPr>
            <w:cnfStyle w:evenVBand="true" w:oddVBand="false" w:firstColumn="false"/>
            <w:tcW w:w="25.000000%" w:type="pct"/>
          </w:tcPr>
          <w:p>
            <w:pPr>
              <w:ind w:leftChars="0" w:left="0" w:right="0"/>
            </w:pPr>
            <w:r>
              <w:t>ABSI</w:t>
            </w:r>
          </w:p>
        </w:tc>
        <w:tc>
          <w:tcPr>
            <w:cnfStyle w:evenVBand="false" w:oddVBand="true" w:firstColumn="false"/>
            <w:tcW w:w="25.000000%" w:type="pct"/>
          </w:tcPr>
          <w:p>
            <w:pPr>
              <w:ind w:leftChars="0" w:left="0" w:right="0"/>
            </w:pPr>
            <w:r>
              <w:t>ALM. BRAND BANK - SYSTEMATIC INTERNALISER</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ABUL</w:t>
            </w:r>
          </w:p>
        </w:tc>
        <w:tc>
          <w:tcPr>
            <w:cnfStyle w:evenVBand="true" w:oddVBand="false" w:firstColumn="false"/>
            <w:tcW w:w="25.000000%" w:type="pct"/>
          </w:tcPr>
          <w:p>
            <w:pPr>
              <w:ind w:leftChars="0" w:left="0" w:right="0"/>
            </w:pPr>
            <w:r>
              <w:t>ABUL</w:t>
            </w:r>
          </w:p>
        </w:tc>
        <w:tc>
          <w:tcPr>
            <w:cnfStyle w:evenVBand="false" w:oddVBand="true" w:firstColumn="false"/>
            <w:tcW w:w="25.000000%" w:type="pct"/>
          </w:tcPr>
          <w:p>
            <w:pPr>
              <w:ind w:leftChars="0" w:left="0" w:right="0"/>
            </w:pPr>
            <w:r>
              <w:t>BULGARIAN STOCK EXCHANGE - ALTERNATIVE MARKET</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ABXX</w:t>
            </w:r>
          </w:p>
        </w:tc>
        <w:tc>
          <w:tcPr>
            <w:cnfStyle w:evenVBand="true" w:oddVBand="false" w:firstColumn="false"/>
            <w:tcW w:w="25.000000%" w:type="pct"/>
          </w:tcPr>
          <w:p>
            <w:pPr>
              <w:ind w:leftChars="0" w:left="0" w:right="0"/>
            </w:pPr>
            <w:r>
              <w:t>ABXX</w:t>
            </w:r>
          </w:p>
        </w:tc>
        <w:tc>
          <w:tcPr>
            <w:cnfStyle w:evenVBand="false" w:oddVBand="true" w:firstColumn="false"/>
            <w:tcW w:w="25.000000%" w:type="pct"/>
          </w:tcPr>
          <w:p>
            <w:pPr>
              <w:ind w:leftChars="0" w:left="0" w:right="0"/>
            </w:pPr>
            <w:r>
              <w:t>YOSHI MARKETS LIMITED</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ACEX</w:t>
            </w:r>
          </w:p>
        </w:tc>
        <w:tc>
          <w:tcPr>
            <w:cnfStyle w:evenVBand="true" w:oddVBand="false" w:firstColumn="false"/>
            <w:tcW w:w="25.000000%" w:type="pct"/>
          </w:tcPr>
          <w:p>
            <w:pPr>
              <w:ind w:leftChars="0" w:left="0" w:right="0"/>
            </w:pPr>
            <w:r>
              <w:t>ACEX</w:t>
            </w:r>
          </w:p>
        </w:tc>
        <w:tc>
          <w:tcPr>
            <w:cnfStyle w:evenVBand="false" w:oddVBand="true" w:firstColumn="false"/>
            <w:tcW w:w="25.000000%" w:type="pct"/>
          </w:tcPr>
          <w:p>
            <w:pPr>
              <w:ind w:leftChars="0" w:left="0" w:right="0"/>
            </w:pPr>
            <w:r>
              <w:t>ACE DERIVATIVES &amp; COMMODITY EXCHANGE LTD</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ACKF</w:t>
            </w:r>
          </w:p>
        </w:tc>
        <w:tc>
          <w:tcPr>
            <w:cnfStyle w:evenVBand="true" w:oddVBand="false" w:firstColumn="false"/>
            <w:tcW w:w="25.000000%" w:type="pct"/>
          </w:tcPr>
          <w:p>
            <w:pPr>
              <w:ind w:leftChars="0" w:left="0" w:right="0"/>
            </w:pPr>
            <w:r>
              <w:t>ACKF</w:t>
            </w:r>
          </w:p>
        </w:tc>
        <w:tc>
          <w:tcPr>
            <w:cnfStyle w:evenVBand="false" w:oddVBand="true" w:firstColumn="false"/>
            <w:tcW w:w="25.000000%" w:type="pct"/>
          </w:tcPr>
          <w:p>
            <w:pPr>
              <w:ind w:leftChars="0" w:left="0" w:right="0"/>
            </w:pPr>
            <w:r>
              <w:t>KCG ACKNOWLEDGE FI</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ADVT</w:t>
            </w:r>
          </w:p>
        </w:tc>
        <w:tc>
          <w:tcPr>
            <w:cnfStyle w:evenVBand="true" w:oddVBand="false" w:firstColumn="false"/>
            <w:tcW w:w="25.000000%" w:type="pct"/>
          </w:tcPr>
          <w:p>
            <w:pPr>
              <w:ind w:leftChars="0" w:left="0" w:right="0"/>
            </w:pPr>
            <w:r>
              <w:t>ADVT</w:t>
            </w:r>
          </w:p>
        </w:tc>
        <w:tc>
          <w:tcPr>
            <w:cnfStyle w:evenVBand="false" w:oddVBand="true" w:firstColumn="false"/>
            <w:tcW w:w="25.000000%" w:type="pct"/>
          </w:tcPr>
          <w:p>
            <w:pPr>
              <w:ind w:leftChars="0" w:left="0" w:right="0"/>
            </w:pPr>
            <w:r>
              <w:t>ADVISE TECHNOLOGIES - APA TRANSPARENCY REPORTING</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AFDL</w:t>
            </w:r>
          </w:p>
        </w:tc>
        <w:tc>
          <w:tcPr>
            <w:cnfStyle w:evenVBand="true" w:oddVBand="false" w:firstColumn="false"/>
            <w:tcW w:w="25.000000%" w:type="pct"/>
          </w:tcPr>
          <w:p>
            <w:pPr>
              <w:ind w:leftChars="0" w:left="0" w:right="0"/>
            </w:pPr>
            <w:r>
              <w:t>AFDL</w:t>
            </w:r>
          </w:p>
        </w:tc>
        <w:tc>
          <w:tcPr>
            <w:cnfStyle w:evenVBand="false" w:oddVBand="true" w:firstColumn="false"/>
            <w:tcW w:w="25.000000%" w:type="pct"/>
          </w:tcPr>
          <w:p>
            <w:pPr>
              <w:ind w:leftChars="0" w:left="0" w:right="0"/>
            </w:pPr>
            <w:r>
              <w:t>ABIDE FINANCIAL DRSP LIMITED APA</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AFET</w:t>
            </w:r>
          </w:p>
        </w:tc>
        <w:tc>
          <w:tcPr>
            <w:cnfStyle w:evenVBand="true" w:oddVBand="false" w:firstColumn="false"/>
            <w:tcW w:w="25.000000%" w:type="pct"/>
          </w:tcPr>
          <w:p>
            <w:pPr>
              <w:ind w:leftChars="0" w:left="0" w:right="0"/>
            </w:pPr>
            <w:r>
              <w:t>AFET</w:t>
            </w:r>
          </w:p>
        </w:tc>
        <w:tc>
          <w:tcPr>
            <w:cnfStyle w:evenVBand="false" w:oddVBand="true" w:firstColumn="false"/>
            <w:tcW w:w="25.000000%" w:type="pct"/>
          </w:tcPr>
          <w:p>
            <w:pPr>
              <w:ind w:leftChars="0" w:left="0" w:right="0"/>
            </w:pPr>
            <w:r>
              <w:t>AGRICULTURAL FUTURES EXCHANGE OF THAILAND</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AFEX</w:t>
            </w:r>
          </w:p>
        </w:tc>
        <w:tc>
          <w:tcPr>
            <w:cnfStyle w:evenVBand="true" w:oddVBand="false" w:firstColumn="false"/>
            <w:tcW w:w="25.000000%" w:type="pct"/>
          </w:tcPr>
          <w:p>
            <w:pPr>
              <w:ind w:leftChars="0" w:left="0" w:right="0"/>
            </w:pPr>
            <w:r>
              <w:t>AFEX</w:t>
            </w:r>
          </w:p>
        </w:tc>
        <w:tc>
          <w:tcPr>
            <w:cnfStyle w:evenVBand="false" w:oddVBand="true" w:firstColumn="false"/>
            <w:tcW w:w="25.000000%" w:type="pct"/>
          </w:tcPr>
          <w:p>
            <w:pPr>
              <w:ind w:leftChars="0" w:left="0" w:right="0"/>
            </w:pPr>
            <w:r>
              <w:t>AFRINEX LIMITED</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AFSA</w:t>
            </w:r>
          </w:p>
        </w:tc>
        <w:tc>
          <w:tcPr>
            <w:cnfStyle w:evenVBand="true" w:oddVBand="false" w:firstColumn="false"/>
            <w:tcW w:w="25.000000%" w:type="pct"/>
          </w:tcPr>
          <w:p>
            <w:pPr>
              <w:ind w:leftChars="0" w:left="0" w:right="0"/>
            </w:pPr>
            <w:r>
              <w:t>AFSA</w:t>
            </w:r>
          </w:p>
        </w:tc>
        <w:tc>
          <w:tcPr>
            <w:cnfStyle w:evenVBand="false" w:oddVBand="true" w:firstColumn="false"/>
            <w:tcW w:w="25.000000%" w:type="pct"/>
          </w:tcPr>
          <w:p>
            <w:pPr>
              <w:ind w:leftChars="0" w:left="0" w:right="0"/>
            </w:pPr>
            <w:r>
              <w:t>AFS - OTF</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AFSE</w:t>
            </w:r>
          </w:p>
        </w:tc>
        <w:tc>
          <w:tcPr>
            <w:cnfStyle w:evenVBand="true" w:oddVBand="false" w:firstColumn="false"/>
            <w:tcW w:w="25.000000%" w:type="pct"/>
          </w:tcPr>
          <w:p>
            <w:pPr>
              <w:ind w:leftChars="0" w:left="0" w:right="0"/>
            </w:pPr>
            <w:r>
              <w:t>AFSE</w:t>
            </w:r>
          </w:p>
        </w:tc>
        <w:tc>
          <w:tcPr>
            <w:cnfStyle w:evenVBand="false" w:oddVBand="true" w:firstColumn="false"/>
            <w:tcW w:w="25.000000%" w:type="pct"/>
          </w:tcPr>
          <w:p>
            <w:pPr>
              <w:ind w:leftChars="0" w:left="0" w:right="0"/>
            </w:pPr>
            <w:r>
              <w:t>AFS E-VENUES B.V.</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AFSI</w:t>
            </w:r>
          </w:p>
        </w:tc>
        <w:tc>
          <w:tcPr>
            <w:cnfStyle w:evenVBand="true" w:oddVBand="false" w:firstColumn="false"/>
            <w:tcW w:w="25.000000%" w:type="pct"/>
          </w:tcPr>
          <w:p>
            <w:pPr>
              <w:ind w:leftChars="0" w:left="0" w:right="0"/>
            </w:pPr>
            <w:r>
              <w:t>AFSI</w:t>
            </w:r>
          </w:p>
        </w:tc>
        <w:tc>
          <w:tcPr>
            <w:cnfStyle w:evenVBand="false" w:oddVBand="true" w:firstColumn="false"/>
            <w:tcW w:w="25.000000%" w:type="pct"/>
          </w:tcPr>
          <w:p>
            <w:pPr>
              <w:ind w:leftChars="0" w:left="0" w:right="0"/>
            </w:pPr>
            <w:r>
              <w:t>AFS - OTF - INTEREST RATE DERIVATIVES</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AFSL</w:t>
            </w:r>
          </w:p>
        </w:tc>
        <w:tc>
          <w:tcPr>
            <w:cnfStyle w:evenVBand="true" w:oddVBand="false" w:firstColumn="false"/>
            <w:tcW w:w="25.000000%" w:type="pct"/>
          </w:tcPr>
          <w:p>
            <w:pPr>
              <w:ind w:leftChars="0" w:left="0" w:right="0"/>
            </w:pPr>
            <w:r>
              <w:t>AFSL</w:t>
            </w:r>
          </w:p>
        </w:tc>
        <w:tc>
          <w:tcPr>
            <w:cnfStyle w:evenVBand="false" w:oddVBand="true" w:firstColumn="false"/>
            <w:tcW w:w="25.000000%" w:type="pct"/>
          </w:tcPr>
          <w:p>
            <w:pPr>
              <w:ind w:leftChars="0" w:left="0" w:right="0"/>
            </w:pPr>
            <w:r>
              <w:t>AFS - OTF - STRUCTURED PRODUCTS</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AFSO</w:t>
            </w:r>
          </w:p>
        </w:tc>
        <w:tc>
          <w:tcPr>
            <w:cnfStyle w:evenVBand="true" w:oddVBand="false" w:firstColumn="false"/>
            <w:tcW w:w="25.000000%" w:type="pct"/>
          </w:tcPr>
          <w:p>
            <w:pPr>
              <w:ind w:leftChars="0" w:left="0" w:right="0"/>
            </w:pPr>
            <w:r>
              <w:t>AFSO</w:t>
            </w:r>
          </w:p>
        </w:tc>
        <w:tc>
          <w:tcPr>
            <w:cnfStyle w:evenVBand="false" w:oddVBand="true" w:firstColumn="false"/>
            <w:tcW w:w="25.000000%" w:type="pct"/>
          </w:tcPr>
          <w:p>
            <w:pPr>
              <w:ind w:leftChars="0" w:left="0" w:right="0"/>
            </w:pPr>
            <w:r>
              <w:t>AFS - OTF - BONDS</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AFSX</w:t>
            </w:r>
          </w:p>
        </w:tc>
        <w:tc>
          <w:tcPr>
            <w:cnfStyle w:evenVBand="true" w:oddVBand="false" w:firstColumn="false"/>
            <w:tcW w:w="25.000000%" w:type="pct"/>
          </w:tcPr>
          <w:p>
            <w:pPr>
              <w:ind w:leftChars="0" w:left="0" w:right="0"/>
            </w:pPr>
            <w:r>
              <w:t>AFSX</w:t>
            </w:r>
          </w:p>
        </w:tc>
        <w:tc>
          <w:tcPr>
            <w:cnfStyle w:evenVBand="false" w:oddVBand="true" w:firstColumn="false"/>
            <w:tcW w:w="25.000000%" w:type="pct"/>
          </w:tcPr>
          <w:p>
            <w:pPr>
              <w:ind w:leftChars="0" w:left="0" w:right="0"/>
            </w:pPr>
            <w:r>
              <w:t>AFS - OTF - FX FORWARDS</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AGBP</w:t>
            </w:r>
          </w:p>
        </w:tc>
        <w:tc>
          <w:tcPr>
            <w:cnfStyle w:evenVBand="true" w:oddVBand="false" w:firstColumn="false"/>
            <w:tcW w:w="25.000000%" w:type="pct"/>
          </w:tcPr>
          <w:p>
            <w:pPr>
              <w:ind w:leftChars="0" w:left="0" w:right="0"/>
            </w:pPr>
            <w:r>
              <w:t>AGBP</w:t>
            </w:r>
          </w:p>
        </w:tc>
        <w:tc>
          <w:tcPr>
            <w:cnfStyle w:evenVBand="false" w:oddVBand="true" w:firstColumn="false"/>
            <w:tcW w:w="25.000000%" w:type="pct"/>
          </w:tcPr>
          <w:p>
            <w:pPr>
              <w:ind w:leftChars="0" w:left="0" w:right="0"/>
            </w:pPr>
            <w:r>
              <w:t>A AND G BANCA PRIVADA SAU</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AILT</w:t>
            </w:r>
          </w:p>
        </w:tc>
        <w:tc>
          <w:tcPr>
            <w:cnfStyle w:evenVBand="true" w:oddVBand="false" w:firstColumn="false"/>
            <w:tcW w:w="25.000000%" w:type="pct"/>
          </w:tcPr>
          <w:p>
            <w:pPr>
              <w:ind w:leftChars="0" w:left="0" w:right="0"/>
            </w:pPr>
            <w:r>
              <w:t>AILT</w:t>
            </w:r>
          </w:p>
        </w:tc>
        <w:tc>
          <w:tcPr>
            <w:cnfStyle w:evenVBand="false" w:oddVBand="true" w:firstColumn="false"/>
            <w:tcW w:w="25.000000%" w:type="pct"/>
          </w:tcPr>
          <w:p>
            <w:pPr>
              <w:ind w:leftChars="0" w:left="0" w:right="0"/>
            </w:pPr>
            <w:r>
              <w:t>ARRACO IRELAND LTD</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AIMX</w:t>
            </w:r>
          </w:p>
        </w:tc>
        <w:tc>
          <w:tcPr>
            <w:cnfStyle w:evenVBand="true" w:oddVBand="false" w:firstColumn="false"/>
            <w:tcW w:w="25.000000%" w:type="pct"/>
          </w:tcPr>
          <w:p>
            <w:pPr>
              <w:ind w:leftChars="0" w:left="0" w:right="0"/>
            </w:pPr>
            <w:r>
              <w:t>AIMX</w:t>
            </w:r>
          </w:p>
        </w:tc>
        <w:tc>
          <w:tcPr>
            <w:cnfStyle w:evenVBand="false" w:oddVBand="true" w:firstColumn="false"/>
            <w:tcW w:w="25.000000%" w:type="pct"/>
          </w:tcPr>
          <w:p>
            <w:pPr>
              <w:ind w:leftChars="0" w:left="0" w:right="0"/>
            </w:pPr>
            <w:r>
              <w:t>LONDON STOCK EXCHANGE - AIM MTF</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AIXE</w:t>
            </w:r>
          </w:p>
        </w:tc>
        <w:tc>
          <w:tcPr>
            <w:cnfStyle w:evenVBand="true" w:oddVBand="false" w:firstColumn="false"/>
            <w:tcW w:w="25.000000%" w:type="pct"/>
          </w:tcPr>
          <w:p>
            <w:pPr>
              <w:ind w:leftChars="0" w:left="0" w:right="0"/>
            </w:pPr>
            <w:r>
              <w:t>AIXE</w:t>
            </w:r>
          </w:p>
        </w:tc>
        <w:tc>
          <w:tcPr>
            <w:cnfStyle w:evenVBand="false" w:oddVBand="true" w:firstColumn="false"/>
            <w:tcW w:w="25.000000%" w:type="pct"/>
          </w:tcPr>
          <w:p>
            <w:pPr>
              <w:ind w:leftChars="0" w:left="0" w:right="0"/>
            </w:pPr>
            <w:r>
              <w:t>AIXECUTE</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AIXK</w:t>
            </w:r>
          </w:p>
        </w:tc>
        <w:tc>
          <w:tcPr>
            <w:cnfStyle w:evenVBand="true" w:oddVBand="false" w:firstColumn="false"/>
            <w:tcW w:w="25.000000%" w:type="pct"/>
          </w:tcPr>
          <w:p>
            <w:pPr>
              <w:ind w:leftChars="0" w:left="0" w:right="0"/>
            </w:pPr>
            <w:r>
              <w:t>AIXK</w:t>
            </w:r>
          </w:p>
        </w:tc>
        <w:tc>
          <w:tcPr>
            <w:cnfStyle w:evenVBand="false" w:oddVBand="true" w:firstColumn="false"/>
            <w:tcW w:w="25.000000%" w:type="pct"/>
          </w:tcPr>
          <w:p>
            <w:pPr>
              <w:ind w:leftChars="0" w:left="0" w:right="0"/>
            </w:pPr>
            <w:r>
              <w:t>ASTANA INTERNATIONAL EXCHANGE LTD</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AKIS</w:t>
            </w:r>
          </w:p>
        </w:tc>
        <w:tc>
          <w:tcPr>
            <w:cnfStyle w:evenVBand="true" w:oddVBand="false" w:firstColumn="false"/>
            <w:tcW w:w="25.000000%" w:type="pct"/>
          </w:tcPr>
          <w:p>
            <w:pPr>
              <w:ind w:leftChars="0" w:left="0" w:right="0"/>
            </w:pPr>
            <w:r>
              <w:t>AKIS</w:t>
            </w:r>
          </w:p>
        </w:tc>
        <w:tc>
          <w:tcPr>
            <w:cnfStyle w:evenVBand="false" w:oddVBand="true" w:firstColumn="false"/>
            <w:tcW w:w="25.000000%" w:type="pct"/>
          </w:tcPr>
          <w:p>
            <w:pPr>
              <w:ind w:leftChars="0" w:left="0" w:right="0"/>
            </w:pPr>
            <w:r>
              <w:t>AKIS - BANCA AKROS - SYSTEMATIC INTERNALISER</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ALDP</w:t>
            </w:r>
          </w:p>
        </w:tc>
        <w:tc>
          <w:tcPr>
            <w:cnfStyle w:evenVBand="true" w:oddVBand="false" w:firstColumn="false"/>
            <w:tcW w:w="25.000000%" w:type="pct"/>
          </w:tcPr>
          <w:p>
            <w:pPr>
              <w:ind w:leftChars="0" w:left="0" w:right="0"/>
            </w:pPr>
            <w:r>
              <w:t>ALDP</w:t>
            </w:r>
          </w:p>
        </w:tc>
        <w:tc>
          <w:tcPr>
            <w:cnfStyle w:evenVBand="false" w:oddVBand="true" w:firstColumn="false"/>
            <w:tcW w:w="25.000000%" w:type="pct"/>
          </w:tcPr>
          <w:p>
            <w:pPr>
              <w:ind w:leftChars="0" w:left="0" w:right="0"/>
            </w:pPr>
            <w:r>
              <w:t>NYSE ALTERNEXT DARK</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ALLT</w:t>
            </w:r>
          </w:p>
        </w:tc>
        <w:tc>
          <w:tcPr>
            <w:cnfStyle w:evenVBand="true" w:oddVBand="false" w:firstColumn="false"/>
            <w:tcW w:w="25.000000%" w:type="pct"/>
          </w:tcPr>
          <w:p>
            <w:pPr>
              <w:ind w:leftChars="0" w:left="0" w:right="0"/>
            </w:pPr>
            <w:r>
              <w:t>ALLT</w:t>
            </w:r>
          </w:p>
        </w:tc>
        <w:tc>
          <w:tcPr>
            <w:cnfStyle w:evenVBand="false" w:oddVBand="true" w:firstColumn="false"/>
            <w:tcW w:w="25.000000%" w:type="pct"/>
          </w:tcPr>
          <w:p>
            <w:pPr>
              <w:ind w:leftChars="0" w:left="0" w:right="0"/>
            </w:pPr>
            <w:r>
              <w:t>ALLT - OTF</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ALSI</w:t>
            </w:r>
          </w:p>
        </w:tc>
        <w:tc>
          <w:tcPr>
            <w:cnfStyle w:evenVBand="true" w:oddVBand="false" w:firstColumn="false"/>
            <w:tcW w:w="25.000000%" w:type="pct"/>
          </w:tcPr>
          <w:p>
            <w:pPr>
              <w:ind w:leftChars="0" w:left="0" w:right="0"/>
            </w:pPr>
            <w:r>
              <w:t>ALSI</w:t>
            </w:r>
          </w:p>
        </w:tc>
        <w:tc>
          <w:tcPr>
            <w:cnfStyle w:evenVBand="false" w:oddVBand="true" w:firstColumn="false"/>
            <w:tcW w:w="25.000000%" w:type="pct"/>
          </w:tcPr>
          <w:p>
            <w:pPr>
              <w:ind w:leftChars="0" w:left="0" w:right="0"/>
            </w:pPr>
            <w:r>
              <w:t>AKTIESELSKABET ARBEJDERNES LANDSBANK - SYSTEMATIC INTERNALISER</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ALTX</w:t>
            </w:r>
          </w:p>
        </w:tc>
        <w:tc>
          <w:tcPr>
            <w:cnfStyle w:evenVBand="true" w:oddVBand="false" w:firstColumn="false"/>
            <w:tcW w:w="25.000000%" w:type="pct"/>
          </w:tcPr>
          <w:p>
            <w:pPr>
              <w:ind w:leftChars="0" w:left="0" w:right="0"/>
            </w:pPr>
            <w:r>
              <w:t>ALTX</w:t>
            </w:r>
          </w:p>
        </w:tc>
        <w:tc>
          <w:tcPr>
            <w:cnfStyle w:evenVBand="false" w:oddVBand="true" w:firstColumn="false"/>
            <w:tcW w:w="25.000000%" w:type="pct"/>
          </w:tcPr>
          <w:p>
            <w:pPr>
              <w:ind w:leftChars="0" w:left="0" w:right="0"/>
            </w:pPr>
            <w:r>
              <w:t>JSE ALTERNATE EXCHANGE</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ALXA</w:t>
            </w:r>
          </w:p>
        </w:tc>
        <w:tc>
          <w:tcPr>
            <w:cnfStyle w:evenVBand="true" w:oddVBand="false" w:firstColumn="false"/>
            <w:tcW w:w="25.000000%" w:type="pct"/>
          </w:tcPr>
          <w:p>
            <w:pPr>
              <w:ind w:leftChars="0" w:left="0" w:right="0"/>
            </w:pPr>
            <w:r>
              <w:t>ALXA</w:t>
            </w:r>
          </w:p>
        </w:tc>
        <w:tc>
          <w:tcPr>
            <w:cnfStyle w:evenVBand="false" w:oddVBand="true" w:firstColumn="false"/>
            <w:tcW w:w="25.000000%" w:type="pct"/>
          </w:tcPr>
          <w:p>
            <w:pPr>
              <w:ind w:leftChars="0" w:left="0" w:right="0"/>
            </w:pPr>
            <w:r>
              <w:t>EURONEXT - ALTERNEXT AMSTERDAM</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ALXB</w:t>
            </w:r>
          </w:p>
        </w:tc>
        <w:tc>
          <w:tcPr>
            <w:cnfStyle w:evenVBand="true" w:oddVBand="false" w:firstColumn="false"/>
            <w:tcW w:w="25.000000%" w:type="pct"/>
          </w:tcPr>
          <w:p>
            <w:pPr>
              <w:ind w:leftChars="0" w:left="0" w:right="0"/>
            </w:pPr>
            <w:r>
              <w:t>ALXB</w:t>
            </w:r>
          </w:p>
        </w:tc>
        <w:tc>
          <w:tcPr>
            <w:cnfStyle w:evenVBand="false" w:oddVBand="true" w:firstColumn="false"/>
            <w:tcW w:w="25.000000%" w:type="pct"/>
          </w:tcPr>
          <w:p>
            <w:pPr>
              <w:ind w:leftChars="0" w:left="0" w:right="0"/>
            </w:pPr>
            <w:r>
              <w:t>EURONEXT GROWTH BRUSSELS</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ALXL</w:t>
            </w:r>
          </w:p>
        </w:tc>
        <w:tc>
          <w:tcPr>
            <w:cnfStyle w:evenVBand="true" w:oddVBand="false" w:firstColumn="false"/>
            <w:tcW w:w="25.000000%" w:type="pct"/>
          </w:tcPr>
          <w:p>
            <w:pPr>
              <w:ind w:leftChars="0" w:left="0" w:right="0"/>
            </w:pPr>
            <w:r>
              <w:t>ALXL</w:t>
            </w:r>
          </w:p>
        </w:tc>
        <w:tc>
          <w:tcPr>
            <w:cnfStyle w:evenVBand="false" w:oddVBand="true" w:firstColumn="false"/>
            <w:tcW w:w="25.000000%" w:type="pct"/>
          </w:tcPr>
          <w:p>
            <w:pPr>
              <w:ind w:leftChars="0" w:left="0" w:right="0"/>
            </w:pPr>
            <w:r>
              <w:t>EURONEXT GROWTH LISBON</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ALXP</w:t>
            </w:r>
          </w:p>
        </w:tc>
        <w:tc>
          <w:tcPr>
            <w:cnfStyle w:evenVBand="true" w:oddVBand="false" w:firstColumn="false"/>
            <w:tcW w:w="25.000000%" w:type="pct"/>
          </w:tcPr>
          <w:p>
            <w:pPr>
              <w:ind w:leftChars="0" w:left="0" w:right="0"/>
            </w:pPr>
            <w:r>
              <w:t>ALXP</w:t>
            </w:r>
          </w:p>
        </w:tc>
        <w:tc>
          <w:tcPr>
            <w:cnfStyle w:evenVBand="false" w:oddVBand="true" w:firstColumn="false"/>
            <w:tcW w:w="25.000000%" w:type="pct"/>
          </w:tcPr>
          <w:p>
            <w:pPr>
              <w:ind w:leftChars="0" w:left="0" w:right="0"/>
            </w:pPr>
            <w:r>
              <w:t>EURONEXT GROWTH PARIS</w:t>
            </w:r>
          </w:p>
        </w:tc>
        <w:tc>
          <w:tcPr>
            <w:cnfStyle w:evenVBand="true" w:oddVBand="false" w:firstColumn="false"/>
            <w:tcW w:w="25.000000%" w:type="pct"/>
          </w:tcPr>
          <w:p>
            <w:pPr>
              <w:ind w:leftChars="0" w:left="0" w:right="0"/>
            </w:pPr>
            <w:r>
              <w:t>41</w:t>
            </w:r>
          </w:p>
        </w:tc>
      </w:tr>
      <w:tr>
        <w:trPr>
          <w:cnfStyle w:evenHBand="false" w:oddHBand="true" w:firstRow="false"/>
        </w:trPr>
        <w:tc>
          <w:tcPr>
            <w:cnfStyle w:evenVBand="false" w:oddVBand="true" w:firstColumn="false"/>
            <w:tcW w:w="25.000000%" w:type="pct"/>
          </w:tcPr>
          <w:p>
            <w:pPr>
              <w:ind w:leftChars="0" w:left="0" w:right="0"/>
            </w:pPr>
            <w:r>
              <w:t>AMLG</w:t>
            </w:r>
          </w:p>
        </w:tc>
        <w:tc>
          <w:tcPr>
            <w:cnfStyle w:evenVBand="true" w:oddVBand="false" w:firstColumn="false"/>
            <w:tcW w:w="25.000000%" w:type="pct"/>
          </w:tcPr>
          <w:p>
            <w:pPr>
              <w:ind w:leftChars="0" w:left="0" w:right="0"/>
            </w:pPr>
            <w:r>
              <w:t>AMLG</w:t>
            </w:r>
          </w:p>
        </w:tc>
        <w:tc>
          <w:tcPr>
            <w:cnfStyle w:evenVBand="false" w:oddVBand="true" w:firstColumn="false"/>
            <w:tcW w:w="25.000000%" w:type="pct"/>
          </w:tcPr>
          <w:p>
            <w:pPr>
              <w:ind w:leftChars="0" w:left="0" w:right="0"/>
            </w:pPr>
            <w:r>
              <w:t>AMERICAN LEDGER ATS</w:t>
            </w:r>
          </w:p>
        </w:tc>
        <w:tc>
          <w:tcPr>
            <w:cnfStyle w:evenVBand="true" w:oddVBand="false" w:firstColumn="false"/>
            <w:tcW w:w="25.000000%" w:type="pct"/>
          </w:tcPr>
          <w:p>
            <w:pPr>
              <w:ind w:leftChars="0" w:left="0" w:right="0"/>
            </w:pPr>
            <w:r>
              <w:t>42</w:t>
            </w:r>
          </w:p>
        </w:tc>
      </w:tr>
      <w:tr>
        <w:trPr>
          <w:cnfStyle w:evenHBand="true" w:oddHBand="false" w:firstRow="false"/>
        </w:trPr>
        <w:tc>
          <w:tcPr>
            <w:cnfStyle w:evenVBand="false" w:oddVBand="true" w:firstColumn="false"/>
            <w:tcW w:w="25.000000%" w:type="pct"/>
          </w:tcPr>
          <w:p>
            <w:pPr>
              <w:ind w:leftChars="0" w:left="0" w:right="0"/>
            </w:pPr>
            <w:r>
              <w:t>AMNL</w:t>
            </w:r>
          </w:p>
        </w:tc>
        <w:tc>
          <w:tcPr>
            <w:cnfStyle w:evenVBand="true" w:oddVBand="false" w:firstColumn="false"/>
            <w:tcW w:w="25.000000%" w:type="pct"/>
          </w:tcPr>
          <w:p>
            <w:pPr>
              <w:ind w:leftChars="0" w:left="0" w:right="0"/>
            </w:pPr>
            <w:r>
              <w:t>AMNL</w:t>
            </w:r>
          </w:p>
        </w:tc>
        <w:tc>
          <w:tcPr>
            <w:cnfStyle w:evenVBand="false" w:oddVBand="true" w:firstColumn="false"/>
            <w:tcW w:w="25.000000%" w:type="pct"/>
          </w:tcPr>
          <w:p>
            <w:pPr>
              <w:ind w:leftChars="0" w:left="0" w:right="0"/>
            </w:pPr>
            <w:r>
              <w:t>AMMAN STOCK EXCHANGE - NON-LISTED SECURITIES MARKET</w:t>
            </w:r>
          </w:p>
        </w:tc>
        <w:tc>
          <w:tcPr>
            <w:cnfStyle w:evenVBand="true" w:oddVBand="false" w:firstColumn="false"/>
            <w:tcW w:w="25.000000%" w:type="pct"/>
          </w:tcPr>
          <w:p>
            <w:pPr>
              <w:ind w:leftChars="0" w:left="0" w:right="0"/>
            </w:pPr>
            <w:r>
              <w:t>43</w:t>
            </w:r>
          </w:p>
        </w:tc>
      </w:tr>
      <w:tr>
        <w:trPr>
          <w:cnfStyle w:evenHBand="false" w:oddHBand="true" w:firstRow="false"/>
        </w:trPr>
        <w:tc>
          <w:tcPr>
            <w:cnfStyle w:evenVBand="false" w:oddVBand="true" w:firstColumn="false"/>
            <w:tcW w:w="25.000000%" w:type="pct"/>
          </w:tcPr>
          <w:p>
            <w:pPr>
              <w:ind w:leftChars="0" w:left="0" w:right="0"/>
            </w:pPr>
            <w:r>
              <w:t>AMPX</w:t>
            </w:r>
          </w:p>
        </w:tc>
        <w:tc>
          <w:tcPr>
            <w:cnfStyle w:evenVBand="true" w:oddVBand="false" w:firstColumn="false"/>
            <w:tcW w:w="25.000000%" w:type="pct"/>
          </w:tcPr>
          <w:p>
            <w:pPr>
              <w:ind w:leftChars="0" w:left="0" w:right="0"/>
            </w:pPr>
            <w:r>
              <w:t>AMPX</w:t>
            </w:r>
          </w:p>
        </w:tc>
        <w:tc>
          <w:tcPr>
            <w:cnfStyle w:evenVBand="false" w:oddVBand="true" w:firstColumn="false"/>
            <w:tcW w:w="25.000000%" w:type="pct"/>
          </w:tcPr>
          <w:p>
            <w:pPr>
              <w:ind w:leftChars="0" w:left="0" w:right="0"/>
            </w:pPr>
            <w:r>
              <w:t>ASSET MATCH PRIVATE EXCHANGE</w:t>
            </w:r>
          </w:p>
        </w:tc>
        <w:tc>
          <w:tcPr>
            <w:cnfStyle w:evenVBand="true" w:oddVBand="false" w:firstColumn="false"/>
            <w:tcW w:w="25.000000%" w:type="pct"/>
          </w:tcPr>
          <w:p>
            <w:pPr>
              <w:ind w:leftChars="0" w:left="0" w:right="0"/>
            </w:pPr>
            <w:r>
              <w:t>44</w:t>
            </w:r>
          </w:p>
        </w:tc>
      </w:tr>
      <w:tr>
        <w:trPr>
          <w:cnfStyle w:evenHBand="true" w:oddHBand="false" w:firstRow="false"/>
        </w:trPr>
        <w:tc>
          <w:tcPr>
            <w:cnfStyle w:evenVBand="false" w:oddVBand="true" w:firstColumn="false"/>
            <w:tcW w:w="25.000000%" w:type="pct"/>
          </w:tcPr>
          <w:p>
            <w:pPr>
              <w:ind w:leftChars="0" w:left="0" w:right="0"/>
            </w:pPr>
            <w:r>
              <w:t>AMTS</w:t>
            </w:r>
          </w:p>
        </w:tc>
        <w:tc>
          <w:tcPr>
            <w:cnfStyle w:evenVBand="true" w:oddVBand="false" w:firstColumn="false"/>
            <w:tcW w:w="25.000000%" w:type="pct"/>
          </w:tcPr>
          <w:p>
            <w:pPr>
              <w:ind w:leftChars="0" w:left="0" w:right="0"/>
            </w:pPr>
            <w:r>
              <w:t>AMTS</w:t>
            </w:r>
          </w:p>
        </w:tc>
        <w:tc>
          <w:tcPr>
            <w:cnfStyle w:evenVBand="false" w:oddVBand="true" w:firstColumn="false"/>
            <w:tcW w:w="25.000000%" w:type="pct"/>
          </w:tcPr>
          <w:p>
            <w:pPr>
              <w:ind w:leftChars="0" w:left="0" w:right="0"/>
            </w:pPr>
            <w:r>
              <w:t>MTS NETHERLANDS</w:t>
            </w:r>
          </w:p>
        </w:tc>
        <w:tc>
          <w:tcPr>
            <w:cnfStyle w:evenVBand="true" w:oddVBand="false" w:firstColumn="false"/>
            <w:tcW w:w="25.000000%" w:type="pct"/>
          </w:tcPr>
          <w:p>
            <w:pPr>
              <w:ind w:leftChars="0" w:left="0" w:right="0"/>
            </w:pPr>
            <w:r>
              <w:t>45</w:t>
            </w:r>
          </w:p>
        </w:tc>
      </w:tr>
      <w:tr>
        <w:trPr>
          <w:cnfStyle w:evenHBand="false" w:oddHBand="true" w:firstRow="false"/>
        </w:trPr>
        <w:tc>
          <w:tcPr>
            <w:cnfStyle w:evenVBand="false" w:oddVBand="true" w:firstColumn="false"/>
            <w:tcW w:w="25.000000%" w:type="pct"/>
          </w:tcPr>
          <w:p>
            <w:pPr>
              <w:ind w:leftChars="0" w:left="0" w:right="0"/>
            </w:pPr>
            <w:r>
              <w:t>AMXO</w:t>
            </w:r>
          </w:p>
        </w:tc>
        <w:tc>
          <w:tcPr>
            <w:cnfStyle w:evenVBand="true" w:oddVBand="false" w:firstColumn="false"/>
            <w:tcW w:w="25.000000%" w:type="pct"/>
          </w:tcPr>
          <w:p>
            <w:pPr>
              <w:ind w:leftChars="0" w:left="0" w:right="0"/>
            </w:pPr>
            <w:r>
              <w:t>AMXO</w:t>
            </w:r>
          </w:p>
        </w:tc>
        <w:tc>
          <w:tcPr>
            <w:cnfStyle w:evenVBand="false" w:oddVBand="true" w:firstColumn="false"/>
            <w:tcW w:w="25.000000%" w:type="pct"/>
          </w:tcPr>
          <w:p>
            <w:pPr>
              <w:ind w:leftChars="0" w:left="0" w:right="0"/>
            </w:pPr>
            <w:r>
              <w:t>NYSE AMEX OPTIONS</w:t>
            </w:r>
          </w:p>
        </w:tc>
        <w:tc>
          <w:tcPr>
            <w:cnfStyle w:evenVBand="true" w:oddVBand="false" w:firstColumn="false"/>
            <w:tcW w:w="25.000000%" w:type="pct"/>
          </w:tcPr>
          <w:p>
            <w:pPr>
              <w:ind w:leftChars="0" w:left="0" w:right="0"/>
            </w:pPr>
            <w:r>
              <w:t>46</w:t>
            </w:r>
          </w:p>
        </w:tc>
      </w:tr>
      <w:tr>
        <w:trPr>
          <w:cnfStyle w:evenHBand="true" w:oddHBand="false" w:firstRow="false"/>
        </w:trPr>
        <w:tc>
          <w:tcPr>
            <w:cnfStyle w:evenVBand="false" w:oddVBand="true" w:firstColumn="false"/>
            <w:tcW w:w="25.000000%" w:type="pct"/>
          </w:tcPr>
          <w:p>
            <w:pPr>
              <w:ind w:leftChars="0" w:left="0" w:right="0"/>
            </w:pPr>
            <w:r>
              <w:t>ANLP</w:t>
            </w:r>
          </w:p>
        </w:tc>
        <w:tc>
          <w:tcPr>
            <w:cnfStyle w:evenVBand="true" w:oddVBand="false" w:firstColumn="false"/>
            <w:tcW w:w="25.000000%" w:type="pct"/>
          </w:tcPr>
          <w:p>
            <w:pPr>
              <w:ind w:leftChars="0" w:left="0" w:right="0"/>
            </w:pPr>
            <w:r>
              <w:t>ANLP</w:t>
            </w:r>
          </w:p>
        </w:tc>
        <w:tc>
          <w:tcPr>
            <w:cnfStyle w:evenVBand="false" w:oddVBand="true" w:firstColumn="false"/>
            <w:tcW w:w="25.000000%" w:type="pct"/>
          </w:tcPr>
          <w:p>
            <w:pPr>
              <w:ind w:leftChars="0" w:left="0" w:right="0"/>
            </w:pPr>
            <w:r>
              <w:t>AUSTRALIA AND NEW ZEALAND BANKING GROUP LIMITED</w:t>
            </w:r>
          </w:p>
        </w:tc>
        <w:tc>
          <w:tcPr>
            <w:cnfStyle w:evenVBand="true" w:oddVBand="false" w:firstColumn="false"/>
            <w:tcW w:w="25.000000%" w:type="pct"/>
          </w:tcPr>
          <w:p>
            <w:pPr>
              <w:ind w:leftChars="0" w:left="0" w:right="0"/>
            </w:pPr>
            <w:r>
              <w:t>47</w:t>
            </w:r>
          </w:p>
        </w:tc>
      </w:tr>
      <w:tr>
        <w:trPr>
          <w:cnfStyle w:evenHBand="false" w:oddHBand="true" w:firstRow="false"/>
        </w:trPr>
        <w:tc>
          <w:tcPr>
            <w:cnfStyle w:evenVBand="false" w:oddVBand="true" w:firstColumn="false"/>
            <w:tcW w:w="25.000000%" w:type="pct"/>
          </w:tcPr>
          <w:p>
            <w:pPr>
              <w:ind w:leftChars="0" w:left="0" w:right="0"/>
            </w:pPr>
            <w:r>
              <w:t>ANTS</w:t>
            </w:r>
          </w:p>
        </w:tc>
        <w:tc>
          <w:tcPr>
            <w:cnfStyle w:evenVBand="true" w:oddVBand="false" w:firstColumn="false"/>
            <w:tcW w:w="25.000000%" w:type="pct"/>
          </w:tcPr>
          <w:p>
            <w:pPr>
              <w:ind w:leftChars="0" w:left="0" w:right="0"/>
            </w:pPr>
            <w:r>
              <w:t>ANTS</w:t>
            </w:r>
          </w:p>
        </w:tc>
        <w:tc>
          <w:tcPr>
            <w:cnfStyle w:evenVBand="false" w:oddVBand="true" w:firstColumn="false"/>
            <w:tcW w:w="25.000000%" w:type="pct"/>
          </w:tcPr>
          <w:p>
            <w:pPr>
              <w:ind w:leftChars="0" w:left="0" w:right="0"/>
            </w:pPr>
            <w:r>
              <w:t>ABBEY NATIONAL TREASURY SERVICES PLC - SYSTEMATIC INTERNALISER</w:t>
            </w:r>
          </w:p>
        </w:tc>
        <w:tc>
          <w:tcPr>
            <w:cnfStyle w:evenVBand="true" w:oddVBand="false" w:firstColumn="false"/>
            <w:tcW w:w="25.000000%" w:type="pct"/>
          </w:tcPr>
          <w:p>
            <w:pPr>
              <w:ind w:leftChars="0" w:left="0" w:right="0"/>
            </w:pPr>
            <w:r>
              <w:t>48</w:t>
            </w:r>
          </w:p>
        </w:tc>
      </w:tr>
      <w:tr>
        <w:trPr>
          <w:cnfStyle w:evenHBand="true" w:oddHBand="false" w:firstRow="false"/>
        </w:trPr>
        <w:tc>
          <w:tcPr>
            <w:cnfStyle w:evenVBand="false" w:oddVBand="true" w:firstColumn="false"/>
            <w:tcW w:w="25.000000%" w:type="pct"/>
          </w:tcPr>
          <w:p>
            <w:pPr>
              <w:ind w:leftChars="0" w:left="0" w:right="0"/>
            </w:pPr>
            <w:r>
              <w:t>ANZL</w:t>
            </w:r>
          </w:p>
        </w:tc>
        <w:tc>
          <w:tcPr>
            <w:cnfStyle w:evenVBand="true" w:oddVBand="false" w:firstColumn="false"/>
            <w:tcW w:w="25.000000%" w:type="pct"/>
          </w:tcPr>
          <w:p>
            <w:pPr>
              <w:ind w:leftChars="0" w:left="0" w:right="0"/>
            </w:pPr>
            <w:r>
              <w:t>ANZL</w:t>
            </w:r>
          </w:p>
        </w:tc>
        <w:tc>
          <w:tcPr>
            <w:cnfStyle w:evenVBand="false" w:oddVBand="true" w:firstColumn="false"/>
            <w:tcW w:w="25.000000%" w:type="pct"/>
          </w:tcPr>
          <w:p>
            <w:pPr>
              <w:ind w:leftChars="0" w:left="0" w:right="0"/>
            </w:pPr>
            <w:r>
              <w:t>AUSTRALIA AND NEW ZEALAND BANKING GROUP LIMITED SYSTEMATIC INTERNALISER</w:t>
            </w:r>
          </w:p>
        </w:tc>
        <w:tc>
          <w:tcPr>
            <w:cnfStyle w:evenVBand="true" w:oddVBand="false" w:firstColumn="false"/>
            <w:tcW w:w="25.000000%" w:type="pct"/>
          </w:tcPr>
          <w:p>
            <w:pPr>
              <w:ind w:leftChars="0" w:left="0" w:right="0"/>
            </w:pPr>
            <w:r>
              <w:t>49</w:t>
            </w:r>
          </w:p>
        </w:tc>
      </w:tr>
      <w:tr>
        <w:trPr>
          <w:cnfStyle w:evenHBand="false" w:oddHBand="true" w:firstRow="false"/>
        </w:trPr>
        <w:tc>
          <w:tcPr>
            <w:cnfStyle w:evenVBand="false" w:oddVBand="true" w:firstColumn="false"/>
            <w:tcW w:w="25.000000%" w:type="pct"/>
          </w:tcPr>
          <w:p>
            <w:pPr>
              <w:ind w:leftChars="0" w:left="0" w:right="0"/>
            </w:pPr>
            <w:r>
              <w:t>APAW</w:t>
            </w:r>
          </w:p>
        </w:tc>
        <w:tc>
          <w:tcPr>
            <w:cnfStyle w:evenVBand="true" w:oddVBand="false" w:firstColumn="false"/>
            <w:tcW w:w="25.000000%" w:type="pct"/>
          </w:tcPr>
          <w:p>
            <w:pPr>
              <w:ind w:leftChars="0" w:left="0" w:right="0"/>
            </w:pPr>
            <w:r>
              <w:t>APAW</w:t>
            </w:r>
          </w:p>
        </w:tc>
        <w:tc>
          <w:tcPr>
            <w:cnfStyle w:evenVBand="false" w:oddVBand="true" w:firstColumn="false"/>
            <w:tcW w:w="25.000000%" w:type="pct"/>
          </w:tcPr>
          <w:p>
            <w:pPr>
              <w:ind w:leftChars="0" w:left="0" w:right="0"/>
            </w:pPr>
            <w:r>
              <w:t>WIENER BOERSE AG - APA</w:t>
            </w:r>
          </w:p>
        </w:tc>
        <w:tc>
          <w:tcPr>
            <w:cnfStyle w:evenVBand="true" w:oddVBand="false" w:firstColumn="false"/>
            <w:tcW w:w="25.000000%" w:type="pct"/>
          </w:tcPr>
          <w:p>
            <w:pPr>
              <w:ind w:leftChars="0" w:left="0" w:right="0"/>
            </w:pPr>
            <w:r>
              <w:t>50</w:t>
            </w:r>
          </w:p>
        </w:tc>
      </w:tr>
      <w:tr>
        <w:trPr>
          <w:cnfStyle w:evenHBand="true" w:oddHBand="false" w:firstRow="false"/>
        </w:trPr>
        <w:tc>
          <w:tcPr>
            <w:cnfStyle w:evenVBand="false" w:oddVBand="true" w:firstColumn="false"/>
            <w:tcW w:w="25.000000%" w:type="pct"/>
          </w:tcPr>
          <w:p>
            <w:pPr>
              <w:ind w:leftChars="0" w:left="0" w:right="0"/>
            </w:pPr>
            <w:r>
              <w:t>APCL</w:t>
            </w:r>
          </w:p>
        </w:tc>
        <w:tc>
          <w:tcPr>
            <w:cnfStyle w:evenVBand="true" w:oddVBand="false" w:firstColumn="false"/>
            <w:tcW w:w="25.000000%" w:type="pct"/>
          </w:tcPr>
          <w:p>
            <w:pPr>
              <w:ind w:leftChars="0" w:left="0" w:right="0"/>
            </w:pPr>
            <w:r>
              <w:t>APCL</w:t>
            </w:r>
          </w:p>
        </w:tc>
        <w:tc>
          <w:tcPr>
            <w:cnfStyle w:evenVBand="false" w:oddVBand="true" w:firstColumn="false"/>
            <w:tcW w:w="25.000000%" w:type="pct"/>
          </w:tcPr>
          <w:p>
            <w:pPr>
              <w:ind w:leftChars="0" w:left="0" w:right="0"/>
            </w:pPr>
            <w:r>
              <w:t>ASIA PACIFIC CLEAR</w:t>
            </w:r>
          </w:p>
        </w:tc>
        <w:tc>
          <w:tcPr>
            <w:cnfStyle w:evenVBand="true" w:oddVBand="false" w:firstColumn="false"/>
            <w:tcW w:w="25.000000%" w:type="pct"/>
          </w:tcPr>
          <w:p>
            <w:pPr>
              <w:ind w:leftChars="0" w:left="0" w:right="0"/>
            </w:pPr>
            <w:r>
              <w:t>51</w:t>
            </w:r>
          </w:p>
        </w:tc>
      </w:tr>
      <w:tr>
        <w:trPr>
          <w:cnfStyle w:evenHBand="false" w:oddHBand="true" w:firstRow="false"/>
        </w:trPr>
        <w:tc>
          <w:tcPr>
            <w:cnfStyle w:evenVBand="false" w:oddVBand="true" w:firstColumn="false"/>
            <w:tcW w:w="25.000000%" w:type="pct"/>
          </w:tcPr>
          <w:p>
            <w:pPr>
              <w:ind w:leftChars="0" w:left="0" w:right="0"/>
            </w:pPr>
            <w:r>
              <w:t>APEX</w:t>
            </w:r>
          </w:p>
        </w:tc>
        <w:tc>
          <w:tcPr>
            <w:cnfStyle w:evenVBand="true" w:oddVBand="false" w:firstColumn="false"/>
            <w:tcW w:w="25.000000%" w:type="pct"/>
          </w:tcPr>
          <w:p>
            <w:pPr>
              <w:ind w:leftChars="0" w:left="0" w:right="0"/>
            </w:pPr>
            <w:r>
              <w:t>APEX</w:t>
            </w:r>
          </w:p>
        </w:tc>
        <w:tc>
          <w:tcPr>
            <w:cnfStyle w:evenVBand="false" w:oddVBand="true" w:firstColumn="false"/>
            <w:tcW w:w="25.000000%" w:type="pct"/>
          </w:tcPr>
          <w:p>
            <w:pPr>
              <w:ind w:leftChars="0" w:left="0" w:right="0"/>
            </w:pPr>
            <w:r>
              <w:t>ASIA PACIFIC EXCHANGE</w:t>
            </w:r>
          </w:p>
        </w:tc>
        <w:tc>
          <w:tcPr>
            <w:cnfStyle w:evenVBand="true" w:oddVBand="false" w:firstColumn="false"/>
            <w:tcW w:w="25.000000%" w:type="pct"/>
          </w:tcPr>
          <w:p>
            <w:pPr>
              <w:ind w:leftChars="0" w:left="0" w:right="0"/>
            </w:pPr>
            <w:r>
              <w:t>52</w:t>
            </w:r>
          </w:p>
        </w:tc>
      </w:tr>
      <w:tr>
        <w:trPr>
          <w:cnfStyle w:evenHBand="true" w:oddHBand="false" w:firstRow="false"/>
        </w:trPr>
        <w:tc>
          <w:tcPr>
            <w:cnfStyle w:evenVBand="false" w:oddVBand="true" w:firstColumn="false"/>
            <w:tcW w:w="25.000000%" w:type="pct"/>
          </w:tcPr>
          <w:p>
            <w:pPr>
              <w:ind w:leftChars="0" w:left="0" w:right="0"/>
            </w:pPr>
            <w:r>
              <w:t>APXL</w:t>
            </w:r>
          </w:p>
        </w:tc>
        <w:tc>
          <w:tcPr>
            <w:cnfStyle w:evenVBand="true" w:oddVBand="false" w:firstColumn="false"/>
            <w:tcW w:w="25.000000%" w:type="pct"/>
          </w:tcPr>
          <w:p>
            <w:pPr>
              <w:ind w:leftChars="0" w:left="0" w:right="0"/>
            </w:pPr>
            <w:r>
              <w:t>APXL</w:t>
            </w:r>
          </w:p>
        </w:tc>
        <w:tc>
          <w:tcPr>
            <w:cnfStyle w:evenVBand="false" w:oddVBand="true" w:firstColumn="false"/>
            <w:tcW w:w="25.000000%" w:type="pct"/>
          </w:tcPr>
          <w:p>
            <w:pPr>
              <w:ind w:leftChars="0" w:left="0" w:right="0"/>
            </w:pPr>
            <w:r>
              <w:t>SYDNEY STOCK EXCHANGE LIMITED</w:t>
            </w:r>
          </w:p>
        </w:tc>
        <w:tc>
          <w:tcPr>
            <w:cnfStyle w:evenVBand="true" w:oddVBand="false" w:firstColumn="false"/>
            <w:tcW w:w="25.000000%" w:type="pct"/>
          </w:tcPr>
          <w:p>
            <w:pPr>
              <w:ind w:leftChars="0" w:left="0" w:right="0"/>
            </w:pPr>
            <w:r>
              <w:t>53</w:t>
            </w:r>
          </w:p>
        </w:tc>
      </w:tr>
      <w:tr>
        <w:trPr>
          <w:cnfStyle w:evenHBand="false" w:oddHBand="true" w:firstRow="false"/>
        </w:trPr>
        <w:tc>
          <w:tcPr>
            <w:cnfStyle w:evenVBand="false" w:oddVBand="true" w:firstColumn="false"/>
            <w:tcW w:w="25.000000%" w:type="pct"/>
          </w:tcPr>
          <w:p>
            <w:pPr>
              <w:ind w:leftChars="0" w:left="0" w:right="0"/>
            </w:pPr>
            <w:r>
              <w:t>AQEA</w:t>
            </w:r>
          </w:p>
        </w:tc>
        <w:tc>
          <w:tcPr>
            <w:cnfStyle w:evenVBand="true" w:oddVBand="false" w:firstColumn="false"/>
            <w:tcW w:w="25.000000%" w:type="pct"/>
          </w:tcPr>
          <w:p>
            <w:pPr>
              <w:ind w:leftChars="0" w:left="0" w:right="0"/>
            </w:pPr>
            <w:r>
              <w:t>AQEA</w:t>
            </w:r>
          </w:p>
        </w:tc>
        <w:tc>
          <w:tcPr>
            <w:cnfStyle w:evenVBand="false" w:oddVBand="true" w:firstColumn="false"/>
            <w:tcW w:w="25.000000%" w:type="pct"/>
          </w:tcPr>
          <w:p>
            <w:pPr>
              <w:ind w:leftChars="0" w:left="0" w:right="0"/>
            </w:pPr>
            <w:r>
              <w:t>AQUIS EXCHANGE EUROPE AUCTION ON DEMAND (AOD)</w:t>
            </w:r>
          </w:p>
        </w:tc>
        <w:tc>
          <w:tcPr>
            <w:cnfStyle w:evenVBand="true" w:oddVBand="false" w:firstColumn="false"/>
            <w:tcW w:w="25.000000%" w:type="pct"/>
          </w:tcPr>
          <w:p>
            <w:pPr>
              <w:ind w:leftChars="0" w:left="0" w:right="0"/>
            </w:pPr>
            <w:r>
              <w:t>54</w:t>
            </w:r>
          </w:p>
        </w:tc>
      </w:tr>
      <w:tr>
        <w:trPr>
          <w:cnfStyle w:evenHBand="true" w:oddHBand="false" w:firstRow="false"/>
        </w:trPr>
        <w:tc>
          <w:tcPr>
            <w:cnfStyle w:evenVBand="false" w:oddVBand="true" w:firstColumn="false"/>
            <w:tcW w:w="25.000000%" w:type="pct"/>
          </w:tcPr>
          <w:p>
            <w:pPr>
              <w:ind w:leftChars="0" w:left="0" w:right="0"/>
            </w:pPr>
            <w:r>
              <w:t>AQED</w:t>
            </w:r>
          </w:p>
        </w:tc>
        <w:tc>
          <w:tcPr>
            <w:cnfStyle w:evenVBand="true" w:oddVBand="false" w:firstColumn="false"/>
            <w:tcW w:w="25.000000%" w:type="pct"/>
          </w:tcPr>
          <w:p>
            <w:pPr>
              <w:ind w:leftChars="0" w:left="0" w:right="0"/>
            </w:pPr>
            <w:r>
              <w:t>AQED</w:t>
            </w:r>
          </w:p>
        </w:tc>
        <w:tc>
          <w:tcPr>
            <w:cnfStyle w:evenVBand="false" w:oddVBand="true" w:firstColumn="false"/>
            <w:tcW w:w="25.000000%" w:type="pct"/>
          </w:tcPr>
          <w:p>
            <w:pPr>
              <w:ind w:leftChars="0" w:left="0" w:right="0"/>
            </w:pPr>
            <w:r>
              <w:t>AQUIS EXCHANGE EUROPE NON DISPLAY ORDER BOOK (NDOB)</w:t>
            </w:r>
          </w:p>
        </w:tc>
        <w:tc>
          <w:tcPr>
            <w:cnfStyle w:evenVBand="true" w:oddVBand="false" w:firstColumn="false"/>
            <w:tcW w:w="25.000000%" w:type="pct"/>
          </w:tcPr>
          <w:p>
            <w:pPr>
              <w:ind w:leftChars="0" w:left="0" w:right="0"/>
            </w:pPr>
            <w:r>
              <w:t>55</w:t>
            </w:r>
          </w:p>
        </w:tc>
      </w:tr>
      <w:tr>
        <w:trPr>
          <w:cnfStyle w:evenHBand="false" w:oddHBand="true" w:firstRow="false"/>
        </w:trPr>
        <w:tc>
          <w:tcPr>
            <w:cnfStyle w:evenVBand="false" w:oddVBand="true" w:firstColumn="false"/>
            <w:tcW w:w="25.000000%" w:type="pct"/>
          </w:tcPr>
          <w:p>
            <w:pPr>
              <w:ind w:leftChars="0" w:left="0" w:right="0"/>
            </w:pPr>
            <w:r>
              <w:t>AQEU</w:t>
            </w:r>
          </w:p>
        </w:tc>
        <w:tc>
          <w:tcPr>
            <w:cnfStyle w:evenVBand="true" w:oddVBand="false" w:firstColumn="false"/>
            <w:tcW w:w="25.000000%" w:type="pct"/>
          </w:tcPr>
          <w:p>
            <w:pPr>
              <w:ind w:leftChars="0" w:left="0" w:right="0"/>
            </w:pPr>
            <w:r>
              <w:t>AQEU</w:t>
            </w:r>
          </w:p>
        </w:tc>
        <w:tc>
          <w:tcPr>
            <w:cnfStyle w:evenVBand="false" w:oddVBand="true" w:firstColumn="false"/>
            <w:tcW w:w="25.000000%" w:type="pct"/>
          </w:tcPr>
          <w:p>
            <w:pPr>
              <w:ind w:leftChars="0" w:left="0" w:right="0"/>
            </w:pPr>
            <w:r>
              <w:t>AQUIS EXCHANGE EUROPE</w:t>
            </w:r>
          </w:p>
        </w:tc>
        <w:tc>
          <w:tcPr>
            <w:cnfStyle w:evenVBand="true" w:oddVBand="false" w:firstColumn="false"/>
            <w:tcW w:w="25.000000%" w:type="pct"/>
          </w:tcPr>
          <w:p>
            <w:pPr>
              <w:ind w:leftChars="0" w:left="0" w:right="0"/>
            </w:pPr>
            <w:r>
              <w:t>56</w:t>
            </w:r>
          </w:p>
        </w:tc>
      </w:tr>
      <w:tr>
        <w:trPr>
          <w:cnfStyle w:evenHBand="true" w:oddHBand="false" w:firstRow="false"/>
        </w:trPr>
        <w:tc>
          <w:tcPr>
            <w:cnfStyle w:evenVBand="false" w:oddVBand="true" w:firstColumn="false"/>
            <w:tcW w:w="25.000000%" w:type="pct"/>
          </w:tcPr>
          <w:p>
            <w:pPr>
              <w:ind w:leftChars="0" w:left="0" w:right="0"/>
            </w:pPr>
            <w:r>
              <w:t>AQSD</w:t>
            </w:r>
          </w:p>
        </w:tc>
        <w:tc>
          <w:tcPr>
            <w:cnfStyle w:evenVBand="true" w:oddVBand="false" w:firstColumn="false"/>
            <w:tcW w:w="25.000000%" w:type="pct"/>
          </w:tcPr>
          <w:p>
            <w:pPr>
              <w:ind w:leftChars="0" w:left="0" w:right="0"/>
            </w:pPr>
            <w:r>
              <w:t>AQSD</w:t>
            </w:r>
          </w:p>
        </w:tc>
        <w:tc>
          <w:tcPr>
            <w:cnfStyle w:evenVBand="false" w:oddVBand="true" w:firstColumn="false"/>
            <w:tcW w:w="25.000000%" w:type="pct"/>
          </w:tcPr>
          <w:p>
            <w:pPr>
              <w:ind w:leftChars="0" w:left="0" w:right="0"/>
            </w:pPr>
            <w:r>
              <w:t>AQSE MAIN MARKET (NON-EQUITY)</w:t>
            </w:r>
          </w:p>
        </w:tc>
        <w:tc>
          <w:tcPr>
            <w:cnfStyle w:evenVBand="true" w:oddVBand="false" w:firstColumn="false"/>
            <w:tcW w:w="25.000000%" w:type="pct"/>
          </w:tcPr>
          <w:p>
            <w:pPr>
              <w:ind w:leftChars="0" w:left="0" w:right="0"/>
            </w:pPr>
            <w:r>
              <w:t>57</w:t>
            </w:r>
          </w:p>
        </w:tc>
      </w:tr>
      <w:tr>
        <w:trPr>
          <w:cnfStyle w:evenHBand="false" w:oddHBand="true" w:firstRow="false"/>
        </w:trPr>
        <w:tc>
          <w:tcPr>
            <w:cnfStyle w:evenVBand="false" w:oddVBand="true" w:firstColumn="false"/>
            <w:tcW w:w="25.000000%" w:type="pct"/>
          </w:tcPr>
          <w:p>
            <w:pPr>
              <w:ind w:leftChars="0" w:left="0" w:right="0"/>
            </w:pPr>
            <w:r>
              <w:t>AQSE</w:t>
            </w:r>
          </w:p>
        </w:tc>
        <w:tc>
          <w:tcPr>
            <w:cnfStyle w:evenVBand="true" w:oddVBand="false" w:firstColumn="false"/>
            <w:tcW w:w="25.000000%" w:type="pct"/>
          </w:tcPr>
          <w:p>
            <w:pPr>
              <w:ind w:leftChars="0" w:left="0" w:right="0"/>
            </w:pPr>
            <w:r>
              <w:t>AQSE</w:t>
            </w:r>
          </w:p>
        </w:tc>
        <w:tc>
          <w:tcPr>
            <w:cnfStyle w:evenVBand="false" w:oddVBand="true" w:firstColumn="false"/>
            <w:tcW w:w="25.000000%" w:type="pct"/>
          </w:tcPr>
          <w:p>
            <w:pPr>
              <w:ind w:leftChars="0" w:left="0" w:right="0"/>
            </w:pPr>
            <w:r>
              <w:t>AQUIS STOCK EXCHANGE</w:t>
            </w:r>
          </w:p>
        </w:tc>
        <w:tc>
          <w:tcPr>
            <w:cnfStyle w:evenVBand="true" w:oddVBand="false" w:firstColumn="false"/>
            <w:tcW w:w="25.000000%" w:type="pct"/>
          </w:tcPr>
          <w:p>
            <w:pPr>
              <w:ind w:leftChars="0" w:left="0" w:right="0"/>
            </w:pPr>
            <w:r>
              <w:t>58</w:t>
            </w:r>
          </w:p>
        </w:tc>
      </w:tr>
      <w:tr>
        <w:trPr>
          <w:cnfStyle w:evenHBand="true" w:oddHBand="false" w:firstRow="false"/>
        </w:trPr>
        <w:tc>
          <w:tcPr>
            <w:cnfStyle w:evenVBand="false" w:oddVBand="true" w:firstColumn="false"/>
            <w:tcW w:w="25.000000%" w:type="pct"/>
          </w:tcPr>
          <w:p>
            <w:pPr>
              <w:ind w:leftChars="0" w:left="0" w:right="0"/>
            </w:pPr>
            <w:r>
              <w:t>AQSF</w:t>
            </w:r>
          </w:p>
        </w:tc>
        <w:tc>
          <w:tcPr>
            <w:cnfStyle w:evenVBand="true" w:oddVBand="false" w:firstColumn="false"/>
            <w:tcW w:w="25.000000%" w:type="pct"/>
          </w:tcPr>
          <w:p>
            <w:pPr>
              <w:ind w:leftChars="0" w:left="0" w:right="0"/>
            </w:pPr>
            <w:r>
              <w:t>AQSF</w:t>
            </w:r>
          </w:p>
        </w:tc>
        <w:tc>
          <w:tcPr>
            <w:cnfStyle w:evenVBand="false" w:oddVBand="true" w:firstColumn="false"/>
            <w:tcW w:w="25.000000%" w:type="pct"/>
          </w:tcPr>
          <w:p>
            <w:pPr>
              <w:ind w:leftChars="0" w:left="0" w:right="0"/>
            </w:pPr>
            <w:r>
              <w:t>AQSE GROWTH MARKET (NON-EQUITY)</w:t>
            </w:r>
          </w:p>
        </w:tc>
        <w:tc>
          <w:tcPr>
            <w:cnfStyle w:evenVBand="true" w:oddVBand="false" w:firstColumn="false"/>
            <w:tcW w:w="25.000000%" w:type="pct"/>
          </w:tcPr>
          <w:p>
            <w:pPr>
              <w:ind w:leftChars="0" w:left="0" w:right="0"/>
            </w:pPr>
            <w:r>
              <w:t>59</w:t>
            </w:r>
          </w:p>
        </w:tc>
      </w:tr>
      <w:tr>
        <w:trPr>
          <w:cnfStyle w:evenHBand="false" w:oddHBand="true" w:firstRow="false"/>
        </w:trPr>
        <w:tc>
          <w:tcPr>
            <w:cnfStyle w:evenVBand="false" w:oddVBand="true" w:firstColumn="false"/>
            <w:tcW w:w="25.000000%" w:type="pct"/>
          </w:tcPr>
          <w:p>
            <w:pPr>
              <w:ind w:leftChars="0" w:left="0" w:right="0"/>
            </w:pPr>
            <w:r>
              <w:t>AQSG</w:t>
            </w:r>
          </w:p>
        </w:tc>
        <w:tc>
          <w:tcPr>
            <w:cnfStyle w:evenVBand="true" w:oddVBand="false" w:firstColumn="false"/>
            <w:tcW w:w="25.000000%" w:type="pct"/>
          </w:tcPr>
          <w:p>
            <w:pPr>
              <w:ind w:leftChars="0" w:left="0" w:right="0"/>
            </w:pPr>
            <w:r>
              <w:t>AQSG</w:t>
            </w:r>
          </w:p>
        </w:tc>
        <w:tc>
          <w:tcPr>
            <w:cnfStyle w:evenVBand="false" w:oddVBand="true" w:firstColumn="false"/>
            <w:tcW w:w="25.000000%" w:type="pct"/>
          </w:tcPr>
          <w:p>
            <w:pPr>
              <w:ind w:leftChars="0" w:left="0" w:right="0"/>
            </w:pPr>
            <w:r>
              <w:t>AQSE GROWTH MARKET (EQUITY)</w:t>
            </w:r>
          </w:p>
        </w:tc>
        <w:tc>
          <w:tcPr>
            <w:cnfStyle w:evenVBand="true" w:oddVBand="false" w:firstColumn="false"/>
            <w:tcW w:w="25.000000%" w:type="pct"/>
          </w:tcPr>
          <w:p>
            <w:pPr>
              <w:ind w:leftChars="0" w:left="0" w:right="0"/>
            </w:pPr>
            <w:r>
              <w:t>60</w:t>
            </w:r>
          </w:p>
        </w:tc>
      </w:tr>
      <w:tr>
        <w:trPr>
          <w:cnfStyle w:evenHBand="true" w:oddHBand="false" w:firstRow="false"/>
        </w:trPr>
        <w:tc>
          <w:tcPr>
            <w:cnfStyle w:evenVBand="false" w:oddVBand="true" w:firstColumn="false"/>
            <w:tcW w:w="25.000000%" w:type="pct"/>
          </w:tcPr>
          <w:p>
            <w:pPr>
              <w:ind w:leftChars="0" w:left="0" w:right="0"/>
            </w:pPr>
            <w:r>
              <w:t>AQSL</w:t>
            </w:r>
          </w:p>
        </w:tc>
        <w:tc>
          <w:tcPr>
            <w:cnfStyle w:evenVBand="true" w:oddVBand="false" w:firstColumn="false"/>
            <w:tcW w:w="25.000000%" w:type="pct"/>
          </w:tcPr>
          <w:p>
            <w:pPr>
              <w:ind w:leftChars="0" w:left="0" w:right="0"/>
            </w:pPr>
            <w:r>
              <w:t>AQSL</w:t>
            </w:r>
          </w:p>
        </w:tc>
        <w:tc>
          <w:tcPr>
            <w:cnfStyle w:evenVBand="false" w:oddVBand="true" w:firstColumn="false"/>
            <w:tcW w:w="25.000000%" w:type="pct"/>
          </w:tcPr>
          <w:p>
            <w:pPr>
              <w:ind w:leftChars="0" w:left="0" w:right="0"/>
            </w:pPr>
            <w:r>
              <w:t>AQSE MAIN MARKET (EQUITY)</w:t>
            </w:r>
          </w:p>
        </w:tc>
        <w:tc>
          <w:tcPr>
            <w:cnfStyle w:evenVBand="true" w:oddVBand="false" w:firstColumn="false"/>
            <w:tcW w:w="25.000000%" w:type="pct"/>
          </w:tcPr>
          <w:p>
            <w:pPr>
              <w:ind w:leftChars="0" w:left="0" w:right="0"/>
            </w:pPr>
            <w:r>
              <w:t>61</w:t>
            </w:r>
          </w:p>
        </w:tc>
      </w:tr>
      <w:tr>
        <w:trPr>
          <w:cnfStyle w:evenHBand="false" w:oddHBand="true" w:firstRow="false"/>
        </w:trPr>
        <w:tc>
          <w:tcPr>
            <w:cnfStyle w:evenVBand="false" w:oddVBand="true" w:firstColumn="false"/>
            <w:tcW w:w="25.000000%" w:type="pct"/>
          </w:tcPr>
          <w:p>
            <w:pPr>
              <w:ind w:leftChars="0" w:left="0" w:right="0"/>
            </w:pPr>
            <w:r>
              <w:t>AQSN</w:t>
            </w:r>
          </w:p>
        </w:tc>
        <w:tc>
          <w:tcPr>
            <w:cnfStyle w:evenVBand="true" w:oddVBand="false" w:firstColumn="false"/>
            <w:tcW w:w="25.000000%" w:type="pct"/>
          </w:tcPr>
          <w:p>
            <w:pPr>
              <w:ind w:leftChars="0" w:left="0" w:right="0"/>
            </w:pPr>
            <w:r>
              <w:t>AQSN</w:t>
            </w:r>
          </w:p>
        </w:tc>
        <w:tc>
          <w:tcPr>
            <w:cnfStyle w:evenVBand="false" w:oddVBand="true" w:firstColumn="false"/>
            <w:tcW w:w="25.000000%" w:type="pct"/>
          </w:tcPr>
          <w:p>
            <w:pPr>
              <w:ind w:leftChars="0" w:left="0" w:right="0"/>
            </w:pPr>
            <w:r>
              <w:t>AQSE TRADING (NON-EQUITY)</w:t>
            </w:r>
          </w:p>
        </w:tc>
        <w:tc>
          <w:tcPr>
            <w:cnfStyle w:evenVBand="true" w:oddVBand="false" w:firstColumn="false"/>
            <w:tcW w:w="25.000000%" w:type="pct"/>
          </w:tcPr>
          <w:p>
            <w:pPr>
              <w:ind w:leftChars="0" w:left="0" w:right="0"/>
            </w:pPr>
            <w:r>
              <w:t>62</w:t>
            </w:r>
          </w:p>
        </w:tc>
      </w:tr>
      <w:tr>
        <w:trPr>
          <w:cnfStyle w:evenHBand="true" w:oddHBand="false" w:firstRow="false"/>
        </w:trPr>
        <w:tc>
          <w:tcPr>
            <w:cnfStyle w:evenVBand="false" w:oddVBand="true" w:firstColumn="false"/>
            <w:tcW w:w="25.000000%" w:type="pct"/>
          </w:tcPr>
          <w:p>
            <w:pPr>
              <w:ind w:leftChars="0" w:left="0" w:right="0"/>
            </w:pPr>
            <w:r>
              <w:t>AQST</w:t>
            </w:r>
          </w:p>
        </w:tc>
        <w:tc>
          <w:tcPr>
            <w:cnfStyle w:evenVBand="true" w:oddVBand="false" w:firstColumn="false"/>
            <w:tcW w:w="25.000000%" w:type="pct"/>
          </w:tcPr>
          <w:p>
            <w:pPr>
              <w:ind w:leftChars="0" w:left="0" w:right="0"/>
            </w:pPr>
            <w:r>
              <w:t>AQST</w:t>
            </w:r>
          </w:p>
        </w:tc>
        <w:tc>
          <w:tcPr>
            <w:cnfStyle w:evenVBand="false" w:oddVBand="true" w:firstColumn="false"/>
            <w:tcW w:w="25.000000%" w:type="pct"/>
          </w:tcPr>
          <w:p>
            <w:pPr>
              <w:ind w:leftChars="0" w:left="0" w:right="0"/>
            </w:pPr>
            <w:r>
              <w:t>AQSE TRADING (EQUITY)</w:t>
            </w:r>
          </w:p>
        </w:tc>
        <w:tc>
          <w:tcPr>
            <w:cnfStyle w:evenVBand="true" w:oddVBand="false" w:firstColumn="false"/>
            <w:tcW w:w="25.000000%" w:type="pct"/>
          </w:tcPr>
          <w:p>
            <w:pPr>
              <w:ind w:leftChars="0" w:left="0" w:right="0"/>
            </w:pPr>
            <w:r>
              <w:t>63</w:t>
            </w:r>
          </w:p>
        </w:tc>
      </w:tr>
      <w:tr>
        <w:trPr>
          <w:cnfStyle w:evenHBand="false" w:oddHBand="true" w:firstRow="false"/>
        </w:trPr>
        <w:tc>
          <w:tcPr>
            <w:cnfStyle w:evenVBand="false" w:oddVBand="true" w:firstColumn="false"/>
            <w:tcW w:w="25.000000%" w:type="pct"/>
          </w:tcPr>
          <w:p>
            <w:pPr>
              <w:ind w:leftChars="0" w:left="0" w:right="0"/>
            </w:pPr>
            <w:r>
              <w:t>AQUA</w:t>
            </w:r>
          </w:p>
        </w:tc>
        <w:tc>
          <w:tcPr>
            <w:cnfStyle w:evenVBand="true" w:oddVBand="false" w:firstColumn="false"/>
            <w:tcW w:w="25.000000%" w:type="pct"/>
          </w:tcPr>
          <w:p>
            <w:pPr>
              <w:ind w:leftChars="0" w:left="0" w:right="0"/>
            </w:pPr>
            <w:r>
              <w:t>AQUA</w:t>
            </w:r>
          </w:p>
        </w:tc>
        <w:tc>
          <w:tcPr>
            <w:cnfStyle w:evenVBand="false" w:oddVBand="true" w:firstColumn="false"/>
            <w:tcW w:w="25.000000%" w:type="pct"/>
          </w:tcPr>
          <w:p>
            <w:pPr>
              <w:ind w:leftChars="0" w:left="0" w:right="0"/>
            </w:pPr>
            <w:r>
              <w:t>AQUA EQUITIES L.P.</w:t>
            </w:r>
          </w:p>
        </w:tc>
        <w:tc>
          <w:tcPr>
            <w:cnfStyle w:evenVBand="true" w:oddVBand="false" w:firstColumn="false"/>
            <w:tcW w:w="25.000000%" w:type="pct"/>
          </w:tcPr>
          <w:p>
            <w:pPr>
              <w:ind w:leftChars="0" w:left="0" w:right="0"/>
            </w:pPr>
            <w:r>
              <w:t>64</w:t>
            </w:r>
          </w:p>
        </w:tc>
      </w:tr>
      <w:tr>
        <w:trPr>
          <w:cnfStyle w:evenHBand="true" w:oddHBand="false" w:firstRow="false"/>
        </w:trPr>
        <w:tc>
          <w:tcPr>
            <w:cnfStyle w:evenVBand="false" w:oddVBand="true" w:firstColumn="false"/>
            <w:tcW w:w="25.000000%" w:type="pct"/>
          </w:tcPr>
          <w:p>
            <w:pPr>
              <w:ind w:leftChars="0" w:left="0" w:right="0"/>
            </w:pPr>
            <w:r>
              <w:t>AQXA</w:t>
            </w:r>
          </w:p>
        </w:tc>
        <w:tc>
          <w:tcPr>
            <w:cnfStyle w:evenVBand="true" w:oddVBand="false" w:firstColumn="false"/>
            <w:tcW w:w="25.000000%" w:type="pct"/>
          </w:tcPr>
          <w:p>
            <w:pPr>
              <w:ind w:leftChars="0" w:left="0" w:right="0"/>
            </w:pPr>
            <w:r>
              <w:t>AQXA</w:t>
            </w:r>
          </w:p>
        </w:tc>
        <w:tc>
          <w:tcPr>
            <w:cnfStyle w:evenVBand="false" w:oddVBand="true" w:firstColumn="false"/>
            <w:tcW w:w="25.000000%" w:type="pct"/>
          </w:tcPr>
          <w:p>
            <w:pPr>
              <w:ind w:leftChars="0" w:left="0" w:right="0"/>
            </w:pPr>
            <w:r>
              <w:t>AQUIS EXCHANGE PLC AUCTION ON DEMAND (AOD)</w:t>
            </w:r>
          </w:p>
        </w:tc>
        <w:tc>
          <w:tcPr>
            <w:cnfStyle w:evenVBand="true" w:oddVBand="false" w:firstColumn="false"/>
            <w:tcW w:w="25.000000%" w:type="pct"/>
          </w:tcPr>
          <w:p>
            <w:pPr>
              <w:ind w:leftChars="0" w:left="0" w:right="0"/>
            </w:pPr>
            <w:r>
              <w:t>65</w:t>
            </w:r>
          </w:p>
        </w:tc>
      </w:tr>
      <w:tr>
        <w:trPr>
          <w:cnfStyle w:evenHBand="false" w:oddHBand="true" w:firstRow="false"/>
        </w:trPr>
        <w:tc>
          <w:tcPr>
            <w:cnfStyle w:evenVBand="false" w:oddVBand="true" w:firstColumn="false"/>
            <w:tcW w:w="25.000000%" w:type="pct"/>
          </w:tcPr>
          <w:p>
            <w:pPr>
              <w:ind w:leftChars="0" w:left="0" w:right="0"/>
            </w:pPr>
            <w:r>
              <w:t>AQXD</w:t>
            </w:r>
          </w:p>
        </w:tc>
        <w:tc>
          <w:tcPr>
            <w:cnfStyle w:evenVBand="true" w:oddVBand="false" w:firstColumn="false"/>
            <w:tcW w:w="25.000000%" w:type="pct"/>
          </w:tcPr>
          <w:p>
            <w:pPr>
              <w:ind w:leftChars="0" w:left="0" w:right="0"/>
            </w:pPr>
            <w:r>
              <w:t>AQXD</w:t>
            </w:r>
          </w:p>
        </w:tc>
        <w:tc>
          <w:tcPr>
            <w:cnfStyle w:evenVBand="false" w:oddVBand="true" w:firstColumn="false"/>
            <w:tcW w:w="25.000000%" w:type="pct"/>
          </w:tcPr>
          <w:p>
            <w:pPr>
              <w:ind w:leftChars="0" w:left="0" w:right="0"/>
            </w:pPr>
            <w:r>
              <w:t>AQUIS EXCHANGE PLC AMP NON DISPLAY ORDER BOOK</w:t>
            </w:r>
          </w:p>
        </w:tc>
        <w:tc>
          <w:tcPr>
            <w:cnfStyle w:evenVBand="true" w:oddVBand="false" w:firstColumn="false"/>
            <w:tcW w:w="25.000000%" w:type="pct"/>
          </w:tcPr>
          <w:p>
            <w:pPr>
              <w:ind w:leftChars="0" w:left="0" w:right="0"/>
            </w:pPr>
            <w:r>
              <w:t>66</w:t>
            </w:r>
          </w:p>
        </w:tc>
      </w:tr>
      <w:tr>
        <w:trPr>
          <w:cnfStyle w:evenHBand="true" w:oddHBand="false" w:firstRow="false"/>
        </w:trPr>
        <w:tc>
          <w:tcPr>
            <w:cnfStyle w:evenVBand="false" w:oddVBand="true" w:firstColumn="false"/>
            <w:tcW w:w="25.000000%" w:type="pct"/>
          </w:tcPr>
          <w:p>
            <w:pPr>
              <w:ind w:leftChars="0" w:left="0" w:right="0"/>
            </w:pPr>
            <w:r>
              <w:t>AQXE</w:t>
            </w:r>
          </w:p>
        </w:tc>
        <w:tc>
          <w:tcPr>
            <w:cnfStyle w:evenVBand="true" w:oddVBand="false" w:firstColumn="false"/>
            <w:tcW w:w="25.000000%" w:type="pct"/>
          </w:tcPr>
          <w:p>
            <w:pPr>
              <w:ind w:leftChars="0" w:left="0" w:right="0"/>
            </w:pPr>
            <w:r>
              <w:t>AQXE</w:t>
            </w:r>
          </w:p>
        </w:tc>
        <w:tc>
          <w:tcPr>
            <w:cnfStyle w:evenVBand="false" w:oddVBand="true" w:firstColumn="false"/>
            <w:tcW w:w="25.000000%" w:type="pct"/>
          </w:tcPr>
          <w:p>
            <w:pPr>
              <w:ind w:leftChars="0" w:left="0" w:right="0"/>
            </w:pPr>
            <w:r>
              <w:t>AQUIS EXCHANGE PLC</w:t>
            </w:r>
          </w:p>
        </w:tc>
        <w:tc>
          <w:tcPr>
            <w:cnfStyle w:evenVBand="true" w:oddVBand="false" w:firstColumn="false"/>
            <w:tcW w:w="25.000000%" w:type="pct"/>
          </w:tcPr>
          <w:p>
            <w:pPr>
              <w:ind w:leftChars="0" w:left="0" w:right="0"/>
            </w:pPr>
            <w:r>
              <w:t>67</w:t>
            </w:r>
          </w:p>
        </w:tc>
      </w:tr>
      <w:tr>
        <w:trPr>
          <w:cnfStyle w:evenHBand="false" w:oddHBand="true" w:firstRow="false"/>
        </w:trPr>
        <w:tc>
          <w:tcPr>
            <w:cnfStyle w:evenVBand="false" w:oddVBand="true" w:firstColumn="false"/>
            <w:tcW w:w="25.000000%" w:type="pct"/>
          </w:tcPr>
          <w:p>
            <w:pPr>
              <w:ind w:leftChars="0" w:left="0" w:right="0"/>
            </w:pPr>
            <w:r>
              <w:t>ARAX</w:t>
            </w:r>
          </w:p>
        </w:tc>
        <w:tc>
          <w:tcPr>
            <w:cnfStyle w:evenVBand="true" w:oddVBand="false" w:firstColumn="false"/>
            <w:tcW w:w="25.000000%" w:type="pct"/>
          </w:tcPr>
          <w:p>
            <w:pPr>
              <w:ind w:leftChars="0" w:left="0" w:right="0"/>
            </w:pPr>
            <w:r>
              <w:t>ARAX</w:t>
            </w:r>
          </w:p>
        </w:tc>
        <w:tc>
          <w:tcPr>
            <w:cnfStyle w:evenVBand="false" w:oddVBand="true" w:firstColumn="false"/>
            <w:tcW w:w="25.000000%" w:type="pct"/>
          </w:tcPr>
          <w:p>
            <w:pPr>
              <w:ind w:leftChars="0" w:left="0" w:right="0"/>
            </w:pPr>
            <w:r>
              <w:t>ARRACO GLOBAL MARKETS LTD</w:t>
            </w:r>
          </w:p>
        </w:tc>
        <w:tc>
          <w:tcPr>
            <w:cnfStyle w:evenVBand="true" w:oddVBand="false" w:firstColumn="false"/>
            <w:tcW w:w="25.000000%" w:type="pct"/>
          </w:tcPr>
          <w:p>
            <w:pPr>
              <w:ind w:leftChars="0" w:left="0" w:right="0"/>
            </w:pPr>
            <w:r>
              <w:t>68</w:t>
            </w:r>
          </w:p>
        </w:tc>
      </w:tr>
      <w:tr>
        <w:trPr>
          <w:cnfStyle w:evenHBand="true" w:oddHBand="false" w:firstRow="false"/>
        </w:trPr>
        <w:tc>
          <w:tcPr>
            <w:cnfStyle w:evenVBand="false" w:oddVBand="true" w:firstColumn="false"/>
            <w:tcW w:w="25.000000%" w:type="pct"/>
          </w:tcPr>
          <w:p>
            <w:pPr>
              <w:ind w:leftChars="0" w:left="0" w:right="0"/>
            </w:pPr>
            <w:r>
              <w:t>ARCD</w:t>
            </w:r>
          </w:p>
        </w:tc>
        <w:tc>
          <w:tcPr>
            <w:cnfStyle w:evenVBand="true" w:oddVBand="false" w:firstColumn="false"/>
            <w:tcW w:w="25.000000%" w:type="pct"/>
          </w:tcPr>
          <w:p>
            <w:pPr>
              <w:ind w:leftChars="0" w:left="0" w:right="0"/>
            </w:pPr>
            <w:r>
              <w:t>ARCD</w:t>
            </w:r>
          </w:p>
        </w:tc>
        <w:tc>
          <w:tcPr>
            <w:cnfStyle w:evenVBand="false" w:oddVBand="true" w:firstColumn="false"/>
            <w:tcW w:w="25.000000%" w:type="pct"/>
          </w:tcPr>
          <w:p>
            <w:pPr>
              <w:ind w:leftChars="0" w:left="0" w:right="0"/>
            </w:pPr>
            <w:r>
              <w:t>ARCA DARK</w:t>
            </w:r>
          </w:p>
        </w:tc>
        <w:tc>
          <w:tcPr>
            <w:cnfStyle w:evenVBand="true" w:oddVBand="false" w:firstColumn="false"/>
            <w:tcW w:w="25.000000%" w:type="pct"/>
          </w:tcPr>
          <w:p>
            <w:pPr>
              <w:ind w:leftChars="0" w:left="0" w:right="0"/>
            </w:pPr>
            <w:r>
              <w:t>69</w:t>
            </w:r>
          </w:p>
        </w:tc>
      </w:tr>
      <w:tr>
        <w:trPr>
          <w:cnfStyle w:evenHBand="false" w:oddHBand="true" w:firstRow="false"/>
        </w:trPr>
        <w:tc>
          <w:tcPr>
            <w:cnfStyle w:evenVBand="false" w:oddVBand="true" w:firstColumn="false"/>
            <w:tcW w:w="25.000000%" w:type="pct"/>
          </w:tcPr>
          <w:p>
            <w:pPr>
              <w:ind w:leftChars="0" w:left="0" w:right="0"/>
            </w:pPr>
            <w:r>
              <w:t>ARCH</w:t>
            </w:r>
          </w:p>
        </w:tc>
        <w:tc>
          <w:tcPr>
            <w:cnfStyle w:evenVBand="true" w:oddVBand="false" w:firstColumn="false"/>
            <w:tcW w:w="25.000000%" w:type="pct"/>
          </w:tcPr>
          <w:p>
            <w:pPr>
              <w:ind w:leftChars="0" w:left="0" w:right="0"/>
            </w:pPr>
            <w:r>
              <w:t>ARCH</w:t>
            </w:r>
          </w:p>
        </w:tc>
        <w:tc>
          <w:tcPr>
            <w:cnfStyle w:evenVBand="false" w:oddVBand="true" w:firstColumn="false"/>
            <w:tcW w:w="25.000000%" w:type="pct"/>
          </w:tcPr>
          <w:p>
            <w:pPr>
              <w:ind w:leftChars="0" w:left="0" w:right="0"/>
            </w:pPr>
            <w:r>
              <w:t>ARCHAX</w:t>
            </w:r>
          </w:p>
        </w:tc>
        <w:tc>
          <w:tcPr>
            <w:cnfStyle w:evenVBand="true" w:oddVBand="false" w:firstColumn="false"/>
            <w:tcW w:w="25.000000%" w:type="pct"/>
          </w:tcPr>
          <w:p>
            <w:pPr>
              <w:ind w:leftChars="0" w:left="0" w:right="0"/>
            </w:pPr>
            <w:r>
              <w:t>70</w:t>
            </w:r>
          </w:p>
        </w:tc>
      </w:tr>
      <w:tr>
        <w:trPr>
          <w:cnfStyle w:evenHBand="true" w:oddHBand="false" w:firstRow="false"/>
        </w:trPr>
        <w:tc>
          <w:tcPr>
            <w:cnfStyle w:evenVBand="false" w:oddVBand="true" w:firstColumn="false"/>
            <w:tcW w:w="25.000000%" w:type="pct"/>
          </w:tcPr>
          <w:p>
            <w:pPr>
              <w:ind w:leftChars="0" w:left="0" w:right="0"/>
            </w:pPr>
            <w:r>
              <w:t>ARCO</w:t>
            </w:r>
          </w:p>
        </w:tc>
        <w:tc>
          <w:tcPr>
            <w:cnfStyle w:evenVBand="true" w:oddVBand="false" w:firstColumn="false"/>
            <w:tcW w:w="25.000000%" w:type="pct"/>
          </w:tcPr>
          <w:p>
            <w:pPr>
              <w:ind w:leftChars="0" w:left="0" w:right="0"/>
            </w:pPr>
            <w:r>
              <w:t>ARCO</w:t>
            </w:r>
          </w:p>
        </w:tc>
        <w:tc>
          <w:tcPr>
            <w:cnfStyle w:evenVBand="false" w:oddVBand="true" w:firstColumn="false"/>
            <w:tcW w:w="25.000000%" w:type="pct"/>
          </w:tcPr>
          <w:p>
            <w:pPr>
              <w:ind w:leftChars="0" w:left="0" w:right="0"/>
            </w:pPr>
            <w:r>
              <w:t>NYSE ARCA OPTIONS</w:t>
            </w:r>
          </w:p>
        </w:tc>
        <w:tc>
          <w:tcPr>
            <w:cnfStyle w:evenVBand="true" w:oddVBand="false" w:firstColumn="false"/>
            <w:tcW w:w="25.000000%" w:type="pct"/>
          </w:tcPr>
          <w:p>
            <w:pPr>
              <w:ind w:leftChars="0" w:left="0" w:right="0"/>
            </w:pPr>
            <w:r>
              <w:t>71</w:t>
            </w:r>
          </w:p>
        </w:tc>
      </w:tr>
      <w:tr>
        <w:trPr>
          <w:cnfStyle w:evenHBand="false" w:oddHBand="true" w:firstRow="false"/>
        </w:trPr>
        <w:tc>
          <w:tcPr>
            <w:cnfStyle w:evenVBand="false" w:oddVBand="true" w:firstColumn="false"/>
            <w:tcW w:w="25.000000%" w:type="pct"/>
          </w:tcPr>
          <w:p>
            <w:pPr>
              <w:ind w:leftChars="0" w:left="0" w:right="0"/>
            </w:pPr>
            <w:r>
              <w:t>ARCX</w:t>
            </w:r>
          </w:p>
        </w:tc>
        <w:tc>
          <w:tcPr>
            <w:cnfStyle w:evenVBand="true" w:oddVBand="false" w:firstColumn="false"/>
            <w:tcW w:w="25.000000%" w:type="pct"/>
          </w:tcPr>
          <w:p>
            <w:pPr>
              <w:ind w:leftChars="0" w:left="0" w:right="0"/>
            </w:pPr>
            <w:r>
              <w:t>ARCX</w:t>
            </w:r>
          </w:p>
        </w:tc>
        <w:tc>
          <w:tcPr>
            <w:cnfStyle w:evenVBand="false" w:oddVBand="true" w:firstColumn="false"/>
            <w:tcW w:w="25.000000%" w:type="pct"/>
          </w:tcPr>
          <w:p>
            <w:pPr>
              <w:ind w:leftChars="0" w:left="0" w:right="0"/>
            </w:pPr>
            <w:r>
              <w:t>NYSE ARCA</w:t>
            </w:r>
          </w:p>
        </w:tc>
        <w:tc>
          <w:tcPr>
            <w:cnfStyle w:evenVBand="true" w:oddVBand="false" w:firstColumn="false"/>
            <w:tcW w:w="25.000000%" w:type="pct"/>
          </w:tcPr>
          <w:p>
            <w:pPr>
              <w:ind w:leftChars="0" w:left="0" w:right="0"/>
            </w:pPr>
            <w:r>
              <w:t>72</w:t>
            </w:r>
          </w:p>
        </w:tc>
      </w:tr>
      <w:tr>
        <w:trPr>
          <w:cnfStyle w:evenHBand="true" w:oddHBand="false" w:firstRow="false"/>
        </w:trPr>
        <w:tc>
          <w:tcPr>
            <w:cnfStyle w:evenVBand="false" w:oddVBand="true" w:firstColumn="false"/>
            <w:tcW w:w="25.000000%" w:type="pct"/>
          </w:tcPr>
          <w:p>
            <w:pPr>
              <w:ind w:leftChars="0" w:left="0" w:right="0"/>
            </w:pPr>
            <w:r>
              <w:t>AREX</w:t>
            </w:r>
          </w:p>
        </w:tc>
        <w:tc>
          <w:tcPr>
            <w:cnfStyle w:evenVBand="true" w:oddVBand="false" w:firstColumn="false"/>
            <w:tcW w:w="25.000000%" w:type="pct"/>
          </w:tcPr>
          <w:p>
            <w:pPr>
              <w:ind w:leftChars="0" w:left="0" w:right="0"/>
            </w:pPr>
            <w:r>
              <w:t>AREX</w:t>
            </w:r>
          </w:p>
        </w:tc>
        <w:tc>
          <w:tcPr>
            <w:cnfStyle w:evenVBand="false" w:oddVBand="true" w:firstColumn="false"/>
            <w:tcW w:w="25.000000%" w:type="pct"/>
          </w:tcPr>
          <w:p>
            <w:pPr>
              <w:ind w:leftChars="0" w:left="0" w:right="0"/>
            </w:pPr>
            <w:r>
              <w:t>AREX - AUTOMATED RECEIVABLES EXCHANGE</w:t>
            </w:r>
          </w:p>
        </w:tc>
        <w:tc>
          <w:tcPr>
            <w:cnfStyle w:evenVBand="true" w:oddVBand="false" w:firstColumn="false"/>
            <w:tcW w:w="25.000000%" w:type="pct"/>
          </w:tcPr>
          <w:p>
            <w:pPr>
              <w:ind w:leftChars="0" w:left="0" w:right="0"/>
            </w:pPr>
            <w:r>
              <w:t>73</w:t>
            </w:r>
          </w:p>
        </w:tc>
      </w:tr>
      <w:tr>
        <w:trPr>
          <w:cnfStyle w:evenHBand="false" w:oddHBand="true" w:firstRow="false"/>
        </w:trPr>
        <w:tc>
          <w:tcPr>
            <w:cnfStyle w:evenVBand="false" w:oddVBand="true" w:firstColumn="false"/>
            <w:tcW w:w="25.000000%" w:type="pct"/>
          </w:tcPr>
          <w:p>
            <w:pPr>
              <w:ind w:leftChars="0" w:left="0" w:right="0"/>
            </w:pPr>
            <w:r>
              <w:t>ARIA</w:t>
            </w:r>
          </w:p>
        </w:tc>
        <w:tc>
          <w:tcPr>
            <w:cnfStyle w:evenVBand="true" w:oddVBand="false" w:firstColumn="false"/>
            <w:tcW w:w="25.000000%" w:type="pct"/>
          </w:tcPr>
          <w:p>
            <w:pPr>
              <w:ind w:leftChars="0" w:left="0" w:right="0"/>
            </w:pPr>
            <w:r>
              <w:t>ARIA</w:t>
            </w:r>
          </w:p>
        </w:tc>
        <w:tc>
          <w:tcPr>
            <w:cnfStyle w:evenVBand="false" w:oddVBand="true" w:firstColumn="false"/>
            <w:tcW w:w="25.000000%" w:type="pct"/>
          </w:tcPr>
          <w:p>
            <w:pPr>
              <w:ind w:leftChars="0" w:left="0" w:right="0"/>
            </w:pPr>
            <w:r>
              <w:t>ARIAN TRADING FACILITY</w:t>
            </w:r>
          </w:p>
        </w:tc>
        <w:tc>
          <w:tcPr>
            <w:cnfStyle w:evenVBand="true" w:oddVBand="false" w:firstColumn="false"/>
            <w:tcW w:w="25.000000%" w:type="pct"/>
          </w:tcPr>
          <w:p>
            <w:pPr>
              <w:ind w:leftChars="0" w:left="0" w:right="0"/>
            </w:pPr>
            <w:r>
              <w:t>74</w:t>
            </w:r>
          </w:p>
        </w:tc>
      </w:tr>
      <w:tr>
        <w:trPr>
          <w:cnfStyle w:evenHBand="true" w:oddHBand="false" w:firstRow="false"/>
        </w:trPr>
        <w:tc>
          <w:tcPr>
            <w:cnfStyle w:evenVBand="false" w:oddVBand="true" w:firstColumn="false"/>
            <w:tcW w:w="25.000000%" w:type="pct"/>
          </w:tcPr>
          <w:p>
            <w:pPr>
              <w:ind w:leftChars="0" w:left="0" w:right="0"/>
            </w:pPr>
            <w:r>
              <w:t>ARKX</w:t>
            </w:r>
          </w:p>
        </w:tc>
        <w:tc>
          <w:tcPr>
            <w:cnfStyle w:evenVBand="true" w:oddVBand="false" w:firstColumn="false"/>
            <w:tcW w:w="25.000000%" w:type="pct"/>
          </w:tcPr>
          <w:p>
            <w:pPr>
              <w:ind w:leftChars="0" w:left="0" w:right="0"/>
            </w:pPr>
            <w:r>
              <w:t>ARKX</w:t>
            </w:r>
          </w:p>
        </w:tc>
        <w:tc>
          <w:tcPr>
            <w:cnfStyle w:evenVBand="false" w:oddVBand="true" w:firstColumn="false"/>
            <w:tcW w:w="25.000000%" w:type="pct"/>
          </w:tcPr>
          <w:p>
            <w:pPr>
              <w:ind w:leftChars="0" w:left="0" w:right="0"/>
            </w:pPr>
            <w:r>
              <w:t>ARKONIS</w:t>
            </w:r>
          </w:p>
        </w:tc>
        <w:tc>
          <w:tcPr>
            <w:cnfStyle w:evenVBand="true" w:oddVBand="false" w:firstColumn="false"/>
            <w:tcW w:w="25.000000%" w:type="pct"/>
          </w:tcPr>
          <w:p>
            <w:pPr>
              <w:ind w:leftChars="0" w:left="0" w:right="0"/>
            </w:pPr>
            <w:r>
              <w:t>75</w:t>
            </w:r>
          </w:p>
        </w:tc>
      </w:tr>
      <w:tr>
        <w:trPr>
          <w:cnfStyle w:evenHBand="false" w:oddHBand="true" w:firstRow="false"/>
        </w:trPr>
        <w:tc>
          <w:tcPr>
            <w:cnfStyle w:evenVBand="false" w:oddVBand="true" w:firstColumn="false"/>
            <w:tcW w:w="25.000000%" w:type="pct"/>
          </w:tcPr>
          <w:p>
            <w:pPr>
              <w:ind w:leftChars="0" w:left="0" w:right="0"/>
            </w:pPr>
            <w:r>
              <w:t>ARTX</w:t>
            </w:r>
          </w:p>
        </w:tc>
        <w:tc>
          <w:tcPr>
            <w:cnfStyle w:evenVBand="true" w:oddVBand="false" w:firstColumn="false"/>
            <w:tcW w:w="25.000000%" w:type="pct"/>
          </w:tcPr>
          <w:p>
            <w:pPr>
              <w:ind w:leftChars="0" w:left="0" w:right="0"/>
            </w:pPr>
            <w:r>
              <w:t>ARTX</w:t>
            </w:r>
          </w:p>
        </w:tc>
        <w:tc>
          <w:tcPr>
            <w:cnfStyle w:evenVBand="false" w:oddVBand="true" w:firstColumn="false"/>
            <w:tcW w:w="25.000000%" w:type="pct"/>
          </w:tcPr>
          <w:p>
            <w:pPr>
              <w:ind w:leftChars="0" w:left="0" w:right="0"/>
            </w:pPr>
            <w:r>
              <w:t>ARTEX EUROPE</w:t>
            </w:r>
          </w:p>
        </w:tc>
        <w:tc>
          <w:tcPr>
            <w:cnfStyle w:evenVBand="true" w:oddVBand="false" w:firstColumn="false"/>
            <w:tcW w:w="25.000000%" w:type="pct"/>
          </w:tcPr>
          <w:p>
            <w:pPr>
              <w:ind w:leftChars="0" w:left="0" w:right="0"/>
            </w:pPr>
            <w:r>
              <w:t>76</w:t>
            </w:r>
          </w:p>
        </w:tc>
      </w:tr>
      <w:tr>
        <w:trPr>
          <w:cnfStyle w:evenHBand="true" w:oddHBand="false" w:firstRow="false"/>
        </w:trPr>
        <w:tc>
          <w:tcPr>
            <w:cnfStyle w:evenVBand="false" w:oddVBand="true" w:firstColumn="false"/>
            <w:tcW w:w="25.000000%" w:type="pct"/>
          </w:tcPr>
          <w:p>
            <w:pPr>
              <w:ind w:leftChars="0" w:left="0" w:right="0"/>
            </w:pPr>
            <w:r>
              <w:t>ASEF</w:t>
            </w:r>
          </w:p>
        </w:tc>
        <w:tc>
          <w:tcPr>
            <w:cnfStyle w:evenVBand="true" w:oddVBand="false" w:firstColumn="false"/>
            <w:tcW w:w="25.000000%" w:type="pct"/>
          </w:tcPr>
          <w:p>
            <w:pPr>
              <w:ind w:leftChars="0" w:left="0" w:right="0"/>
            </w:pPr>
            <w:r>
              <w:t>ASEF</w:t>
            </w:r>
          </w:p>
        </w:tc>
        <w:tc>
          <w:tcPr>
            <w:cnfStyle w:evenVBand="false" w:oddVBand="true" w:firstColumn="false"/>
            <w:tcW w:w="25.000000%" w:type="pct"/>
          </w:tcPr>
          <w:p>
            <w:pPr>
              <w:ind w:leftChars="0" w:left="0" w:right="0"/>
            </w:pPr>
            <w:r>
              <w:t>AEGIS SWAP EXECUTION FACILITY</w:t>
            </w:r>
          </w:p>
        </w:tc>
        <w:tc>
          <w:tcPr>
            <w:cnfStyle w:evenVBand="true" w:oddVBand="false" w:firstColumn="false"/>
            <w:tcW w:w="25.000000%" w:type="pct"/>
          </w:tcPr>
          <w:p>
            <w:pPr>
              <w:ind w:leftChars="0" w:left="0" w:right="0"/>
            </w:pPr>
            <w:r>
              <w:t>77</w:t>
            </w:r>
          </w:p>
        </w:tc>
      </w:tr>
      <w:tr>
        <w:trPr>
          <w:cnfStyle w:evenHBand="false" w:oddHBand="true" w:firstRow="false"/>
        </w:trPr>
        <w:tc>
          <w:tcPr>
            <w:cnfStyle w:evenVBand="false" w:oddVBand="true" w:firstColumn="false"/>
            <w:tcW w:w="25.000000%" w:type="pct"/>
          </w:tcPr>
          <w:p>
            <w:pPr>
              <w:ind w:leftChars="0" w:left="0" w:right="0"/>
            </w:pPr>
            <w:r>
              <w:t>ASEX</w:t>
            </w:r>
          </w:p>
        </w:tc>
        <w:tc>
          <w:tcPr>
            <w:cnfStyle w:evenVBand="true" w:oddVBand="false" w:firstColumn="false"/>
            <w:tcW w:w="25.000000%" w:type="pct"/>
          </w:tcPr>
          <w:p>
            <w:pPr>
              <w:ind w:leftChars="0" w:left="0" w:right="0"/>
            </w:pPr>
            <w:r>
              <w:t>ASEX</w:t>
            </w:r>
          </w:p>
        </w:tc>
        <w:tc>
          <w:tcPr>
            <w:cnfStyle w:evenVBand="false" w:oddVBand="true" w:firstColumn="false"/>
            <w:tcW w:w="25.000000%" w:type="pct"/>
          </w:tcPr>
          <w:p>
            <w:pPr>
              <w:ind w:leftChars="0" w:left="0" w:right="0"/>
            </w:pPr>
            <w:r>
              <w:t>ATHENS STOCK EXCHANGE</w:t>
            </w:r>
          </w:p>
        </w:tc>
        <w:tc>
          <w:tcPr>
            <w:cnfStyle w:evenVBand="true" w:oddVBand="false" w:firstColumn="false"/>
            <w:tcW w:w="25.000000%" w:type="pct"/>
          </w:tcPr>
          <w:p>
            <w:pPr>
              <w:ind w:leftChars="0" w:left="0" w:right="0"/>
            </w:pPr>
            <w:r>
              <w:t>78</w:t>
            </w:r>
          </w:p>
        </w:tc>
      </w:tr>
      <w:tr>
        <w:trPr>
          <w:cnfStyle w:evenHBand="true" w:oddHBand="false" w:firstRow="false"/>
        </w:trPr>
        <w:tc>
          <w:tcPr>
            <w:cnfStyle w:evenVBand="false" w:oddVBand="true" w:firstColumn="false"/>
            <w:tcW w:w="25.000000%" w:type="pct"/>
          </w:tcPr>
          <w:p>
            <w:pPr>
              <w:ind w:leftChars="0" w:left="0" w:right="0"/>
            </w:pPr>
            <w:r>
              <w:t>ASMT</w:t>
            </w:r>
          </w:p>
        </w:tc>
        <w:tc>
          <w:tcPr>
            <w:cnfStyle w:evenVBand="true" w:oddVBand="false" w:firstColumn="false"/>
            <w:tcW w:w="25.000000%" w:type="pct"/>
          </w:tcPr>
          <w:p>
            <w:pPr>
              <w:ind w:leftChars="0" w:left="0" w:right="0"/>
            </w:pPr>
            <w:r>
              <w:t>ASMT</w:t>
            </w:r>
          </w:p>
        </w:tc>
        <w:tc>
          <w:tcPr>
            <w:cnfStyle w:evenVBand="false" w:oddVBand="true" w:firstColumn="false"/>
            <w:tcW w:w="25.000000%" w:type="pct"/>
          </w:tcPr>
          <w:p>
            <w:pPr>
              <w:ind w:leftChars="0" w:left="0" w:right="0"/>
            </w:pPr>
            <w:r>
              <w:t>INTELLIGENTCROSS ASPEN MAKER/TAKER</w:t>
            </w:r>
          </w:p>
        </w:tc>
        <w:tc>
          <w:tcPr>
            <w:cnfStyle w:evenVBand="true" w:oddVBand="false" w:firstColumn="false"/>
            <w:tcW w:w="25.000000%" w:type="pct"/>
          </w:tcPr>
          <w:p>
            <w:pPr>
              <w:ind w:leftChars="0" w:left="0" w:right="0"/>
            </w:pPr>
            <w:r>
              <w:t>79</w:t>
            </w:r>
          </w:p>
        </w:tc>
      </w:tr>
      <w:tr>
        <w:trPr>
          <w:cnfStyle w:evenHBand="false" w:oddHBand="true" w:firstRow="false"/>
        </w:trPr>
        <w:tc>
          <w:tcPr>
            <w:cnfStyle w:evenVBand="false" w:oddVBand="true" w:firstColumn="false"/>
            <w:tcW w:w="25.000000%" w:type="pct"/>
          </w:tcPr>
          <w:p>
            <w:pPr>
              <w:ind w:leftChars="0" w:left="0" w:right="0"/>
            </w:pPr>
            <w:r>
              <w:t>ASPI</w:t>
            </w:r>
          </w:p>
        </w:tc>
        <w:tc>
          <w:tcPr>
            <w:cnfStyle w:evenVBand="true" w:oddVBand="false" w:firstColumn="false"/>
            <w:tcW w:w="25.000000%" w:type="pct"/>
          </w:tcPr>
          <w:p>
            <w:pPr>
              <w:ind w:leftChars="0" w:left="0" w:right="0"/>
            </w:pPr>
            <w:r>
              <w:t>ASPI</w:t>
            </w:r>
          </w:p>
        </w:tc>
        <w:tc>
          <w:tcPr>
            <w:cnfStyle w:evenVBand="false" w:oddVBand="true" w:firstColumn="false"/>
            <w:tcW w:w="25.000000%" w:type="pct"/>
          </w:tcPr>
          <w:p>
            <w:pPr>
              <w:ind w:leftChars="0" w:left="0" w:right="0"/>
            </w:pPr>
            <w:r>
              <w:t>INTELLIGENTCROSS ASPEN INVERTED</w:t>
            </w:r>
          </w:p>
        </w:tc>
        <w:tc>
          <w:tcPr>
            <w:cnfStyle w:evenVBand="true" w:oddVBand="false" w:firstColumn="false"/>
            <w:tcW w:w="25.000000%" w:type="pct"/>
          </w:tcPr>
          <w:p>
            <w:pPr>
              <w:ind w:leftChars="0" w:left="0" w:right="0"/>
            </w:pPr>
            <w:r>
              <w:t>80</w:t>
            </w:r>
          </w:p>
        </w:tc>
      </w:tr>
      <w:tr>
        <w:trPr>
          <w:cnfStyle w:evenHBand="true" w:oddHBand="false" w:firstRow="false"/>
        </w:trPr>
        <w:tc>
          <w:tcPr>
            <w:cnfStyle w:evenVBand="false" w:oddVBand="true" w:firstColumn="false"/>
            <w:tcW w:w="25.000000%" w:type="pct"/>
          </w:tcPr>
          <w:p>
            <w:pPr>
              <w:ind w:leftChars="0" w:left="0" w:right="0"/>
            </w:pPr>
            <w:r>
              <w:t>ASPN</w:t>
            </w:r>
          </w:p>
        </w:tc>
        <w:tc>
          <w:tcPr>
            <w:cnfStyle w:evenVBand="true" w:oddVBand="false" w:firstColumn="false"/>
            <w:tcW w:w="25.000000%" w:type="pct"/>
          </w:tcPr>
          <w:p>
            <w:pPr>
              <w:ind w:leftChars="0" w:left="0" w:right="0"/>
            </w:pPr>
            <w:r>
              <w:t>ASPN</w:t>
            </w:r>
          </w:p>
        </w:tc>
        <w:tc>
          <w:tcPr>
            <w:cnfStyle w:evenVBand="false" w:oddVBand="true" w:firstColumn="false"/>
            <w:tcW w:w="25.000000%" w:type="pct"/>
          </w:tcPr>
          <w:p>
            <w:pPr>
              <w:ind w:leftChars="0" w:left="0" w:right="0"/>
            </w:pPr>
            <w:r>
              <w:t>INTELLIGENTCROSS ASPEN INTELLIGENT BID/OFFER</w:t>
            </w:r>
          </w:p>
        </w:tc>
        <w:tc>
          <w:tcPr>
            <w:cnfStyle w:evenVBand="true" w:oddVBand="false" w:firstColumn="false"/>
            <w:tcW w:w="25.000000%" w:type="pct"/>
          </w:tcPr>
          <w:p>
            <w:pPr>
              <w:ind w:leftChars="0" w:left="0" w:right="0"/>
            </w:pPr>
            <w:r>
              <w:t>81</w:t>
            </w:r>
          </w:p>
        </w:tc>
      </w:tr>
      <w:tr>
        <w:trPr>
          <w:cnfStyle w:evenHBand="false" w:oddHBand="true" w:firstRow="false"/>
        </w:trPr>
        <w:tc>
          <w:tcPr>
            <w:cnfStyle w:evenVBand="false" w:oddVBand="true" w:firstColumn="false"/>
            <w:tcW w:w="25.000000%" w:type="pct"/>
          </w:tcPr>
          <w:p>
            <w:pPr>
              <w:ind w:leftChars="0" w:left="0" w:right="0"/>
            </w:pPr>
            <w:r>
              <w:t>ASTR</w:t>
            </w:r>
          </w:p>
        </w:tc>
        <w:tc>
          <w:tcPr>
            <w:cnfStyle w:evenVBand="true" w:oddVBand="false" w:firstColumn="false"/>
            <w:tcW w:w="25.000000%" w:type="pct"/>
          </w:tcPr>
          <w:p>
            <w:pPr>
              <w:ind w:leftChars="0" w:left="0" w:right="0"/>
            </w:pPr>
            <w:r>
              <w:t>ASTR</w:t>
            </w:r>
          </w:p>
        </w:tc>
        <w:tc>
          <w:tcPr>
            <w:cnfStyle w:evenVBand="false" w:oddVBand="true" w:firstColumn="false"/>
            <w:tcW w:w="25.000000%" w:type="pct"/>
          </w:tcPr>
          <w:p>
            <w:pPr>
              <w:ind w:leftChars="0" w:left="0" w:right="0"/>
            </w:pPr>
            <w:r>
              <w:t>CLEARCORP DEALING SYSTEMS INDIA LIMITED - ASTROID</w:t>
            </w:r>
          </w:p>
        </w:tc>
        <w:tc>
          <w:tcPr>
            <w:cnfStyle w:evenVBand="true" w:oddVBand="false" w:firstColumn="false"/>
            <w:tcW w:w="25.000000%" w:type="pct"/>
          </w:tcPr>
          <w:p>
            <w:pPr>
              <w:ind w:leftChars="0" w:left="0" w:right="0"/>
            </w:pPr>
            <w:r>
              <w:t>82</w:t>
            </w:r>
          </w:p>
        </w:tc>
      </w:tr>
      <w:tr>
        <w:trPr>
          <w:cnfStyle w:evenHBand="true" w:oddHBand="false" w:firstRow="false"/>
        </w:trPr>
        <w:tc>
          <w:tcPr>
            <w:cnfStyle w:evenVBand="false" w:oddVBand="true" w:firstColumn="false"/>
            <w:tcW w:w="25.000000%" w:type="pct"/>
          </w:tcPr>
          <w:p>
            <w:pPr>
              <w:ind w:leftChars="0" w:left="0" w:right="0"/>
            </w:pPr>
            <w:r>
              <w:t>ASXB</w:t>
            </w:r>
          </w:p>
        </w:tc>
        <w:tc>
          <w:tcPr>
            <w:cnfStyle w:evenVBand="true" w:oddVBand="false" w:firstColumn="false"/>
            <w:tcW w:w="25.000000%" w:type="pct"/>
          </w:tcPr>
          <w:p>
            <w:pPr>
              <w:ind w:leftChars="0" w:left="0" w:right="0"/>
            </w:pPr>
            <w:r>
              <w:t>ASXB</w:t>
            </w:r>
          </w:p>
        </w:tc>
        <w:tc>
          <w:tcPr>
            <w:cnfStyle w:evenVBand="false" w:oddVBand="true" w:firstColumn="false"/>
            <w:tcW w:w="25.000000%" w:type="pct"/>
          </w:tcPr>
          <w:p>
            <w:pPr>
              <w:ind w:leftChars="0" w:left="0" w:right="0"/>
            </w:pPr>
            <w:r>
              <w:t>ASX BOOKBUILD</w:t>
            </w:r>
          </w:p>
        </w:tc>
        <w:tc>
          <w:tcPr>
            <w:cnfStyle w:evenVBand="true" w:oddVBand="false" w:firstColumn="false"/>
            <w:tcW w:w="25.000000%" w:type="pct"/>
          </w:tcPr>
          <w:p>
            <w:pPr>
              <w:ind w:leftChars="0" w:left="0" w:right="0"/>
            </w:pPr>
            <w:r>
              <w:t>83</w:t>
            </w:r>
          </w:p>
        </w:tc>
      </w:tr>
      <w:tr>
        <w:trPr>
          <w:cnfStyle w:evenHBand="false" w:oddHBand="true" w:firstRow="false"/>
        </w:trPr>
        <w:tc>
          <w:tcPr>
            <w:cnfStyle w:evenVBand="false" w:oddVBand="true" w:firstColumn="false"/>
            <w:tcW w:w="25.000000%" w:type="pct"/>
          </w:tcPr>
          <w:p>
            <w:pPr>
              <w:ind w:leftChars="0" w:left="0" w:right="0"/>
            </w:pPr>
            <w:r>
              <w:t>ASXC</w:t>
            </w:r>
          </w:p>
        </w:tc>
        <w:tc>
          <w:tcPr>
            <w:cnfStyle w:evenVBand="true" w:oddVBand="false" w:firstColumn="false"/>
            <w:tcW w:w="25.000000%" w:type="pct"/>
          </w:tcPr>
          <w:p>
            <w:pPr>
              <w:ind w:leftChars="0" w:left="0" w:right="0"/>
            </w:pPr>
            <w:r>
              <w:t>ASXC</w:t>
            </w:r>
          </w:p>
        </w:tc>
        <w:tc>
          <w:tcPr>
            <w:cnfStyle w:evenVBand="false" w:oddVBand="true" w:firstColumn="false"/>
            <w:tcW w:w="25.000000%" w:type="pct"/>
          </w:tcPr>
          <w:p>
            <w:pPr>
              <w:ind w:leftChars="0" w:left="0" w:right="0"/>
            </w:pPr>
            <w:r>
              <w:t>ASX - CENTRE POINT</w:t>
            </w:r>
          </w:p>
        </w:tc>
        <w:tc>
          <w:tcPr>
            <w:cnfStyle w:evenVBand="true" w:oddVBand="false" w:firstColumn="false"/>
            <w:tcW w:w="25.000000%" w:type="pct"/>
          </w:tcPr>
          <w:p>
            <w:pPr>
              <w:ind w:leftChars="0" w:left="0" w:right="0"/>
            </w:pPr>
            <w:r>
              <w:t>84</w:t>
            </w:r>
          </w:p>
        </w:tc>
      </w:tr>
      <w:tr>
        <w:trPr>
          <w:cnfStyle w:evenHBand="true" w:oddHBand="false" w:firstRow="false"/>
        </w:trPr>
        <w:tc>
          <w:tcPr>
            <w:cnfStyle w:evenVBand="false" w:oddVBand="true" w:firstColumn="false"/>
            <w:tcW w:w="25.000000%" w:type="pct"/>
          </w:tcPr>
          <w:p>
            <w:pPr>
              <w:ind w:leftChars="0" w:left="0" w:right="0"/>
            </w:pPr>
            <w:r>
              <w:t>ASXP</w:t>
            </w:r>
          </w:p>
        </w:tc>
        <w:tc>
          <w:tcPr>
            <w:cnfStyle w:evenVBand="true" w:oddVBand="false" w:firstColumn="false"/>
            <w:tcW w:w="25.000000%" w:type="pct"/>
          </w:tcPr>
          <w:p>
            <w:pPr>
              <w:ind w:leftChars="0" w:left="0" w:right="0"/>
            </w:pPr>
            <w:r>
              <w:t>ASXP</w:t>
            </w:r>
          </w:p>
        </w:tc>
        <w:tc>
          <w:tcPr>
            <w:cnfStyle w:evenVBand="false" w:oddVBand="true" w:firstColumn="false"/>
            <w:tcW w:w="25.000000%" w:type="pct"/>
          </w:tcPr>
          <w:p>
            <w:pPr>
              <w:ind w:leftChars="0" w:left="0" w:right="0"/>
            </w:pPr>
            <w:r>
              <w:t>ASX - PUREMATCH</w:t>
            </w:r>
          </w:p>
        </w:tc>
        <w:tc>
          <w:tcPr>
            <w:cnfStyle w:evenVBand="true" w:oddVBand="false" w:firstColumn="false"/>
            <w:tcW w:w="25.000000%" w:type="pct"/>
          </w:tcPr>
          <w:p>
            <w:pPr>
              <w:ind w:leftChars="0" w:left="0" w:right="0"/>
            </w:pPr>
            <w:r>
              <w:t>85</w:t>
            </w:r>
          </w:p>
        </w:tc>
      </w:tr>
      <w:tr>
        <w:trPr>
          <w:cnfStyle w:evenHBand="false" w:oddHBand="true" w:firstRow="false"/>
        </w:trPr>
        <w:tc>
          <w:tcPr>
            <w:cnfStyle w:evenVBand="false" w:oddVBand="true" w:firstColumn="false"/>
            <w:tcW w:w="25.000000%" w:type="pct"/>
          </w:tcPr>
          <w:p>
            <w:pPr>
              <w:ind w:leftChars="0" w:left="0" w:right="0"/>
            </w:pPr>
            <w:r>
              <w:t>ASXT</w:t>
            </w:r>
          </w:p>
        </w:tc>
        <w:tc>
          <w:tcPr>
            <w:cnfStyle w:evenVBand="true" w:oddVBand="false" w:firstColumn="false"/>
            <w:tcW w:w="25.000000%" w:type="pct"/>
          </w:tcPr>
          <w:p>
            <w:pPr>
              <w:ind w:leftChars="0" w:left="0" w:right="0"/>
            </w:pPr>
            <w:r>
              <w:t>ASXT</w:t>
            </w:r>
          </w:p>
        </w:tc>
        <w:tc>
          <w:tcPr>
            <w:cnfStyle w:evenVBand="false" w:oddVBand="true" w:firstColumn="false"/>
            <w:tcW w:w="25.000000%" w:type="pct"/>
          </w:tcPr>
          <w:p>
            <w:pPr>
              <w:ind w:leftChars="0" w:left="0" w:right="0"/>
            </w:pPr>
            <w:r>
              <w:t>ASX TRADEMATCH</w:t>
            </w:r>
          </w:p>
        </w:tc>
        <w:tc>
          <w:tcPr>
            <w:cnfStyle w:evenVBand="true" w:oddVBand="false" w:firstColumn="false"/>
            <w:tcW w:w="25.000000%" w:type="pct"/>
          </w:tcPr>
          <w:p>
            <w:pPr>
              <w:ind w:leftChars="0" w:left="0" w:right="0"/>
            </w:pPr>
            <w:r>
              <w:t>86</w:t>
            </w:r>
          </w:p>
        </w:tc>
      </w:tr>
      <w:tr>
        <w:trPr>
          <w:cnfStyle w:evenHBand="true" w:oddHBand="false" w:firstRow="false"/>
        </w:trPr>
        <w:tc>
          <w:tcPr>
            <w:cnfStyle w:evenVBand="false" w:oddVBand="true" w:firstColumn="false"/>
            <w:tcW w:w="25.000000%" w:type="pct"/>
          </w:tcPr>
          <w:p>
            <w:pPr>
              <w:ind w:leftChars="0" w:left="0" w:right="0"/>
            </w:pPr>
            <w:r>
              <w:t>ASXV</w:t>
            </w:r>
          </w:p>
        </w:tc>
        <w:tc>
          <w:tcPr>
            <w:cnfStyle w:evenVBand="true" w:oddVBand="false" w:firstColumn="false"/>
            <w:tcW w:w="25.000000%" w:type="pct"/>
          </w:tcPr>
          <w:p>
            <w:pPr>
              <w:ind w:leftChars="0" w:left="0" w:right="0"/>
            </w:pPr>
            <w:r>
              <w:t>ASXV</w:t>
            </w:r>
          </w:p>
        </w:tc>
        <w:tc>
          <w:tcPr>
            <w:cnfStyle w:evenVBand="false" w:oddVBand="true" w:firstColumn="false"/>
            <w:tcW w:w="25.000000%" w:type="pct"/>
          </w:tcPr>
          <w:p>
            <w:pPr>
              <w:ind w:leftChars="0" w:left="0" w:right="0"/>
            </w:pPr>
            <w:r>
              <w:t>ASX - VOLUMEMATCH</w:t>
            </w:r>
          </w:p>
        </w:tc>
        <w:tc>
          <w:tcPr>
            <w:cnfStyle w:evenVBand="true" w:oddVBand="false" w:firstColumn="false"/>
            <w:tcW w:w="25.000000%" w:type="pct"/>
          </w:tcPr>
          <w:p>
            <w:pPr>
              <w:ind w:leftChars="0" w:left="0" w:right="0"/>
            </w:pPr>
            <w:r>
              <w:t>87</w:t>
            </w:r>
          </w:p>
        </w:tc>
      </w:tr>
      <w:tr>
        <w:trPr>
          <w:cnfStyle w:evenHBand="false" w:oddHBand="true" w:firstRow="false"/>
        </w:trPr>
        <w:tc>
          <w:tcPr>
            <w:cnfStyle w:evenVBand="false" w:oddVBand="true" w:firstColumn="false"/>
            <w:tcW w:w="25.000000%" w:type="pct"/>
          </w:tcPr>
          <w:p>
            <w:pPr>
              <w:ind w:leftChars="0" w:left="0" w:right="0"/>
            </w:pPr>
            <w:r>
              <w:t>ATDF</w:t>
            </w:r>
          </w:p>
        </w:tc>
        <w:tc>
          <w:tcPr>
            <w:cnfStyle w:evenVBand="true" w:oddVBand="false" w:firstColumn="false"/>
            <w:tcW w:w="25.000000%" w:type="pct"/>
          </w:tcPr>
          <w:p>
            <w:pPr>
              <w:ind w:leftChars="0" w:left="0" w:right="0"/>
            </w:pPr>
            <w:r>
              <w:t>ATDF</w:t>
            </w:r>
          </w:p>
        </w:tc>
        <w:tc>
          <w:tcPr>
            <w:cnfStyle w:evenVBand="false" w:oddVBand="true" w:firstColumn="false"/>
            <w:tcW w:w="25.000000%" w:type="pct"/>
          </w:tcPr>
          <w:p>
            <w:pPr>
              <w:ind w:leftChars="0" w:left="0" w:right="0"/>
            </w:pPr>
            <w:r>
              <w:t>AUTOMATED TRADING DESK FINANCIAL SERVICES, LLC</w:t>
            </w:r>
          </w:p>
        </w:tc>
        <w:tc>
          <w:tcPr>
            <w:cnfStyle w:evenVBand="true" w:oddVBand="false" w:firstColumn="false"/>
            <w:tcW w:w="25.000000%" w:type="pct"/>
          </w:tcPr>
          <w:p>
            <w:pPr>
              <w:ind w:leftChars="0" w:left="0" w:right="0"/>
            </w:pPr>
            <w:r>
              <w:t>88</w:t>
            </w:r>
          </w:p>
        </w:tc>
      </w:tr>
      <w:tr>
        <w:trPr>
          <w:cnfStyle w:evenHBand="true" w:oddHBand="false" w:firstRow="false"/>
        </w:trPr>
        <w:tc>
          <w:tcPr>
            <w:cnfStyle w:evenVBand="false" w:oddVBand="true" w:firstColumn="false"/>
            <w:tcW w:w="25.000000%" w:type="pct"/>
          </w:tcPr>
          <w:p>
            <w:pPr>
              <w:ind w:leftChars="0" w:left="0" w:right="0"/>
            </w:pPr>
            <w:r>
              <w:t>ATFX</w:t>
            </w:r>
          </w:p>
        </w:tc>
        <w:tc>
          <w:tcPr>
            <w:cnfStyle w:evenVBand="true" w:oddVBand="false" w:firstColumn="false"/>
            <w:tcW w:w="25.000000%" w:type="pct"/>
          </w:tcPr>
          <w:p>
            <w:pPr>
              <w:ind w:leftChars="0" w:left="0" w:right="0"/>
            </w:pPr>
            <w:r>
              <w:t>ATFX</w:t>
            </w:r>
          </w:p>
        </w:tc>
        <w:tc>
          <w:tcPr>
            <w:cnfStyle w:evenVBand="false" w:oddVBand="true" w:firstColumn="false"/>
            <w:tcW w:w="25.000000%" w:type="pct"/>
          </w:tcPr>
          <w:p>
            <w:pPr>
              <w:ind w:leftChars="0" w:left="0" w:right="0"/>
            </w:pPr>
            <w:r>
              <w:t>ATFUND MTF</w:t>
            </w:r>
          </w:p>
        </w:tc>
        <w:tc>
          <w:tcPr>
            <w:cnfStyle w:evenVBand="true" w:oddVBand="false" w:firstColumn="false"/>
            <w:tcW w:w="25.000000%" w:type="pct"/>
          </w:tcPr>
          <w:p>
            <w:pPr>
              <w:ind w:leftChars="0" w:left="0" w:right="0"/>
            </w:pPr>
            <w:r>
              <w:t>89</w:t>
            </w:r>
          </w:p>
        </w:tc>
      </w:tr>
      <w:tr>
        <w:trPr>
          <w:cnfStyle w:evenHBand="false" w:oddHBand="true" w:firstRow="false"/>
        </w:trPr>
        <w:tc>
          <w:tcPr>
            <w:cnfStyle w:evenVBand="false" w:oddVBand="true" w:firstColumn="false"/>
            <w:tcW w:w="25.000000%" w:type="pct"/>
          </w:tcPr>
          <w:p>
            <w:pPr>
              <w:ind w:leftChars="0" w:left="0" w:right="0"/>
            </w:pPr>
            <w:r>
              <w:t>ATHL</w:t>
            </w:r>
          </w:p>
        </w:tc>
        <w:tc>
          <w:tcPr>
            <w:cnfStyle w:evenVBand="true" w:oddVBand="false" w:firstColumn="false"/>
            <w:tcW w:w="25.000000%" w:type="pct"/>
          </w:tcPr>
          <w:p>
            <w:pPr>
              <w:ind w:leftChars="0" w:left="0" w:right="0"/>
            </w:pPr>
            <w:r>
              <w:t>ATHL</w:t>
            </w:r>
          </w:p>
        </w:tc>
        <w:tc>
          <w:tcPr>
            <w:cnfStyle w:evenVBand="false" w:oddVBand="true" w:firstColumn="false"/>
            <w:tcW w:w="25.000000%" w:type="pct"/>
          </w:tcPr>
          <w:p>
            <w:pPr>
              <w:ind w:leftChars="0" w:left="0" w:right="0"/>
            </w:pPr>
            <w:r>
              <w:t>ATHLOS CAPITAL INVESTMENT SERVICES LTD - SYSTEMATIC INTERNALISER</w:t>
            </w:r>
          </w:p>
        </w:tc>
        <w:tc>
          <w:tcPr>
            <w:cnfStyle w:evenVBand="true" w:oddVBand="false" w:firstColumn="false"/>
            <w:tcW w:w="25.000000%" w:type="pct"/>
          </w:tcPr>
          <w:p>
            <w:pPr>
              <w:ind w:leftChars="0" w:left="0" w:right="0"/>
            </w:pPr>
            <w:r>
              <w:t>90</w:t>
            </w:r>
          </w:p>
        </w:tc>
      </w:tr>
      <w:tr>
        <w:trPr>
          <w:cnfStyle w:evenHBand="true" w:oddHBand="false" w:firstRow="false"/>
        </w:trPr>
        <w:tc>
          <w:tcPr>
            <w:cnfStyle w:evenVBand="false" w:oddVBand="true" w:firstColumn="false"/>
            <w:tcW w:w="25.000000%" w:type="pct"/>
          </w:tcPr>
          <w:p>
            <w:pPr>
              <w:ind w:leftChars="0" w:left="0" w:right="0"/>
            </w:pPr>
            <w:r>
              <w:t>ATLB</w:t>
            </w:r>
          </w:p>
        </w:tc>
        <w:tc>
          <w:tcPr>
            <w:cnfStyle w:evenVBand="true" w:oddVBand="false" w:firstColumn="false"/>
            <w:tcW w:w="25.000000%" w:type="pct"/>
          </w:tcPr>
          <w:p>
            <w:pPr>
              <w:ind w:leftChars="0" w:left="0" w:right="0"/>
            </w:pPr>
            <w:r>
              <w:t>ATLB</w:t>
            </w:r>
          </w:p>
        </w:tc>
        <w:tc>
          <w:tcPr>
            <w:cnfStyle w:evenVBand="false" w:oddVBand="true" w:firstColumn="false"/>
            <w:tcW w:w="25.000000%" w:type="pct"/>
          </w:tcPr>
          <w:p>
            <w:pPr>
              <w:ind w:leftChars="0" w:left="0" w:right="0"/>
            </w:pPr>
            <w:r>
              <w:t>BRAEMAR ATLANTIC SECURITIES LTD</w:t>
            </w:r>
          </w:p>
        </w:tc>
        <w:tc>
          <w:tcPr>
            <w:cnfStyle w:evenVBand="true" w:oddVBand="false" w:firstColumn="false"/>
            <w:tcW w:w="25.000000%" w:type="pct"/>
          </w:tcPr>
          <w:p>
            <w:pPr>
              <w:ind w:leftChars="0" w:left="0" w:right="0"/>
            </w:pPr>
            <w:r>
              <w:t>91</w:t>
            </w:r>
          </w:p>
        </w:tc>
      </w:tr>
      <w:tr>
        <w:trPr>
          <w:cnfStyle w:evenHBand="false" w:oddHBand="true" w:firstRow="false"/>
        </w:trPr>
        <w:tc>
          <w:tcPr>
            <w:cnfStyle w:evenVBand="false" w:oddVBand="true" w:firstColumn="false"/>
            <w:tcW w:w="25.000000%" w:type="pct"/>
          </w:tcPr>
          <w:p>
            <w:pPr>
              <w:ind w:leftChars="0" w:left="0" w:right="0"/>
            </w:pPr>
            <w:r>
              <w:t>ATLN</w:t>
            </w:r>
          </w:p>
        </w:tc>
        <w:tc>
          <w:tcPr>
            <w:cnfStyle w:evenVBand="true" w:oddVBand="false" w:firstColumn="false"/>
            <w:tcW w:w="25.000000%" w:type="pct"/>
          </w:tcPr>
          <w:p>
            <w:pPr>
              <w:ind w:leftChars="0" w:left="0" w:right="0"/>
            </w:pPr>
            <w:r>
              <w:t>ATLN</w:t>
            </w:r>
          </w:p>
        </w:tc>
        <w:tc>
          <w:tcPr>
            <w:cnfStyle w:evenVBand="false" w:oddVBand="true" w:firstColumn="false"/>
            <w:tcW w:w="25.000000%" w:type="pct"/>
          </w:tcPr>
          <w:p>
            <w:pPr>
              <w:ind w:leftChars="0" w:left="0" w:right="0"/>
            </w:pPr>
            <w:r>
              <w:t>ATONLINE LIMITED - SYSTEMATIC INTERNALISER</w:t>
            </w:r>
          </w:p>
        </w:tc>
        <w:tc>
          <w:tcPr>
            <w:cnfStyle w:evenVBand="true" w:oddVBand="false" w:firstColumn="false"/>
            <w:tcW w:w="25.000000%" w:type="pct"/>
          </w:tcPr>
          <w:p>
            <w:pPr>
              <w:ind w:leftChars="0" w:left="0" w:right="0"/>
            </w:pPr>
            <w:r>
              <w:t>92</w:t>
            </w:r>
          </w:p>
        </w:tc>
      </w:tr>
      <w:tr>
        <w:trPr>
          <w:cnfStyle w:evenHBand="true" w:oddHBand="false" w:firstRow="false"/>
        </w:trPr>
        <w:tc>
          <w:tcPr>
            <w:cnfStyle w:evenVBand="false" w:oddVBand="true" w:firstColumn="false"/>
            <w:tcW w:w="25.000000%" w:type="pct"/>
          </w:tcPr>
          <w:p>
            <w:pPr>
              <w:ind w:leftChars="0" w:left="0" w:right="0"/>
            </w:pPr>
            <w:r>
              <w:t>ATSA</w:t>
            </w:r>
          </w:p>
        </w:tc>
        <w:tc>
          <w:tcPr>
            <w:cnfStyle w:evenVBand="true" w:oddVBand="false" w:firstColumn="false"/>
            <w:tcW w:w="25.000000%" w:type="pct"/>
          </w:tcPr>
          <w:p>
            <w:pPr>
              <w:ind w:leftChars="0" w:left="0" w:right="0"/>
            </w:pPr>
            <w:r>
              <w:t>ATSA</w:t>
            </w:r>
          </w:p>
        </w:tc>
        <w:tc>
          <w:tcPr>
            <w:cnfStyle w:evenVBand="false" w:oddVBand="true" w:firstColumn="false"/>
            <w:tcW w:w="25.000000%" w:type="pct"/>
          </w:tcPr>
          <w:p>
            <w:pPr>
              <w:ind w:leftChars="0" w:left="0" w:right="0"/>
            </w:pPr>
            <w:r>
              <w:t>ALPHA VENTURE PLUS</w:t>
            </w:r>
          </w:p>
        </w:tc>
        <w:tc>
          <w:tcPr>
            <w:cnfStyle w:evenVBand="true" w:oddVBand="false" w:firstColumn="false"/>
            <w:tcW w:w="25.000000%" w:type="pct"/>
          </w:tcPr>
          <w:p>
            <w:pPr>
              <w:ind w:leftChars="0" w:left="0" w:right="0"/>
            </w:pPr>
            <w:r>
              <w:t>93</w:t>
            </w:r>
          </w:p>
        </w:tc>
      </w:tr>
      <w:tr>
        <w:trPr>
          <w:cnfStyle w:evenHBand="false" w:oddHBand="true" w:firstRow="false"/>
        </w:trPr>
        <w:tc>
          <w:tcPr>
            <w:cnfStyle w:evenVBand="false" w:oddVBand="true" w:firstColumn="false"/>
            <w:tcW w:w="25.000000%" w:type="pct"/>
          </w:tcPr>
          <w:p>
            <w:pPr>
              <w:ind w:leftChars="0" w:left="0" w:right="0"/>
            </w:pPr>
            <w:r>
              <w:t>AURB</w:t>
            </w:r>
          </w:p>
        </w:tc>
        <w:tc>
          <w:tcPr>
            <w:cnfStyle w:evenVBand="true" w:oddVBand="false" w:firstColumn="false"/>
            <w:tcW w:w="25.000000%" w:type="pct"/>
          </w:tcPr>
          <w:p>
            <w:pPr>
              <w:ind w:leftChars="0" w:left="0" w:right="0"/>
            </w:pPr>
            <w:r>
              <w:t>AURB</w:t>
            </w:r>
          </w:p>
        </w:tc>
        <w:tc>
          <w:tcPr>
            <w:cnfStyle w:evenVBand="false" w:oddVBand="true" w:firstColumn="false"/>
            <w:tcW w:w="25.000000%" w:type="pct"/>
          </w:tcPr>
          <w:p>
            <w:pPr>
              <w:ind w:leftChars="0" w:left="0" w:right="0"/>
            </w:pPr>
            <w:r>
              <w:t>AUREL</w:t>
            </w:r>
          </w:p>
        </w:tc>
        <w:tc>
          <w:tcPr>
            <w:cnfStyle w:evenVBand="true" w:oddVBand="false" w:firstColumn="false"/>
            <w:tcW w:w="25.000000%" w:type="pct"/>
          </w:tcPr>
          <w:p>
            <w:pPr>
              <w:ind w:leftChars="0" w:left="0" w:right="0"/>
            </w:pPr>
            <w:r>
              <w:t>94</w:t>
            </w:r>
          </w:p>
        </w:tc>
      </w:tr>
      <w:tr>
        <w:trPr>
          <w:cnfStyle w:evenHBand="true" w:oddHBand="false" w:firstRow="false"/>
        </w:trPr>
        <w:tc>
          <w:tcPr>
            <w:cnfStyle w:evenVBand="false" w:oddVBand="true" w:firstColumn="false"/>
            <w:tcW w:w="25.000000%" w:type="pct"/>
          </w:tcPr>
          <w:p>
            <w:pPr>
              <w:ind w:leftChars="0" w:left="0" w:right="0"/>
            </w:pPr>
            <w:r>
              <w:t>AURO</w:t>
            </w:r>
          </w:p>
        </w:tc>
        <w:tc>
          <w:tcPr>
            <w:cnfStyle w:evenVBand="true" w:oddVBand="false" w:firstColumn="false"/>
            <w:tcW w:w="25.000000%" w:type="pct"/>
          </w:tcPr>
          <w:p>
            <w:pPr>
              <w:ind w:leftChars="0" w:left="0" w:right="0"/>
            </w:pPr>
            <w:r>
              <w:t>AURO</w:t>
            </w:r>
          </w:p>
        </w:tc>
        <w:tc>
          <w:tcPr>
            <w:cnfStyle w:evenVBand="false" w:oddVBand="true" w:firstColumn="false"/>
            <w:tcW w:w="25.000000%" w:type="pct"/>
          </w:tcPr>
          <w:p>
            <w:pPr>
              <w:ind w:leftChars="0" w:left="0" w:right="0"/>
            </w:pPr>
            <w:r>
              <w:t>AUREL - OTF</w:t>
            </w:r>
          </w:p>
        </w:tc>
        <w:tc>
          <w:tcPr>
            <w:cnfStyle w:evenVBand="true" w:oddVBand="false" w:firstColumn="false"/>
            <w:tcW w:w="25.000000%" w:type="pct"/>
          </w:tcPr>
          <w:p>
            <w:pPr>
              <w:ind w:leftChars="0" w:left="0" w:right="0"/>
            </w:pPr>
            <w:r>
              <w:t>95</w:t>
            </w:r>
          </w:p>
        </w:tc>
      </w:tr>
      <w:tr>
        <w:trPr>
          <w:cnfStyle w:evenHBand="false" w:oddHBand="true" w:firstRow="false"/>
        </w:trPr>
        <w:tc>
          <w:tcPr>
            <w:cnfStyle w:evenVBand="false" w:oddVBand="true" w:firstColumn="false"/>
            <w:tcW w:w="25.000000%" w:type="pct"/>
          </w:tcPr>
          <w:p>
            <w:pPr>
              <w:ind w:leftChars="0" w:left="0" w:right="0"/>
            </w:pPr>
            <w:r>
              <w:t>AUTB</w:t>
            </w:r>
          </w:p>
        </w:tc>
        <w:tc>
          <w:tcPr>
            <w:cnfStyle w:evenVBand="true" w:oddVBand="false" w:firstColumn="false"/>
            <w:tcW w:w="25.000000%" w:type="pct"/>
          </w:tcPr>
          <w:p>
            <w:pPr>
              <w:ind w:leftChars="0" w:left="0" w:right="0"/>
            </w:pPr>
            <w:r>
              <w:t>AUTB</w:t>
            </w:r>
          </w:p>
        </w:tc>
        <w:tc>
          <w:tcPr>
            <w:cnfStyle w:evenVBand="false" w:oddVBand="true" w:firstColumn="false"/>
            <w:tcW w:w="25.000000%" w:type="pct"/>
          </w:tcPr>
          <w:p>
            <w:pPr>
              <w:ind w:leftChars="0" w:left="0" w:right="0"/>
            </w:pPr>
            <w:r>
              <w:t>AUTILLA - BASE METALS</w:t>
            </w:r>
          </w:p>
        </w:tc>
        <w:tc>
          <w:tcPr>
            <w:cnfStyle w:evenVBand="true" w:oddVBand="false" w:firstColumn="false"/>
            <w:tcW w:w="25.000000%" w:type="pct"/>
          </w:tcPr>
          <w:p>
            <w:pPr>
              <w:ind w:leftChars="0" w:left="0" w:right="0"/>
            </w:pPr>
            <w:r>
              <w:t>96</w:t>
            </w:r>
          </w:p>
        </w:tc>
      </w:tr>
      <w:tr>
        <w:trPr>
          <w:cnfStyle w:evenHBand="true" w:oddHBand="false" w:firstRow="false"/>
        </w:trPr>
        <w:tc>
          <w:tcPr>
            <w:cnfStyle w:evenVBand="false" w:oddVBand="true" w:firstColumn="false"/>
            <w:tcW w:w="25.000000%" w:type="pct"/>
          </w:tcPr>
          <w:p>
            <w:pPr>
              <w:ind w:leftChars="0" w:left="0" w:right="0"/>
            </w:pPr>
            <w:r>
              <w:t>AUTO</w:t>
            </w:r>
          </w:p>
        </w:tc>
        <w:tc>
          <w:tcPr>
            <w:cnfStyle w:evenVBand="true" w:oddVBand="false" w:firstColumn="false"/>
            <w:tcW w:w="25.000000%" w:type="pct"/>
          </w:tcPr>
          <w:p>
            <w:pPr>
              <w:ind w:leftChars="0" w:left="0" w:right="0"/>
            </w:pPr>
            <w:r>
              <w:t>AUTO</w:t>
            </w:r>
          </w:p>
        </w:tc>
        <w:tc>
          <w:tcPr>
            <w:cnfStyle w:evenVBand="false" w:oddVBand="true" w:firstColumn="false"/>
            <w:tcW w:w="25.000000%" w:type="pct"/>
          </w:tcPr>
          <w:p>
            <w:pPr>
              <w:ind w:leftChars="0" w:left="0" w:right="0"/>
            </w:pPr>
            <w:r>
              <w:t>AUTOBAHN FX</w:t>
            </w:r>
          </w:p>
        </w:tc>
        <w:tc>
          <w:tcPr>
            <w:cnfStyle w:evenVBand="true" w:oddVBand="false" w:firstColumn="false"/>
            <w:tcW w:w="25.000000%" w:type="pct"/>
          </w:tcPr>
          <w:p>
            <w:pPr>
              <w:ind w:leftChars="0" w:left="0" w:right="0"/>
            </w:pPr>
            <w:r>
              <w:t>97</w:t>
            </w:r>
          </w:p>
        </w:tc>
      </w:tr>
      <w:tr>
        <w:trPr>
          <w:cnfStyle w:evenHBand="false" w:oddHBand="true" w:firstRow="false"/>
        </w:trPr>
        <w:tc>
          <w:tcPr>
            <w:cnfStyle w:evenVBand="false" w:oddVBand="true" w:firstColumn="false"/>
            <w:tcW w:w="25.000000%" w:type="pct"/>
          </w:tcPr>
          <w:p>
            <w:pPr>
              <w:ind w:leftChars="0" w:left="0" w:right="0"/>
            </w:pPr>
            <w:r>
              <w:t>AUTP</w:t>
            </w:r>
          </w:p>
        </w:tc>
        <w:tc>
          <w:tcPr>
            <w:cnfStyle w:evenVBand="true" w:oddVBand="false" w:firstColumn="false"/>
            <w:tcW w:w="25.000000%" w:type="pct"/>
          </w:tcPr>
          <w:p>
            <w:pPr>
              <w:ind w:leftChars="0" w:left="0" w:right="0"/>
            </w:pPr>
            <w:r>
              <w:t>AUTP</w:t>
            </w:r>
          </w:p>
        </w:tc>
        <w:tc>
          <w:tcPr>
            <w:cnfStyle w:evenVBand="false" w:oddVBand="true" w:firstColumn="false"/>
            <w:tcW w:w="25.000000%" w:type="pct"/>
          </w:tcPr>
          <w:p>
            <w:pPr>
              <w:ind w:leftChars="0" w:left="0" w:right="0"/>
            </w:pPr>
            <w:r>
              <w:t>AUTILLA - PRECIOUS METALS</w:t>
            </w:r>
          </w:p>
        </w:tc>
        <w:tc>
          <w:tcPr>
            <w:cnfStyle w:evenVBand="true" w:oddVBand="false" w:firstColumn="false"/>
            <w:tcW w:w="25.000000%" w:type="pct"/>
          </w:tcPr>
          <w:p>
            <w:pPr>
              <w:ind w:leftChars="0" w:left="0" w:right="0"/>
            </w:pPr>
            <w:r>
              <w:t>98</w:t>
            </w:r>
          </w:p>
        </w:tc>
      </w:tr>
      <w:tr>
        <w:trPr>
          <w:cnfStyle w:evenHBand="true" w:oddHBand="false" w:firstRow="false"/>
        </w:trPr>
        <w:tc>
          <w:tcPr>
            <w:cnfStyle w:evenVBand="false" w:oddVBand="true" w:firstColumn="false"/>
            <w:tcW w:w="25.000000%" w:type="pct"/>
          </w:tcPr>
          <w:p>
            <w:pPr>
              <w:ind w:leftChars="0" w:left="0" w:right="0"/>
            </w:pPr>
            <w:r>
              <w:t>AUTX</w:t>
            </w:r>
          </w:p>
        </w:tc>
        <w:tc>
          <w:tcPr>
            <w:cnfStyle w:evenVBand="true" w:oddVBand="false" w:firstColumn="false"/>
            <w:tcW w:w="25.000000%" w:type="pct"/>
          </w:tcPr>
          <w:p>
            <w:pPr>
              <w:ind w:leftChars="0" w:left="0" w:right="0"/>
            </w:pPr>
            <w:r>
              <w:t>AUTX</w:t>
            </w:r>
          </w:p>
        </w:tc>
        <w:tc>
          <w:tcPr>
            <w:cnfStyle w:evenVBand="false" w:oddVBand="true" w:firstColumn="false"/>
            <w:tcW w:w="25.000000%" w:type="pct"/>
          </w:tcPr>
          <w:p>
            <w:pPr>
              <w:ind w:leftChars="0" w:left="0" w:right="0"/>
            </w:pPr>
            <w:r>
              <w:t>AUTILLA</w:t>
            </w:r>
          </w:p>
        </w:tc>
        <w:tc>
          <w:tcPr>
            <w:cnfStyle w:evenVBand="true" w:oddVBand="false" w:firstColumn="false"/>
            <w:tcW w:w="25.000000%" w:type="pct"/>
          </w:tcPr>
          <w:p>
            <w:pPr>
              <w:ind w:leftChars="0" w:left="0" w:right="0"/>
            </w:pPr>
            <w:r>
              <w:t>99</w:t>
            </w:r>
          </w:p>
        </w:tc>
      </w:tr>
      <w:tr>
        <w:trPr>
          <w:cnfStyle w:evenHBand="false" w:oddHBand="true" w:firstRow="false"/>
        </w:trPr>
        <w:tc>
          <w:tcPr>
            <w:cnfStyle w:evenVBand="false" w:oddVBand="true" w:firstColumn="false"/>
            <w:tcW w:w="25.000000%" w:type="pct"/>
          </w:tcPr>
          <w:p>
            <w:pPr>
              <w:ind w:leftChars="0" w:left="0" w:right="0"/>
            </w:pPr>
            <w:r>
              <w:t>AWBX</w:t>
            </w:r>
          </w:p>
        </w:tc>
        <w:tc>
          <w:tcPr>
            <w:cnfStyle w:evenVBand="true" w:oddVBand="false" w:firstColumn="false"/>
            <w:tcW w:w="25.000000%" w:type="pct"/>
          </w:tcPr>
          <w:p>
            <w:pPr>
              <w:ind w:leftChars="0" w:left="0" w:right="0"/>
            </w:pPr>
            <w:r>
              <w:t>AWBX</w:t>
            </w:r>
          </w:p>
        </w:tc>
        <w:tc>
          <w:tcPr>
            <w:cnfStyle w:evenVBand="false" w:oddVBand="true" w:firstColumn="false"/>
            <w:tcW w:w="25.000000%" w:type="pct"/>
          </w:tcPr>
          <w:p>
            <w:pPr>
              <w:ind w:leftChars="0" w:left="0" w:right="0"/>
            </w:pPr>
            <w:r>
              <w:t>AUSTRALIAN WHEAT BOARD</w:t>
            </w:r>
          </w:p>
        </w:tc>
        <w:tc>
          <w:tcPr>
            <w:cnfStyle w:evenVBand="true" w:oddVBand="false" w:firstColumn="false"/>
            <w:tcW w:w="25.000000%" w:type="pct"/>
          </w:tcPr>
          <w:p>
            <w:pPr>
              <w:ind w:leftChars="0" w:left="0" w:right="0"/>
            </w:pPr>
            <w:r>
              <w:t>100</w:t>
            </w:r>
          </w:p>
        </w:tc>
      </w:tr>
      <w:tr>
        <w:trPr>
          <w:cnfStyle w:evenHBand="true" w:oddHBand="false" w:firstRow="false"/>
        </w:trPr>
        <w:tc>
          <w:tcPr>
            <w:cnfStyle w:evenVBand="false" w:oddVBand="true" w:firstColumn="false"/>
            <w:tcW w:w="25.000000%" w:type="pct"/>
          </w:tcPr>
          <w:p>
            <w:pPr>
              <w:ind w:leftChars="0" w:left="0" w:right="0"/>
            </w:pPr>
            <w:r>
              <w:t>AWEX</w:t>
            </w:r>
          </w:p>
        </w:tc>
        <w:tc>
          <w:tcPr>
            <w:cnfStyle w:evenVBand="true" w:oddVBand="false" w:firstColumn="false"/>
            <w:tcW w:w="25.000000%" w:type="pct"/>
          </w:tcPr>
          <w:p>
            <w:pPr>
              <w:ind w:leftChars="0" w:left="0" w:right="0"/>
            </w:pPr>
            <w:r>
              <w:t>AWEX</w:t>
            </w:r>
          </w:p>
        </w:tc>
        <w:tc>
          <w:tcPr>
            <w:cnfStyle w:evenVBand="false" w:oddVBand="true" w:firstColumn="false"/>
            <w:tcW w:w="25.000000%" w:type="pct"/>
          </w:tcPr>
          <w:p>
            <w:pPr>
              <w:ind w:leftChars="0" w:left="0" w:right="0"/>
            </w:pPr>
            <w:r>
              <w:t>AUSTRALIAN WOOL EXCHANGE</w:t>
            </w:r>
          </w:p>
        </w:tc>
        <w:tc>
          <w:tcPr>
            <w:cnfStyle w:evenVBand="true" w:oddVBand="false" w:firstColumn="false"/>
            <w:tcW w:w="25.000000%" w:type="pct"/>
          </w:tcPr>
          <w:p>
            <w:pPr>
              <w:ind w:leftChars="0" w:left="0" w:right="0"/>
            </w:pPr>
            <w:r>
              <w:t>101</w:t>
            </w:r>
          </w:p>
        </w:tc>
      </w:tr>
      <w:tr>
        <w:trPr>
          <w:cnfStyle w:evenHBand="false" w:oddHBand="true" w:firstRow="false"/>
        </w:trPr>
        <w:tc>
          <w:tcPr>
            <w:cnfStyle w:evenVBand="false" w:oddVBand="true" w:firstColumn="false"/>
            <w:tcW w:w="25.000000%" w:type="pct"/>
          </w:tcPr>
          <w:p>
            <w:pPr>
              <w:ind w:leftChars="0" w:left="0" w:right="0"/>
            </w:pPr>
            <w:r>
              <w:t>AXSI</w:t>
            </w:r>
          </w:p>
        </w:tc>
        <w:tc>
          <w:tcPr>
            <w:cnfStyle w:evenVBand="true" w:oddVBand="false" w:firstColumn="false"/>
            <w:tcW w:w="25.000000%" w:type="pct"/>
          </w:tcPr>
          <w:p>
            <w:pPr>
              <w:ind w:leftChars="0" w:left="0" w:right="0"/>
            </w:pPr>
            <w:r>
              <w:t>AXSI</w:t>
            </w:r>
          </w:p>
        </w:tc>
        <w:tc>
          <w:tcPr>
            <w:cnfStyle w:evenVBand="false" w:oddVBand="true" w:firstColumn="false"/>
            <w:tcW w:w="25.000000%" w:type="pct"/>
          </w:tcPr>
          <w:p>
            <w:pPr>
              <w:ind w:leftChars="0" w:left="0" w:right="0"/>
            </w:pPr>
            <w:r>
              <w:t>ALEXANDRIA PANKKIIRILIIKE OYJ - SYSTEMATIC INTERNALISER</w:t>
            </w:r>
          </w:p>
        </w:tc>
        <w:tc>
          <w:tcPr>
            <w:cnfStyle w:evenVBand="true" w:oddVBand="false" w:firstColumn="false"/>
            <w:tcW w:w="25.000000%" w:type="pct"/>
          </w:tcPr>
          <w:p>
            <w:pPr>
              <w:ind w:leftChars="0" w:left="0" w:right="0"/>
            </w:pPr>
            <w:r>
              <w:t>102</w:t>
            </w:r>
          </w:p>
        </w:tc>
      </w:tr>
      <w:tr>
        <w:trPr>
          <w:cnfStyle w:evenHBand="true" w:oddHBand="false" w:firstRow="false"/>
        </w:trPr>
        <w:tc>
          <w:tcPr>
            <w:cnfStyle w:evenVBand="false" w:oddVBand="true" w:firstColumn="false"/>
            <w:tcW w:w="25.000000%" w:type="pct"/>
          </w:tcPr>
          <w:p>
            <w:pPr>
              <w:ind w:leftChars="0" w:left="0" w:right="0"/>
            </w:pPr>
            <w:r>
              <w:t>BAAD</w:t>
            </w:r>
          </w:p>
        </w:tc>
        <w:tc>
          <w:tcPr>
            <w:cnfStyle w:evenVBand="true" w:oddVBand="false" w:firstColumn="false"/>
            <w:tcW w:w="25.000000%" w:type="pct"/>
          </w:tcPr>
          <w:p>
            <w:pPr>
              <w:ind w:leftChars="0" w:left="0" w:right="0"/>
            </w:pPr>
            <w:r>
              <w:t>BAAD</w:t>
            </w:r>
          </w:p>
        </w:tc>
        <w:tc>
          <w:tcPr>
            <w:cnfStyle w:evenVBand="false" w:oddVBand="true" w:firstColumn="false"/>
            <w:tcW w:w="25.000000%" w:type="pct"/>
          </w:tcPr>
          <w:p>
            <w:pPr>
              <w:ind w:leftChars="0" w:left="0" w:right="0"/>
            </w:pPr>
            <w:r>
              <w:t>BAADER BANK - SYSTEMATIC INTERNALISER</w:t>
            </w:r>
          </w:p>
        </w:tc>
        <w:tc>
          <w:tcPr>
            <w:cnfStyle w:evenVBand="true" w:oddVBand="false" w:firstColumn="false"/>
            <w:tcW w:w="25.000000%" w:type="pct"/>
          </w:tcPr>
          <w:p>
            <w:pPr>
              <w:ind w:leftChars="0" w:left="0" w:right="0"/>
            </w:pPr>
            <w:r>
              <w:t>103</w:t>
            </w:r>
          </w:p>
        </w:tc>
      </w:tr>
      <w:tr>
        <w:trPr>
          <w:cnfStyle w:evenHBand="false" w:oddHBand="true" w:firstRow="false"/>
        </w:trPr>
        <w:tc>
          <w:tcPr>
            <w:cnfStyle w:evenVBand="false" w:oddVBand="true" w:firstColumn="false"/>
            <w:tcW w:w="25.000000%" w:type="pct"/>
          </w:tcPr>
          <w:p>
            <w:pPr>
              <w:ind w:leftChars="0" w:left="0" w:right="0"/>
            </w:pPr>
            <w:r>
              <w:t>BACE</w:t>
            </w:r>
          </w:p>
        </w:tc>
        <w:tc>
          <w:tcPr>
            <w:cnfStyle w:evenVBand="true" w:oddVBand="false" w:firstColumn="false"/>
            <w:tcW w:w="25.000000%" w:type="pct"/>
          </w:tcPr>
          <w:p>
            <w:pPr>
              <w:ind w:leftChars="0" w:left="0" w:right="0"/>
            </w:pPr>
            <w:r>
              <w:t>BACE</w:t>
            </w:r>
          </w:p>
        </w:tc>
        <w:tc>
          <w:tcPr>
            <w:cnfStyle w:evenVBand="false" w:oddVBand="true" w:firstColumn="false"/>
            <w:tcW w:w="25.000000%" w:type="pct"/>
          </w:tcPr>
          <w:p>
            <w:pPr>
              <w:ind w:leftChars="0" w:left="0" w:right="0"/>
            </w:pPr>
            <w:r>
              <w:t>BOLSA DE CEREALES DE BUENOS AIRES</w:t>
            </w:r>
          </w:p>
        </w:tc>
        <w:tc>
          <w:tcPr>
            <w:cnfStyle w:evenVBand="true" w:oddVBand="false" w:firstColumn="false"/>
            <w:tcW w:w="25.000000%" w:type="pct"/>
          </w:tcPr>
          <w:p>
            <w:pPr>
              <w:ind w:leftChars="0" w:left="0" w:right="0"/>
            </w:pPr>
            <w:r>
              <w:t>104</w:t>
            </w:r>
          </w:p>
        </w:tc>
      </w:tr>
      <w:tr>
        <w:trPr>
          <w:cnfStyle w:evenHBand="true" w:oddHBand="false" w:firstRow="false"/>
        </w:trPr>
        <w:tc>
          <w:tcPr>
            <w:cnfStyle w:evenVBand="false" w:oddVBand="true" w:firstColumn="false"/>
            <w:tcW w:w="25.000000%" w:type="pct"/>
          </w:tcPr>
          <w:p>
            <w:pPr>
              <w:ind w:leftChars="0" w:left="0" w:right="0"/>
            </w:pPr>
            <w:r>
              <w:t>BACR</w:t>
            </w:r>
          </w:p>
        </w:tc>
        <w:tc>
          <w:tcPr>
            <w:cnfStyle w:evenVBand="true" w:oddVBand="false" w:firstColumn="false"/>
            <w:tcW w:w="25.000000%" w:type="pct"/>
          </w:tcPr>
          <w:p>
            <w:pPr>
              <w:ind w:leftChars="0" w:left="0" w:right="0"/>
            </w:pPr>
            <w:r>
              <w:t>BACR</w:t>
            </w:r>
          </w:p>
        </w:tc>
        <w:tc>
          <w:tcPr>
            <w:cnfStyle w:evenVBand="false" w:oddVBand="true" w:firstColumn="false"/>
            <w:tcW w:w="25.000000%" w:type="pct"/>
          </w:tcPr>
          <w:p>
            <w:pPr>
              <w:ind w:leftChars="0" w:left="0" w:right="0"/>
            </w:pPr>
            <w:r>
              <w:t>BANK OF AMERICA SECURITIES - CENTRAL RISK</w:t>
            </w:r>
          </w:p>
        </w:tc>
        <w:tc>
          <w:tcPr>
            <w:cnfStyle w:evenVBand="true" w:oddVBand="false" w:firstColumn="false"/>
            <w:tcW w:w="25.000000%" w:type="pct"/>
          </w:tcPr>
          <w:p>
            <w:pPr>
              <w:ind w:leftChars="0" w:left="0" w:right="0"/>
            </w:pPr>
            <w:r>
              <w:t>105</w:t>
            </w:r>
          </w:p>
        </w:tc>
      </w:tr>
      <w:tr>
        <w:trPr>
          <w:cnfStyle w:evenHBand="false" w:oddHBand="true" w:firstRow="false"/>
        </w:trPr>
        <w:tc>
          <w:tcPr>
            <w:cnfStyle w:evenVBand="false" w:oddVBand="true" w:firstColumn="false"/>
            <w:tcW w:w="25.000000%" w:type="pct"/>
          </w:tcPr>
          <w:p>
            <w:pPr>
              <w:ind w:leftChars="0" w:left="0" w:right="0"/>
            </w:pPr>
            <w:r>
              <w:t>BAEP</w:t>
            </w:r>
          </w:p>
        </w:tc>
        <w:tc>
          <w:tcPr>
            <w:cnfStyle w:evenVBand="true" w:oddVBand="false" w:firstColumn="false"/>
            <w:tcW w:w="25.000000%" w:type="pct"/>
          </w:tcPr>
          <w:p>
            <w:pPr>
              <w:ind w:leftChars="0" w:left="0" w:right="0"/>
            </w:pPr>
            <w:r>
              <w:t>BAEP</w:t>
            </w:r>
          </w:p>
        </w:tc>
        <w:tc>
          <w:tcPr>
            <w:cnfStyle w:evenVBand="false" w:oddVBand="true" w:firstColumn="false"/>
            <w:tcW w:w="25.000000%" w:type="pct"/>
          </w:tcPr>
          <w:p>
            <w:pPr>
              <w:ind w:leftChars="0" w:left="0" w:right="0"/>
            </w:pPr>
            <w:r>
              <w:t>BANK OF AMERICA MERRILL LYNCH EQUITY SWAP - EXTERNAL PRICE SOURCE</w:t>
            </w:r>
          </w:p>
        </w:tc>
        <w:tc>
          <w:tcPr>
            <w:cnfStyle w:evenVBand="true" w:oddVBand="false" w:firstColumn="false"/>
            <w:tcW w:w="25.000000%" w:type="pct"/>
          </w:tcPr>
          <w:p>
            <w:pPr>
              <w:ind w:leftChars="0" w:left="0" w:right="0"/>
            </w:pPr>
            <w:r>
              <w:t>106</w:t>
            </w:r>
          </w:p>
        </w:tc>
      </w:tr>
      <w:tr>
        <w:trPr>
          <w:cnfStyle w:evenHBand="true" w:oddHBand="false" w:firstRow="false"/>
        </w:trPr>
        <w:tc>
          <w:tcPr>
            <w:cnfStyle w:evenVBand="false" w:oddVBand="true" w:firstColumn="false"/>
            <w:tcW w:w="25.000000%" w:type="pct"/>
          </w:tcPr>
          <w:p>
            <w:pPr>
              <w:ind w:leftChars="0" w:left="0" w:right="0"/>
            </w:pPr>
            <w:r>
              <w:t>BAIK</w:t>
            </w:r>
          </w:p>
        </w:tc>
        <w:tc>
          <w:tcPr>
            <w:cnfStyle w:evenVBand="true" w:oddVBand="false" w:firstColumn="false"/>
            <w:tcW w:w="25.000000%" w:type="pct"/>
          </w:tcPr>
          <w:p>
            <w:pPr>
              <w:ind w:leftChars="0" w:left="0" w:right="0"/>
            </w:pPr>
            <w:r>
              <w:t>BAIK</w:t>
            </w:r>
          </w:p>
        </w:tc>
        <w:tc>
          <w:tcPr>
            <w:cnfStyle w:evenVBand="false" w:oddVBand="true" w:firstColumn="false"/>
            <w:tcW w:w="25.000000%" w:type="pct"/>
          </w:tcPr>
          <w:p>
            <w:pPr>
              <w:ind w:leftChars="0" w:left="0" w:right="0"/>
            </w:pPr>
            <w:r>
              <w:t>BAIKAL</w:t>
            </w:r>
          </w:p>
        </w:tc>
        <w:tc>
          <w:tcPr>
            <w:cnfStyle w:evenVBand="true" w:oddVBand="false" w:firstColumn="false"/>
            <w:tcW w:w="25.000000%" w:type="pct"/>
          </w:tcPr>
          <w:p>
            <w:pPr>
              <w:ind w:leftChars="0" w:left="0" w:right="0"/>
            </w:pPr>
            <w:r>
              <w:t>107</w:t>
            </w:r>
          </w:p>
        </w:tc>
      </w:tr>
      <w:tr>
        <w:trPr>
          <w:cnfStyle w:evenHBand="false" w:oddHBand="true" w:firstRow="false"/>
        </w:trPr>
        <w:tc>
          <w:tcPr>
            <w:cnfStyle w:evenVBand="false" w:oddVBand="true" w:firstColumn="false"/>
            <w:tcW w:w="25.000000%" w:type="pct"/>
          </w:tcPr>
          <w:p>
            <w:pPr>
              <w:ind w:leftChars="0" w:left="0" w:right="0"/>
            </w:pPr>
            <w:r>
              <w:t>BAIP</w:t>
            </w:r>
          </w:p>
        </w:tc>
        <w:tc>
          <w:tcPr>
            <w:cnfStyle w:evenVBand="true" w:oddVBand="false" w:firstColumn="false"/>
            <w:tcW w:w="25.000000%" w:type="pct"/>
          </w:tcPr>
          <w:p>
            <w:pPr>
              <w:ind w:leftChars="0" w:left="0" w:right="0"/>
            </w:pPr>
            <w:r>
              <w:t>BAIP</w:t>
            </w:r>
          </w:p>
        </w:tc>
        <w:tc>
          <w:tcPr>
            <w:cnfStyle w:evenVBand="false" w:oddVBand="true" w:firstColumn="false"/>
            <w:tcW w:w="25.000000%" w:type="pct"/>
          </w:tcPr>
          <w:p>
            <w:pPr>
              <w:ind w:leftChars="0" w:left="0" w:right="0"/>
            </w:pPr>
            <w:r>
              <w:t>BANK OF AMERICA MERRILL LYNCH EQUITY SWAP - INTERNAL PRICE SOURCE</w:t>
            </w:r>
          </w:p>
        </w:tc>
        <w:tc>
          <w:tcPr>
            <w:cnfStyle w:evenVBand="true" w:oddVBand="false" w:firstColumn="false"/>
            <w:tcW w:w="25.000000%" w:type="pct"/>
          </w:tcPr>
          <w:p>
            <w:pPr>
              <w:ind w:leftChars="0" w:left="0" w:right="0"/>
            </w:pPr>
            <w:r>
              <w:t>108</w:t>
            </w:r>
          </w:p>
        </w:tc>
      </w:tr>
      <w:tr>
        <w:trPr>
          <w:cnfStyle w:evenHBand="true" w:oddHBand="false" w:firstRow="false"/>
        </w:trPr>
        <w:tc>
          <w:tcPr>
            <w:cnfStyle w:evenVBand="false" w:oddVBand="true" w:firstColumn="false"/>
            <w:tcW w:w="25.000000%" w:type="pct"/>
          </w:tcPr>
          <w:p>
            <w:pPr>
              <w:ind w:leftChars="0" w:left="0" w:right="0"/>
            </w:pPr>
            <w:r>
              <w:t>BAJD</w:t>
            </w:r>
          </w:p>
        </w:tc>
        <w:tc>
          <w:tcPr>
            <w:cnfStyle w:evenVBand="true" w:oddVBand="false" w:firstColumn="false"/>
            <w:tcW w:w="25.000000%" w:type="pct"/>
          </w:tcPr>
          <w:p>
            <w:pPr>
              <w:ind w:leftChars="0" w:left="0" w:right="0"/>
            </w:pPr>
            <w:r>
              <w:t>BAJD</w:t>
            </w:r>
          </w:p>
        </w:tc>
        <w:tc>
          <w:tcPr>
            <w:cnfStyle w:evenVBand="false" w:oddVBand="true" w:firstColumn="false"/>
            <w:tcW w:w="25.000000%" w:type="pct"/>
          </w:tcPr>
          <w:p>
            <w:pPr>
              <w:ind w:leftChars="0" w:left="0" w:right="0"/>
            </w:pPr>
            <w:r>
              <w:t>BANK OF AMERICA MERRILL LYNCH - JAPAN INSTINCT X</w:t>
            </w:r>
          </w:p>
        </w:tc>
        <w:tc>
          <w:tcPr>
            <w:cnfStyle w:evenVBand="true" w:oddVBand="false" w:firstColumn="false"/>
            <w:tcW w:w="25.000000%" w:type="pct"/>
          </w:tcPr>
          <w:p>
            <w:pPr>
              <w:ind w:leftChars="0" w:left="0" w:right="0"/>
            </w:pPr>
            <w:r>
              <w:t>109</w:t>
            </w:r>
          </w:p>
        </w:tc>
      </w:tr>
      <w:tr>
        <w:trPr>
          <w:cnfStyle w:evenHBand="false" w:oddHBand="true" w:firstRow="false"/>
        </w:trPr>
        <w:tc>
          <w:tcPr>
            <w:cnfStyle w:evenVBand="false" w:oddVBand="true" w:firstColumn="false"/>
            <w:tcW w:w="25.000000%" w:type="pct"/>
          </w:tcPr>
          <w:p>
            <w:pPr>
              <w:ind w:leftChars="0" w:left="0" w:right="0"/>
            </w:pPr>
            <w:r>
              <w:t>BAJM</w:t>
            </w:r>
          </w:p>
        </w:tc>
        <w:tc>
          <w:tcPr>
            <w:cnfStyle w:evenVBand="true" w:oddVBand="false" w:firstColumn="false"/>
            <w:tcW w:w="25.000000%" w:type="pct"/>
          </w:tcPr>
          <w:p>
            <w:pPr>
              <w:ind w:leftChars="0" w:left="0" w:right="0"/>
            </w:pPr>
            <w:r>
              <w:t>BAJM</w:t>
            </w:r>
          </w:p>
        </w:tc>
        <w:tc>
          <w:tcPr>
            <w:cnfStyle w:evenVBand="false" w:oddVBand="true" w:firstColumn="false"/>
            <w:tcW w:w="25.000000%" w:type="pct"/>
          </w:tcPr>
          <w:p>
            <w:pPr>
              <w:ind w:leftChars="0" w:left="0" w:right="0"/>
            </w:pPr>
            <w:r>
              <w:t>BARBADOS STOCK EXCHANGE - JUNIOR MARKET</w:t>
            </w:r>
          </w:p>
        </w:tc>
        <w:tc>
          <w:tcPr>
            <w:cnfStyle w:evenVBand="true" w:oddVBand="false" w:firstColumn="false"/>
            <w:tcW w:w="25.000000%" w:type="pct"/>
          </w:tcPr>
          <w:p>
            <w:pPr>
              <w:ind w:leftChars="0" w:left="0" w:right="0"/>
            </w:pPr>
            <w:r>
              <w:t>110</w:t>
            </w:r>
          </w:p>
        </w:tc>
      </w:tr>
      <w:tr>
        <w:trPr>
          <w:cnfStyle w:evenHBand="true" w:oddHBand="false" w:firstRow="false"/>
        </w:trPr>
        <w:tc>
          <w:tcPr>
            <w:cnfStyle w:evenVBand="false" w:oddVBand="true" w:firstColumn="false"/>
            <w:tcW w:w="25.000000%" w:type="pct"/>
          </w:tcPr>
          <w:p>
            <w:pPr>
              <w:ind w:leftChars="0" w:left="0" w:right="0"/>
            </w:pPr>
            <w:r>
              <w:t>BALT</w:t>
            </w:r>
          </w:p>
        </w:tc>
        <w:tc>
          <w:tcPr>
            <w:cnfStyle w:evenVBand="true" w:oddVBand="false" w:firstColumn="false"/>
            <w:tcW w:w="25.000000%" w:type="pct"/>
          </w:tcPr>
          <w:p>
            <w:pPr>
              <w:ind w:leftChars="0" w:left="0" w:right="0"/>
            </w:pPr>
            <w:r>
              <w:t>BALT</w:t>
            </w:r>
          </w:p>
        </w:tc>
        <w:tc>
          <w:tcPr>
            <w:cnfStyle w:evenVBand="false" w:oddVBand="true" w:firstColumn="false"/>
            <w:tcW w:w="25.000000%" w:type="pct"/>
          </w:tcPr>
          <w:p>
            <w:pPr>
              <w:ind w:leftChars="0" w:left="0" w:right="0"/>
            </w:pPr>
            <w:r>
              <w:t>THE BALTIC EXCHANGE</w:t>
            </w:r>
          </w:p>
        </w:tc>
        <w:tc>
          <w:tcPr>
            <w:cnfStyle w:evenVBand="true" w:oddVBand="false" w:firstColumn="false"/>
            <w:tcW w:w="25.000000%" w:type="pct"/>
          </w:tcPr>
          <w:p>
            <w:pPr>
              <w:ind w:leftChars="0" w:left="0" w:right="0"/>
            </w:pPr>
            <w:r>
              <w:t>111</w:t>
            </w:r>
          </w:p>
        </w:tc>
      </w:tr>
      <w:tr>
        <w:trPr>
          <w:cnfStyle w:evenHBand="false" w:oddHBand="true" w:firstRow="false"/>
        </w:trPr>
        <w:tc>
          <w:tcPr>
            <w:cnfStyle w:evenVBand="false" w:oddVBand="true" w:firstColumn="false"/>
            <w:tcW w:w="25.000000%" w:type="pct"/>
          </w:tcPr>
          <w:p>
            <w:pPr>
              <w:ind w:leftChars="0" w:left="0" w:right="0"/>
            </w:pPr>
            <w:r>
              <w:t>BAML</w:t>
            </w:r>
          </w:p>
        </w:tc>
        <w:tc>
          <w:tcPr>
            <w:cnfStyle w:evenVBand="true" w:oddVBand="false" w:firstColumn="false"/>
            <w:tcW w:w="25.000000%" w:type="pct"/>
          </w:tcPr>
          <w:p>
            <w:pPr>
              <w:ind w:leftChars="0" w:left="0" w:right="0"/>
            </w:pPr>
            <w:r>
              <w:t>BAML</w:t>
            </w:r>
          </w:p>
        </w:tc>
        <w:tc>
          <w:tcPr>
            <w:cnfStyle w:evenVBand="false" w:oddVBand="true" w:firstColumn="false"/>
            <w:tcW w:w="25.000000%" w:type="pct"/>
          </w:tcPr>
          <w:p>
            <w:pPr>
              <w:ind w:leftChars="0" w:left="0" w:right="0"/>
            </w:pPr>
            <w:r>
              <w:t>BANK OF AMERICA - MERRILL LYNCH INSTINCT X ATS</w:t>
            </w:r>
          </w:p>
        </w:tc>
        <w:tc>
          <w:tcPr>
            <w:cnfStyle w:evenVBand="true" w:oddVBand="false" w:firstColumn="false"/>
            <w:tcW w:w="25.000000%" w:type="pct"/>
          </w:tcPr>
          <w:p>
            <w:pPr>
              <w:ind w:leftChars="0" w:left="0" w:right="0"/>
            </w:pPr>
            <w:r>
              <w:t>112</w:t>
            </w:r>
          </w:p>
        </w:tc>
      </w:tr>
      <w:tr>
        <w:trPr>
          <w:cnfStyle w:evenHBand="true" w:oddHBand="false" w:firstRow="false"/>
        </w:trPr>
        <w:tc>
          <w:tcPr>
            <w:cnfStyle w:evenVBand="false" w:oddVBand="true" w:firstColumn="false"/>
            <w:tcW w:w="25.000000%" w:type="pct"/>
          </w:tcPr>
          <w:p>
            <w:pPr>
              <w:ind w:leftChars="0" w:left="0" w:right="0"/>
            </w:pPr>
            <w:r>
              <w:t>BAMP</w:t>
            </w:r>
          </w:p>
        </w:tc>
        <w:tc>
          <w:tcPr>
            <w:cnfStyle w:evenVBand="true" w:oddVBand="false" w:firstColumn="false"/>
            <w:tcW w:w="25.000000%" w:type="pct"/>
          </w:tcPr>
          <w:p>
            <w:pPr>
              <w:ind w:leftChars="0" w:left="0" w:right="0"/>
            </w:pPr>
            <w:r>
              <w:t>BAMP</w:t>
            </w:r>
          </w:p>
        </w:tc>
        <w:tc>
          <w:tcPr>
            <w:cnfStyle w:evenVBand="false" w:oddVBand="true" w:firstColumn="false"/>
            <w:tcW w:w="25.000000%" w:type="pct"/>
          </w:tcPr>
          <w:p>
            <w:pPr>
              <w:ind w:leftChars="0" w:left="0" w:right="0"/>
            </w:pPr>
            <w:r>
              <w:t>MERR POOL XLN</w:t>
            </w:r>
          </w:p>
        </w:tc>
        <w:tc>
          <w:tcPr>
            <w:cnfStyle w:evenVBand="true" w:oddVBand="false" w:firstColumn="false"/>
            <w:tcW w:w="25.000000%" w:type="pct"/>
          </w:tcPr>
          <w:p>
            <w:pPr>
              <w:ind w:leftChars="0" w:left="0" w:right="0"/>
            </w:pPr>
            <w:r>
              <w:t>113</w:t>
            </w:r>
          </w:p>
        </w:tc>
      </w:tr>
      <w:tr>
        <w:trPr>
          <w:cnfStyle w:evenHBand="false" w:oddHBand="true" w:firstRow="false"/>
        </w:trPr>
        <w:tc>
          <w:tcPr>
            <w:cnfStyle w:evenVBand="false" w:oddVBand="true" w:firstColumn="false"/>
            <w:tcW w:w="25.000000%" w:type="pct"/>
          </w:tcPr>
          <w:p>
            <w:pPr>
              <w:ind w:leftChars="0" w:left="0" w:right="0"/>
            </w:pPr>
            <w:r>
              <w:t>BAMX</w:t>
            </w:r>
          </w:p>
        </w:tc>
        <w:tc>
          <w:tcPr>
            <w:cnfStyle w:evenVBand="true" w:oddVBand="false" w:firstColumn="false"/>
            <w:tcW w:w="25.000000%" w:type="pct"/>
          </w:tcPr>
          <w:p>
            <w:pPr>
              <w:ind w:leftChars="0" w:left="0" w:right="0"/>
            </w:pPr>
            <w:r>
              <w:t>BAMX</w:t>
            </w:r>
          </w:p>
        </w:tc>
        <w:tc>
          <w:tcPr>
            <w:cnfStyle w:evenVBand="false" w:oddVBand="true" w:firstColumn="false"/>
            <w:tcW w:w="25.000000%" w:type="pct"/>
          </w:tcPr>
          <w:p>
            <w:pPr>
              <w:ind w:leftChars="0" w:left="0" w:right="0"/>
            </w:pPr>
            <w:r>
              <w:t>BANK OF AMERICA - MERRILL LYNCH GCX</w:t>
            </w:r>
          </w:p>
        </w:tc>
        <w:tc>
          <w:tcPr>
            <w:cnfStyle w:evenVBand="true" w:oddVBand="false" w:firstColumn="false"/>
            <w:tcW w:w="25.000000%" w:type="pct"/>
          </w:tcPr>
          <w:p>
            <w:pPr>
              <w:ind w:leftChars="0" w:left="0" w:right="0"/>
            </w:pPr>
            <w:r>
              <w:t>114</w:t>
            </w:r>
          </w:p>
        </w:tc>
      </w:tr>
      <w:tr>
        <w:trPr>
          <w:cnfStyle w:evenHBand="true" w:oddHBand="false" w:firstRow="false"/>
        </w:trPr>
        <w:tc>
          <w:tcPr>
            <w:cnfStyle w:evenVBand="false" w:oddVBand="true" w:firstColumn="false"/>
            <w:tcW w:w="25.000000%" w:type="pct"/>
          </w:tcPr>
          <w:p>
            <w:pPr>
              <w:ind w:leftChars="0" w:left="0" w:right="0"/>
            </w:pPr>
            <w:r>
              <w:t>BANA</w:t>
            </w:r>
          </w:p>
        </w:tc>
        <w:tc>
          <w:tcPr>
            <w:cnfStyle w:evenVBand="true" w:oddVBand="false" w:firstColumn="false"/>
            <w:tcW w:w="25.000000%" w:type="pct"/>
          </w:tcPr>
          <w:p>
            <w:pPr>
              <w:ind w:leftChars="0" w:left="0" w:right="0"/>
            </w:pPr>
            <w:r>
              <w:t>BANA</w:t>
            </w:r>
          </w:p>
        </w:tc>
        <w:tc>
          <w:tcPr>
            <w:cnfStyle w:evenVBand="false" w:oddVBand="true" w:firstColumn="false"/>
            <w:tcW w:w="25.000000%" w:type="pct"/>
          </w:tcPr>
          <w:p>
            <w:pPr>
              <w:ind w:leftChars="0" w:left="0" w:right="0"/>
            </w:pPr>
            <w:r>
              <w:t>BANK OF AMERICA, NATIONAL ASSOCIATION</w:t>
            </w:r>
          </w:p>
        </w:tc>
        <w:tc>
          <w:tcPr>
            <w:cnfStyle w:evenVBand="true" w:oddVBand="false" w:firstColumn="false"/>
            <w:tcW w:w="25.000000%" w:type="pct"/>
          </w:tcPr>
          <w:p>
            <w:pPr>
              <w:ind w:leftChars="0" w:left="0" w:right="0"/>
            </w:pPr>
            <w:r>
              <w:t>115</w:t>
            </w:r>
          </w:p>
        </w:tc>
      </w:tr>
      <w:tr>
        <w:trPr>
          <w:cnfStyle w:evenHBand="false" w:oddHBand="true" w:firstRow="false"/>
        </w:trPr>
        <w:tc>
          <w:tcPr>
            <w:cnfStyle w:evenVBand="false" w:oddVBand="true" w:firstColumn="false"/>
            <w:tcW w:w="25.000000%" w:type="pct"/>
          </w:tcPr>
          <w:p>
            <w:pPr>
              <w:ind w:leftChars="0" w:left="0" w:right="0"/>
            </w:pPr>
            <w:r>
              <w:t>BAPA</w:t>
            </w:r>
          </w:p>
        </w:tc>
        <w:tc>
          <w:tcPr>
            <w:cnfStyle w:evenVBand="true" w:oddVBand="false" w:firstColumn="false"/>
            <w:tcW w:w="25.000000%" w:type="pct"/>
          </w:tcPr>
          <w:p>
            <w:pPr>
              <w:ind w:leftChars="0" w:left="0" w:right="0"/>
            </w:pPr>
            <w:r>
              <w:t>BAPA</w:t>
            </w:r>
          </w:p>
        </w:tc>
        <w:tc>
          <w:tcPr>
            <w:cnfStyle w:evenVBand="false" w:oddVBand="true" w:firstColumn="false"/>
            <w:tcW w:w="25.000000%" w:type="pct"/>
          </w:tcPr>
          <w:p>
            <w:pPr>
              <w:ind w:leftChars="0" w:left="0" w:right="0"/>
            </w:pPr>
            <w:r>
              <w:t>BLOOMBERG - APA</w:t>
            </w:r>
          </w:p>
        </w:tc>
        <w:tc>
          <w:tcPr>
            <w:cnfStyle w:evenVBand="true" w:oddVBand="false" w:firstColumn="false"/>
            <w:tcW w:w="25.000000%" w:type="pct"/>
          </w:tcPr>
          <w:p>
            <w:pPr>
              <w:ind w:leftChars="0" w:left="0" w:right="0"/>
            </w:pPr>
            <w:r>
              <w:t>116</w:t>
            </w:r>
          </w:p>
        </w:tc>
      </w:tr>
      <w:tr>
        <w:trPr>
          <w:cnfStyle w:evenHBand="true" w:oddHBand="false" w:firstRow="false"/>
        </w:trPr>
        <w:tc>
          <w:tcPr>
            <w:cnfStyle w:evenVBand="false" w:oddVBand="true" w:firstColumn="false"/>
            <w:tcW w:w="25.000000%" w:type="pct"/>
          </w:tcPr>
          <w:p>
            <w:pPr>
              <w:ind w:leftChars="0" w:left="0" w:right="0"/>
            </w:pPr>
            <w:r>
              <w:t>BAPE</w:t>
            </w:r>
          </w:p>
        </w:tc>
        <w:tc>
          <w:tcPr>
            <w:cnfStyle w:evenVBand="true" w:oddVBand="false" w:firstColumn="false"/>
            <w:tcW w:w="25.000000%" w:type="pct"/>
          </w:tcPr>
          <w:p>
            <w:pPr>
              <w:ind w:leftChars="0" w:left="0" w:right="0"/>
            </w:pPr>
            <w:r>
              <w:t>BAPE</w:t>
            </w:r>
          </w:p>
        </w:tc>
        <w:tc>
          <w:tcPr>
            <w:cnfStyle w:evenVBand="false" w:oddVBand="true" w:firstColumn="false"/>
            <w:tcW w:w="25.000000%" w:type="pct"/>
          </w:tcPr>
          <w:p>
            <w:pPr>
              <w:ind w:leftChars="0" w:left="0" w:right="0"/>
            </w:pPr>
            <w:r>
              <w:t>BLOOMBERG DATA REPORTING SERVICES B.V. - APA</w:t>
            </w:r>
          </w:p>
        </w:tc>
        <w:tc>
          <w:tcPr>
            <w:cnfStyle w:evenVBand="true" w:oddVBand="false" w:firstColumn="false"/>
            <w:tcW w:w="25.000000%" w:type="pct"/>
          </w:tcPr>
          <w:p>
            <w:pPr>
              <w:ind w:leftChars="0" w:left="0" w:right="0"/>
            </w:pPr>
            <w:r>
              <w:t>117</w:t>
            </w:r>
          </w:p>
        </w:tc>
      </w:tr>
      <w:tr>
        <w:trPr>
          <w:cnfStyle w:evenHBand="false" w:oddHBand="true" w:firstRow="false"/>
        </w:trPr>
        <w:tc>
          <w:tcPr>
            <w:cnfStyle w:evenVBand="false" w:oddVBand="true" w:firstColumn="false"/>
            <w:tcW w:w="25.000000%" w:type="pct"/>
          </w:tcPr>
          <w:p>
            <w:pPr>
              <w:ind w:leftChars="0" w:left="0" w:right="0"/>
            </w:pPr>
            <w:r>
              <w:t>BAPX</w:t>
            </w:r>
          </w:p>
        </w:tc>
        <w:tc>
          <w:tcPr>
            <w:cnfStyle w:evenVBand="true" w:oddVBand="false" w:firstColumn="false"/>
            <w:tcW w:w="25.000000%" w:type="pct"/>
          </w:tcPr>
          <w:p>
            <w:pPr>
              <w:ind w:leftChars="0" w:left="0" w:right="0"/>
            </w:pPr>
            <w:r>
              <w:t>BAPX</w:t>
            </w:r>
          </w:p>
        </w:tc>
        <w:tc>
          <w:tcPr>
            <w:cnfStyle w:evenVBand="false" w:oddVBand="true" w:firstColumn="false"/>
            <w:tcW w:w="25.000000%" w:type="pct"/>
          </w:tcPr>
          <w:p>
            <w:pPr>
              <w:ind w:leftChars="0" w:left="0" w:right="0"/>
            </w:pPr>
            <w:r>
              <w:t>BALTPOOL</w:t>
            </w:r>
          </w:p>
        </w:tc>
        <w:tc>
          <w:tcPr>
            <w:cnfStyle w:evenVBand="true" w:oddVBand="false" w:firstColumn="false"/>
            <w:tcW w:w="25.000000%" w:type="pct"/>
          </w:tcPr>
          <w:p>
            <w:pPr>
              <w:ind w:leftChars="0" w:left="0" w:right="0"/>
            </w:pPr>
            <w:r>
              <w:t>118</w:t>
            </w:r>
          </w:p>
        </w:tc>
      </w:tr>
      <w:tr>
        <w:trPr>
          <w:cnfStyle w:evenHBand="true" w:oddHBand="false" w:firstRow="false"/>
        </w:trPr>
        <w:tc>
          <w:tcPr>
            <w:cnfStyle w:evenVBand="false" w:oddVBand="true" w:firstColumn="false"/>
            <w:tcW w:w="25.000000%" w:type="pct"/>
          </w:tcPr>
          <w:p>
            <w:pPr>
              <w:ind w:leftChars="0" w:left="0" w:right="0"/>
            </w:pPr>
            <w:r>
              <w:t>BARD</w:t>
            </w:r>
          </w:p>
        </w:tc>
        <w:tc>
          <w:tcPr>
            <w:cnfStyle w:evenVBand="true" w:oddVBand="false" w:firstColumn="false"/>
            <w:tcW w:w="25.000000%" w:type="pct"/>
          </w:tcPr>
          <w:p>
            <w:pPr>
              <w:ind w:leftChars="0" w:left="0" w:right="0"/>
            </w:pPr>
            <w:r>
              <w:t>BARD</w:t>
            </w:r>
          </w:p>
        </w:tc>
        <w:tc>
          <w:tcPr>
            <w:cnfStyle w:evenVBand="false" w:oddVBand="true" w:firstColumn="false"/>
            <w:tcW w:w="25.000000%" w:type="pct"/>
          </w:tcPr>
          <w:p>
            <w:pPr>
              <w:ind w:leftChars="0" w:left="0" w:right="0"/>
            </w:pPr>
            <w:r>
              <w:t>BARCLAYS FX - TRADING</w:t>
            </w:r>
          </w:p>
        </w:tc>
        <w:tc>
          <w:tcPr>
            <w:cnfStyle w:evenVBand="true" w:oddVBand="false" w:firstColumn="false"/>
            <w:tcW w:w="25.000000%" w:type="pct"/>
          </w:tcPr>
          <w:p>
            <w:pPr>
              <w:ind w:leftChars="0" w:left="0" w:right="0"/>
            </w:pPr>
            <w:r>
              <w:t>119</w:t>
            </w:r>
          </w:p>
        </w:tc>
      </w:tr>
      <w:tr>
        <w:trPr>
          <w:cnfStyle w:evenHBand="false" w:oddHBand="true" w:firstRow="false"/>
        </w:trPr>
        <w:tc>
          <w:tcPr>
            <w:cnfStyle w:evenVBand="false" w:oddVBand="true" w:firstColumn="false"/>
            <w:tcW w:w="25.000000%" w:type="pct"/>
          </w:tcPr>
          <w:p>
            <w:pPr>
              <w:ind w:leftChars="0" w:left="0" w:right="0"/>
            </w:pPr>
            <w:r>
              <w:t>BARK</w:t>
            </w:r>
          </w:p>
        </w:tc>
        <w:tc>
          <w:tcPr>
            <w:cnfStyle w:evenVBand="true" w:oddVBand="false" w:firstColumn="false"/>
            <w:tcW w:w="25.000000%" w:type="pct"/>
          </w:tcPr>
          <w:p>
            <w:pPr>
              <w:ind w:leftChars="0" w:left="0" w:right="0"/>
            </w:pPr>
            <w:r>
              <w:t>BARK</w:t>
            </w:r>
          </w:p>
        </w:tc>
        <w:tc>
          <w:tcPr>
            <w:cnfStyle w:evenVBand="false" w:oddVBand="true" w:firstColumn="false"/>
            <w:tcW w:w="25.000000%" w:type="pct"/>
          </w:tcPr>
          <w:p>
            <w:pPr>
              <w:ind w:leftChars="0" w:left="0" w:right="0"/>
            </w:pPr>
            <w:r>
              <w:t>CBOE EUROPE - REGULATED MARKET DARK BOOK</w:t>
            </w:r>
          </w:p>
        </w:tc>
        <w:tc>
          <w:tcPr>
            <w:cnfStyle w:evenVBand="true" w:oddVBand="false" w:firstColumn="false"/>
            <w:tcW w:w="25.000000%" w:type="pct"/>
          </w:tcPr>
          <w:p>
            <w:pPr>
              <w:ind w:leftChars="0" w:left="0" w:right="0"/>
            </w:pPr>
            <w:r>
              <w:t>120</w:t>
            </w:r>
          </w:p>
        </w:tc>
      </w:tr>
      <w:tr>
        <w:trPr>
          <w:cnfStyle w:evenHBand="true" w:oddHBand="false" w:firstRow="false"/>
        </w:trPr>
        <w:tc>
          <w:tcPr>
            <w:cnfStyle w:evenVBand="false" w:oddVBand="true" w:firstColumn="false"/>
            <w:tcW w:w="25.000000%" w:type="pct"/>
          </w:tcPr>
          <w:p>
            <w:pPr>
              <w:ind w:leftChars="0" w:left="0" w:right="0"/>
            </w:pPr>
            <w:r>
              <w:t>BARL</w:t>
            </w:r>
          </w:p>
        </w:tc>
        <w:tc>
          <w:tcPr>
            <w:cnfStyle w:evenVBand="true" w:oddVBand="false" w:firstColumn="false"/>
            <w:tcW w:w="25.000000%" w:type="pct"/>
          </w:tcPr>
          <w:p>
            <w:pPr>
              <w:ind w:leftChars="0" w:left="0" w:right="0"/>
            </w:pPr>
            <w:r>
              <w:t>BARL</w:t>
            </w:r>
          </w:p>
        </w:tc>
        <w:tc>
          <w:tcPr>
            <w:cnfStyle w:evenVBand="false" w:oddVBand="true" w:firstColumn="false"/>
            <w:tcW w:w="25.000000%" w:type="pct"/>
          </w:tcPr>
          <w:p>
            <w:pPr>
              <w:ind w:leftChars="0" w:left="0" w:right="0"/>
            </w:pPr>
            <w:r>
              <w:t>BARCLAYS LIQUID MARKETS</w:t>
            </w:r>
          </w:p>
        </w:tc>
        <w:tc>
          <w:tcPr>
            <w:cnfStyle w:evenVBand="true" w:oddVBand="false" w:firstColumn="false"/>
            <w:tcW w:w="25.000000%" w:type="pct"/>
          </w:tcPr>
          <w:p>
            <w:pPr>
              <w:ind w:leftChars="0" w:left="0" w:right="0"/>
            </w:pPr>
            <w:r>
              <w:t>121</w:t>
            </w:r>
          </w:p>
        </w:tc>
      </w:tr>
      <w:tr>
        <w:trPr>
          <w:cnfStyle w:evenHBand="false" w:oddHBand="true" w:firstRow="false"/>
        </w:trPr>
        <w:tc>
          <w:tcPr>
            <w:cnfStyle w:evenVBand="false" w:oddVBand="true" w:firstColumn="false"/>
            <w:tcW w:w="25.000000%" w:type="pct"/>
          </w:tcPr>
          <w:p>
            <w:pPr>
              <w:ind w:leftChars="0" w:left="0" w:right="0"/>
            </w:pPr>
            <w:r>
              <w:t>BARO</w:t>
            </w:r>
          </w:p>
        </w:tc>
        <w:tc>
          <w:tcPr>
            <w:cnfStyle w:evenVBand="true" w:oddVBand="false" w:firstColumn="false"/>
            <w:tcW w:w="25.000000%" w:type="pct"/>
          </w:tcPr>
          <w:p>
            <w:pPr>
              <w:ind w:leftChars="0" w:left="0" w:right="0"/>
            </w:pPr>
            <w:r>
              <w:t>BARO</w:t>
            </w:r>
          </w:p>
        </w:tc>
        <w:tc>
          <w:tcPr>
            <w:cnfStyle w:evenVBand="false" w:oddVBand="true" w:firstColumn="false"/>
            <w:tcW w:w="25.000000%" w:type="pct"/>
          </w:tcPr>
          <w:p>
            <w:pPr>
              <w:ind w:leftChars="0" w:left="0" w:right="0"/>
            </w:pPr>
            <w:r>
              <w:t>CBOE EUROPE - REGULATED MARKET OFF BOOK</w:t>
            </w:r>
          </w:p>
        </w:tc>
        <w:tc>
          <w:tcPr>
            <w:cnfStyle w:evenVBand="true" w:oddVBand="false" w:firstColumn="false"/>
            <w:tcW w:w="25.000000%" w:type="pct"/>
          </w:tcPr>
          <w:p>
            <w:pPr>
              <w:ind w:leftChars="0" w:left="0" w:right="0"/>
            </w:pPr>
            <w:r>
              <w:t>122</w:t>
            </w:r>
          </w:p>
        </w:tc>
      </w:tr>
      <w:tr>
        <w:trPr>
          <w:cnfStyle w:evenHBand="true" w:oddHBand="false" w:firstRow="false"/>
        </w:trPr>
        <w:tc>
          <w:tcPr>
            <w:cnfStyle w:evenVBand="false" w:oddVBand="true" w:firstColumn="false"/>
            <w:tcW w:w="25.000000%" w:type="pct"/>
          </w:tcPr>
          <w:p>
            <w:pPr>
              <w:ind w:leftChars="0" w:left="0" w:right="0"/>
            </w:pPr>
            <w:r>
              <w:t>BART</w:t>
            </w:r>
          </w:p>
        </w:tc>
        <w:tc>
          <w:tcPr>
            <w:cnfStyle w:evenVBand="true" w:oddVBand="false" w:firstColumn="false"/>
            <w:tcW w:w="25.000000%" w:type="pct"/>
          </w:tcPr>
          <w:p>
            <w:pPr>
              <w:ind w:leftChars="0" w:left="0" w:right="0"/>
            </w:pPr>
            <w:r>
              <w:t>BART</w:t>
            </w:r>
          </w:p>
        </w:tc>
        <w:tc>
          <w:tcPr>
            <w:cnfStyle w:evenVBand="false" w:oddVBand="true" w:firstColumn="false"/>
            <w:tcW w:w="25.000000%" w:type="pct"/>
          </w:tcPr>
          <w:p>
            <w:pPr>
              <w:ind w:leftChars="0" w:left="0" w:right="0"/>
            </w:pPr>
            <w:r>
              <w:t>CBOE EUROPE - REGULATED MARKET INTEGRATED BOOK</w:t>
            </w:r>
          </w:p>
        </w:tc>
        <w:tc>
          <w:tcPr>
            <w:cnfStyle w:evenVBand="true" w:oddVBand="false" w:firstColumn="false"/>
            <w:tcW w:w="25.000000%" w:type="pct"/>
          </w:tcPr>
          <w:p>
            <w:pPr>
              <w:ind w:leftChars="0" w:left="0" w:right="0"/>
            </w:pPr>
            <w:r>
              <w:t>123</w:t>
            </w:r>
          </w:p>
        </w:tc>
      </w:tr>
      <w:tr>
        <w:trPr>
          <w:cnfStyle w:evenHBand="false" w:oddHBand="true" w:firstRow="false"/>
        </w:trPr>
        <w:tc>
          <w:tcPr>
            <w:cnfStyle w:evenVBand="false" w:oddVBand="true" w:firstColumn="false"/>
            <w:tcW w:w="25.000000%" w:type="pct"/>
          </w:tcPr>
          <w:p>
            <w:pPr>
              <w:ind w:leftChars="0" w:left="0" w:right="0"/>
            </w:pPr>
            <w:r>
              <w:t>BARU</w:t>
            </w:r>
          </w:p>
        </w:tc>
        <w:tc>
          <w:tcPr>
            <w:cnfStyle w:evenVBand="true" w:oddVBand="false" w:firstColumn="false"/>
            <w:tcW w:w="25.000000%" w:type="pct"/>
          </w:tcPr>
          <w:p>
            <w:pPr>
              <w:ind w:leftChars="0" w:left="0" w:right="0"/>
            </w:pPr>
            <w:r>
              <w:t>BARU</w:t>
            </w:r>
          </w:p>
        </w:tc>
        <w:tc>
          <w:tcPr>
            <w:cnfStyle w:evenVBand="false" w:oddVBand="true" w:firstColumn="false"/>
            <w:tcW w:w="25.000000%" w:type="pct"/>
          </w:tcPr>
          <w:p>
            <w:pPr>
              <w:ind w:leftChars="0" w:left="0" w:right="0"/>
            </w:pPr>
            <w:r>
              <w:t>CBOE EUROPE - REGULATED MARKET DARK BOOK (NL)</w:t>
            </w:r>
          </w:p>
        </w:tc>
        <w:tc>
          <w:tcPr>
            <w:cnfStyle w:evenVBand="true" w:oddVBand="false" w:firstColumn="false"/>
            <w:tcW w:w="25.000000%" w:type="pct"/>
          </w:tcPr>
          <w:p>
            <w:pPr>
              <w:ind w:leftChars="0" w:left="0" w:right="0"/>
            </w:pPr>
            <w:r>
              <w:t>124</w:t>
            </w:r>
          </w:p>
        </w:tc>
      </w:tr>
      <w:tr>
        <w:trPr>
          <w:cnfStyle w:evenHBand="true" w:oddHBand="false" w:firstRow="false"/>
        </w:trPr>
        <w:tc>
          <w:tcPr>
            <w:cnfStyle w:evenVBand="false" w:oddVBand="true" w:firstColumn="false"/>
            <w:tcW w:w="25.000000%" w:type="pct"/>
          </w:tcPr>
          <w:p>
            <w:pPr>
              <w:ind w:leftChars="0" w:left="0" w:right="0"/>
            </w:pPr>
            <w:r>
              <w:t>BARX</w:t>
            </w:r>
          </w:p>
        </w:tc>
        <w:tc>
          <w:tcPr>
            <w:cnfStyle w:evenVBand="true" w:oddVBand="false" w:firstColumn="false"/>
            <w:tcW w:w="25.000000%" w:type="pct"/>
          </w:tcPr>
          <w:p>
            <w:pPr>
              <w:ind w:leftChars="0" w:left="0" w:right="0"/>
            </w:pPr>
            <w:r>
              <w:t>BARX</w:t>
            </w:r>
          </w:p>
        </w:tc>
        <w:tc>
          <w:tcPr>
            <w:cnfStyle w:evenVBand="false" w:oddVBand="true" w:firstColumn="false"/>
            <w:tcW w:w="25.000000%" w:type="pct"/>
          </w:tcPr>
          <w:p>
            <w:pPr>
              <w:ind w:leftChars="0" w:left="0" w:right="0"/>
            </w:pPr>
            <w:r>
              <w:t>BARCLAYS ATS</w:t>
            </w:r>
          </w:p>
        </w:tc>
        <w:tc>
          <w:tcPr>
            <w:cnfStyle w:evenVBand="true" w:oddVBand="false" w:firstColumn="false"/>
            <w:tcW w:w="25.000000%" w:type="pct"/>
          </w:tcPr>
          <w:p>
            <w:pPr>
              <w:ind w:leftChars="0" w:left="0" w:right="0"/>
            </w:pPr>
            <w:r>
              <w:t>125</w:t>
            </w:r>
          </w:p>
        </w:tc>
      </w:tr>
      <w:tr>
        <w:trPr>
          <w:cnfStyle w:evenHBand="false" w:oddHBand="true" w:firstRow="false"/>
        </w:trPr>
        <w:tc>
          <w:tcPr>
            <w:cnfStyle w:evenVBand="false" w:oddVBand="true" w:firstColumn="false"/>
            <w:tcW w:w="25.000000%" w:type="pct"/>
          </w:tcPr>
          <w:p>
            <w:pPr>
              <w:ind w:leftChars="0" w:left="0" w:right="0"/>
            </w:pPr>
            <w:r>
              <w:t>BASE</w:t>
            </w:r>
          </w:p>
        </w:tc>
        <w:tc>
          <w:tcPr>
            <w:cnfStyle w:evenVBand="true" w:oddVBand="false" w:firstColumn="false"/>
            <w:tcW w:w="25.000000%" w:type="pct"/>
          </w:tcPr>
          <w:p>
            <w:pPr>
              <w:ind w:leftChars="0" w:left="0" w:right="0"/>
            </w:pPr>
            <w:r>
              <w:t>BASE</w:t>
            </w:r>
          </w:p>
        </w:tc>
        <w:tc>
          <w:tcPr>
            <w:cnfStyle w:evenVBand="false" w:oddVBand="true" w:firstColumn="false"/>
            <w:tcW w:w="25.000000%" w:type="pct"/>
          </w:tcPr>
          <w:p>
            <w:pPr>
              <w:ind w:leftChars="0" w:left="0" w:right="0"/>
            </w:pPr>
            <w:r>
              <w:t>BANK OF AMERICA MERRILL LYNCH - SWAP EXECUTIONS</w:t>
            </w:r>
          </w:p>
        </w:tc>
        <w:tc>
          <w:tcPr>
            <w:cnfStyle w:evenVBand="true" w:oddVBand="false" w:firstColumn="false"/>
            <w:tcW w:w="25.000000%" w:type="pct"/>
          </w:tcPr>
          <w:p>
            <w:pPr>
              <w:ind w:leftChars="0" w:left="0" w:right="0"/>
            </w:pPr>
            <w:r>
              <w:t>126</w:t>
            </w:r>
          </w:p>
        </w:tc>
      </w:tr>
      <w:tr>
        <w:trPr>
          <w:cnfStyle w:evenHBand="true" w:oddHBand="false" w:firstRow="false"/>
        </w:trPr>
        <w:tc>
          <w:tcPr>
            <w:cnfStyle w:evenVBand="false" w:oddVBand="true" w:firstColumn="false"/>
            <w:tcW w:w="25.000000%" w:type="pct"/>
          </w:tcPr>
          <w:p>
            <w:pPr>
              <w:ind w:leftChars="0" w:left="0" w:right="0"/>
            </w:pPr>
            <w:r>
              <w:t>BASI</w:t>
            </w:r>
          </w:p>
        </w:tc>
        <w:tc>
          <w:tcPr>
            <w:cnfStyle w:evenVBand="true" w:oddVBand="false" w:firstColumn="false"/>
            <w:tcW w:w="25.000000%" w:type="pct"/>
          </w:tcPr>
          <w:p>
            <w:pPr>
              <w:ind w:leftChars="0" w:left="0" w:right="0"/>
            </w:pPr>
            <w:r>
              <w:t>BASI</w:t>
            </w:r>
          </w:p>
        </w:tc>
        <w:tc>
          <w:tcPr>
            <w:cnfStyle w:evenVBand="false" w:oddVBand="true" w:firstColumn="false"/>
            <w:tcW w:w="25.000000%" w:type="pct"/>
          </w:tcPr>
          <w:p>
            <w:pPr>
              <w:ind w:leftChars="0" w:left="0" w:right="0"/>
            </w:pPr>
            <w:r>
              <w:t>BANK OF AMERICA, NATIONAL ASSOCIATION - LONDON BRANCH OFFICE - SYSTEMATIC INTERNALISER</w:t>
            </w:r>
          </w:p>
        </w:tc>
        <w:tc>
          <w:tcPr>
            <w:cnfStyle w:evenVBand="true" w:oddVBand="false" w:firstColumn="false"/>
            <w:tcW w:w="25.000000%" w:type="pct"/>
          </w:tcPr>
          <w:p>
            <w:pPr>
              <w:ind w:leftChars="0" w:left="0" w:right="0"/>
            </w:pPr>
            <w:r>
              <w:t>127</w:t>
            </w:r>
          </w:p>
        </w:tc>
      </w:tr>
      <w:tr>
        <w:trPr>
          <w:cnfStyle w:evenHBand="false" w:oddHBand="true" w:firstRow="false"/>
        </w:trPr>
        <w:tc>
          <w:tcPr>
            <w:cnfStyle w:evenVBand="false" w:oddVBand="true" w:firstColumn="false"/>
            <w:tcW w:w="25.000000%" w:type="pct"/>
          </w:tcPr>
          <w:p>
            <w:pPr>
              <w:ind w:leftChars="0" w:left="0" w:right="0"/>
            </w:pPr>
            <w:r>
              <w:t>BASP</w:t>
            </w:r>
          </w:p>
        </w:tc>
        <w:tc>
          <w:tcPr>
            <w:cnfStyle w:evenVBand="true" w:oddVBand="false" w:firstColumn="false"/>
            <w:tcW w:w="25.000000%" w:type="pct"/>
          </w:tcPr>
          <w:p>
            <w:pPr>
              <w:ind w:leftChars="0" w:left="0" w:right="0"/>
            </w:pPr>
            <w:r>
              <w:t>BASP</w:t>
            </w:r>
          </w:p>
        </w:tc>
        <w:tc>
          <w:tcPr>
            <w:cnfStyle w:evenVBand="false" w:oddVBand="true" w:firstColumn="false"/>
            <w:tcW w:w="25.000000%" w:type="pct"/>
          </w:tcPr>
          <w:p>
            <w:pPr>
              <w:ind w:leftChars="0" w:left="0" w:right="0"/>
            </w:pPr>
            <w:r>
              <w:t>BANK OF AMERICA SECURITIES EQUITY SWAP - SYNTHETIC PRICE SOURCE</w:t>
            </w:r>
          </w:p>
        </w:tc>
        <w:tc>
          <w:tcPr>
            <w:cnfStyle w:evenVBand="true" w:oddVBand="false" w:firstColumn="false"/>
            <w:tcW w:w="25.000000%" w:type="pct"/>
          </w:tcPr>
          <w:p>
            <w:pPr>
              <w:ind w:leftChars="0" w:left="0" w:right="0"/>
            </w:pPr>
            <w:r>
              <w:t>128</w:t>
            </w:r>
          </w:p>
        </w:tc>
      </w:tr>
      <w:tr>
        <w:trPr>
          <w:cnfStyle w:evenHBand="true" w:oddHBand="false" w:firstRow="false"/>
        </w:trPr>
        <w:tc>
          <w:tcPr>
            <w:cnfStyle w:evenVBand="false" w:oddVBand="true" w:firstColumn="false"/>
            <w:tcW w:w="25.000000%" w:type="pct"/>
          </w:tcPr>
          <w:p>
            <w:pPr>
              <w:ind w:leftChars="0" w:left="0" w:right="0"/>
            </w:pPr>
            <w:r>
              <w:t>BASX</w:t>
            </w:r>
          </w:p>
        </w:tc>
        <w:tc>
          <w:tcPr>
            <w:cnfStyle w:evenVBand="true" w:oddVBand="false" w:firstColumn="false"/>
            <w:tcW w:w="25.000000%" w:type="pct"/>
          </w:tcPr>
          <w:p>
            <w:pPr>
              <w:ind w:leftChars="0" w:left="0" w:right="0"/>
            </w:pPr>
            <w:r>
              <w:t>BASX</w:t>
            </w:r>
          </w:p>
        </w:tc>
        <w:tc>
          <w:tcPr>
            <w:cnfStyle w:evenVBand="false" w:oddVBand="true" w:firstColumn="false"/>
            <w:tcW w:w="25.000000%" w:type="pct"/>
          </w:tcPr>
          <w:p>
            <w:pPr>
              <w:ind w:leftChars="0" w:left="0" w:right="0"/>
            </w:pPr>
            <w:r>
              <w:t>BANK OF AMERICA MERRILL LYNCH - SIMPLEX BLAST X</w:t>
            </w:r>
          </w:p>
        </w:tc>
        <w:tc>
          <w:tcPr>
            <w:cnfStyle w:evenVBand="true" w:oddVBand="false" w:firstColumn="false"/>
            <w:tcW w:w="25.000000%" w:type="pct"/>
          </w:tcPr>
          <w:p>
            <w:pPr>
              <w:ind w:leftChars="0" w:left="0" w:right="0"/>
            </w:pPr>
            <w:r>
              <w:t>129</w:t>
            </w:r>
          </w:p>
        </w:tc>
      </w:tr>
      <w:tr>
        <w:trPr>
          <w:cnfStyle w:evenHBand="false" w:oddHBand="true" w:firstRow="false"/>
        </w:trPr>
        <w:tc>
          <w:tcPr>
            <w:cnfStyle w:evenVBand="false" w:oddVBand="true" w:firstColumn="false"/>
            <w:tcW w:w="25.000000%" w:type="pct"/>
          </w:tcPr>
          <w:p>
            <w:pPr>
              <w:ind w:leftChars="0" w:left="0" w:right="0"/>
            </w:pPr>
            <w:r>
              <w:t>BATD</w:t>
            </w:r>
          </w:p>
        </w:tc>
        <w:tc>
          <w:tcPr>
            <w:cnfStyle w:evenVBand="true" w:oddVBand="false" w:firstColumn="false"/>
            <w:tcW w:w="25.000000%" w:type="pct"/>
          </w:tcPr>
          <w:p>
            <w:pPr>
              <w:ind w:leftChars="0" w:left="0" w:right="0"/>
            </w:pPr>
            <w:r>
              <w:t>BATD</w:t>
            </w:r>
          </w:p>
        </w:tc>
        <w:tc>
          <w:tcPr>
            <w:cnfStyle w:evenVBand="false" w:oddVBand="true" w:firstColumn="false"/>
            <w:tcW w:w="25.000000%" w:type="pct"/>
          </w:tcPr>
          <w:p>
            <w:pPr>
              <w:ind w:leftChars="0" w:left="0" w:right="0"/>
            </w:pPr>
            <w:r>
              <w:t>CBOE EUROPE - BXE DARK ORDER BOOK</w:t>
            </w:r>
          </w:p>
        </w:tc>
        <w:tc>
          <w:tcPr>
            <w:cnfStyle w:evenVBand="true" w:oddVBand="false" w:firstColumn="false"/>
            <w:tcW w:w="25.000000%" w:type="pct"/>
          </w:tcPr>
          <w:p>
            <w:pPr>
              <w:ind w:leftChars="0" w:left="0" w:right="0"/>
            </w:pPr>
            <w:r>
              <w:t>130</w:t>
            </w:r>
          </w:p>
        </w:tc>
      </w:tr>
      <w:tr>
        <w:trPr>
          <w:cnfStyle w:evenHBand="true" w:oddHBand="false" w:firstRow="false"/>
        </w:trPr>
        <w:tc>
          <w:tcPr>
            <w:cnfStyle w:evenVBand="false" w:oddVBand="true" w:firstColumn="false"/>
            <w:tcW w:w="25.000000%" w:type="pct"/>
          </w:tcPr>
          <w:p>
            <w:pPr>
              <w:ind w:leftChars="0" w:left="0" w:right="0"/>
            </w:pPr>
            <w:r>
              <w:t>BATE</w:t>
            </w:r>
          </w:p>
        </w:tc>
        <w:tc>
          <w:tcPr>
            <w:cnfStyle w:evenVBand="true" w:oddVBand="false" w:firstColumn="false"/>
            <w:tcW w:w="25.000000%" w:type="pct"/>
          </w:tcPr>
          <w:p>
            <w:pPr>
              <w:ind w:leftChars="0" w:left="0" w:right="0"/>
            </w:pPr>
            <w:r>
              <w:t>BATE</w:t>
            </w:r>
          </w:p>
        </w:tc>
        <w:tc>
          <w:tcPr>
            <w:cnfStyle w:evenVBand="false" w:oddVBand="true" w:firstColumn="false"/>
            <w:tcW w:w="25.000000%" w:type="pct"/>
          </w:tcPr>
          <w:p>
            <w:pPr>
              <w:ind w:leftChars="0" w:left="0" w:right="0"/>
            </w:pPr>
            <w:r>
              <w:t>CBOE EUROPE - BXE ORDER BOOKS</w:t>
            </w:r>
          </w:p>
        </w:tc>
        <w:tc>
          <w:tcPr>
            <w:cnfStyle w:evenVBand="true" w:oddVBand="false" w:firstColumn="false"/>
            <w:tcW w:w="25.000000%" w:type="pct"/>
          </w:tcPr>
          <w:p>
            <w:pPr>
              <w:ind w:leftChars="0" w:left="0" w:right="0"/>
            </w:pPr>
            <w:r>
              <w:t>131</w:t>
            </w:r>
          </w:p>
        </w:tc>
      </w:tr>
      <w:tr>
        <w:trPr>
          <w:cnfStyle w:evenHBand="false" w:oddHBand="true" w:firstRow="false"/>
        </w:trPr>
        <w:tc>
          <w:tcPr>
            <w:cnfStyle w:evenVBand="false" w:oddVBand="true" w:firstColumn="false"/>
            <w:tcW w:w="25.000000%" w:type="pct"/>
          </w:tcPr>
          <w:p>
            <w:pPr>
              <w:ind w:leftChars="0" w:left="0" w:right="0"/>
            </w:pPr>
            <w:r>
              <w:t>BATF</w:t>
            </w:r>
          </w:p>
        </w:tc>
        <w:tc>
          <w:tcPr>
            <w:cnfStyle w:evenVBand="true" w:oddVBand="false" w:firstColumn="false"/>
            <w:tcW w:w="25.000000%" w:type="pct"/>
          </w:tcPr>
          <w:p>
            <w:pPr>
              <w:ind w:leftChars="0" w:left="0" w:right="0"/>
            </w:pPr>
            <w:r>
              <w:t>BATF</w:t>
            </w:r>
          </w:p>
        </w:tc>
        <w:tc>
          <w:tcPr>
            <w:cnfStyle w:evenVBand="false" w:oddVBand="true" w:firstColumn="false"/>
            <w:tcW w:w="25.000000%" w:type="pct"/>
          </w:tcPr>
          <w:p>
            <w:pPr>
              <w:ind w:leftChars="0" w:left="0" w:right="0"/>
            </w:pPr>
            <w:r>
              <w:t>CBOE EUROPE - BXE OFF-BOOK</w:t>
            </w:r>
          </w:p>
        </w:tc>
        <w:tc>
          <w:tcPr>
            <w:cnfStyle w:evenVBand="true" w:oddVBand="false" w:firstColumn="false"/>
            <w:tcW w:w="25.000000%" w:type="pct"/>
          </w:tcPr>
          <w:p>
            <w:pPr>
              <w:ind w:leftChars="0" w:left="0" w:right="0"/>
            </w:pPr>
            <w:r>
              <w:t>132</w:t>
            </w:r>
          </w:p>
        </w:tc>
      </w:tr>
      <w:tr>
        <w:trPr>
          <w:cnfStyle w:evenHBand="true" w:oddHBand="false" w:firstRow="false"/>
        </w:trPr>
        <w:tc>
          <w:tcPr>
            <w:cnfStyle w:evenVBand="false" w:oddVBand="true" w:firstColumn="false"/>
            <w:tcW w:w="25.000000%" w:type="pct"/>
          </w:tcPr>
          <w:p>
            <w:pPr>
              <w:ind w:leftChars="0" w:left="0" w:right="0"/>
            </w:pPr>
            <w:r>
              <w:t>BATO</w:t>
            </w:r>
          </w:p>
        </w:tc>
        <w:tc>
          <w:tcPr>
            <w:cnfStyle w:evenVBand="true" w:oddVBand="false" w:firstColumn="false"/>
            <w:tcW w:w="25.000000%" w:type="pct"/>
          </w:tcPr>
          <w:p>
            <w:pPr>
              <w:ind w:leftChars="0" w:left="0" w:right="0"/>
            </w:pPr>
            <w:r>
              <w:t>BATO</w:t>
            </w:r>
          </w:p>
        </w:tc>
        <w:tc>
          <w:tcPr>
            <w:cnfStyle w:evenVBand="false" w:oddVBand="true" w:firstColumn="false"/>
            <w:tcW w:w="25.000000%" w:type="pct"/>
          </w:tcPr>
          <w:p>
            <w:pPr>
              <w:ind w:leftChars="0" w:left="0" w:right="0"/>
            </w:pPr>
            <w:r>
              <w:t>CBOE BZX OPTIONS EXCHANGE</w:t>
            </w:r>
          </w:p>
        </w:tc>
        <w:tc>
          <w:tcPr>
            <w:cnfStyle w:evenVBand="true" w:oddVBand="false" w:firstColumn="false"/>
            <w:tcW w:w="25.000000%" w:type="pct"/>
          </w:tcPr>
          <w:p>
            <w:pPr>
              <w:ind w:leftChars="0" w:left="0" w:right="0"/>
            </w:pPr>
            <w:r>
              <w:t>133</w:t>
            </w:r>
          </w:p>
        </w:tc>
      </w:tr>
      <w:tr>
        <w:trPr>
          <w:cnfStyle w:evenHBand="false" w:oddHBand="true" w:firstRow="false"/>
        </w:trPr>
        <w:tc>
          <w:tcPr>
            <w:cnfStyle w:evenVBand="false" w:oddVBand="true" w:firstColumn="false"/>
            <w:tcW w:w="25.000000%" w:type="pct"/>
          </w:tcPr>
          <w:p>
            <w:pPr>
              <w:ind w:leftChars="0" w:left="0" w:right="0"/>
            </w:pPr>
            <w:r>
              <w:t>BATP</w:t>
            </w:r>
          </w:p>
        </w:tc>
        <w:tc>
          <w:tcPr>
            <w:cnfStyle w:evenVBand="true" w:oddVBand="false" w:firstColumn="false"/>
            <w:tcW w:w="25.000000%" w:type="pct"/>
          </w:tcPr>
          <w:p>
            <w:pPr>
              <w:ind w:leftChars="0" w:left="0" w:right="0"/>
            </w:pPr>
            <w:r>
              <w:t>BATP</w:t>
            </w:r>
          </w:p>
        </w:tc>
        <w:tc>
          <w:tcPr>
            <w:cnfStyle w:evenVBand="false" w:oddVBand="true" w:firstColumn="false"/>
            <w:tcW w:w="25.000000%" w:type="pct"/>
          </w:tcPr>
          <w:p>
            <w:pPr>
              <w:ind w:leftChars="0" w:left="0" w:right="0"/>
            </w:pPr>
            <w:r>
              <w:t>CBOE EUROPE - BXE PERIODIC</w:t>
            </w:r>
          </w:p>
        </w:tc>
        <w:tc>
          <w:tcPr>
            <w:cnfStyle w:evenVBand="true" w:oddVBand="false" w:firstColumn="false"/>
            <w:tcW w:w="25.000000%" w:type="pct"/>
          </w:tcPr>
          <w:p>
            <w:pPr>
              <w:ind w:leftChars="0" w:left="0" w:right="0"/>
            </w:pPr>
            <w:r>
              <w:t>134</w:t>
            </w:r>
          </w:p>
        </w:tc>
      </w:tr>
      <w:tr>
        <w:trPr>
          <w:cnfStyle w:evenHBand="true" w:oddHBand="false" w:firstRow="false"/>
        </w:trPr>
        <w:tc>
          <w:tcPr>
            <w:cnfStyle w:evenVBand="false" w:oddVBand="true" w:firstColumn="false"/>
            <w:tcW w:w="25.000000%" w:type="pct"/>
          </w:tcPr>
          <w:p>
            <w:pPr>
              <w:ind w:leftChars="0" w:left="0" w:right="0"/>
            </w:pPr>
            <w:r>
              <w:t>BATS</w:t>
            </w:r>
          </w:p>
        </w:tc>
        <w:tc>
          <w:tcPr>
            <w:cnfStyle w:evenVBand="true" w:oddVBand="false" w:firstColumn="false"/>
            <w:tcW w:w="25.000000%" w:type="pct"/>
          </w:tcPr>
          <w:p>
            <w:pPr>
              <w:ind w:leftChars="0" w:left="0" w:right="0"/>
            </w:pPr>
            <w:r>
              <w:t>BATS</w:t>
            </w:r>
          </w:p>
        </w:tc>
        <w:tc>
          <w:tcPr>
            <w:cnfStyle w:evenVBand="false" w:oddVBand="true" w:firstColumn="false"/>
            <w:tcW w:w="25.000000%" w:type="pct"/>
          </w:tcPr>
          <w:p>
            <w:pPr>
              <w:ind w:leftChars="0" w:left="0" w:right="0"/>
            </w:pPr>
            <w:r>
              <w:t>CBOE BZX U.S. EQUITIES EXCHANGE</w:t>
            </w:r>
          </w:p>
        </w:tc>
        <w:tc>
          <w:tcPr>
            <w:cnfStyle w:evenVBand="true" w:oddVBand="false" w:firstColumn="false"/>
            <w:tcW w:w="25.000000%" w:type="pct"/>
          </w:tcPr>
          <w:p>
            <w:pPr>
              <w:ind w:leftChars="0" w:left="0" w:right="0"/>
            </w:pPr>
            <w:r>
              <w:t>135</w:t>
            </w:r>
          </w:p>
        </w:tc>
      </w:tr>
      <w:tr>
        <w:trPr>
          <w:cnfStyle w:evenHBand="false" w:oddHBand="true" w:firstRow="false"/>
        </w:trPr>
        <w:tc>
          <w:tcPr>
            <w:cnfStyle w:evenVBand="false" w:oddVBand="true" w:firstColumn="false"/>
            <w:tcW w:w="25.000000%" w:type="pct"/>
          </w:tcPr>
          <w:p>
            <w:pPr>
              <w:ind w:leftChars="0" w:left="0" w:right="0"/>
            </w:pPr>
            <w:r>
              <w:t>BATY</w:t>
            </w:r>
          </w:p>
        </w:tc>
        <w:tc>
          <w:tcPr>
            <w:cnfStyle w:evenVBand="true" w:oddVBand="false" w:firstColumn="false"/>
            <w:tcW w:w="25.000000%" w:type="pct"/>
          </w:tcPr>
          <w:p>
            <w:pPr>
              <w:ind w:leftChars="0" w:left="0" w:right="0"/>
            </w:pPr>
            <w:r>
              <w:t>BATY</w:t>
            </w:r>
          </w:p>
        </w:tc>
        <w:tc>
          <w:tcPr>
            <w:cnfStyle w:evenVBand="false" w:oddVBand="true" w:firstColumn="false"/>
            <w:tcW w:w="25.000000%" w:type="pct"/>
          </w:tcPr>
          <w:p>
            <w:pPr>
              <w:ind w:leftChars="0" w:left="0" w:right="0"/>
            </w:pPr>
            <w:r>
              <w:t>CBOE BYX U.S. EQUITIES EXCHANGE</w:t>
            </w:r>
          </w:p>
        </w:tc>
        <w:tc>
          <w:tcPr>
            <w:cnfStyle w:evenVBand="true" w:oddVBand="false" w:firstColumn="false"/>
            <w:tcW w:w="25.000000%" w:type="pct"/>
          </w:tcPr>
          <w:p>
            <w:pPr>
              <w:ind w:leftChars="0" w:left="0" w:right="0"/>
            </w:pPr>
            <w:r>
              <w:t>136</w:t>
            </w:r>
          </w:p>
        </w:tc>
      </w:tr>
      <w:tr>
        <w:trPr>
          <w:cnfStyle w:evenHBand="true" w:oddHBand="false" w:firstRow="false"/>
        </w:trPr>
        <w:tc>
          <w:tcPr>
            <w:cnfStyle w:evenVBand="false" w:oddVBand="true" w:firstColumn="false"/>
            <w:tcW w:w="25.000000%" w:type="pct"/>
          </w:tcPr>
          <w:p>
            <w:pPr>
              <w:ind w:leftChars="0" w:left="0" w:right="0"/>
            </w:pPr>
            <w:r>
              <w:t>BBIE</w:t>
            </w:r>
          </w:p>
        </w:tc>
        <w:tc>
          <w:tcPr>
            <w:cnfStyle w:evenVBand="true" w:oddVBand="false" w:firstColumn="false"/>
            <w:tcW w:w="25.000000%" w:type="pct"/>
          </w:tcPr>
          <w:p>
            <w:pPr>
              <w:ind w:leftChars="0" w:left="0" w:right="0"/>
            </w:pPr>
            <w:r>
              <w:t>BBIE</w:t>
            </w:r>
          </w:p>
        </w:tc>
        <w:tc>
          <w:tcPr>
            <w:cnfStyle w:evenVBand="false" w:oddVBand="true" w:firstColumn="false"/>
            <w:tcW w:w="25.000000%" w:type="pct"/>
          </w:tcPr>
          <w:p>
            <w:pPr>
              <w:ind w:leftChars="0" w:left="0" w:right="0"/>
            </w:pPr>
            <w:r>
              <w:t>BARCLAYS BANK IRELAND PLC</w:t>
            </w:r>
          </w:p>
        </w:tc>
        <w:tc>
          <w:tcPr>
            <w:cnfStyle w:evenVBand="true" w:oddVBand="false" w:firstColumn="false"/>
            <w:tcW w:w="25.000000%" w:type="pct"/>
          </w:tcPr>
          <w:p>
            <w:pPr>
              <w:ind w:leftChars="0" w:left="0" w:right="0"/>
            </w:pPr>
            <w:r>
              <w:t>137</w:t>
            </w:r>
          </w:p>
        </w:tc>
      </w:tr>
      <w:tr>
        <w:trPr>
          <w:cnfStyle w:evenHBand="false" w:oddHBand="true" w:firstRow="false"/>
        </w:trPr>
        <w:tc>
          <w:tcPr>
            <w:cnfStyle w:evenVBand="false" w:oddVBand="true" w:firstColumn="false"/>
            <w:tcW w:w="25.000000%" w:type="pct"/>
          </w:tcPr>
          <w:p>
            <w:pPr>
              <w:ind w:leftChars="0" w:left="0" w:right="0"/>
            </w:pPr>
            <w:r>
              <w:t>BBIS</w:t>
            </w:r>
          </w:p>
        </w:tc>
        <w:tc>
          <w:tcPr>
            <w:cnfStyle w:evenVBand="true" w:oddVBand="false" w:firstColumn="false"/>
            <w:tcW w:w="25.000000%" w:type="pct"/>
          </w:tcPr>
          <w:p>
            <w:pPr>
              <w:ind w:leftChars="0" w:left="0" w:right="0"/>
            </w:pPr>
            <w:r>
              <w:t>BBIS</w:t>
            </w:r>
          </w:p>
        </w:tc>
        <w:tc>
          <w:tcPr>
            <w:cnfStyle w:evenVBand="false" w:oddVBand="true" w:firstColumn="false"/>
            <w:tcW w:w="25.000000%" w:type="pct"/>
          </w:tcPr>
          <w:p>
            <w:pPr>
              <w:ind w:leftChars="0" w:left="0" w:right="0"/>
            </w:pPr>
            <w:r>
              <w:t>BARCLAYS BANK IRELAND PLC - SYSTEMATIC INTERNALISER</w:t>
            </w:r>
          </w:p>
        </w:tc>
        <w:tc>
          <w:tcPr>
            <w:cnfStyle w:evenVBand="true" w:oddVBand="false" w:firstColumn="false"/>
            <w:tcW w:w="25.000000%" w:type="pct"/>
          </w:tcPr>
          <w:p>
            <w:pPr>
              <w:ind w:leftChars="0" w:left="0" w:right="0"/>
            </w:pPr>
            <w:r>
              <w:t>138</w:t>
            </w:r>
          </w:p>
        </w:tc>
      </w:tr>
      <w:tr>
        <w:trPr>
          <w:cnfStyle w:evenHBand="true" w:oddHBand="false" w:firstRow="false"/>
        </w:trPr>
        <w:tc>
          <w:tcPr>
            <w:cnfStyle w:evenVBand="false" w:oddVBand="true" w:firstColumn="false"/>
            <w:tcW w:w="25.000000%" w:type="pct"/>
          </w:tcPr>
          <w:p>
            <w:pPr>
              <w:ind w:leftChars="0" w:left="0" w:right="0"/>
            </w:pPr>
            <w:r>
              <w:t>BBLX</w:t>
            </w:r>
          </w:p>
        </w:tc>
        <w:tc>
          <w:tcPr>
            <w:cnfStyle w:evenVBand="true" w:oddVBand="false" w:firstColumn="false"/>
            <w:tcW w:w="25.000000%" w:type="pct"/>
          </w:tcPr>
          <w:p>
            <w:pPr>
              <w:ind w:leftChars="0" w:left="0" w:right="0"/>
            </w:pPr>
            <w:r>
              <w:t>BBLX</w:t>
            </w:r>
          </w:p>
        </w:tc>
        <w:tc>
          <w:tcPr>
            <w:cnfStyle w:evenVBand="false" w:oddVBand="true" w:firstColumn="false"/>
            <w:tcW w:w="25.000000%" w:type="pct"/>
          </w:tcPr>
          <w:p>
            <w:pPr>
              <w:ind w:leftChars="0" w:left="0" w:right="0"/>
            </w:pPr>
            <w:r>
              <w:t>BONDBLOX EXCHANGE</w:t>
            </w:r>
          </w:p>
        </w:tc>
        <w:tc>
          <w:tcPr>
            <w:cnfStyle w:evenVBand="true" w:oddVBand="false" w:firstColumn="false"/>
            <w:tcW w:w="25.000000%" w:type="pct"/>
          </w:tcPr>
          <w:p>
            <w:pPr>
              <w:ind w:leftChars="0" w:left="0" w:right="0"/>
            </w:pPr>
            <w:r>
              <w:t>139</w:t>
            </w:r>
          </w:p>
        </w:tc>
      </w:tr>
      <w:tr>
        <w:trPr>
          <w:cnfStyle w:evenHBand="false" w:oddHBand="true" w:firstRow="false"/>
        </w:trPr>
        <w:tc>
          <w:tcPr>
            <w:cnfStyle w:evenVBand="false" w:oddVBand="true" w:firstColumn="false"/>
            <w:tcW w:w="25.000000%" w:type="pct"/>
          </w:tcPr>
          <w:p>
            <w:pPr>
              <w:ind w:leftChars="0" w:left="0" w:right="0"/>
            </w:pPr>
            <w:r>
              <w:t>BBOK</w:t>
            </w:r>
          </w:p>
        </w:tc>
        <w:tc>
          <w:tcPr>
            <w:cnfStyle w:evenVBand="true" w:oddVBand="false" w:firstColumn="false"/>
            <w:tcW w:w="25.000000%" w:type="pct"/>
          </w:tcPr>
          <w:p>
            <w:pPr>
              <w:ind w:leftChars="0" w:left="0" w:right="0"/>
            </w:pPr>
            <w:r>
              <w:t>BBOK</w:t>
            </w:r>
          </w:p>
        </w:tc>
        <w:tc>
          <w:tcPr>
            <w:cnfStyle w:evenVBand="false" w:oddVBand="true" w:firstColumn="false"/>
            <w:tcW w:w="25.000000%" w:type="pct"/>
          </w:tcPr>
          <w:p>
            <w:pPr>
              <w:ind w:leftChars="0" w:left="0" w:right="0"/>
            </w:pPr>
            <w:r>
              <w:t>BARCLAYS SINGLE DEALER PLATFORM</w:t>
            </w:r>
          </w:p>
        </w:tc>
        <w:tc>
          <w:tcPr>
            <w:cnfStyle w:evenVBand="true" w:oddVBand="false" w:firstColumn="false"/>
            <w:tcW w:w="25.000000%" w:type="pct"/>
          </w:tcPr>
          <w:p>
            <w:pPr>
              <w:ind w:leftChars="0" w:left="0" w:right="0"/>
            </w:pPr>
            <w:r>
              <w:t>140</w:t>
            </w:r>
          </w:p>
        </w:tc>
      </w:tr>
      <w:tr>
        <w:trPr>
          <w:cnfStyle w:evenHBand="true" w:oddHBand="false" w:firstRow="false"/>
        </w:trPr>
        <w:tc>
          <w:tcPr>
            <w:cnfStyle w:evenVBand="false" w:oddVBand="true" w:firstColumn="false"/>
            <w:tcW w:w="25.000000%" w:type="pct"/>
          </w:tcPr>
          <w:p>
            <w:pPr>
              <w:ind w:leftChars="0" w:left="0" w:right="0"/>
            </w:pPr>
            <w:r>
              <w:t>BBSF</w:t>
            </w:r>
          </w:p>
        </w:tc>
        <w:tc>
          <w:tcPr>
            <w:cnfStyle w:evenVBand="true" w:oddVBand="false" w:firstColumn="false"/>
            <w:tcW w:w="25.000000%" w:type="pct"/>
          </w:tcPr>
          <w:p>
            <w:pPr>
              <w:ind w:leftChars="0" w:left="0" w:right="0"/>
            </w:pPr>
            <w:r>
              <w:t>BBSF</w:t>
            </w:r>
          </w:p>
        </w:tc>
        <w:tc>
          <w:tcPr>
            <w:cnfStyle w:evenVBand="false" w:oddVBand="true" w:firstColumn="false"/>
            <w:tcW w:w="25.000000%" w:type="pct"/>
          </w:tcPr>
          <w:p>
            <w:pPr>
              <w:ind w:leftChars="0" w:left="0" w:right="0"/>
            </w:pPr>
            <w:r>
              <w:t>BLOOMBERG SEF LLC</w:t>
            </w:r>
          </w:p>
        </w:tc>
        <w:tc>
          <w:tcPr>
            <w:cnfStyle w:evenVBand="true" w:oddVBand="false" w:firstColumn="false"/>
            <w:tcW w:w="25.000000%" w:type="pct"/>
          </w:tcPr>
          <w:p>
            <w:pPr>
              <w:ind w:leftChars="0" w:left="0" w:right="0"/>
            </w:pPr>
            <w:r>
              <w:t>141</w:t>
            </w:r>
          </w:p>
        </w:tc>
      </w:tr>
      <w:tr>
        <w:trPr>
          <w:cnfStyle w:evenHBand="false" w:oddHBand="true" w:firstRow="false"/>
        </w:trPr>
        <w:tc>
          <w:tcPr>
            <w:cnfStyle w:evenVBand="false" w:oddVBand="true" w:firstColumn="false"/>
            <w:tcW w:w="25.000000%" w:type="pct"/>
          </w:tcPr>
          <w:p>
            <w:pPr>
              <w:ind w:leftChars="0" w:left="0" w:right="0"/>
            </w:pPr>
            <w:r>
              <w:t>BBSI</w:t>
            </w:r>
          </w:p>
        </w:tc>
        <w:tc>
          <w:tcPr>
            <w:cnfStyle w:evenVBand="true" w:oddVBand="false" w:firstColumn="false"/>
            <w:tcW w:w="25.000000%" w:type="pct"/>
          </w:tcPr>
          <w:p>
            <w:pPr>
              <w:ind w:leftChars="0" w:left="0" w:right="0"/>
            </w:pPr>
            <w:r>
              <w:t>BBSI</w:t>
            </w:r>
          </w:p>
        </w:tc>
        <w:tc>
          <w:tcPr>
            <w:cnfStyle w:evenVBand="false" w:oddVBand="true" w:firstColumn="false"/>
            <w:tcW w:w="25.000000%" w:type="pct"/>
          </w:tcPr>
          <w:p>
            <w:pPr>
              <w:ind w:leftChars="0" w:left="0" w:right="0"/>
            </w:pPr>
            <w:r>
              <w:t>BARCLAYS BANK PLC - SYSTEMATIC INTERNALISER</w:t>
            </w:r>
          </w:p>
        </w:tc>
        <w:tc>
          <w:tcPr>
            <w:cnfStyle w:evenVBand="true" w:oddVBand="false" w:firstColumn="false"/>
            <w:tcW w:w="25.000000%" w:type="pct"/>
          </w:tcPr>
          <w:p>
            <w:pPr>
              <w:ind w:leftChars="0" w:left="0" w:right="0"/>
            </w:pPr>
            <w:r>
              <w:t>142</w:t>
            </w:r>
          </w:p>
        </w:tc>
      </w:tr>
      <w:tr>
        <w:trPr>
          <w:cnfStyle w:evenHBand="true" w:oddHBand="false" w:firstRow="false"/>
        </w:trPr>
        <w:tc>
          <w:tcPr>
            <w:cnfStyle w:evenVBand="false" w:oddVBand="true" w:firstColumn="false"/>
            <w:tcW w:w="25.000000%" w:type="pct"/>
          </w:tcPr>
          <w:p>
            <w:pPr>
              <w:ind w:leftChars="0" w:left="0" w:right="0"/>
            </w:pPr>
            <w:r>
              <w:t>BBSX</w:t>
            </w:r>
          </w:p>
        </w:tc>
        <w:tc>
          <w:tcPr>
            <w:cnfStyle w:evenVBand="true" w:oddVBand="false" w:firstColumn="false"/>
            <w:tcW w:w="25.000000%" w:type="pct"/>
          </w:tcPr>
          <w:p>
            <w:pPr>
              <w:ind w:leftChars="0" w:left="0" w:right="0"/>
            </w:pPr>
            <w:r>
              <w:t>BBSX</w:t>
            </w:r>
          </w:p>
        </w:tc>
        <w:tc>
          <w:tcPr>
            <w:cnfStyle w:evenVBand="false" w:oddVBand="true" w:firstColumn="false"/>
            <w:tcW w:w="25.000000%" w:type="pct"/>
          </w:tcPr>
          <w:p>
            <w:pPr>
              <w:ind w:leftChars="0" w:left="0" w:right="0"/>
            </w:pPr>
            <w:r>
              <w:t>BB SECURITIES LTD</w:t>
            </w:r>
          </w:p>
        </w:tc>
        <w:tc>
          <w:tcPr>
            <w:cnfStyle w:evenVBand="true" w:oddVBand="false" w:firstColumn="false"/>
            <w:tcW w:w="25.000000%" w:type="pct"/>
          </w:tcPr>
          <w:p>
            <w:pPr>
              <w:ind w:leftChars="0" w:left="0" w:right="0"/>
            </w:pPr>
            <w:r>
              <w:t>143</w:t>
            </w:r>
          </w:p>
        </w:tc>
      </w:tr>
      <w:tr>
        <w:trPr>
          <w:cnfStyle w:evenHBand="false" w:oddHBand="true" w:firstRow="false"/>
        </w:trPr>
        <w:tc>
          <w:tcPr>
            <w:cnfStyle w:evenVBand="false" w:oddVBand="true" w:firstColumn="false"/>
            <w:tcW w:w="25.000000%" w:type="pct"/>
          </w:tcPr>
          <w:p>
            <w:pPr>
              <w:ind w:leftChars="0" w:left="0" w:right="0"/>
            </w:pPr>
            <w:r>
              <w:t>BBVA</w:t>
            </w:r>
          </w:p>
        </w:tc>
        <w:tc>
          <w:tcPr>
            <w:cnfStyle w:evenVBand="true" w:oddVBand="false" w:firstColumn="false"/>
            <w:tcW w:w="25.000000%" w:type="pct"/>
          </w:tcPr>
          <w:p>
            <w:pPr>
              <w:ind w:leftChars="0" w:left="0" w:right="0"/>
            </w:pPr>
            <w:r>
              <w:t>BBVA</w:t>
            </w:r>
          </w:p>
        </w:tc>
        <w:tc>
          <w:tcPr>
            <w:cnfStyle w:evenVBand="false" w:oddVBand="true" w:firstColumn="false"/>
            <w:tcW w:w="25.000000%" w:type="pct"/>
          </w:tcPr>
          <w:p>
            <w:pPr>
              <w:ind w:leftChars="0" w:left="0" w:right="0"/>
            </w:pPr>
            <w:r>
              <w:t>BANCO BILBAO VIZCAYA ARGENTARIA S.A - SYSTEMATIC INTERNALISER</w:t>
            </w:r>
          </w:p>
        </w:tc>
        <w:tc>
          <w:tcPr>
            <w:cnfStyle w:evenVBand="true" w:oddVBand="false" w:firstColumn="false"/>
            <w:tcW w:w="25.000000%" w:type="pct"/>
          </w:tcPr>
          <w:p>
            <w:pPr>
              <w:ind w:leftChars="0" w:left="0" w:right="0"/>
            </w:pPr>
            <w:r>
              <w:t>144</w:t>
            </w:r>
          </w:p>
        </w:tc>
      </w:tr>
      <w:tr>
        <w:trPr>
          <w:cnfStyle w:evenHBand="true" w:oddHBand="false" w:firstRow="false"/>
        </w:trPr>
        <w:tc>
          <w:tcPr>
            <w:cnfStyle w:evenVBand="false" w:oddVBand="true" w:firstColumn="false"/>
            <w:tcW w:w="25.000000%" w:type="pct"/>
          </w:tcPr>
          <w:p>
            <w:pPr>
              <w:ind w:leftChars="0" w:left="0" w:right="0"/>
            </w:pPr>
            <w:r>
              <w:t>BBVX</w:t>
            </w:r>
          </w:p>
        </w:tc>
        <w:tc>
          <w:tcPr>
            <w:cnfStyle w:evenVBand="true" w:oddVBand="false" w:firstColumn="false"/>
            <w:tcW w:w="25.000000%" w:type="pct"/>
          </w:tcPr>
          <w:p>
            <w:pPr>
              <w:ind w:leftChars="0" w:left="0" w:right="0"/>
            </w:pPr>
            <w:r>
              <w:t>BBVX</w:t>
            </w:r>
          </w:p>
        </w:tc>
        <w:tc>
          <w:tcPr>
            <w:cnfStyle w:evenVBand="false" w:oddVBand="true" w:firstColumn="false"/>
            <w:tcW w:w="25.000000%" w:type="pct"/>
          </w:tcPr>
          <w:p>
            <w:pPr>
              <w:ind w:leftChars="0" w:left="0" w:right="0"/>
            </w:pPr>
            <w:r>
              <w:t>BANCO BILBAO VIZCAYA ARGENTARIA S.A. - UK - SYSTEMATIC INTERNALISER</w:t>
            </w:r>
          </w:p>
        </w:tc>
        <w:tc>
          <w:tcPr>
            <w:cnfStyle w:evenVBand="true" w:oddVBand="false" w:firstColumn="false"/>
            <w:tcW w:w="25.000000%" w:type="pct"/>
          </w:tcPr>
          <w:p>
            <w:pPr>
              <w:ind w:leftChars="0" w:left="0" w:right="0"/>
            </w:pPr>
            <w:r>
              <w:t>145</w:t>
            </w:r>
          </w:p>
        </w:tc>
      </w:tr>
      <w:tr>
        <w:trPr>
          <w:cnfStyle w:evenHBand="false" w:oddHBand="true" w:firstRow="false"/>
        </w:trPr>
        <w:tc>
          <w:tcPr>
            <w:cnfStyle w:evenVBand="false" w:oddVBand="true" w:firstColumn="false"/>
            <w:tcW w:w="25.000000%" w:type="pct"/>
          </w:tcPr>
          <w:p>
            <w:pPr>
              <w:ind w:leftChars="0" w:left="0" w:right="0"/>
            </w:pPr>
            <w:r>
              <w:t>BCDX</w:t>
            </w:r>
          </w:p>
        </w:tc>
        <w:tc>
          <w:tcPr>
            <w:cnfStyle w:evenVBand="true" w:oddVBand="false" w:firstColumn="false"/>
            <w:tcW w:w="25.000000%" w:type="pct"/>
          </w:tcPr>
          <w:p>
            <w:pPr>
              <w:ind w:leftChars="0" w:left="0" w:right="0"/>
            </w:pPr>
            <w:r>
              <w:t>BCDX</w:t>
            </w:r>
          </w:p>
        </w:tc>
        <w:tc>
          <w:tcPr>
            <w:cnfStyle w:evenVBand="false" w:oddVBand="true" w:firstColumn="false"/>
            <w:tcW w:w="25.000000%" w:type="pct"/>
          </w:tcPr>
          <w:p>
            <w:pPr>
              <w:ind w:leftChars="0" w:left="0" w:right="0"/>
            </w:pPr>
            <w:r>
              <w:t>BARCLAYS DIRECT EX ATS</w:t>
            </w:r>
          </w:p>
        </w:tc>
        <w:tc>
          <w:tcPr>
            <w:cnfStyle w:evenVBand="true" w:oddVBand="false" w:firstColumn="false"/>
            <w:tcW w:w="25.000000%" w:type="pct"/>
          </w:tcPr>
          <w:p>
            <w:pPr>
              <w:ind w:leftChars="0" w:left="0" w:right="0"/>
            </w:pPr>
            <w:r>
              <w:t>146</w:t>
            </w:r>
          </w:p>
        </w:tc>
      </w:tr>
      <w:tr>
        <w:trPr>
          <w:cnfStyle w:evenHBand="true" w:oddHBand="false" w:firstRow="false"/>
        </w:trPr>
        <w:tc>
          <w:tcPr>
            <w:cnfStyle w:evenVBand="false" w:oddVBand="true" w:firstColumn="false"/>
            <w:tcW w:w="25.000000%" w:type="pct"/>
          </w:tcPr>
          <w:p>
            <w:pPr>
              <w:ind w:leftChars="0" w:left="0" w:right="0"/>
            </w:pPr>
            <w:r>
              <w:t>BCEE</w:t>
            </w:r>
          </w:p>
        </w:tc>
        <w:tc>
          <w:tcPr>
            <w:cnfStyle w:evenVBand="true" w:oddVBand="false" w:firstColumn="false"/>
            <w:tcW w:w="25.000000%" w:type="pct"/>
          </w:tcPr>
          <w:p>
            <w:pPr>
              <w:ind w:leftChars="0" w:left="0" w:right="0"/>
            </w:pPr>
            <w:r>
              <w:t>BCEE</w:t>
            </w:r>
          </w:p>
        </w:tc>
        <w:tc>
          <w:tcPr>
            <w:cnfStyle w:evenVBand="false" w:oddVBand="true" w:firstColumn="false"/>
            <w:tcW w:w="25.000000%" w:type="pct"/>
          </w:tcPr>
          <w:p>
            <w:pPr>
              <w:ind w:leftChars="0" w:left="0" w:right="0"/>
            </w:pPr>
            <w:r>
              <w:t>BANQUE ET CAISSE D’EPARGNE DE L’ETAT, LUXEMBOURG - BCEE - SYSTEMATIC INTERNALISER</w:t>
            </w:r>
          </w:p>
        </w:tc>
        <w:tc>
          <w:tcPr>
            <w:cnfStyle w:evenVBand="true" w:oddVBand="false" w:firstColumn="false"/>
            <w:tcW w:w="25.000000%" w:type="pct"/>
          </w:tcPr>
          <w:p>
            <w:pPr>
              <w:ind w:leftChars="0" w:left="0" w:right="0"/>
            </w:pPr>
            <w:r>
              <w:t>147</w:t>
            </w:r>
          </w:p>
        </w:tc>
      </w:tr>
      <w:tr>
        <w:trPr>
          <w:cnfStyle w:evenHBand="false" w:oddHBand="true" w:firstRow="false"/>
        </w:trPr>
        <w:tc>
          <w:tcPr>
            <w:cnfStyle w:evenVBand="false" w:oddVBand="true" w:firstColumn="false"/>
            <w:tcW w:w="25.000000%" w:type="pct"/>
          </w:tcPr>
          <w:p>
            <w:pPr>
              <w:ind w:leftChars="0" w:left="0" w:right="0"/>
            </w:pPr>
            <w:r>
              <w:t>BCFS</w:t>
            </w:r>
          </w:p>
        </w:tc>
        <w:tc>
          <w:tcPr>
            <w:cnfStyle w:evenVBand="true" w:oddVBand="false" w:firstColumn="false"/>
            <w:tcW w:w="25.000000%" w:type="pct"/>
          </w:tcPr>
          <w:p>
            <w:pPr>
              <w:ind w:leftChars="0" w:left="0" w:right="0"/>
            </w:pPr>
            <w:r>
              <w:t>BCFS</w:t>
            </w:r>
          </w:p>
        </w:tc>
        <w:tc>
          <w:tcPr>
            <w:cnfStyle w:evenVBand="false" w:oddVBand="true" w:firstColumn="false"/>
            <w:tcW w:w="25.000000%" w:type="pct"/>
          </w:tcPr>
          <w:p>
            <w:pPr>
              <w:ind w:leftChars="0" w:left="0" w:right="0"/>
            </w:pPr>
            <w:r>
              <w:t>BOLSA DE COMERCIO DE SANTA FE</w:t>
            </w:r>
          </w:p>
        </w:tc>
        <w:tc>
          <w:tcPr>
            <w:cnfStyle w:evenVBand="true" w:oddVBand="false" w:firstColumn="false"/>
            <w:tcW w:w="25.000000%" w:type="pct"/>
          </w:tcPr>
          <w:p>
            <w:pPr>
              <w:ind w:leftChars="0" w:left="0" w:right="0"/>
            </w:pPr>
            <w:r>
              <w:t>148</w:t>
            </w:r>
          </w:p>
        </w:tc>
      </w:tr>
      <w:tr>
        <w:trPr>
          <w:cnfStyle w:evenHBand="true" w:oddHBand="false" w:firstRow="false"/>
        </w:trPr>
        <w:tc>
          <w:tcPr>
            <w:cnfStyle w:evenVBand="false" w:oddVBand="true" w:firstColumn="false"/>
            <w:tcW w:w="25.000000%" w:type="pct"/>
          </w:tcPr>
          <w:p>
            <w:pPr>
              <w:ind w:leftChars="0" w:left="0" w:right="0"/>
            </w:pPr>
            <w:r>
              <w:t>BCMA</w:t>
            </w:r>
          </w:p>
        </w:tc>
        <w:tc>
          <w:tcPr>
            <w:cnfStyle w:evenVBand="true" w:oddVBand="false" w:firstColumn="false"/>
            <w:tcW w:w="25.000000%" w:type="pct"/>
          </w:tcPr>
          <w:p>
            <w:pPr>
              <w:ind w:leftChars="0" w:left="0" w:right="0"/>
            </w:pPr>
            <w:r>
              <w:t>BCMA</w:t>
            </w:r>
          </w:p>
        </w:tc>
        <w:tc>
          <w:tcPr>
            <w:cnfStyle w:evenVBand="false" w:oddVBand="true" w:firstColumn="false"/>
            <w:tcW w:w="25.000000%" w:type="pct"/>
          </w:tcPr>
          <w:p>
            <w:pPr>
              <w:ind w:leftChars="0" w:left="0" w:right="0"/>
            </w:pPr>
            <w:r>
              <w:t>BANCA MARCH S.A. - SYSTEMATIC INTERNALISER</w:t>
            </w:r>
          </w:p>
        </w:tc>
        <w:tc>
          <w:tcPr>
            <w:cnfStyle w:evenVBand="true" w:oddVBand="false" w:firstColumn="false"/>
            <w:tcW w:w="25.000000%" w:type="pct"/>
          </w:tcPr>
          <w:p>
            <w:pPr>
              <w:ind w:leftChars="0" w:left="0" w:right="0"/>
            </w:pPr>
            <w:r>
              <w:t>149</w:t>
            </w:r>
          </w:p>
        </w:tc>
      </w:tr>
      <w:tr>
        <w:trPr>
          <w:cnfStyle w:evenHBand="false" w:oddHBand="true" w:firstRow="false"/>
        </w:trPr>
        <w:tc>
          <w:tcPr>
            <w:cnfStyle w:evenVBand="false" w:oddVBand="true" w:firstColumn="false"/>
            <w:tcW w:w="25.000000%" w:type="pct"/>
          </w:tcPr>
          <w:p>
            <w:pPr>
              <w:ind w:leftChars="0" w:left="0" w:right="0"/>
            </w:pPr>
            <w:r>
              <w:t>BCMM</w:t>
            </w:r>
          </w:p>
        </w:tc>
        <w:tc>
          <w:tcPr>
            <w:cnfStyle w:evenVBand="true" w:oddVBand="false" w:firstColumn="false"/>
            <w:tcW w:w="25.000000%" w:type="pct"/>
          </w:tcPr>
          <w:p>
            <w:pPr>
              <w:ind w:leftChars="0" w:left="0" w:right="0"/>
            </w:pPr>
            <w:r>
              <w:t>BCMM</w:t>
            </w:r>
          </w:p>
        </w:tc>
        <w:tc>
          <w:tcPr>
            <w:cnfStyle w:evenVBand="false" w:oddVBand="true" w:firstColumn="false"/>
            <w:tcW w:w="25.000000%" w:type="pct"/>
          </w:tcPr>
          <w:p>
            <w:pPr>
              <w:ind w:leftChars="0" w:left="0" w:right="0"/>
            </w:pPr>
            <w:r>
              <w:t>BOLSA DE CEREAIS E MERCADORIAS DE MARINGÁ</w:t>
            </w:r>
          </w:p>
        </w:tc>
        <w:tc>
          <w:tcPr>
            <w:cnfStyle w:evenVBand="true" w:oddVBand="false" w:firstColumn="false"/>
            <w:tcW w:w="25.000000%" w:type="pct"/>
          </w:tcPr>
          <w:p>
            <w:pPr>
              <w:ind w:leftChars="0" w:left="0" w:right="0"/>
            </w:pPr>
            <w:r>
              <w:t>150</w:t>
            </w:r>
          </w:p>
        </w:tc>
      </w:tr>
      <w:tr>
        <w:trPr>
          <w:cnfStyle w:evenHBand="true" w:oddHBand="false" w:firstRow="false"/>
        </w:trPr>
        <w:tc>
          <w:tcPr>
            <w:cnfStyle w:evenVBand="false" w:oddVBand="true" w:firstColumn="false"/>
            <w:tcW w:w="25.000000%" w:type="pct"/>
          </w:tcPr>
          <w:p>
            <w:pPr>
              <w:ind w:leftChars="0" w:left="0" w:right="0"/>
            </w:pPr>
            <w:r>
              <w:t>BCRM</w:t>
            </w:r>
          </w:p>
        </w:tc>
        <w:tc>
          <w:tcPr>
            <w:cnfStyle w:evenVBand="true" w:oddVBand="false" w:firstColumn="false"/>
            <w:tcW w:w="25.000000%" w:type="pct"/>
          </w:tcPr>
          <w:p>
            <w:pPr>
              <w:ind w:leftChars="0" w:left="0" w:right="0"/>
            </w:pPr>
            <w:r>
              <w:t>BCRM</w:t>
            </w:r>
          </w:p>
        </w:tc>
        <w:tc>
          <w:tcPr>
            <w:cnfStyle w:evenVBand="false" w:oddVBand="true" w:firstColumn="false"/>
            <w:tcW w:w="25.000000%" w:type="pct"/>
          </w:tcPr>
          <w:p>
            <w:pPr>
              <w:ind w:leftChars="0" w:left="0" w:right="0"/>
            </w:pPr>
            <w:r>
              <w:t>CBOE EUROPE REGULATED MARKETS</w:t>
            </w:r>
          </w:p>
        </w:tc>
        <w:tc>
          <w:tcPr>
            <w:cnfStyle w:evenVBand="true" w:oddVBand="false" w:firstColumn="false"/>
            <w:tcW w:w="25.000000%" w:type="pct"/>
          </w:tcPr>
          <w:p>
            <w:pPr>
              <w:ind w:leftChars="0" w:left="0" w:right="0"/>
            </w:pPr>
            <w:r>
              <w:t>151</w:t>
            </w:r>
          </w:p>
        </w:tc>
      </w:tr>
      <w:tr>
        <w:trPr>
          <w:cnfStyle w:evenHBand="false" w:oddHBand="true" w:firstRow="false"/>
        </w:trPr>
        <w:tc>
          <w:tcPr>
            <w:cnfStyle w:evenVBand="false" w:oddVBand="true" w:firstColumn="false"/>
            <w:tcW w:w="25.000000%" w:type="pct"/>
          </w:tcPr>
          <w:p>
            <w:pPr>
              <w:ind w:leftChars="0" w:left="0" w:right="0"/>
            </w:pPr>
            <w:r>
              <w:t>BCSC</w:t>
            </w:r>
          </w:p>
        </w:tc>
        <w:tc>
          <w:tcPr>
            <w:cnfStyle w:evenVBand="true" w:oddVBand="false" w:firstColumn="false"/>
            <w:tcW w:w="25.000000%" w:type="pct"/>
          </w:tcPr>
          <w:p>
            <w:pPr>
              <w:ind w:leftChars="0" w:left="0" w:right="0"/>
            </w:pPr>
            <w:r>
              <w:t>BCSC</w:t>
            </w:r>
          </w:p>
        </w:tc>
        <w:tc>
          <w:tcPr>
            <w:cnfStyle w:evenVBand="false" w:oddVBand="true" w:firstColumn="false"/>
            <w:tcW w:w="25.000000%" w:type="pct"/>
          </w:tcPr>
          <w:p>
            <w:pPr>
              <w:ind w:leftChars="0" w:left="0" w:right="0"/>
            </w:pPr>
            <w:r>
              <w:t>BROKERCREDITSERVICE (CYPRUS) LIMITED - SYSTEMATIC INTERNALISER</w:t>
            </w:r>
          </w:p>
        </w:tc>
        <w:tc>
          <w:tcPr>
            <w:cnfStyle w:evenVBand="true" w:oddVBand="false" w:firstColumn="false"/>
            <w:tcW w:w="25.000000%" w:type="pct"/>
          </w:tcPr>
          <w:p>
            <w:pPr>
              <w:ind w:leftChars="0" w:left="0" w:right="0"/>
            </w:pPr>
            <w:r>
              <w:t>152</w:t>
            </w:r>
          </w:p>
        </w:tc>
      </w:tr>
      <w:tr>
        <w:trPr>
          <w:cnfStyle w:evenHBand="true" w:oddHBand="false" w:firstRow="false"/>
        </w:trPr>
        <w:tc>
          <w:tcPr>
            <w:cnfStyle w:evenVBand="false" w:oddVBand="true" w:firstColumn="false"/>
            <w:tcW w:w="25.000000%" w:type="pct"/>
          </w:tcPr>
          <w:p>
            <w:pPr>
              <w:ind w:leftChars="0" w:left="0" w:right="0"/>
            </w:pPr>
            <w:r>
              <w:t>BCSE</w:t>
            </w:r>
          </w:p>
        </w:tc>
        <w:tc>
          <w:tcPr>
            <w:cnfStyle w:evenVBand="true" w:oddVBand="false" w:firstColumn="false"/>
            <w:tcW w:w="25.000000%" w:type="pct"/>
          </w:tcPr>
          <w:p>
            <w:pPr>
              <w:ind w:leftChars="0" w:left="0" w:right="0"/>
            </w:pPr>
            <w:r>
              <w:t>BCSE</w:t>
            </w:r>
          </w:p>
        </w:tc>
        <w:tc>
          <w:tcPr>
            <w:cnfStyle w:evenVBand="false" w:oddVBand="true" w:firstColumn="false"/>
            <w:tcW w:w="25.000000%" w:type="pct"/>
          </w:tcPr>
          <w:p>
            <w:pPr>
              <w:ind w:leftChars="0" w:left="0" w:right="0"/>
            </w:pPr>
            <w:r>
              <w:t>BELARUS CURRENCY AND STOCK EXCHANGE</w:t>
            </w:r>
          </w:p>
        </w:tc>
        <w:tc>
          <w:tcPr>
            <w:cnfStyle w:evenVBand="true" w:oddVBand="false" w:firstColumn="false"/>
            <w:tcW w:w="25.000000%" w:type="pct"/>
          </w:tcPr>
          <w:p>
            <w:pPr>
              <w:ind w:leftChars="0" w:left="0" w:right="0"/>
            </w:pPr>
            <w:r>
              <w:t>153</w:t>
            </w:r>
          </w:p>
        </w:tc>
      </w:tr>
      <w:tr>
        <w:trPr>
          <w:cnfStyle w:evenHBand="false" w:oddHBand="true" w:firstRow="false"/>
        </w:trPr>
        <w:tc>
          <w:tcPr>
            <w:cnfStyle w:evenVBand="false" w:oddVBand="true" w:firstColumn="false"/>
            <w:tcW w:w="25.000000%" w:type="pct"/>
          </w:tcPr>
          <w:p>
            <w:pPr>
              <w:ind w:leftChars="0" w:left="0" w:right="0"/>
            </w:pPr>
            <w:r>
              <w:t>BCSI</w:t>
            </w:r>
          </w:p>
        </w:tc>
        <w:tc>
          <w:tcPr>
            <w:cnfStyle w:evenVBand="true" w:oddVBand="false" w:firstColumn="false"/>
            <w:tcW w:w="25.000000%" w:type="pct"/>
          </w:tcPr>
          <w:p>
            <w:pPr>
              <w:ind w:leftChars="0" w:left="0" w:right="0"/>
            </w:pPr>
            <w:r>
              <w:t>BCSI</w:t>
            </w:r>
          </w:p>
        </w:tc>
        <w:tc>
          <w:tcPr>
            <w:cnfStyle w:evenVBand="false" w:oddVBand="true" w:firstColumn="false"/>
            <w:tcW w:w="25.000000%" w:type="pct"/>
          </w:tcPr>
          <w:p>
            <w:pPr>
              <w:ind w:leftChars="0" w:left="0" w:right="0"/>
            </w:pPr>
            <w:r>
              <w:t>BARCLAYS CAPITAL SECURITIES LIMITED - SYSTEMATIC INTERNALISER</w:t>
            </w:r>
          </w:p>
        </w:tc>
        <w:tc>
          <w:tcPr>
            <w:cnfStyle w:evenVBand="true" w:oddVBand="false" w:firstColumn="false"/>
            <w:tcW w:w="25.000000%" w:type="pct"/>
          </w:tcPr>
          <w:p>
            <w:pPr>
              <w:ind w:leftChars="0" w:left="0" w:right="0"/>
            </w:pPr>
            <w:r>
              <w:t>154</w:t>
            </w:r>
          </w:p>
        </w:tc>
      </w:tr>
      <w:tr>
        <w:trPr>
          <w:cnfStyle w:evenHBand="true" w:oddHBand="false" w:firstRow="false"/>
        </w:trPr>
        <w:tc>
          <w:tcPr>
            <w:cnfStyle w:evenVBand="false" w:oddVBand="true" w:firstColumn="false"/>
            <w:tcW w:w="25.000000%" w:type="pct"/>
          </w:tcPr>
          <w:p>
            <w:pPr>
              <w:ind w:leftChars="0" w:left="0" w:right="0"/>
            </w:pPr>
            <w:r>
              <w:t>BCSL</w:t>
            </w:r>
          </w:p>
        </w:tc>
        <w:tc>
          <w:tcPr>
            <w:cnfStyle w:evenVBand="true" w:oddVBand="false" w:firstColumn="false"/>
            <w:tcW w:w="25.000000%" w:type="pct"/>
          </w:tcPr>
          <w:p>
            <w:pPr>
              <w:ind w:leftChars="0" w:left="0" w:right="0"/>
            </w:pPr>
            <w:r>
              <w:t>BCSL</w:t>
            </w:r>
          </w:p>
        </w:tc>
        <w:tc>
          <w:tcPr>
            <w:cnfStyle w:evenVBand="false" w:oddVBand="true" w:firstColumn="false"/>
            <w:tcW w:w="25.000000%" w:type="pct"/>
          </w:tcPr>
          <w:p>
            <w:pPr>
              <w:ind w:leftChars="0" w:left="0" w:right="0"/>
            </w:pPr>
            <w:r>
              <w:t>BARCLAYS CAPITAL SECURITIES LIMITED</w:t>
            </w:r>
          </w:p>
        </w:tc>
        <w:tc>
          <w:tcPr>
            <w:cnfStyle w:evenVBand="true" w:oddVBand="false" w:firstColumn="false"/>
            <w:tcW w:w="25.000000%" w:type="pct"/>
          </w:tcPr>
          <w:p>
            <w:pPr>
              <w:ind w:leftChars="0" w:left="0" w:right="0"/>
            </w:pPr>
            <w:r>
              <w:t>155</w:t>
            </w:r>
          </w:p>
        </w:tc>
      </w:tr>
      <w:tr>
        <w:trPr>
          <w:cnfStyle w:evenHBand="false" w:oddHBand="true" w:firstRow="false"/>
        </w:trPr>
        <w:tc>
          <w:tcPr>
            <w:cnfStyle w:evenVBand="false" w:oddVBand="true" w:firstColumn="false"/>
            <w:tcW w:w="25.000000%" w:type="pct"/>
          </w:tcPr>
          <w:p>
            <w:pPr>
              <w:ind w:leftChars="0" w:left="0" w:right="0"/>
            </w:pPr>
            <w:r>
              <w:t>BCXE</w:t>
            </w:r>
          </w:p>
        </w:tc>
        <w:tc>
          <w:tcPr>
            <w:cnfStyle w:evenVBand="true" w:oddVBand="false" w:firstColumn="false"/>
            <w:tcW w:w="25.000000%" w:type="pct"/>
          </w:tcPr>
          <w:p>
            <w:pPr>
              <w:ind w:leftChars="0" w:left="0" w:right="0"/>
            </w:pPr>
            <w:r>
              <w:t>BCXE</w:t>
            </w:r>
          </w:p>
        </w:tc>
        <w:tc>
          <w:tcPr>
            <w:cnfStyle w:evenVBand="false" w:oddVBand="true" w:firstColumn="false"/>
            <w:tcW w:w="25.000000%" w:type="pct"/>
          </w:tcPr>
          <w:p>
            <w:pPr>
              <w:ind w:leftChars="0" w:left="0" w:right="0"/>
            </w:pPr>
            <w:r>
              <w:t>CBOE EUROPE EQUITIES</w:t>
            </w:r>
          </w:p>
        </w:tc>
        <w:tc>
          <w:tcPr>
            <w:cnfStyle w:evenVBand="true" w:oddVBand="false" w:firstColumn="false"/>
            <w:tcW w:w="25.000000%" w:type="pct"/>
          </w:tcPr>
          <w:p>
            <w:pPr>
              <w:ind w:leftChars="0" w:left="0" w:right="0"/>
            </w:pPr>
            <w:r>
              <w:t>156</w:t>
            </w:r>
          </w:p>
        </w:tc>
      </w:tr>
      <w:tr>
        <w:trPr>
          <w:cnfStyle w:evenHBand="true" w:oddHBand="false" w:firstRow="false"/>
        </w:trPr>
        <w:tc>
          <w:tcPr>
            <w:cnfStyle w:evenVBand="false" w:oddVBand="true" w:firstColumn="false"/>
            <w:tcW w:w="25.000000%" w:type="pct"/>
          </w:tcPr>
          <w:p>
            <w:pPr>
              <w:ind w:leftChars="0" w:left="0" w:right="0"/>
            </w:pPr>
            <w:r>
              <w:t>BDEA</w:t>
            </w:r>
          </w:p>
        </w:tc>
        <w:tc>
          <w:tcPr>
            <w:cnfStyle w:evenVBand="true" w:oddVBand="false" w:firstColumn="false"/>
            <w:tcW w:w="25.000000%" w:type="pct"/>
          </w:tcPr>
          <w:p>
            <w:pPr>
              <w:ind w:leftChars="0" w:left="0" w:right="0"/>
            </w:pPr>
            <w:r>
              <w:t>BDEA</w:t>
            </w:r>
          </w:p>
        </w:tc>
        <w:tc>
          <w:tcPr>
            <w:cnfStyle w:evenVBand="false" w:oddVBand="true" w:firstColumn="false"/>
            <w:tcW w:w="25.000000%" w:type="pct"/>
          </w:tcPr>
          <w:p>
            <w:pPr>
              <w:ind w:leftChars="0" w:left="0" w:right="0"/>
            </w:pPr>
            <w:r>
              <w:t>BAYERNLB - IDEAL FX - SYSTEMATIC INTERNALISER</w:t>
            </w:r>
          </w:p>
        </w:tc>
        <w:tc>
          <w:tcPr>
            <w:cnfStyle w:evenVBand="true" w:oddVBand="false" w:firstColumn="false"/>
            <w:tcW w:w="25.000000%" w:type="pct"/>
          </w:tcPr>
          <w:p>
            <w:pPr>
              <w:ind w:leftChars="0" w:left="0" w:right="0"/>
            </w:pPr>
            <w:r>
              <w:t>157</w:t>
            </w:r>
          </w:p>
        </w:tc>
      </w:tr>
      <w:tr>
        <w:trPr>
          <w:cnfStyle w:evenHBand="false" w:oddHBand="true" w:firstRow="false"/>
        </w:trPr>
        <w:tc>
          <w:tcPr>
            <w:cnfStyle w:evenVBand="false" w:oddVBand="true" w:firstColumn="false"/>
            <w:tcW w:w="25.000000%" w:type="pct"/>
          </w:tcPr>
          <w:p>
            <w:pPr>
              <w:ind w:leftChars="0" w:left="0" w:right="0"/>
            </w:pPr>
            <w:r>
              <w:t>BDSK</w:t>
            </w:r>
          </w:p>
        </w:tc>
        <w:tc>
          <w:tcPr>
            <w:cnfStyle w:evenVBand="true" w:oddVBand="false" w:firstColumn="false"/>
            <w:tcW w:w="25.000000%" w:type="pct"/>
          </w:tcPr>
          <w:p>
            <w:pPr>
              <w:ind w:leftChars="0" w:left="0" w:right="0"/>
            </w:pPr>
            <w:r>
              <w:t>BDSK</w:t>
            </w:r>
          </w:p>
        </w:tc>
        <w:tc>
          <w:tcPr>
            <w:cnfStyle w:evenVBand="false" w:oddVBand="true" w:firstColumn="false"/>
            <w:tcW w:w="25.000000%" w:type="pct"/>
          </w:tcPr>
          <w:p>
            <w:pPr>
              <w:ind w:leftChars="0" w:left="0" w:right="0"/>
            </w:pPr>
            <w:r>
              <w:t>DSK BANK EAD</w:t>
            </w:r>
          </w:p>
        </w:tc>
        <w:tc>
          <w:tcPr>
            <w:cnfStyle w:evenVBand="true" w:oddVBand="false" w:firstColumn="false"/>
            <w:tcW w:w="25.000000%" w:type="pct"/>
          </w:tcPr>
          <w:p>
            <w:pPr>
              <w:ind w:leftChars="0" w:left="0" w:right="0"/>
            </w:pPr>
            <w:r>
              <w:t>158</w:t>
            </w:r>
          </w:p>
        </w:tc>
      </w:tr>
      <w:tr>
        <w:trPr>
          <w:cnfStyle w:evenHBand="true" w:oddHBand="false" w:firstRow="false"/>
        </w:trPr>
        <w:tc>
          <w:tcPr>
            <w:cnfStyle w:evenVBand="false" w:oddVBand="true" w:firstColumn="false"/>
            <w:tcW w:w="25.000000%" w:type="pct"/>
          </w:tcPr>
          <w:p>
            <w:pPr>
              <w:ind w:leftChars="0" w:left="0" w:right="0"/>
            </w:pPr>
            <w:r>
              <w:t>BEAM</w:t>
            </w:r>
          </w:p>
        </w:tc>
        <w:tc>
          <w:tcPr>
            <w:cnfStyle w:evenVBand="true" w:oddVBand="false" w:firstColumn="false"/>
            <w:tcW w:w="25.000000%" w:type="pct"/>
          </w:tcPr>
          <w:p>
            <w:pPr>
              <w:ind w:leftChars="0" w:left="0" w:right="0"/>
            </w:pPr>
            <w:r>
              <w:t>BEAM</w:t>
            </w:r>
          </w:p>
        </w:tc>
        <w:tc>
          <w:tcPr>
            <w:cnfStyle w:evenVBand="false" w:oddVBand="true" w:firstColumn="false"/>
            <w:tcW w:w="25.000000%" w:type="pct"/>
          </w:tcPr>
          <w:p>
            <w:pPr>
              <w:ind w:leftChars="0" w:left="0" w:right="0"/>
            </w:pPr>
            <w:r>
              <w:t>MTS ASSOCIATED MARKETS</w:t>
            </w:r>
          </w:p>
        </w:tc>
        <w:tc>
          <w:tcPr>
            <w:cnfStyle w:evenVBand="true" w:oddVBand="false" w:firstColumn="false"/>
            <w:tcW w:w="25.000000%" w:type="pct"/>
          </w:tcPr>
          <w:p>
            <w:pPr>
              <w:ind w:leftChars="0" w:left="0" w:right="0"/>
            </w:pPr>
            <w:r>
              <w:t>159</w:t>
            </w:r>
          </w:p>
        </w:tc>
      </w:tr>
      <w:tr>
        <w:trPr>
          <w:cnfStyle w:evenHBand="false" w:oddHBand="true" w:firstRow="false"/>
        </w:trPr>
        <w:tc>
          <w:tcPr>
            <w:cnfStyle w:evenVBand="false" w:oddVBand="true" w:firstColumn="false"/>
            <w:tcW w:w="25.000000%" w:type="pct"/>
          </w:tcPr>
          <w:p>
            <w:pPr>
              <w:ind w:leftChars="0" w:left="0" w:right="0"/>
            </w:pPr>
            <w:r>
              <w:t>BEBG</w:t>
            </w:r>
          </w:p>
        </w:tc>
        <w:tc>
          <w:tcPr>
            <w:cnfStyle w:evenVBand="true" w:oddVBand="false" w:firstColumn="false"/>
            <w:tcW w:w="25.000000%" w:type="pct"/>
          </w:tcPr>
          <w:p>
            <w:pPr>
              <w:ind w:leftChars="0" w:left="0" w:right="0"/>
            </w:pPr>
            <w:r>
              <w:t>BEBG</w:t>
            </w:r>
          </w:p>
        </w:tc>
        <w:tc>
          <w:tcPr>
            <w:cnfStyle w:evenVBand="false" w:oddVBand="true" w:firstColumn="false"/>
            <w:tcW w:w="25.000000%" w:type="pct"/>
          </w:tcPr>
          <w:p>
            <w:pPr>
              <w:ind w:leftChars="0" w:left="0" w:right="0"/>
            </w:pPr>
            <w:r>
              <w:t>BULGARIAN ENERGY TRADING PLATFORM</w:t>
            </w:r>
          </w:p>
        </w:tc>
        <w:tc>
          <w:tcPr>
            <w:cnfStyle w:evenVBand="true" w:oddVBand="false" w:firstColumn="false"/>
            <w:tcW w:w="25.000000%" w:type="pct"/>
          </w:tcPr>
          <w:p>
            <w:pPr>
              <w:ind w:leftChars="0" w:left="0" w:right="0"/>
            </w:pPr>
            <w:r>
              <w:t>160</w:t>
            </w:r>
          </w:p>
        </w:tc>
      </w:tr>
      <w:tr>
        <w:trPr>
          <w:cnfStyle w:evenHBand="true" w:oddHBand="false" w:firstRow="false"/>
        </w:trPr>
        <w:tc>
          <w:tcPr>
            <w:cnfStyle w:evenVBand="false" w:oddVBand="true" w:firstColumn="false"/>
            <w:tcW w:w="25.000000%" w:type="pct"/>
          </w:tcPr>
          <w:p>
            <w:pPr>
              <w:ind w:leftChars="0" w:left="0" w:right="0"/>
            </w:pPr>
            <w:r>
              <w:t>BEEX</w:t>
            </w:r>
          </w:p>
        </w:tc>
        <w:tc>
          <w:tcPr>
            <w:cnfStyle w:evenVBand="true" w:oddVBand="false" w:firstColumn="false"/>
            <w:tcW w:w="25.000000%" w:type="pct"/>
          </w:tcPr>
          <w:p>
            <w:pPr>
              <w:ind w:leftChars="0" w:left="0" w:right="0"/>
            </w:pPr>
            <w:r>
              <w:t>BEEX</w:t>
            </w:r>
          </w:p>
        </w:tc>
        <w:tc>
          <w:tcPr>
            <w:cnfStyle w:evenVBand="false" w:oddVBand="true" w:firstColumn="false"/>
            <w:tcW w:w="25.000000%" w:type="pct"/>
          </w:tcPr>
          <w:p>
            <w:pPr>
              <w:ind w:leftChars="0" w:left="0" w:right="0"/>
            </w:pPr>
            <w:r>
              <w:t>BOND ELECTRONIC EXCHANGE</w:t>
            </w:r>
          </w:p>
        </w:tc>
        <w:tc>
          <w:tcPr>
            <w:cnfStyle w:evenVBand="true" w:oddVBand="false" w:firstColumn="false"/>
            <w:tcW w:w="25.000000%" w:type="pct"/>
          </w:tcPr>
          <w:p>
            <w:pPr>
              <w:ind w:leftChars="0" w:left="0" w:right="0"/>
            </w:pPr>
            <w:r>
              <w:t>161</w:t>
            </w:r>
          </w:p>
        </w:tc>
      </w:tr>
      <w:tr>
        <w:trPr>
          <w:cnfStyle w:evenHBand="false" w:oddHBand="true" w:firstRow="false"/>
        </w:trPr>
        <w:tc>
          <w:tcPr>
            <w:cnfStyle w:evenVBand="false" w:oddVBand="true" w:firstColumn="false"/>
            <w:tcW w:w="25.000000%" w:type="pct"/>
          </w:tcPr>
          <w:p>
            <w:pPr>
              <w:ind w:leftChars="0" w:left="0" w:right="0"/>
            </w:pPr>
            <w:r>
              <w:t>BEIS</w:t>
            </w:r>
          </w:p>
        </w:tc>
        <w:tc>
          <w:tcPr>
            <w:cnfStyle w:evenVBand="true" w:oddVBand="false" w:firstColumn="false"/>
            <w:tcW w:w="25.000000%" w:type="pct"/>
          </w:tcPr>
          <w:p>
            <w:pPr>
              <w:ind w:leftChars="0" w:left="0" w:right="0"/>
            </w:pPr>
            <w:r>
              <w:t>BEIS</w:t>
            </w:r>
          </w:p>
        </w:tc>
        <w:tc>
          <w:tcPr>
            <w:cnfStyle w:evenVBand="false" w:oddVBand="true" w:firstColumn="false"/>
            <w:tcW w:w="25.000000%" w:type="pct"/>
          </w:tcPr>
          <w:p>
            <w:pPr>
              <w:ind w:leftChars="0" w:left="0" w:right="0"/>
            </w:pPr>
            <w:r>
              <w:t>BANCA ETICA - SYSTEMATIC INTERNALISER</w:t>
            </w:r>
          </w:p>
        </w:tc>
        <w:tc>
          <w:tcPr>
            <w:cnfStyle w:evenVBand="true" w:oddVBand="false" w:firstColumn="false"/>
            <w:tcW w:w="25.000000%" w:type="pct"/>
          </w:tcPr>
          <w:p>
            <w:pPr>
              <w:ind w:leftChars="0" w:left="0" w:right="0"/>
            </w:pPr>
            <w:r>
              <w:t>162</w:t>
            </w:r>
          </w:p>
        </w:tc>
      </w:tr>
      <w:tr>
        <w:trPr>
          <w:cnfStyle w:evenHBand="true" w:oddHBand="false" w:firstRow="false"/>
        </w:trPr>
        <w:tc>
          <w:tcPr>
            <w:cnfStyle w:evenVBand="false" w:oddVBand="true" w:firstColumn="false"/>
            <w:tcW w:w="25.000000%" w:type="pct"/>
          </w:tcPr>
          <w:p>
            <w:pPr>
              <w:ind w:leftChars="0" w:left="0" w:right="0"/>
            </w:pPr>
            <w:r>
              <w:t>BELB</w:t>
            </w:r>
          </w:p>
        </w:tc>
        <w:tc>
          <w:tcPr>
            <w:cnfStyle w:evenVBand="true" w:oddVBand="false" w:firstColumn="false"/>
            <w:tcW w:w="25.000000%" w:type="pct"/>
          </w:tcPr>
          <w:p>
            <w:pPr>
              <w:ind w:leftChars="0" w:left="0" w:right="0"/>
            </w:pPr>
            <w:r>
              <w:t>BELB</w:t>
            </w:r>
          </w:p>
        </w:tc>
        <w:tc>
          <w:tcPr>
            <w:cnfStyle w:evenVBand="false" w:oddVBand="true" w:firstColumn="false"/>
            <w:tcW w:w="25.000000%" w:type="pct"/>
          </w:tcPr>
          <w:p>
            <w:pPr>
              <w:ind w:leftChars="0" w:left="0" w:right="0"/>
            </w:pPr>
            <w:r>
              <w:t>BELFIUS BANK NV/SA</w:t>
            </w:r>
          </w:p>
        </w:tc>
        <w:tc>
          <w:tcPr>
            <w:cnfStyle w:evenVBand="true" w:oddVBand="false" w:firstColumn="false"/>
            <w:tcW w:w="25.000000%" w:type="pct"/>
          </w:tcPr>
          <w:p>
            <w:pPr>
              <w:ind w:leftChars="0" w:left="0" w:right="0"/>
            </w:pPr>
            <w:r>
              <w:t>163</w:t>
            </w:r>
          </w:p>
        </w:tc>
      </w:tr>
      <w:tr>
        <w:trPr>
          <w:cnfStyle w:evenHBand="false" w:oddHBand="true" w:firstRow="false"/>
        </w:trPr>
        <w:tc>
          <w:tcPr>
            <w:cnfStyle w:evenVBand="false" w:oddVBand="true" w:firstColumn="false"/>
            <w:tcW w:w="25.000000%" w:type="pct"/>
          </w:tcPr>
          <w:p>
            <w:pPr>
              <w:ind w:leftChars="0" w:left="0" w:right="0"/>
            </w:pPr>
            <w:r>
              <w:t>BELF</w:t>
            </w:r>
          </w:p>
        </w:tc>
        <w:tc>
          <w:tcPr>
            <w:cnfStyle w:evenVBand="true" w:oddVBand="false" w:firstColumn="false"/>
            <w:tcW w:w="25.000000%" w:type="pct"/>
          </w:tcPr>
          <w:p>
            <w:pPr>
              <w:ind w:leftChars="0" w:left="0" w:right="0"/>
            </w:pPr>
            <w:r>
              <w:t>BELF</w:t>
            </w:r>
          </w:p>
        </w:tc>
        <w:tc>
          <w:tcPr>
            <w:cnfStyle w:evenVBand="false" w:oddVBand="true" w:firstColumn="false"/>
            <w:tcW w:w="25.000000%" w:type="pct"/>
          </w:tcPr>
          <w:p>
            <w:pPr>
              <w:ind w:leftChars="0" w:left="0" w:right="0"/>
            </w:pPr>
            <w:r>
              <w:t>BELFIUS BANK NV/SA FIXED INCOME - SYSTEMATIC INTERNALISER</w:t>
            </w:r>
          </w:p>
        </w:tc>
        <w:tc>
          <w:tcPr>
            <w:cnfStyle w:evenVBand="true" w:oddVBand="false" w:firstColumn="false"/>
            <w:tcW w:w="25.000000%" w:type="pct"/>
          </w:tcPr>
          <w:p>
            <w:pPr>
              <w:ind w:leftChars="0" w:left="0" w:right="0"/>
            </w:pPr>
            <w:r>
              <w:t>164</w:t>
            </w:r>
          </w:p>
        </w:tc>
      </w:tr>
      <w:tr>
        <w:trPr>
          <w:cnfStyle w:evenHBand="true" w:oddHBand="false" w:firstRow="false"/>
        </w:trPr>
        <w:tc>
          <w:tcPr>
            <w:cnfStyle w:evenVBand="false" w:oddVBand="true" w:firstColumn="false"/>
            <w:tcW w:w="25.000000%" w:type="pct"/>
          </w:tcPr>
          <w:p>
            <w:pPr>
              <w:ind w:leftChars="0" w:left="0" w:right="0"/>
            </w:pPr>
            <w:r>
              <w:t>BERA</w:t>
            </w:r>
          </w:p>
        </w:tc>
        <w:tc>
          <w:tcPr>
            <w:cnfStyle w:evenVBand="true" w:oddVBand="false" w:firstColumn="false"/>
            <w:tcW w:w="25.000000%" w:type="pct"/>
          </w:tcPr>
          <w:p>
            <w:pPr>
              <w:ind w:leftChars="0" w:left="0" w:right="0"/>
            </w:pPr>
            <w:r>
              <w:t>BERA</w:t>
            </w:r>
          </w:p>
        </w:tc>
        <w:tc>
          <w:tcPr>
            <w:cnfStyle w:evenVBand="false" w:oddVBand="true" w:firstColumn="false"/>
            <w:tcW w:w="25.000000%" w:type="pct"/>
          </w:tcPr>
          <w:p>
            <w:pPr>
              <w:ind w:leftChars="0" w:left="0" w:right="0"/>
            </w:pPr>
            <w:r>
              <w:t>BOERSE BERLIN - REGULIERTER MARKT</w:t>
            </w:r>
          </w:p>
        </w:tc>
        <w:tc>
          <w:tcPr>
            <w:cnfStyle w:evenVBand="true" w:oddVBand="false" w:firstColumn="false"/>
            <w:tcW w:w="25.000000%" w:type="pct"/>
          </w:tcPr>
          <w:p>
            <w:pPr>
              <w:ind w:leftChars="0" w:left="0" w:right="0"/>
            </w:pPr>
            <w:r>
              <w:t>165</w:t>
            </w:r>
          </w:p>
        </w:tc>
      </w:tr>
      <w:tr>
        <w:trPr>
          <w:cnfStyle w:evenHBand="false" w:oddHBand="true" w:firstRow="false"/>
        </w:trPr>
        <w:tc>
          <w:tcPr>
            <w:cnfStyle w:evenVBand="false" w:oddVBand="true" w:firstColumn="false"/>
            <w:tcW w:w="25.000000%" w:type="pct"/>
          </w:tcPr>
          <w:p>
            <w:pPr>
              <w:ind w:leftChars="0" w:left="0" w:right="0"/>
            </w:pPr>
            <w:r>
              <w:t>BERB</w:t>
            </w:r>
          </w:p>
        </w:tc>
        <w:tc>
          <w:tcPr>
            <w:cnfStyle w:evenVBand="true" w:oddVBand="false" w:firstColumn="false"/>
            <w:tcW w:w="25.000000%" w:type="pct"/>
          </w:tcPr>
          <w:p>
            <w:pPr>
              <w:ind w:leftChars="0" w:left="0" w:right="0"/>
            </w:pPr>
            <w:r>
              <w:t>BERB</w:t>
            </w:r>
          </w:p>
        </w:tc>
        <w:tc>
          <w:tcPr>
            <w:cnfStyle w:evenVBand="false" w:oddVBand="true" w:firstColumn="false"/>
            <w:tcW w:w="25.000000%" w:type="pct"/>
          </w:tcPr>
          <w:p>
            <w:pPr>
              <w:ind w:leftChars="0" w:left="0" w:right="0"/>
            </w:pPr>
            <w:r>
              <w:t>BOERSE BERLIN - FREIVERKEHR</w:t>
            </w:r>
          </w:p>
        </w:tc>
        <w:tc>
          <w:tcPr>
            <w:cnfStyle w:evenVBand="true" w:oddVBand="false" w:firstColumn="false"/>
            <w:tcW w:w="25.000000%" w:type="pct"/>
          </w:tcPr>
          <w:p>
            <w:pPr>
              <w:ind w:leftChars="0" w:left="0" w:right="0"/>
            </w:pPr>
            <w:r>
              <w:t>166</w:t>
            </w:r>
          </w:p>
        </w:tc>
      </w:tr>
      <w:tr>
        <w:trPr>
          <w:cnfStyle w:evenHBand="true" w:oddHBand="false" w:firstRow="false"/>
        </w:trPr>
        <w:tc>
          <w:tcPr>
            <w:cnfStyle w:evenVBand="false" w:oddVBand="true" w:firstColumn="false"/>
            <w:tcW w:w="25.000000%" w:type="pct"/>
          </w:tcPr>
          <w:p>
            <w:pPr>
              <w:ind w:leftChars="0" w:left="0" w:right="0"/>
            </w:pPr>
            <w:r>
              <w:t>BERC</w:t>
            </w:r>
          </w:p>
        </w:tc>
        <w:tc>
          <w:tcPr>
            <w:cnfStyle w:evenVBand="true" w:oddVBand="false" w:firstColumn="false"/>
            <w:tcW w:w="25.000000%" w:type="pct"/>
          </w:tcPr>
          <w:p>
            <w:pPr>
              <w:ind w:leftChars="0" w:left="0" w:right="0"/>
            </w:pPr>
            <w:r>
              <w:t>BERC</w:t>
            </w:r>
          </w:p>
        </w:tc>
        <w:tc>
          <w:tcPr>
            <w:cnfStyle w:evenVBand="false" w:oddVBand="true" w:firstColumn="false"/>
            <w:tcW w:w="25.000000%" w:type="pct"/>
          </w:tcPr>
          <w:p>
            <w:pPr>
              <w:ind w:leftChars="0" w:left="0" w:right="0"/>
            </w:pPr>
            <w:r>
              <w:t>BOERSE BERLIN - BERLIN SECOND REGULATED MARKET</w:t>
            </w:r>
          </w:p>
        </w:tc>
        <w:tc>
          <w:tcPr>
            <w:cnfStyle w:evenVBand="true" w:oddVBand="false" w:firstColumn="false"/>
            <w:tcW w:w="25.000000%" w:type="pct"/>
          </w:tcPr>
          <w:p>
            <w:pPr>
              <w:ind w:leftChars="0" w:left="0" w:right="0"/>
            </w:pPr>
            <w:r>
              <w:t>167</w:t>
            </w:r>
          </w:p>
        </w:tc>
      </w:tr>
      <w:tr>
        <w:trPr>
          <w:cnfStyle w:evenHBand="false" w:oddHBand="true" w:firstRow="false"/>
        </w:trPr>
        <w:tc>
          <w:tcPr>
            <w:cnfStyle w:evenVBand="false" w:oddVBand="true" w:firstColumn="false"/>
            <w:tcW w:w="25.000000%" w:type="pct"/>
          </w:tcPr>
          <w:p>
            <w:pPr>
              <w:ind w:leftChars="0" w:left="0" w:right="0"/>
            </w:pPr>
            <w:r>
              <w:t>BETA</w:t>
            </w:r>
          </w:p>
        </w:tc>
        <w:tc>
          <w:tcPr>
            <w:cnfStyle w:evenVBand="true" w:oddVBand="false" w:firstColumn="false"/>
            <w:tcW w:w="25.000000%" w:type="pct"/>
          </w:tcPr>
          <w:p>
            <w:pPr>
              <w:ind w:leftChars="0" w:left="0" w:right="0"/>
            </w:pPr>
            <w:r>
              <w:t>BETA</w:t>
            </w:r>
          </w:p>
        </w:tc>
        <w:tc>
          <w:tcPr>
            <w:cnfStyle w:evenVBand="false" w:oddVBand="true" w:firstColumn="false"/>
            <w:tcW w:w="25.000000%" w:type="pct"/>
          </w:tcPr>
          <w:p>
            <w:pPr>
              <w:ind w:leftChars="0" w:left="0" w:right="0"/>
            </w:pPr>
            <w:r>
              <w:t>BETA MARKET</w:t>
            </w:r>
          </w:p>
        </w:tc>
        <w:tc>
          <w:tcPr>
            <w:cnfStyle w:evenVBand="true" w:oddVBand="false" w:firstColumn="false"/>
            <w:tcW w:w="25.000000%" w:type="pct"/>
          </w:tcPr>
          <w:p>
            <w:pPr>
              <w:ind w:leftChars="0" w:left="0" w:right="0"/>
            </w:pPr>
            <w:r>
              <w:t>168</w:t>
            </w:r>
          </w:p>
        </w:tc>
      </w:tr>
      <w:tr>
        <w:trPr>
          <w:cnfStyle w:evenHBand="true" w:oddHBand="false" w:firstRow="false"/>
        </w:trPr>
        <w:tc>
          <w:tcPr>
            <w:cnfStyle w:evenVBand="false" w:oddVBand="true" w:firstColumn="false"/>
            <w:tcW w:w="25.000000%" w:type="pct"/>
          </w:tcPr>
          <w:p>
            <w:pPr>
              <w:ind w:leftChars="0" w:left="0" w:right="0"/>
            </w:pPr>
            <w:r>
              <w:t>BETP</w:t>
            </w:r>
          </w:p>
        </w:tc>
        <w:tc>
          <w:tcPr>
            <w:cnfStyle w:evenVBand="true" w:oddVBand="false" w:firstColumn="false"/>
            <w:tcW w:w="25.000000%" w:type="pct"/>
          </w:tcPr>
          <w:p>
            <w:pPr>
              <w:ind w:leftChars="0" w:left="0" w:right="0"/>
            </w:pPr>
            <w:r>
              <w:t>BETP</w:t>
            </w:r>
          </w:p>
        </w:tc>
        <w:tc>
          <w:tcPr>
            <w:cnfStyle w:evenVBand="false" w:oddVBand="true" w:firstColumn="false"/>
            <w:tcW w:w="25.000000%" w:type="pct"/>
          </w:tcPr>
          <w:p>
            <w:pPr>
              <w:ind w:leftChars="0" w:left="0" w:right="0"/>
            </w:pPr>
            <w:r>
              <w:t>BLOOMBERG TRADEBOOK JAPAN LIMITED</w:t>
            </w:r>
          </w:p>
        </w:tc>
        <w:tc>
          <w:tcPr>
            <w:cnfStyle w:evenVBand="true" w:oddVBand="false" w:firstColumn="false"/>
            <w:tcW w:w="25.000000%" w:type="pct"/>
          </w:tcPr>
          <w:p>
            <w:pPr>
              <w:ind w:leftChars="0" w:left="0" w:right="0"/>
            </w:pPr>
            <w:r>
              <w:t>169</w:t>
            </w:r>
          </w:p>
        </w:tc>
      </w:tr>
      <w:tr>
        <w:trPr>
          <w:cnfStyle w:evenHBand="false" w:oddHBand="true" w:firstRow="false"/>
        </w:trPr>
        <w:tc>
          <w:tcPr>
            <w:cnfStyle w:evenVBand="false" w:oddVBand="true" w:firstColumn="false"/>
            <w:tcW w:w="25.000000%" w:type="pct"/>
          </w:tcPr>
          <w:p>
            <w:pPr>
              <w:ind w:leftChars="0" w:left="0" w:right="0"/>
            </w:pPr>
            <w:r>
              <w:t>BETX</w:t>
            </w:r>
          </w:p>
        </w:tc>
        <w:tc>
          <w:tcPr>
            <w:cnfStyle w:evenVBand="true" w:oddVBand="false" w:firstColumn="false"/>
            <w:tcW w:w="25.000000%" w:type="pct"/>
          </w:tcPr>
          <w:p>
            <w:pPr>
              <w:ind w:leftChars="0" w:left="0" w:right="0"/>
            </w:pPr>
            <w:r>
              <w:t>BETX</w:t>
            </w:r>
          </w:p>
        </w:tc>
        <w:tc>
          <w:tcPr>
            <w:cnfStyle w:evenVBand="false" w:oddVBand="true" w:firstColumn="false"/>
            <w:tcW w:w="25.000000%" w:type="pct"/>
          </w:tcPr>
          <w:p>
            <w:pPr>
              <w:ind w:leftChars="0" w:left="0" w:right="0"/>
            </w:pPr>
            <w:r>
              <w:t>BET OTC BILAT COMMODITY DERIVATIVES</w:t>
            </w:r>
          </w:p>
        </w:tc>
        <w:tc>
          <w:tcPr>
            <w:cnfStyle w:evenVBand="true" w:oddVBand="false" w:firstColumn="false"/>
            <w:tcW w:w="25.000000%" w:type="pct"/>
          </w:tcPr>
          <w:p>
            <w:pPr>
              <w:ind w:leftChars="0" w:left="0" w:right="0"/>
            </w:pPr>
            <w:r>
              <w:t>170</w:t>
            </w:r>
          </w:p>
        </w:tc>
      </w:tr>
      <w:tr>
        <w:trPr>
          <w:cnfStyle w:evenHBand="true" w:oddHBand="false" w:firstRow="false"/>
        </w:trPr>
        <w:tc>
          <w:tcPr>
            <w:cnfStyle w:evenVBand="false" w:oddVBand="true" w:firstColumn="false"/>
            <w:tcW w:w="25.000000%" w:type="pct"/>
          </w:tcPr>
          <w:p>
            <w:pPr>
              <w:ind w:leftChars="0" w:left="0" w:right="0"/>
            </w:pPr>
            <w:r>
              <w:t>BEUD</w:t>
            </w:r>
          </w:p>
        </w:tc>
        <w:tc>
          <w:tcPr>
            <w:cnfStyle w:evenVBand="true" w:oddVBand="false" w:firstColumn="false"/>
            <w:tcW w:w="25.000000%" w:type="pct"/>
          </w:tcPr>
          <w:p>
            <w:pPr>
              <w:ind w:leftChars="0" w:left="0" w:right="0"/>
            </w:pPr>
            <w:r>
              <w:t>BEUD</w:t>
            </w:r>
          </w:p>
        </w:tc>
        <w:tc>
          <w:tcPr>
            <w:cnfStyle w:evenVBand="false" w:oddVBand="true" w:firstColumn="false"/>
            <w:tcW w:w="25.000000%" w:type="pct"/>
          </w:tcPr>
          <w:p>
            <w:pPr>
              <w:ind w:leftChars="0" w:left="0" w:right="0"/>
            </w:pPr>
            <w:r>
              <w:t>CBOE EUROPE - BXE DARK ORDER BOOK (NL)</w:t>
            </w:r>
          </w:p>
        </w:tc>
        <w:tc>
          <w:tcPr>
            <w:cnfStyle w:evenVBand="true" w:oddVBand="false" w:firstColumn="false"/>
            <w:tcW w:w="25.000000%" w:type="pct"/>
          </w:tcPr>
          <w:p>
            <w:pPr>
              <w:ind w:leftChars="0" w:left="0" w:right="0"/>
            </w:pPr>
            <w:r>
              <w:t>171</w:t>
            </w:r>
          </w:p>
        </w:tc>
      </w:tr>
      <w:tr>
        <w:trPr>
          <w:cnfStyle w:evenHBand="false" w:oddHBand="true" w:firstRow="false"/>
        </w:trPr>
        <w:tc>
          <w:tcPr>
            <w:cnfStyle w:evenVBand="false" w:oddVBand="true" w:firstColumn="false"/>
            <w:tcW w:w="25.000000%" w:type="pct"/>
          </w:tcPr>
          <w:p>
            <w:pPr>
              <w:ind w:leftChars="0" w:left="0" w:right="0"/>
            </w:pPr>
            <w:r>
              <w:t>BEUE</w:t>
            </w:r>
          </w:p>
        </w:tc>
        <w:tc>
          <w:tcPr>
            <w:cnfStyle w:evenVBand="true" w:oddVBand="false" w:firstColumn="false"/>
            <w:tcW w:w="25.000000%" w:type="pct"/>
          </w:tcPr>
          <w:p>
            <w:pPr>
              <w:ind w:leftChars="0" w:left="0" w:right="0"/>
            </w:pPr>
            <w:r>
              <w:t>BEUE</w:t>
            </w:r>
          </w:p>
        </w:tc>
        <w:tc>
          <w:tcPr>
            <w:cnfStyle w:evenVBand="false" w:oddVBand="true" w:firstColumn="false"/>
            <w:tcW w:w="25.000000%" w:type="pct"/>
          </w:tcPr>
          <w:p>
            <w:pPr>
              <w:ind w:leftChars="0" w:left="0" w:right="0"/>
            </w:pPr>
            <w:r>
              <w:t>CBOE EUROPE - BXE ORDER BOOKS (NL)</w:t>
            </w:r>
          </w:p>
        </w:tc>
        <w:tc>
          <w:tcPr>
            <w:cnfStyle w:evenVBand="true" w:oddVBand="false" w:firstColumn="false"/>
            <w:tcW w:w="25.000000%" w:type="pct"/>
          </w:tcPr>
          <w:p>
            <w:pPr>
              <w:ind w:leftChars="0" w:left="0" w:right="0"/>
            </w:pPr>
            <w:r>
              <w:t>172</w:t>
            </w:r>
          </w:p>
        </w:tc>
      </w:tr>
      <w:tr>
        <w:trPr>
          <w:cnfStyle w:evenHBand="true" w:oddHBand="false" w:firstRow="false"/>
        </w:trPr>
        <w:tc>
          <w:tcPr>
            <w:cnfStyle w:evenVBand="false" w:oddVBand="true" w:firstColumn="false"/>
            <w:tcW w:w="25.000000%" w:type="pct"/>
          </w:tcPr>
          <w:p>
            <w:pPr>
              <w:ind w:leftChars="0" w:left="0" w:right="0"/>
            </w:pPr>
            <w:r>
              <w:t>BEUF</w:t>
            </w:r>
          </w:p>
        </w:tc>
        <w:tc>
          <w:tcPr>
            <w:cnfStyle w:evenVBand="true" w:oddVBand="false" w:firstColumn="false"/>
            <w:tcW w:w="25.000000%" w:type="pct"/>
          </w:tcPr>
          <w:p>
            <w:pPr>
              <w:ind w:leftChars="0" w:left="0" w:right="0"/>
            </w:pPr>
            <w:r>
              <w:t>BEUF</w:t>
            </w:r>
          </w:p>
        </w:tc>
        <w:tc>
          <w:tcPr>
            <w:cnfStyle w:evenVBand="false" w:oddVBand="true" w:firstColumn="false"/>
            <w:tcW w:w="25.000000%" w:type="pct"/>
          </w:tcPr>
          <w:p>
            <w:pPr>
              <w:ind w:leftChars="0" w:left="0" w:right="0"/>
            </w:pPr>
            <w:r>
              <w:t>CBOE EUROPE - BXE OFF-BOOK (NL)</w:t>
            </w:r>
          </w:p>
        </w:tc>
        <w:tc>
          <w:tcPr>
            <w:cnfStyle w:evenVBand="true" w:oddVBand="false" w:firstColumn="false"/>
            <w:tcW w:w="25.000000%" w:type="pct"/>
          </w:tcPr>
          <w:p>
            <w:pPr>
              <w:ind w:leftChars="0" w:left="0" w:right="0"/>
            </w:pPr>
            <w:r>
              <w:t>173</w:t>
            </w:r>
          </w:p>
        </w:tc>
      </w:tr>
      <w:tr>
        <w:trPr>
          <w:cnfStyle w:evenHBand="false" w:oddHBand="true" w:firstRow="false"/>
        </w:trPr>
        <w:tc>
          <w:tcPr>
            <w:cnfStyle w:evenVBand="false" w:oddVBand="true" w:firstColumn="false"/>
            <w:tcW w:w="25.000000%" w:type="pct"/>
          </w:tcPr>
          <w:p>
            <w:pPr>
              <w:ind w:leftChars="0" w:left="0" w:right="0"/>
            </w:pPr>
            <w:r>
              <w:t>BEUO</w:t>
            </w:r>
          </w:p>
        </w:tc>
        <w:tc>
          <w:tcPr>
            <w:cnfStyle w:evenVBand="true" w:oddVBand="false" w:firstColumn="false"/>
            <w:tcW w:w="25.000000%" w:type="pct"/>
          </w:tcPr>
          <w:p>
            <w:pPr>
              <w:ind w:leftChars="0" w:left="0" w:right="0"/>
            </w:pPr>
            <w:r>
              <w:t>BEUO</w:t>
            </w:r>
          </w:p>
        </w:tc>
        <w:tc>
          <w:tcPr>
            <w:cnfStyle w:evenVBand="false" w:oddVBand="true" w:firstColumn="false"/>
            <w:tcW w:w="25.000000%" w:type="pct"/>
          </w:tcPr>
          <w:p>
            <w:pPr>
              <w:ind w:leftChars="0" w:left="0" w:right="0"/>
            </w:pPr>
            <w:r>
              <w:t>CBOE EUROPE - REGULATED MARKET OFF BOOK (NL)</w:t>
            </w:r>
          </w:p>
        </w:tc>
        <w:tc>
          <w:tcPr>
            <w:cnfStyle w:evenVBand="true" w:oddVBand="false" w:firstColumn="false"/>
            <w:tcW w:w="25.000000%" w:type="pct"/>
          </w:tcPr>
          <w:p>
            <w:pPr>
              <w:ind w:leftChars="0" w:left="0" w:right="0"/>
            </w:pPr>
            <w:r>
              <w:t>174</w:t>
            </w:r>
          </w:p>
        </w:tc>
      </w:tr>
      <w:tr>
        <w:trPr>
          <w:cnfStyle w:evenHBand="true" w:oddHBand="false" w:firstRow="false"/>
        </w:trPr>
        <w:tc>
          <w:tcPr>
            <w:cnfStyle w:evenVBand="false" w:oddVBand="true" w:firstColumn="false"/>
            <w:tcW w:w="25.000000%" w:type="pct"/>
          </w:tcPr>
          <w:p>
            <w:pPr>
              <w:ind w:leftChars="0" w:left="0" w:right="0"/>
            </w:pPr>
            <w:r>
              <w:t>BEUP</w:t>
            </w:r>
          </w:p>
        </w:tc>
        <w:tc>
          <w:tcPr>
            <w:cnfStyle w:evenVBand="true" w:oddVBand="false" w:firstColumn="false"/>
            <w:tcW w:w="25.000000%" w:type="pct"/>
          </w:tcPr>
          <w:p>
            <w:pPr>
              <w:ind w:leftChars="0" w:left="0" w:right="0"/>
            </w:pPr>
            <w:r>
              <w:t>BEUP</w:t>
            </w:r>
          </w:p>
        </w:tc>
        <w:tc>
          <w:tcPr>
            <w:cnfStyle w:evenVBand="false" w:oddVBand="true" w:firstColumn="false"/>
            <w:tcW w:w="25.000000%" w:type="pct"/>
          </w:tcPr>
          <w:p>
            <w:pPr>
              <w:ind w:leftChars="0" w:left="0" w:right="0"/>
            </w:pPr>
            <w:r>
              <w:t>CBOE EUROPE - DXE PERIODIC (NL)</w:t>
            </w:r>
          </w:p>
        </w:tc>
        <w:tc>
          <w:tcPr>
            <w:cnfStyle w:evenVBand="true" w:oddVBand="false" w:firstColumn="false"/>
            <w:tcW w:w="25.000000%" w:type="pct"/>
          </w:tcPr>
          <w:p>
            <w:pPr>
              <w:ind w:leftChars="0" w:left="0" w:right="0"/>
            </w:pPr>
            <w:r>
              <w:t>175</w:t>
            </w:r>
          </w:p>
        </w:tc>
      </w:tr>
      <w:tr>
        <w:trPr>
          <w:cnfStyle w:evenHBand="false" w:oddHBand="true" w:firstRow="false"/>
        </w:trPr>
        <w:tc>
          <w:tcPr>
            <w:cnfStyle w:evenVBand="false" w:oddVBand="true" w:firstColumn="false"/>
            <w:tcW w:w="25.000000%" w:type="pct"/>
          </w:tcPr>
          <w:p>
            <w:pPr>
              <w:ind w:leftChars="0" w:left="0" w:right="0"/>
            </w:pPr>
            <w:r>
              <w:t>BEUT</w:t>
            </w:r>
          </w:p>
        </w:tc>
        <w:tc>
          <w:tcPr>
            <w:cnfStyle w:evenVBand="true" w:oddVBand="false" w:firstColumn="false"/>
            <w:tcW w:w="25.000000%" w:type="pct"/>
          </w:tcPr>
          <w:p>
            <w:pPr>
              <w:ind w:leftChars="0" w:left="0" w:right="0"/>
            </w:pPr>
            <w:r>
              <w:t>BEUT</w:t>
            </w:r>
          </w:p>
        </w:tc>
        <w:tc>
          <w:tcPr>
            <w:cnfStyle w:evenVBand="false" w:oddVBand="true" w:firstColumn="false"/>
            <w:tcW w:w="25.000000%" w:type="pct"/>
          </w:tcPr>
          <w:p>
            <w:pPr>
              <w:ind w:leftChars="0" w:left="0" w:right="0"/>
            </w:pPr>
            <w:r>
              <w:t>CBOE EUROPE - REGULATED MARKET INTEGRATED BOOK (NL)</w:t>
            </w:r>
          </w:p>
        </w:tc>
        <w:tc>
          <w:tcPr>
            <w:cnfStyle w:evenVBand="true" w:oddVBand="false" w:firstColumn="false"/>
            <w:tcW w:w="25.000000%" w:type="pct"/>
          </w:tcPr>
          <w:p>
            <w:pPr>
              <w:ind w:leftChars="0" w:left="0" w:right="0"/>
            </w:pPr>
            <w:r>
              <w:t>176</w:t>
            </w:r>
          </w:p>
        </w:tc>
      </w:tr>
      <w:tr>
        <w:trPr>
          <w:cnfStyle w:evenHBand="true" w:oddHBand="false" w:firstRow="false"/>
        </w:trPr>
        <w:tc>
          <w:tcPr>
            <w:cnfStyle w:evenVBand="false" w:oddVBand="true" w:firstColumn="false"/>
            <w:tcW w:w="25.000000%" w:type="pct"/>
          </w:tcPr>
          <w:p>
            <w:pPr>
              <w:ind w:leftChars="0" w:left="0" w:right="0"/>
            </w:pPr>
            <w:r>
              <w:t>BFEX</w:t>
            </w:r>
          </w:p>
        </w:tc>
        <w:tc>
          <w:tcPr>
            <w:cnfStyle w:evenVBand="true" w:oddVBand="false" w:firstColumn="false"/>
            <w:tcW w:w="25.000000%" w:type="pct"/>
          </w:tcPr>
          <w:p>
            <w:pPr>
              <w:ind w:leftChars="0" w:left="0" w:right="0"/>
            </w:pPr>
            <w:r>
              <w:t>BFEX</w:t>
            </w:r>
          </w:p>
        </w:tc>
        <w:tc>
          <w:tcPr>
            <w:cnfStyle w:evenVBand="false" w:oddVBand="true" w:firstColumn="false"/>
            <w:tcW w:w="25.000000%" w:type="pct"/>
          </w:tcPr>
          <w:p>
            <w:pPr>
              <w:ind w:leftChars="0" w:left="0" w:right="0"/>
            </w:pPr>
            <w:r>
              <w:t>BAHRAIN FINANCIAL EXCHANGE</w:t>
            </w:r>
          </w:p>
        </w:tc>
        <w:tc>
          <w:tcPr>
            <w:cnfStyle w:evenVBand="true" w:oddVBand="false" w:firstColumn="false"/>
            <w:tcW w:w="25.000000%" w:type="pct"/>
          </w:tcPr>
          <w:p>
            <w:pPr>
              <w:ind w:leftChars="0" w:left="0" w:right="0"/>
            </w:pPr>
            <w:r>
              <w:t>177</w:t>
            </w:r>
          </w:p>
        </w:tc>
      </w:tr>
      <w:tr>
        <w:trPr>
          <w:cnfStyle w:evenHBand="false" w:oddHBand="true" w:firstRow="false"/>
        </w:trPr>
        <w:tc>
          <w:tcPr>
            <w:cnfStyle w:evenVBand="false" w:oddVBand="true" w:firstColumn="false"/>
            <w:tcW w:w="25.000000%" w:type="pct"/>
          </w:tcPr>
          <w:p>
            <w:pPr>
              <w:ind w:leftChars="0" w:left="0" w:right="0"/>
            </w:pPr>
            <w:r>
              <w:t>BFPT</w:t>
            </w:r>
          </w:p>
        </w:tc>
        <w:tc>
          <w:tcPr>
            <w:cnfStyle w:evenVBand="true" w:oddVBand="false" w:firstColumn="false"/>
            <w:tcW w:w="25.000000%" w:type="pct"/>
          </w:tcPr>
          <w:p>
            <w:pPr>
              <w:ind w:leftChars="0" w:left="0" w:right="0"/>
            </w:pPr>
            <w:r>
              <w:t>BFPT</w:t>
            </w:r>
          </w:p>
        </w:tc>
        <w:tc>
          <w:tcPr>
            <w:cnfStyle w:evenVBand="false" w:oddVBand="true" w:firstColumn="false"/>
            <w:tcW w:w="25.000000%" w:type="pct"/>
          </w:tcPr>
          <w:p>
            <w:pPr>
              <w:ind w:leftChars="0" w:left="0" w:right="0"/>
            </w:pPr>
            <w:r>
              <w:t>BANCO FINANTIA S.A. - SYSTEMATIC INTERNALISER</w:t>
            </w:r>
          </w:p>
        </w:tc>
        <w:tc>
          <w:tcPr>
            <w:cnfStyle w:evenVBand="true" w:oddVBand="false" w:firstColumn="false"/>
            <w:tcW w:w="25.000000%" w:type="pct"/>
          </w:tcPr>
          <w:p>
            <w:pPr>
              <w:ind w:leftChars="0" w:left="0" w:right="0"/>
            </w:pPr>
            <w:r>
              <w:t>178</w:t>
            </w:r>
          </w:p>
        </w:tc>
      </w:tr>
      <w:tr>
        <w:trPr>
          <w:cnfStyle w:evenHBand="true" w:oddHBand="false" w:firstRow="false"/>
        </w:trPr>
        <w:tc>
          <w:tcPr>
            <w:cnfStyle w:evenVBand="false" w:oddVBand="true" w:firstColumn="false"/>
            <w:tcW w:w="25.000000%" w:type="pct"/>
          </w:tcPr>
          <w:p>
            <w:pPr>
              <w:ind w:leftChars="0" w:left="0" w:right="0"/>
            </w:pPr>
            <w:r>
              <w:t>BGCA</w:t>
            </w:r>
          </w:p>
        </w:tc>
        <w:tc>
          <w:tcPr>
            <w:cnfStyle w:evenVBand="true" w:oddVBand="false" w:firstColumn="false"/>
            <w:tcW w:w="25.000000%" w:type="pct"/>
          </w:tcPr>
          <w:p>
            <w:pPr>
              <w:ind w:leftChars="0" w:left="0" w:right="0"/>
            </w:pPr>
            <w:r>
              <w:t>BGCA</w:t>
            </w:r>
          </w:p>
        </w:tc>
        <w:tc>
          <w:tcPr>
            <w:cnfStyle w:evenVBand="false" w:oddVBand="true" w:firstColumn="false"/>
            <w:tcW w:w="25.000000%" w:type="pct"/>
          </w:tcPr>
          <w:p>
            <w:pPr>
              <w:ind w:leftChars="0" w:left="0" w:right="0"/>
            </w:pPr>
            <w:r>
              <w:t>BGC PARTNERS (AUSTRALIA) PTY LTD</w:t>
            </w:r>
          </w:p>
        </w:tc>
        <w:tc>
          <w:tcPr>
            <w:cnfStyle w:evenVBand="true" w:oddVBand="false" w:firstColumn="false"/>
            <w:tcW w:w="25.000000%" w:type="pct"/>
          </w:tcPr>
          <w:p>
            <w:pPr>
              <w:ind w:leftChars="0" w:left="0" w:right="0"/>
            </w:pPr>
            <w:r>
              <w:t>179</w:t>
            </w:r>
          </w:p>
        </w:tc>
      </w:tr>
      <w:tr>
        <w:trPr>
          <w:cnfStyle w:evenHBand="false" w:oddHBand="true" w:firstRow="false"/>
        </w:trPr>
        <w:tc>
          <w:tcPr>
            <w:cnfStyle w:evenVBand="false" w:oddVBand="true" w:firstColumn="false"/>
            <w:tcW w:w="25.000000%" w:type="pct"/>
          </w:tcPr>
          <w:p>
            <w:pPr>
              <w:ind w:leftChars="0" w:left="0" w:right="0"/>
            </w:pPr>
            <w:r>
              <w:t>BGCB</w:t>
            </w:r>
          </w:p>
        </w:tc>
        <w:tc>
          <w:tcPr>
            <w:cnfStyle w:evenVBand="true" w:oddVBand="false" w:firstColumn="false"/>
            <w:tcW w:w="25.000000%" w:type="pct"/>
          </w:tcPr>
          <w:p>
            <w:pPr>
              <w:ind w:leftChars="0" w:left="0" w:right="0"/>
            </w:pPr>
            <w:r>
              <w:t>BGCB</w:t>
            </w:r>
          </w:p>
        </w:tc>
        <w:tc>
          <w:tcPr>
            <w:cnfStyle w:evenVBand="false" w:oddVBand="true" w:firstColumn="false"/>
            <w:tcW w:w="25.000000%" w:type="pct"/>
          </w:tcPr>
          <w:p>
            <w:pPr>
              <w:ind w:leftChars="0" w:left="0" w:right="0"/>
            </w:pPr>
            <w:r>
              <w:t>BGC BROKERS LP - TRAYPORT</w:t>
            </w:r>
          </w:p>
        </w:tc>
        <w:tc>
          <w:tcPr>
            <w:cnfStyle w:evenVBand="true" w:oddVBand="false" w:firstColumn="false"/>
            <w:tcW w:w="25.000000%" w:type="pct"/>
          </w:tcPr>
          <w:p>
            <w:pPr>
              <w:ind w:leftChars="0" w:left="0" w:right="0"/>
            </w:pPr>
            <w:r>
              <w:t>180</w:t>
            </w:r>
          </w:p>
        </w:tc>
      </w:tr>
      <w:tr>
        <w:trPr>
          <w:cnfStyle w:evenHBand="true" w:oddHBand="false" w:firstRow="false"/>
        </w:trPr>
        <w:tc>
          <w:tcPr>
            <w:cnfStyle w:evenVBand="false" w:oddVBand="true" w:firstColumn="false"/>
            <w:tcW w:w="25.000000%" w:type="pct"/>
          </w:tcPr>
          <w:p>
            <w:pPr>
              <w:ind w:leftChars="0" w:left="0" w:right="0"/>
            </w:pPr>
            <w:r>
              <w:t>BGCD</w:t>
            </w:r>
          </w:p>
        </w:tc>
        <w:tc>
          <w:tcPr>
            <w:cnfStyle w:evenVBand="true" w:oddVBand="false" w:firstColumn="false"/>
            <w:tcW w:w="25.000000%" w:type="pct"/>
          </w:tcPr>
          <w:p>
            <w:pPr>
              <w:ind w:leftChars="0" w:left="0" w:right="0"/>
            </w:pPr>
            <w:r>
              <w:t>BGCD</w:t>
            </w:r>
          </w:p>
        </w:tc>
        <w:tc>
          <w:tcPr>
            <w:cnfStyle w:evenVBand="false" w:oddVBand="true" w:firstColumn="false"/>
            <w:tcW w:w="25.000000%" w:type="pct"/>
          </w:tcPr>
          <w:p>
            <w:pPr>
              <w:ind w:leftChars="0" w:left="0" w:right="0"/>
            </w:pPr>
            <w:r>
              <w:t>BGC DERIVATIVE MARKETS L.P.</w:t>
            </w:r>
          </w:p>
        </w:tc>
        <w:tc>
          <w:tcPr>
            <w:cnfStyle w:evenVBand="true" w:oddVBand="false" w:firstColumn="false"/>
            <w:tcW w:w="25.000000%" w:type="pct"/>
          </w:tcPr>
          <w:p>
            <w:pPr>
              <w:ind w:leftChars="0" w:left="0" w:right="0"/>
            </w:pPr>
            <w:r>
              <w:t>181</w:t>
            </w:r>
          </w:p>
        </w:tc>
      </w:tr>
      <w:tr>
        <w:trPr>
          <w:cnfStyle w:evenHBand="false" w:oddHBand="true" w:firstRow="false"/>
        </w:trPr>
        <w:tc>
          <w:tcPr>
            <w:cnfStyle w:evenVBand="false" w:oddVBand="true" w:firstColumn="false"/>
            <w:tcW w:w="25.000000%" w:type="pct"/>
          </w:tcPr>
          <w:p>
            <w:pPr>
              <w:ind w:leftChars="0" w:left="0" w:right="0"/>
            </w:pPr>
            <w:r>
              <w:t>BGCF</w:t>
            </w:r>
          </w:p>
        </w:tc>
        <w:tc>
          <w:tcPr>
            <w:cnfStyle w:evenVBand="true" w:oddVBand="false" w:firstColumn="false"/>
            <w:tcW w:w="25.000000%" w:type="pct"/>
          </w:tcPr>
          <w:p>
            <w:pPr>
              <w:ind w:leftChars="0" w:left="0" w:right="0"/>
            </w:pPr>
            <w:r>
              <w:t>BGCF</w:t>
            </w:r>
          </w:p>
        </w:tc>
        <w:tc>
          <w:tcPr>
            <w:cnfStyle w:evenVBand="false" w:oddVBand="true" w:firstColumn="false"/>
            <w:tcW w:w="25.000000%" w:type="pct"/>
          </w:tcPr>
          <w:p>
            <w:pPr>
              <w:ind w:leftChars="0" w:left="0" w:right="0"/>
            </w:pPr>
            <w:r>
              <w:t>BGC FINANCIAL INC</w:t>
            </w:r>
          </w:p>
        </w:tc>
        <w:tc>
          <w:tcPr>
            <w:cnfStyle w:evenVBand="true" w:oddVBand="false" w:firstColumn="false"/>
            <w:tcW w:w="25.000000%" w:type="pct"/>
          </w:tcPr>
          <w:p>
            <w:pPr>
              <w:ind w:leftChars="0" w:left="0" w:right="0"/>
            </w:pPr>
            <w:r>
              <w:t>182</w:t>
            </w:r>
          </w:p>
        </w:tc>
      </w:tr>
      <w:tr>
        <w:trPr>
          <w:cnfStyle w:evenHBand="true" w:oddHBand="false" w:firstRow="false"/>
        </w:trPr>
        <w:tc>
          <w:tcPr>
            <w:cnfStyle w:evenVBand="false" w:oddVBand="true" w:firstColumn="false"/>
            <w:tcW w:w="25.000000%" w:type="pct"/>
          </w:tcPr>
          <w:p>
            <w:pPr>
              <w:ind w:leftChars="0" w:left="0" w:right="0"/>
            </w:pPr>
            <w:r>
              <w:t>BGCI</w:t>
            </w:r>
          </w:p>
        </w:tc>
        <w:tc>
          <w:tcPr>
            <w:cnfStyle w:evenVBand="true" w:oddVBand="false" w:firstColumn="false"/>
            <w:tcW w:w="25.000000%" w:type="pct"/>
          </w:tcPr>
          <w:p>
            <w:pPr>
              <w:ind w:leftChars="0" w:left="0" w:right="0"/>
            </w:pPr>
            <w:r>
              <w:t>BGCI</w:t>
            </w:r>
          </w:p>
        </w:tc>
        <w:tc>
          <w:tcPr>
            <w:cnfStyle w:evenVBand="false" w:oddVBand="true" w:firstColumn="false"/>
            <w:tcW w:w="25.000000%" w:type="pct"/>
          </w:tcPr>
          <w:p>
            <w:pPr>
              <w:ind w:leftChars="0" w:left="0" w:right="0"/>
            </w:pPr>
            <w:r>
              <w:t>BGC BROKERS LP</w:t>
            </w:r>
          </w:p>
        </w:tc>
        <w:tc>
          <w:tcPr>
            <w:cnfStyle w:evenVBand="true" w:oddVBand="false" w:firstColumn="false"/>
            <w:tcW w:w="25.000000%" w:type="pct"/>
          </w:tcPr>
          <w:p>
            <w:pPr>
              <w:ind w:leftChars="0" w:left="0" w:right="0"/>
            </w:pPr>
            <w:r>
              <w:t>183</w:t>
            </w:r>
          </w:p>
        </w:tc>
      </w:tr>
      <w:tr>
        <w:trPr>
          <w:cnfStyle w:evenHBand="false" w:oddHBand="true" w:firstRow="false"/>
        </w:trPr>
        <w:tc>
          <w:tcPr>
            <w:cnfStyle w:evenVBand="false" w:oddVBand="true" w:firstColumn="false"/>
            <w:tcW w:w="25.000000%" w:type="pct"/>
          </w:tcPr>
          <w:p>
            <w:pPr>
              <w:ind w:leftChars="0" w:left="0" w:right="0"/>
            </w:pPr>
            <w:r>
              <w:t>BGCM</w:t>
            </w:r>
          </w:p>
        </w:tc>
        <w:tc>
          <w:tcPr>
            <w:cnfStyle w:evenVBand="true" w:oddVBand="false" w:firstColumn="false"/>
            <w:tcW w:w="25.000000%" w:type="pct"/>
          </w:tcPr>
          <w:p>
            <w:pPr>
              <w:ind w:leftChars="0" w:left="0" w:right="0"/>
            </w:pPr>
            <w:r>
              <w:t>BGCM</w:t>
            </w:r>
          </w:p>
        </w:tc>
        <w:tc>
          <w:tcPr>
            <w:cnfStyle w:evenVBand="false" w:oddVBand="true" w:firstColumn="false"/>
            <w:tcW w:w="25.000000%" w:type="pct"/>
          </w:tcPr>
          <w:p>
            <w:pPr>
              <w:ind w:leftChars="0" w:left="0" w:right="0"/>
            </w:pPr>
            <w:r>
              <w:t>BGC BROKERS LP - MTF</w:t>
            </w:r>
          </w:p>
        </w:tc>
        <w:tc>
          <w:tcPr>
            <w:cnfStyle w:evenVBand="true" w:oddVBand="false" w:firstColumn="false"/>
            <w:tcW w:w="25.000000%" w:type="pct"/>
          </w:tcPr>
          <w:p>
            <w:pPr>
              <w:ind w:leftChars="0" w:left="0" w:right="0"/>
            </w:pPr>
            <w:r>
              <w:t>184</w:t>
            </w:r>
          </w:p>
        </w:tc>
      </w:tr>
      <w:tr>
        <w:trPr>
          <w:cnfStyle w:evenHBand="true" w:oddHBand="false" w:firstRow="false"/>
        </w:trPr>
        <w:tc>
          <w:tcPr>
            <w:cnfStyle w:evenVBand="false" w:oddVBand="true" w:firstColumn="false"/>
            <w:tcW w:w="25.000000%" w:type="pct"/>
          </w:tcPr>
          <w:p>
            <w:pPr>
              <w:ind w:leftChars="0" w:left="0" w:right="0"/>
            </w:pPr>
            <w:r>
              <w:t>BGCO</w:t>
            </w:r>
          </w:p>
        </w:tc>
        <w:tc>
          <w:tcPr>
            <w:cnfStyle w:evenVBand="true" w:oddVBand="false" w:firstColumn="false"/>
            <w:tcW w:w="25.000000%" w:type="pct"/>
          </w:tcPr>
          <w:p>
            <w:pPr>
              <w:ind w:leftChars="0" w:left="0" w:right="0"/>
            </w:pPr>
            <w:r>
              <w:t>BGCO</w:t>
            </w:r>
          </w:p>
        </w:tc>
        <w:tc>
          <w:tcPr>
            <w:cnfStyle w:evenVBand="false" w:oddVBand="true" w:firstColumn="false"/>
            <w:tcW w:w="25.000000%" w:type="pct"/>
          </w:tcPr>
          <w:p>
            <w:pPr>
              <w:ind w:leftChars="0" w:left="0" w:right="0"/>
            </w:pPr>
            <w:r>
              <w:t>BGC BROKERS LP - OTF</w:t>
            </w:r>
          </w:p>
        </w:tc>
        <w:tc>
          <w:tcPr>
            <w:cnfStyle w:evenVBand="true" w:oddVBand="false" w:firstColumn="false"/>
            <w:tcW w:w="25.000000%" w:type="pct"/>
          </w:tcPr>
          <w:p>
            <w:pPr>
              <w:ind w:leftChars="0" w:left="0" w:right="0"/>
            </w:pPr>
            <w:r>
              <w:t>185</w:t>
            </w:r>
          </w:p>
        </w:tc>
      </w:tr>
      <w:tr>
        <w:trPr>
          <w:cnfStyle w:evenHBand="false" w:oddHBand="true" w:firstRow="false"/>
        </w:trPr>
        <w:tc>
          <w:tcPr>
            <w:cnfStyle w:evenVBand="false" w:oddVBand="true" w:firstColumn="false"/>
            <w:tcW w:w="25.000000%" w:type="pct"/>
          </w:tcPr>
          <w:p>
            <w:pPr>
              <w:ind w:leftChars="0" w:left="0" w:right="0"/>
            </w:pPr>
            <w:r>
              <w:t>BGFI</w:t>
            </w:r>
          </w:p>
        </w:tc>
        <w:tc>
          <w:tcPr>
            <w:cnfStyle w:evenVBand="true" w:oddVBand="false" w:firstColumn="false"/>
            <w:tcW w:w="25.000000%" w:type="pct"/>
          </w:tcPr>
          <w:p>
            <w:pPr>
              <w:ind w:leftChars="0" w:left="0" w:right="0"/>
            </w:pPr>
            <w:r>
              <w:t>BGFI</w:t>
            </w:r>
          </w:p>
        </w:tc>
        <w:tc>
          <w:tcPr>
            <w:cnfStyle w:evenVBand="false" w:oddVBand="true" w:firstColumn="false"/>
            <w:tcW w:w="25.000000%" w:type="pct"/>
          </w:tcPr>
          <w:p>
            <w:pPr>
              <w:ind w:leftChars="0" w:left="0" w:right="0"/>
            </w:pPr>
            <w:r>
              <w:t>BERENBERG FIXED INCOME - SYSTEMATIC INTERNALISER</w:t>
            </w:r>
          </w:p>
        </w:tc>
        <w:tc>
          <w:tcPr>
            <w:cnfStyle w:evenVBand="true" w:oddVBand="false" w:firstColumn="false"/>
            <w:tcW w:w="25.000000%" w:type="pct"/>
          </w:tcPr>
          <w:p>
            <w:pPr>
              <w:ind w:leftChars="0" w:left="0" w:right="0"/>
            </w:pPr>
            <w:r>
              <w:t>186</w:t>
            </w:r>
          </w:p>
        </w:tc>
      </w:tr>
      <w:tr>
        <w:trPr>
          <w:cnfStyle w:evenHBand="true" w:oddHBand="false" w:firstRow="false"/>
        </w:trPr>
        <w:tc>
          <w:tcPr>
            <w:cnfStyle w:evenVBand="false" w:oddVBand="true" w:firstColumn="false"/>
            <w:tcW w:w="25.000000%" w:type="pct"/>
          </w:tcPr>
          <w:p>
            <w:pPr>
              <w:ind w:leftChars="0" w:left="0" w:right="0"/>
            </w:pPr>
            <w:r>
              <w:t>BGFU</w:t>
            </w:r>
          </w:p>
        </w:tc>
        <w:tc>
          <w:tcPr>
            <w:cnfStyle w:evenVBand="true" w:oddVBand="false" w:firstColumn="false"/>
            <w:tcW w:w="25.000000%" w:type="pct"/>
          </w:tcPr>
          <w:p>
            <w:pPr>
              <w:ind w:leftChars="0" w:left="0" w:right="0"/>
            </w:pPr>
            <w:r>
              <w:t>BGFU</w:t>
            </w:r>
          </w:p>
        </w:tc>
        <w:tc>
          <w:tcPr>
            <w:cnfStyle w:evenVBand="false" w:oddVBand="true" w:firstColumn="false"/>
            <w:tcW w:w="25.000000%" w:type="pct"/>
          </w:tcPr>
          <w:p>
            <w:pPr>
              <w:ind w:leftChars="0" w:left="0" w:right="0"/>
            </w:pPr>
            <w:r>
              <w:t>BERENBERG FIXED INCOME UK - SYSTEMATIC INTERNALISER</w:t>
            </w:r>
          </w:p>
        </w:tc>
        <w:tc>
          <w:tcPr>
            <w:cnfStyle w:evenVBand="true" w:oddVBand="false" w:firstColumn="false"/>
            <w:tcW w:w="25.000000%" w:type="pct"/>
          </w:tcPr>
          <w:p>
            <w:pPr>
              <w:ind w:leftChars="0" w:left="0" w:right="0"/>
            </w:pPr>
            <w:r>
              <w:t>187</w:t>
            </w:r>
          </w:p>
        </w:tc>
      </w:tr>
      <w:tr>
        <w:trPr>
          <w:cnfStyle w:evenHBand="false" w:oddHBand="true" w:firstRow="false"/>
        </w:trPr>
        <w:tc>
          <w:tcPr>
            <w:cnfStyle w:evenVBand="false" w:oddVBand="true" w:firstColumn="false"/>
            <w:tcW w:w="25.000000%" w:type="pct"/>
          </w:tcPr>
          <w:p>
            <w:pPr>
              <w:ind w:leftChars="0" w:left="0" w:right="0"/>
            </w:pPr>
            <w:r>
              <w:t>BGFX</w:t>
            </w:r>
          </w:p>
        </w:tc>
        <w:tc>
          <w:tcPr>
            <w:cnfStyle w:evenVBand="true" w:oddVBand="false" w:firstColumn="false"/>
            <w:tcW w:w="25.000000%" w:type="pct"/>
          </w:tcPr>
          <w:p>
            <w:pPr>
              <w:ind w:leftChars="0" w:left="0" w:right="0"/>
            </w:pPr>
            <w:r>
              <w:t>BGFX</w:t>
            </w:r>
          </w:p>
        </w:tc>
        <w:tc>
          <w:tcPr>
            <w:cnfStyle w:evenVBand="false" w:oddVBand="true" w:firstColumn="false"/>
            <w:tcW w:w="25.000000%" w:type="pct"/>
          </w:tcPr>
          <w:p>
            <w:pPr>
              <w:ind w:leftChars="0" w:left="0" w:right="0"/>
            </w:pPr>
            <w:r>
              <w:t>BERENBERG FX - SYSTEMATIC INTERNALISER</w:t>
            </w:r>
          </w:p>
        </w:tc>
        <w:tc>
          <w:tcPr>
            <w:cnfStyle w:evenVBand="true" w:oddVBand="false" w:firstColumn="false"/>
            <w:tcW w:w="25.000000%" w:type="pct"/>
          </w:tcPr>
          <w:p>
            <w:pPr>
              <w:ind w:leftChars="0" w:left="0" w:right="0"/>
            </w:pPr>
            <w:r>
              <w:t>188</w:t>
            </w:r>
          </w:p>
        </w:tc>
      </w:tr>
      <w:tr>
        <w:trPr>
          <w:cnfStyle w:evenHBand="true" w:oddHBand="false" w:firstRow="false"/>
        </w:trPr>
        <w:tc>
          <w:tcPr>
            <w:cnfStyle w:evenVBand="false" w:oddVBand="true" w:firstColumn="false"/>
            <w:tcW w:w="25.000000%" w:type="pct"/>
          </w:tcPr>
          <w:p>
            <w:pPr>
              <w:ind w:leftChars="0" w:left="0" w:right="0"/>
            </w:pPr>
            <w:r>
              <w:t>BGHX</w:t>
            </w:r>
          </w:p>
        </w:tc>
        <w:tc>
          <w:tcPr>
            <w:cnfStyle w:evenVBand="true" w:oddVBand="false" w:firstColumn="false"/>
            <w:tcW w:w="25.000000%" w:type="pct"/>
          </w:tcPr>
          <w:p>
            <w:pPr>
              <w:ind w:leftChars="0" w:left="0" w:right="0"/>
            </w:pPr>
            <w:r>
              <w:t>BGHX</w:t>
            </w:r>
          </w:p>
        </w:tc>
        <w:tc>
          <w:tcPr>
            <w:cnfStyle w:evenVBand="false" w:oddVBand="true" w:firstColumn="false"/>
            <w:tcW w:w="25.000000%" w:type="pct"/>
          </w:tcPr>
          <w:p>
            <w:pPr>
              <w:ind w:leftChars="0" w:left="0" w:right="0"/>
            </w:pPr>
            <w:r>
              <w:t>BALKAN GAS HUB EAD</w:t>
            </w:r>
          </w:p>
        </w:tc>
        <w:tc>
          <w:tcPr>
            <w:cnfStyle w:evenVBand="true" w:oddVBand="false" w:firstColumn="false"/>
            <w:tcW w:w="25.000000%" w:type="pct"/>
          </w:tcPr>
          <w:p>
            <w:pPr>
              <w:ind w:leftChars="0" w:left="0" w:right="0"/>
            </w:pPr>
            <w:r>
              <w:t>189</w:t>
            </w:r>
          </w:p>
        </w:tc>
      </w:tr>
      <w:tr>
        <w:trPr>
          <w:cnfStyle w:evenHBand="false" w:oddHBand="true" w:firstRow="false"/>
        </w:trPr>
        <w:tc>
          <w:tcPr>
            <w:cnfStyle w:evenVBand="false" w:oddVBand="true" w:firstColumn="false"/>
            <w:tcW w:w="25.000000%" w:type="pct"/>
          </w:tcPr>
          <w:p>
            <w:pPr>
              <w:ind w:leftChars="0" w:left="0" w:right="0"/>
            </w:pPr>
            <w:r>
              <w:t>BGLU</w:t>
            </w:r>
          </w:p>
        </w:tc>
        <w:tc>
          <w:tcPr>
            <w:cnfStyle w:evenVBand="true" w:oddVBand="false" w:firstColumn="false"/>
            <w:tcW w:w="25.000000%" w:type="pct"/>
          </w:tcPr>
          <w:p>
            <w:pPr>
              <w:ind w:leftChars="0" w:left="0" w:right="0"/>
            </w:pPr>
            <w:r>
              <w:t>BGLU</w:t>
            </w:r>
          </w:p>
        </w:tc>
        <w:tc>
          <w:tcPr>
            <w:cnfStyle w:evenVBand="false" w:oddVBand="true" w:firstColumn="false"/>
            <w:tcW w:w="25.000000%" w:type="pct"/>
          </w:tcPr>
          <w:p>
            <w:pPr>
              <w:ind w:leftChars="0" w:left="0" w:right="0"/>
            </w:pPr>
            <w:r>
              <w:t>BGL BNP PARIBAS  - SYSTEMATIC INTERNALISER</w:t>
            </w:r>
          </w:p>
        </w:tc>
        <w:tc>
          <w:tcPr>
            <w:cnfStyle w:evenVBand="true" w:oddVBand="false" w:firstColumn="false"/>
            <w:tcW w:w="25.000000%" w:type="pct"/>
          </w:tcPr>
          <w:p>
            <w:pPr>
              <w:ind w:leftChars="0" w:left="0" w:right="0"/>
            </w:pPr>
            <w:r>
              <w:t>190</w:t>
            </w:r>
          </w:p>
        </w:tc>
      </w:tr>
      <w:tr>
        <w:trPr>
          <w:cnfStyle w:evenHBand="true" w:oddHBand="false" w:firstRow="false"/>
        </w:trPr>
        <w:tc>
          <w:tcPr>
            <w:cnfStyle w:evenVBand="false" w:oddVBand="true" w:firstColumn="false"/>
            <w:tcW w:w="25.000000%" w:type="pct"/>
          </w:tcPr>
          <w:p>
            <w:pPr>
              <w:ind w:leftChars="0" w:left="0" w:right="0"/>
            </w:pPr>
            <w:r>
              <w:t>BGSI</w:t>
            </w:r>
          </w:p>
        </w:tc>
        <w:tc>
          <w:tcPr>
            <w:cnfStyle w:evenVBand="true" w:oddVBand="false" w:firstColumn="false"/>
            <w:tcW w:w="25.000000%" w:type="pct"/>
          </w:tcPr>
          <w:p>
            <w:pPr>
              <w:ind w:leftChars="0" w:left="0" w:right="0"/>
            </w:pPr>
            <w:r>
              <w:t>BGSI</w:t>
            </w:r>
          </w:p>
        </w:tc>
        <w:tc>
          <w:tcPr>
            <w:cnfStyle w:evenVBand="false" w:oddVBand="true" w:firstColumn="false"/>
            <w:tcW w:w="25.000000%" w:type="pct"/>
          </w:tcPr>
          <w:p>
            <w:pPr>
              <w:ind w:leftChars="0" w:left="0" w:right="0"/>
            </w:pPr>
            <w:r>
              <w:t>BERENBERG - SYSTEMATIC - INTERNALISER</w:t>
            </w:r>
          </w:p>
        </w:tc>
        <w:tc>
          <w:tcPr>
            <w:cnfStyle w:evenVBand="true" w:oddVBand="false" w:firstColumn="false"/>
            <w:tcW w:w="25.000000%" w:type="pct"/>
          </w:tcPr>
          <w:p>
            <w:pPr>
              <w:ind w:leftChars="0" w:left="0" w:right="0"/>
            </w:pPr>
            <w:r>
              <w:t>191</w:t>
            </w:r>
          </w:p>
        </w:tc>
      </w:tr>
      <w:tr>
        <w:trPr>
          <w:cnfStyle w:evenHBand="false" w:oddHBand="true" w:firstRow="false"/>
        </w:trPr>
        <w:tc>
          <w:tcPr>
            <w:cnfStyle w:evenVBand="false" w:oddVBand="true" w:firstColumn="false"/>
            <w:tcW w:w="25.000000%" w:type="pct"/>
          </w:tcPr>
          <w:p>
            <w:pPr>
              <w:ind w:leftChars="0" w:left="0" w:right="0"/>
            </w:pPr>
            <w:r>
              <w:t>BGUK</w:t>
            </w:r>
          </w:p>
        </w:tc>
        <w:tc>
          <w:tcPr>
            <w:cnfStyle w:evenVBand="true" w:oddVBand="false" w:firstColumn="false"/>
            <w:tcW w:w="25.000000%" w:type="pct"/>
          </w:tcPr>
          <w:p>
            <w:pPr>
              <w:ind w:leftChars="0" w:left="0" w:right="0"/>
            </w:pPr>
            <w:r>
              <w:t>BGUK</w:t>
            </w:r>
          </w:p>
        </w:tc>
        <w:tc>
          <w:tcPr>
            <w:cnfStyle w:evenVBand="false" w:oddVBand="true" w:firstColumn="false"/>
            <w:tcW w:w="25.000000%" w:type="pct"/>
          </w:tcPr>
          <w:p>
            <w:pPr>
              <w:ind w:leftChars="0" w:left="0" w:right="0"/>
            </w:pPr>
            <w:r>
              <w:t>BERENBERG - SYSTEMATIC INTERNALISER UK</w:t>
            </w:r>
          </w:p>
        </w:tc>
        <w:tc>
          <w:tcPr>
            <w:cnfStyle w:evenVBand="true" w:oddVBand="false" w:firstColumn="false"/>
            <w:tcW w:w="25.000000%" w:type="pct"/>
          </w:tcPr>
          <w:p>
            <w:pPr>
              <w:ind w:leftChars="0" w:left="0" w:right="0"/>
            </w:pPr>
            <w:r>
              <w:t>192</w:t>
            </w:r>
          </w:p>
        </w:tc>
      </w:tr>
      <w:tr>
        <w:trPr>
          <w:cnfStyle w:evenHBand="true" w:oddHBand="false" w:firstRow="false"/>
        </w:trPr>
        <w:tc>
          <w:tcPr>
            <w:cnfStyle w:evenVBand="false" w:oddVBand="true" w:firstColumn="false"/>
            <w:tcW w:w="25.000000%" w:type="pct"/>
          </w:tcPr>
          <w:p>
            <w:pPr>
              <w:ind w:leftChars="0" w:left="0" w:right="0"/>
            </w:pPr>
            <w:r>
              <w:t>BHSF</w:t>
            </w:r>
          </w:p>
        </w:tc>
        <w:tc>
          <w:tcPr>
            <w:cnfStyle w:evenVBand="true" w:oddVBand="false" w:firstColumn="false"/>
            <w:tcW w:w="25.000000%" w:type="pct"/>
          </w:tcPr>
          <w:p>
            <w:pPr>
              <w:ind w:leftChars="0" w:left="0" w:right="0"/>
            </w:pPr>
            <w:r>
              <w:t>BHSF</w:t>
            </w:r>
          </w:p>
        </w:tc>
        <w:tc>
          <w:tcPr>
            <w:cnfStyle w:evenVBand="false" w:oddVBand="true" w:firstColumn="false"/>
            <w:tcW w:w="25.000000%" w:type="pct"/>
          </w:tcPr>
          <w:p>
            <w:pPr>
              <w:ind w:leftChars="0" w:left="0" w:right="0"/>
            </w:pPr>
            <w:r>
              <w:t>CBOE SEF, LLC</w:t>
            </w:r>
          </w:p>
        </w:tc>
        <w:tc>
          <w:tcPr>
            <w:cnfStyle w:evenVBand="true" w:oddVBand="false" w:firstColumn="false"/>
            <w:tcW w:w="25.000000%" w:type="pct"/>
          </w:tcPr>
          <w:p>
            <w:pPr>
              <w:ind w:leftChars="0" w:left="0" w:right="0"/>
            </w:pPr>
            <w:r>
              <w:t>193</w:t>
            </w:r>
          </w:p>
        </w:tc>
      </w:tr>
      <w:tr>
        <w:trPr>
          <w:cnfStyle w:evenHBand="false" w:oddHBand="true" w:firstRow="false"/>
        </w:trPr>
        <w:tc>
          <w:tcPr>
            <w:cnfStyle w:evenVBand="false" w:oddVBand="true" w:firstColumn="false"/>
            <w:tcW w:w="25.000000%" w:type="pct"/>
          </w:tcPr>
          <w:p>
            <w:pPr>
              <w:ind w:leftChars="0" w:left="0" w:right="0"/>
            </w:pPr>
            <w:r>
              <w:t>BHWA</w:t>
            </w:r>
          </w:p>
        </w:tc>
        <w:tc>
          <w:tcPr>
            <w:cnfStyle w:evenVBand="true" w:oddVBand="false" w:firstColumn="false"/>
            <w:tcW w:w="25.000000%" w:type="pct"/>
          </w:tcPr>
          <w:p>
            <w:pPr>
              <w:ind w:leftChars="0" w:left="0" w:right="0"/>
            </w:pPr>
            <w:r>
              <w:t>BHWA</w:t>
            </w:r>
          </w:p>
        </w:tc>
        <w:tc>
          <w:tcPr>
            <w:cnfStyle w:evenVBand="false" w:oddVBand="true" w:firstColumn="false"/>
            <w:tcW w:w="25.000000%" w:type="pct"/>
          </w:tcPr>
          <w:p>
            <w:pPr>
              <w:ind w:leftChars="0" w:left="0" w:right="0"/>
            </w:pPr>
            <w:r>
              <w:t>BANK HANDLOWY W WARSZAWIE S.A. - SYSTEMATIC INTERNALISER</w:t>
            </w:r>
          </w:p>
        </w:tc>
        <w:tc>
          <w:tcPr>
            <w:cnfStyle w:evenVBand="true" w:oddVBand="false" w:firstColumn="false"/>
            <w:tcW w:w="25.000000%" w:type="pct"/>
          </w:tcPr>
          <w:p>
            <w:pPr>
              <w:ind w:leftChars="0" w:left="0" w:right="0"/>
            </w:pPr>
            <w:r>
              <w:t>194</w:t>
            </w:r>
          </w:p>
        </w:tc>
      </w:tr>
      <w:tr>
        <w:trPr>
          <w:cnfStyle w:evenHBand="true" w:oddHBand="false" w:firstRow="false"/>
        </w:trPr>
        <w:tc>
          <w:tcPr>
            <w:cnfStyle w:evenVBand="false" w:oddVBand="true" w:firstColumn="false"/>
            <w:tcW w:w="25.000000%" w:type="pct"/>
          </w:tcPr>
          <w:p>
            <w:pPr>
              <w:ind w:leftChars="0" w:left="0" w:right="0"/>
            </w:pPr>
            <w:r>
              <w:t>BIDS</w:t>
            </w:r>
          </w:p>
        </w:tc>
        <w:tc>
          <w:tcPr>
            <w:cnfStyle w:evenVBand="true" w:oddVBand="false" w:firstColumn="false"/>
            <w:tcW w:w="25.000000%" w:type="pct"/>
          </w:tcPr>
          <w:p>
            <w:pPr>
              <w:ind w:leftChars="0" w:left="0" w:right="0"/>
            </w:pPr>
            <w:r>
              <w:t>BIDS</w:t>
            </w:r>
          </w:p>
        </w:tc>
        <w:tc>
          <w:tcPr>
            <w:cnfStyle w:evenVBand="false" w:oddVBand="true" w:firstColumn="false"/>
            <w:tcW w:w="25.000000%" w:type="pct"/>
          </w:tcPr>
          <w:p>
            <w:pPr>
              <w:ind w:leftChars="0" w:left="0" w:right="0"/>
            </w:pPr>
            <w:r>
              <w:t>BIDS TRADING L.P.</w:t>
            </w:r>
          </w:p>
        </w:tc>
        <w:tc>
          <w:tcPr>
            <w:cnfStyle w:evenVBand="true" w:oddVBand="false" w:firstColumn="false"/>
            <w:tcW w:w="25.000000%" w:type="pct"/>
          </w:tcPr>
          <w:p>
            <w:pPr>
              <w:ind w:leftChars="0" w:left="0" w:right="0"/>
            </w:pPr>
            <w:r>
              <w:t>195</w:t>
            </w:r>
          </w:p>
        </w:tc>
      </w:tr>
      <w:tr>
        <w:trPr>
          <w:cnfStyle w:evenHBand="false" w:oddHBand="true" w:firstRow="false"/>
        </w:trPr>
        <w:tc>
          <w:tcPr>
            <w:cnfStyle w:evenVBand="false" w:oddVBand="true" w:firstColumn="false"/>
            <w:tcW w:w="25.000000%" w:type="pct"/>
          </w:tcPr>
          <w:p>
            <w:pPr>
              <w:ind w:leftChars="0" w:left="0" w:right="0"/>
            </w:pPr>
            <w:r>
              <w:t>BILT</w:t>
            </w:r>
          </w:p>
        </w:tc>
        <w:tc>
          <w:tcPr>
            <w:cnfStyle w:evenVBand="true" w:oddVBand="false" w:firstColumn="false"/>
            <w:tcW w:w="25.000000%" w:type="pct"/>
          </w:tcPr>
          <w:p>
            <w:pPr>
              <w:ind w:leftChars="0" w:left="0" w:right="0"/>
            </w:pPr>
            <w:r>
              <w:t>BILT</w:t>
            </w:r>
          </w:p>
        </w:tc>
        <w:tc>
          <w:tcPr>
            <w:cnfStyle w:evenVBand="false" w:oddVBand="true" w:firstColumn="false"/>
            <w:tcW w:w="25.000000%" w:type="pct"/>
          </w:tcPr>
          <w:p>
            <w:pPr>
              <w:ind w:leftChars="0" w:left="0" w:right="0"/>
            </w:pPr>
            <w:r>
              <w:t>OFF-EXCHANGE TRANSACTIONS - LISTED AND UNLISTED INSTRUMENTS</w:t>
            </w:r>
          </w:p>
        </w:tc>
        <w:tc>
          <w:tcPr>
            <w:cnfStyle w:evenVBand="true" w:oddVBand="false" w:firstColumn="false"/>
            <w:tcW w:w="25.000000%" w:type="pct"/>
          </w:tcPr>
          <w:p>
            <w:pPr>
              <w:ind w:leftChars="0" w:left="0" w:right="0"/>
            </w:pPr>
            <w:r>
              <w:t>196</w:t>
            </w:r>
          </w:p>
        </w:tc>
      </w:tr>
      <w:tr>
        <w:trPr>
          <w:cnfStyle w:evenHBand="true" w:oddHBand="false" w:firstRow="false"/>
        </w:trPr>
        <w:tc>
          <w:tcPr>
            <w:cnfStyle w:evenVBand="false" w:oddVBand="true" w:firstColumn="false"/>
            <w:tcW w:w="25.000000%" w:type="pct"/>
          </w:tcPr>
          <w:p>
            <w:pPr>
              <w:ind w:leftChars="0" w:left="0" w:right="0"/>
            </w:pPr>
            <w:r>
              <w:t>BILU</w:t>
            </w:r>
          </w:p>
        </w:tc>
        <w:tc>
          <w:tcPr>
            <w:cnfStyle w:evenVBand="true" w:oddVBand="false" w:firstColumn="false"/>
            <w:tcW w:w="25.000000%" w:type="pct"/>
          </w:tcPr>
          <w:p>
            <w:pPr>
              <w:ind w:leftChars="0" w:left="0" w:right="0"/>
            </w:pPr>
            <w:r>
              <w:t>BILU</w:t>
            </w:r>
          </w:p>
        </w:tc>
        <w:tc>
          <w:tcPr>
            <w:cnfStyle w:evenVBand="false" w:oddVBand="true" w:firstColumn="false"/>
            <w:tcW w:w="25.000000%" w:type="pct"/>
          </w:tcPr>
          <w:p>
            <w:pPr>
              <w:ind w:leftChars="0" w:left="0" w:right="0"/>
            </w:pPr>
            <w:r>
              <w:t>BANQUE INTERNATIONALE A LUXEMBOURG S.A. - SYSTEMATIC INTERNALISER</w:t>
            </w:r>
          </w:p>
        </w:tc>
        <w:tc>
          <w:tcPr>
            <w:cnfStyle w:evenVBand="true" w:oddVBand="false" w:firstColumn="false"/>
            <w:tcW w:w="25.000000%" w:type="pct"/>
          </w:tcPr>
          <w:p>
            <w:pPr>
              <w:ind w:leftChars="0" w:left="0" w:right="0"/>
            </w:pPr>
            <w:r>
              <w:t>197</w:t>
            </w:r>
          </w:p>
        </w:tc>
      </w:tr>
      <w:tr>
        <w:trPr>
          <w:cnfStyle w:evenHBand="false" w:oddHBand="true" w:firstRow="false"/>
        </w:trPr>
        <w:tc>
          <w:tcPr>
            <w:cnfStyle w:evenVBand="false" w:oddVBand="true" w:firstColumn="false"/>
            <w:tcW w:w="25.000000%" w:type="pct"/>
          </w:tcPr>
          <w:p>
            <w:pPr>
              <w:ind w:leftChars="0" w:left="0" w:right="0"/>
            </w:pPr>
            <w:r>
              <w:t>BINV</w:t>
            </w:r>
          </w:p>
        </w:tc>
        <w:tc>
          <w:tcPr>
            <w:cnfStyle w:evenVBand="true" w:oddVBand="false" w:firstColumn="false"/>
            <w:tcW w:w="25.000000%" w:type="pct"/>
          </w:tcPr>
          <w:p>
            <w:pPr>
              <w:ind w:leftChars="0" w:left="0" w:right="0"/>
            </w:pPr>
            <w:r>
              <w:t>BINV</w:t>
            </w:r>
          </w:p>
        </w:tc>
        <w:tc>
          <w:tcPr>
            <w:cnfStyle w:evenVBand="false" w:oddVBand="true" w:firstColumn="false"/>
            <w:tcW w:w="25.000000%" w:type="pct"/>
          </w:tcPr>
          <w:p>
            <w:pPr>
              <w:ind w:leftChars="0" w:left="0" w:right="0"/>
            </w:pPr>
            <w:r>
              <w:t>BOND INVEST - SYSTEMATIC INTERNALISER</w:t>
            </w:r>
          </w:p>
        </w:tc>
        <w:tc>
          <w:tcPr>
            <w:cnfStyle w:evenVBand="true" w:oddVBand="false" w:firstColumn="false"/>
            <w:tcW w:w="25.000000%" w:type="pct"/>
          </w:tcPr>
          <w:p>
            <w:pPr>
              <w:ind w:leftChars="0" w:left="0" w:right="0"/>
            </w:pPr>
            <w:r>
              <w:t>198</w:t>
            </w:r>
          </w:p>
        </w:tc>
      </w:tr>
      <w:tr>
        <w:trPr>
          <w:cnfStyle w:evenHBand="true" w:oddHBand="false" w:firstRow="false"/>
        </w:trPr>
        <w:tc>
          <w:tcPr>
            <w:cnfStyle w:evenVBand="false" w:oddVBand="true" w:firstColumn="false"/>
            <w:tcW w:w="25.000000%" w:type="pct"/>
          </w:tcPr>
          <w:p>
            <w:pPr>
              <w:ind w:leftChars="0" w:left="0" w:right="0"/>
            </w:pPr>
            <w:r>
              <w:t>BISI</w:t>
            </w:r>
          </w:p>
        </w:tc>
        <w:tc>
          <w:tcPr>
            <w:cnfStyle w:evenVBand="true" w:oddVBand="false" w:firstColumn="false"/>
            <w:tcW w:w="25.000000%" w:type="pct"/>
          </w:tcPr>
          <w:p>
            <w:pPr>
              <w:ind w:leftChars="0" w:left="0" w:right="0"/>
            </w:pPr>
            <w:r>
              <w:t>BISI</w:t>
            </w:r>
          </w:p>
        </w:tc>
        <w:tc>
          <w:tcPr>
            <w:cnfStyle w:evenVBand="false" w:oddVBand="true" w:firstColumn="false"/>
            <w:tcW w:w="25.000000%" w:type="pct"/>
          </w:tcPr>
          <w:p>
            <w:pPr>
              <w:ind w:leftChars="0" w:left="0" w:right="0"/>
            </w:pPr>
            <w:r>
              <w:t>GOLDMAN SACHS INTERNATIONAL BANK - SYSTEMATIC INTERNALISER</w:t>
            </w:r>
          </w:p>
        </w:tc>
        <w:tc>
          <w:tcPr>
            <w:cnfStyle w:evenVBand="true" w:oddVBand="false" w:firstColumn="false"/>
            <w:tcW w:w="25.000000%" w:type="pct"/>
          </w:tcPr>
          <w:p>
            <w:pPr>
              <w:ind w:leftChars="0" w:left="0" w:right="0"/>
            </w:pPr>
            <w:r>
              <w:t>199</w:t>
            </w:r>
          </w:p>
        </w:tc>
      </w:tr>
      <w:tr>
        <w:trPr>
          <w:cnfStyle w:evenHBand="false" w:oddHBand="true" w:firstRow="false"/>
        </w:trPr>
        <w:tc>
          <w:tcPr>
            <w:cnfStyle w:evenVBand="false" w:oddVBand="true" w:firstColumn="false"/>
            <w:tcW w:w="25.000000%" w:type="pct"/>
          </w:tcPr>
          <w:p>
            <w:pPr>
              <w:ind w:leftChars="0" w:left="0" w:right="0"/>
            </w:pPr>
            <w:r>
              <w:t>BIVA</w:t>
            </w:r>
          </w:p>
        </w:tc>
        <w:tc>
          <w:tcPr>
            <w:cnfStyle w:evenVBand="true" w:oddVBand="false" w:firstColumn="false"/>
            <w:tcW w:w="25.000000%" w:type="pct"/>
          </w:tcPr>
          <w:p>
            <w:pPr>
              <w:ind w:leftChars="0" w:left="0" w:right="0"/>
            </w:pPr>
            <w:r>
              <w:t>BIVA</w:t>
            </w:r>
          </w:p>
        </w:tc>
        <w:tc>
          <w:tcPr>
            <w:cnfStyle w:evenVBand="false" w:oddVBand="true" w:firstColumn="false"/>
            <w:tcW w:w="25.000000%" w:type="pct"/>
          </w:tcPr>
          <w:p>
            <w:pPr>
              <w:ind w:leftChars="0" w:left="0" w:right="0"/>
            </w:pPr>
            <w:r>
              <w:t>BOLSA INSTITUCIONAL DE VALORES</w:t>
            </w:r>
          </w:p>
        </w:tc>
        <w:tc>
          <w:tcPr>
            <w:cnfStyle w:evenVBand="true" w:oddVBand="false" w:firstColumn="false"/>
            <w:tcW w:w="25.000000%" w:type="pct"/>
          </w:tcPr>
          <w:p>
            <w:pPr>
              <w:ind w:leftChars="0" w:left="0" w:right="0"/>
            </w:pPr>
            <w:r>
              <w:t>200</w:t>
            </w:r>
          </w:p>
        </w:tc>
      </w:tr>
      <w:tr>
        <w:trPr>
          <w:cnfStyle w:evenHBand="true" w:oddHBand="false" w:firstRow="false"/>
        </w:trPr>
        <w:tc>
          <w:tcPr>
            <w:cnfStyle w:evenVBand="false" w:oddVBand="true" w:firstColumn="false"/>
            <w:tcW w:w="25.000000%" w:type="pct"/>
          </w:tcPr>
          <w:p>
            <w:pPr>
              <w:ind w:leftChars="0" w:left="0" w:right="0"/>
            </w:pPr>
            <w:r>
              <w:t>BJSE</w:t>
            </w:r>
          </w:p>
        </w:tc>
        <w:tc>
          <w:tcPr>
            <w:cnfStyle w:evenVBand="true" w:oddVBand="false" w:firstColumn="false"/>
            <w:tcW w:w="25.000000%" w:type="pct"/>
          </w:tcPr>
          <w:p>
            <w:pPr>
              <w:ind w:leftChars="0" w:left="0" w:right="0"/>
            </w:pPr>
            <w:r>
              <w:t>BJSE</w:t>
            </w:r>
          </w:p>
        </w:tc>
        <w:tc>
          <w:tcPr>
            <w:cnfStyle w:evenVBand="false" w:oddVBand="true" w:firstColumn="false"/>
            <w:tcW w:w="25.000000%" w:type="pct"/>
          </w:tcPr>
          <w:p>
            <w:pPr>
              <w:ind w:leftChars="0" w:left="0" w:right="0"/>
            </w:pPr>
            <w:r>
              <w:t>BEIJING STOCK EXCHANGE</w:t>
            </w:r>
          </w:p>
        </w:tc>
        <w:tc>
          <w:tcPr>
            <w:cnfStyle w:evenVBand="true" w:oddVBand="false" w:firstColumn="false"/>
            <w:tcW w:w="25.000000%" w:type="pct"/>
          </w:tcPr>
          <w:p>
            <w:pPr>
              <w:ind w:leftChars="0" w:left="0" w:right="0"/>
            </w:pPr>
            <w:r>
              <w:t>201</w:t>
            </w:r>
          </w:p>
        </w:tc>
      </w:tr>
      <w:tr>
        <w:trPr>
          <w:cnfStyle w:evenHBand="false" w:oddHBand="true" w:firstRow="false"/>
        </w:trPr>
        <w:tc>
          <w:tcPr>
            <w:cnfStyle w:evenVBand="false" w:oddVBand="true" w:firstColumn="false"/>
            <w:tcW w:w="25.000000%" w:type="pct"/>
          </w:tcPr>
          <w:p>
            <w:pPr>
              <w:ind w:leftChars="0" w:left="0" w:right="0"/>
            </w:pPr>
            <w:r>
              <w:t>BKBF</w:t>
            </w:r>
          </w:p>
        </w:tc>
        <w:tc>
          <w:tcPr>
            <w:cnfStyle w:evenVBand="true" w:oddVBand="false" w:firstColumn="false"/>
            <w:tcW w:w="25.000000%" w:type="pct"/>
          </w:tcPr>
          <w:p>
            <w:pPr>
              <w:ind w:leftChars="0" w:left="0" w:right="0"/>
            </w:pPr>
            <w:r>
              <w:t>BKBF</w:t>
            </w:r>
          </w:p>
        </w:tc>
        <w:tc>
          <w:tcPr>
            <w:cnfStyle w:evenVBand="false" w:oddVBand="true" w:firstColumn="false"/>
            <w:tcW w:w="25.000000%" w:type="pct"/>
          </w:tcPr>
          <w:p>
            <w:pPr>
              <w:ind w:leftChars="0" w:left="0" w:right="0"/>
            </w:pPr>
            <w:r>
              <w:t>BNY MELLON S.A./N.V. - BRUSSELS BRANCH - SYSTEMATIC INTERNALISER</w:t>
            </w:r>
          </w:p>
        </w:tc>
        <w:tc>
          <w:tcPr>
            <w:cnfStyle w:evenVBand="true" w:oddVBand="false" w:firstColumn="false"/>
            <w:tcW w:w="25.000000%" w:type="pct"/>
          </w:tcPr>
          <w:p>
            <w:pPr>
              <w:ind w:leftChars="0" w:left="0" w:right="0"/>
            </w:pPr>
            <w:r>
              <w:t>202</w:t>
            </w:r>
          </w:p>
        </w:tc>
      </w:tr>
      <w:tr>
        <w:trPr>
          <w:cnfStyle w:evenHBand="true" w:oddHBand="false" w:firstRow="false"/>
        </w:trPr>
        <w:tc>
          <w:tcPr>
            <w:cnfStyle w:evenVBand="false" w:oddVBand="true" w:firstColumn="false"/>
            <w:tcW w:w="25.000000%" w:type="pct"/>
          </w:tcPr>
          <w:p>
            <w:pPr>
              <w:ind w:leftChars="0" w:left="0" w:right="0"/>
            </w:pPr>
            <w:r>
              <w:t>BKBR</w:t>
            </w:r>
          </w:p>
        </w:tc>
        <w:tc>
          <w:tcPr>
            <w:cnfStyle w:evenVBand="true" w:oddVBand="false" w:firstColumn="false"/>
            <w:tcW w:w="25.000000%" w:type="pct"/>
          </w:tcPr>
          <w:p>
            <w:pPr>
              <w:ind w:leftChars="0" w:left="0" w:right="0"/>
            </w:pPr>
            <w:r>
              <w:t>BKBR</w:t>
            </w:r>
          </w:p>
        </w:tc>
        <w:tc>
          <w:tcPr>
            <w:cnfStyle w:evenVBand="false" w:oddVBand="true" w:firstColumn="false"/>
            <w:tcW w:w="25.000000%" w:type="pct"/>
          </w:tcPr>
          <w:p>
            <w:pPr>
              <w:ind w:leftChars="0" w:left="0" w:right="0"/>
            </w:pPr>
            <w:r>
              <w:t>BNY MELLON S.A./N.V. - BRUSSELS BRANCH</w:t>
            </w:r>
          </w:p>
        </w:tc>
        <w:tc>
          <w:tcPr>
            <w:cnfStyle w:evenVBand="true" w:oddVBand="false" w:firstColumn="false"/>
            <w:tcW w:w="25.000000%" w:type="pct"/>
          </w:tcPr>
          <w:p>
            <w:pPr>
              <w:ind w:leftChars="0" w:left="0" w:right="0"/>
            </w:pPr>
            <w:r>
              <w:t>203</w:t>
            </w:r>
          </w:p>
        </w:tc>
      </w:tr>
      <w:tr>
        <w:trPr>
          <w:cnfStyle w:evenHBand="false" w:oddHBand="true" w:firstRow="false"/>
        </w:trPr>
        <w:tc>
          <w:tcPr>
            <w:cnfStyle w:evenVBand="false" w:oddVBand="true" w:firstColumn="false"/>
            <w:tcW w:w="25.000000%" w:type="pct"/>
          </w:tcPr>
          <w:p>
            <w:pPr>
              <w:ind w:leftChars="0" w:left="0" w:right="0"/>
            </w:pPr>
            <w:r>
              <w:t>BKDM</w:t>
            </w:r>
          </w:p>
        </w:tc>
        <w:tc>
          <w:tcPr>
            <w:cnfStyle w:evenVBand="true" w:oddVBand="false" w:firstColumn="false"/>
            <w:tcW w:w="25.000000%" w:type="pct"/>
          </w:tcPr>
          <w:p>
            <w:pPr>
              <w:ind w:leftChars="0" w:left="0" w:right="0"/>
            </w:pPr>
            <w:r>
              <w:t>BKDM</w:t>
            </w:r>
          </w:p>
        </w:tc>
        <w:tc>
          <w:tcPr>
            <w:cnfStyle w:evenVBand="false" w:oddVBand="true" w:firstColumn="false"/>
            <w:tcW w:w="25.000000%" w:type="pct"/>
          </w:tcPr>
          <w:p>
            <w:pPr>
              <w:ind w:leftChars="0" w:left="0" w:right="0"/>
            </w:pPr>
            <w:r>
              <w:t>BNY MELLON MARKETS EUROPE LIMITED</w:t>
            </w:r>
          </w:p>
        </w:tc>
        <w:tc>
          <w:tcPr>
            <w:cnfStyle w:evenVBand="true" w:oddVBand="false" w:firstColumn="false"/>
            <w:tcW w:w="25.000000%" w:type="pct"/>
          </w:tcPr>
          <w:p>
            <w:pPr>
              <w:ind w:leftChars="0" w:left="0" w:right="0"/>
            </w:pPr>
            <w:r>
              <w:t>204</w:t>
            </w:r>
          </w:p>
        </w:tc>
      </w:tr>
      <w:tr>
        <w:trPr>
          <w:cnfStyle w:evenHBand="true" w:oddHBand="false" w:firstRow="false"/>
        </w:trPr>
        <w:tc>
          <w:tcPr>
            <w:cnfStyle w:evenVBand="false" w:oddVBand="true" w:firstColumn="false"/>
            <w:tcW w:w="25.000000%" w:type="pct"/>
          </w:tcPr>
          <w:p>
            <w:pPr>
              <w:ind w:leftChars="0" w:left="0" w:right="0"/>
            </w:pPr>
            <w:r>
              <w:t>BKKT</w:t>
            </w:r>
          </w:p>
        </w:tc>
        <w:tc>
          <w:tcPr>
            <w:cnfStyle w:evenVBand="true" w:oddVBand="false" w:firstColumn="false"/>
            <w:tcW w:w="25.000000%" w:type="pct"/>
          </w:tcPr>
          <w:p>
            <w:pPr>
              <w:ind w:leftChars="0" w:left="0" w:right="0"/>
            </w:pPr>
            <w:r>
              <w:t>BKKT</w:t>
            </w:r>
          </w:p>
        </w:tc>
        <w:tc>
          <w:tcPr>
            <w:cnfStyle w:evenVBand="false" w:oddVBand="true" w:firstColumn="false"/>
            <w:tcW w:w="25.000000%" w:type="pct"/>
          </w:tcPr>
          <w:p>
            <w:pPr>
              <w:ind w:leftChars="0" w:left="0" w:right="0"/>
            </w:pPr>
            <w:r>
              <w:t>BAKKT</w:t>
            </w:r>
          </w:p>
        </w:tc>
        <w:tc>
          <w:tcPr>
            <w:cnfStyle w:evenVBand="true" w:oddVBand="false" w:firstColumn="false"/>
            <w:tcW w:w="25.000000%" w:type="pct"/>
          </w:tcPr>
          <w:p>
            <w:pPr>
              <w:ind w:leftChars="0" w:left="0" w:right="0"/>
            </w:pPr>
            <w:r>
              <w:t>205</w:t>
            </w:r>
          </w:p>
        </w:tc>
      </w:tr>
      <w:tr>
        <w:trPr>
          <w:cnfStyle w:evenHBand="false" w:oddHBand="true" w:firstRow="false"/>
        </w:trPr>
        <w:tc>
          <w:tcPr>
            <w:cnfStyle w:evenVBand="false" w:oddVBand="true" w:firstColumn="false"/>
            <w:tcW w:w="25.000000%" w:type="pct"/>
          </w:tcPr>
          <w:p>
            <w:pPr>
              <w:ind w:leftChars="0" w:left="0" w:right="0"/>
            </w:pPr>
            <w:r>
              <w:t>BKLF</w:t>
            </w:r>
          </w:p>
        </w:tc>
        <w:tc>
          <w:tcPr>
            <w:cnfStyle w:evenVBand="true" w:oddVBand="false" w:firstColumn="false"/>
            <w:tcW w:w="25.000000%" w:type="pct"/>
          </w:tcPr>
          <w:p>
            <w:pPr>
              <w:ind w:leftChars="0" w:left="0" w:right="0"/>
            </w:pPr>
            <w:r>
              <w:t>BKLF</w:t>
            </w:r>
          </w:p>
        </w:tc>
        <w:tc>
          <w:tcPr>
            <w:cnfStyle w:evenVBand="false" w:oddVBand="true" w:firstColumn="false"/>
            <w:tcW w:w="25.000000%" w:type="pct"/>
          </w:tcPr>
          <w:p>
            <w:pPr>
              <w:ind w:leftChars="0" w:left="0" w:right="0"/>
            </w:pPr>
            <w:r>
              <w:t>BNY MELLON - SYSTEMATIC INTERNALISER</w:t>
            </w:r>
          </w:p>
        </w:tc>
        <w:tc>
          <w:tcPr>
            <w:cnfStyle w:evenVBand="true" w:oddVBand="false" w:firstColumn="false"/>
            <w:tcW w:w="25.000000%" w:type="pct"/>
          </w:tcPr>
          <w:p>
            <w:pPr>
              <w:ind w:leftChars="0" w:left="0" w:right="0"/>
            </w:pPr>
            <w:r>
              <w:t>206</w:t>
            </w:r>
          </w:p>
        </w:tc>
      </w:tr>
      <w:tr>
        <w:trPr>
          <w:cnfStyle w:evenHBand="true" w:oddHBand="false" w:firstRow="false"/>
        </w:trPr>
        <w:tc>
          <w:tcPr>
            <w:cnfStyle w:evenVBand="false" w:oddVBand="true" w:firstColumn="false"/>
            <w:tcW w:w="25.000000%" w:type="pct"/>
          </w:tcPr>
          <w:p>
            <w:pPr>
              <w:ind w:leftChars="0" w:left="0" w:right="0"/>
            </w:pPr>
            <w:r>
              <w:t>BKLN</w:t>
            </w:r>
          </w:p>
        </w:tc>
        <w:tc>
          <w:tcPr>
            <w:cnfStyle w:evenVBand="true" w:oddVBand="false" w:firstColumn="false"/>
            <w:tcW w:w="25.000000%" w:type="pct"/>
          </w:tcPr>
          <w:p>
            <w:pPr>
              <w:ind w:leftChars="0" w:left="0" w:right="0"/>
            </w:pPr>
            <w:r>
              <w:t>BKLN</w:t>
            </w:r>
          </w:p>
        </w:tc>
        <w:tc>
          <w:tcPr>
            <w:cnfStyle w:evenVBand="false" w:oddVBand="true" w:firstColumn="false"/>
            <w:tcW w:w="25.000000%" w:type="pct"/>
          </w:tcPr>
          <w:p>
            <w:pPr>
              <w:ind w:leftChars="0" w:left="0" w:right="0"/>
            </w:pPr>
            <w:r>
              <w:t>BNY MELLON INTERNATIONAL - LONDON BRANCH</w:t>
            </w:r>
          </w:p>
        </w:tc>
        <w:tc>
          <w:tcPr>
            <w:cnfStyle w:evenVBand="true" w:oddVBand="false" w:firstColumn="false"/>
            <w:tcW w:w="25.000000%" w:type="pct"/>
          </w:tcPr>
          <w:p>
            <w:pPr>
              <w:ind w:leftChars="0" w:left="0" w:right="0"/>
            </w:pPr>
            <w:r>
              <w:t>207</w:t>
            </w:r>
          </w:p>
        </w:tc>
      </w:tr>
      <w:tr>
        <w:trPr>
          <w:cnfStyle w:evenHBand="false" w:oddHBand="true" w:firstRow="false"/>
        </w:trPr>
        <w:tc>
          <w:tcPr>
            <w:cnfStyle w:evenVBand="false" w:oddVBand="true" w:firstColumn="false"/>
            <w:tcW w:w="25.000000%" w:type="pct"/>
          </w:tcPr>
          <w:p>
            <w:pPr>
              <w:ind w:leftChars="0" w:left="0" w:right="0"/>
            </w:pPr>
            <w:r>
              <w:t>BKSK</w:t>
            </w:r>
          </w:p>
        </w:tc>
        <w:tc>
          <w:tcPr>
            <w:cnfStyle w:evenVBand="true" w:oddVBand="false" w:firstColumn="false"/>
            <w:tcW w:w="25.000000%" w:type="pct"/>
          </w:tcPr>
          <w:p>
            <w:pPr>
              <w:ind w:leftChars="0" w:left="0" w:right="0"/>
            </w:pPr>
            <w:r>
              <w:t>BKSK</w:t>
            </w:r>
          </w:p>
        </w:tc>
        <w:tc>
          <w:tcPr>
            <w:cnfStyle w:evenVBand="false" w:oddVBand="true" w:firstColumn="false"/>
            <w:tcW w:w="25.000000%" w:type="pct"/>
          </w:tcPr>
          <w:p>
            <w:pPr>
              <w:ind w:leftChars="0" w:left="0" w:right="0"/>
            </w:pPr>
            <w:r>
              <w:t>BKS BANK AG - SYSTEMATIC INTERNALISER</w:t>
            </w:r>
          </w:p>
        </w:tc>
        <w:tc>
          <w:tcPr>
            <w:cnfStyle w:evenVBand="true" w:oddVBand="false" w:firstColumn="false"/>
            <w:tcW w:w="25.000000%" w:type="pct"/>
          </w:tcPr>
          <w:p>
            <w:pPr>
              <w:ind w:leftChars="0" w:left="0" w:right="0"/>
            </w:pPr>
            <w:r>
              <w:t>208</w:t>
            </w:r>
          </w:p>
        </w:tc>
      </w:tr>
      <w:tr>
        <w:trPr>
          <w:cnfStyle w:evenHBand="true" w:oddHBand="false" w:firstRow="false"/>
        </w:trPr>
        <w:tc>
          <w:tcPr>
            <w:cnfStyle w:evenVBand="false" w:oddVBand="true" w:firstColumn="false"/>
            <w:tcW w:w="25.000000%" w:type="pct"/>
          </w:tcPr>
          <w:p>
            <w:pPr>
              <w:ind w:leftChars="0" w:left="0" w:right="0"/>
            </w:pPr>
            <w:r>
              <w:t>BLBB</w:t>
            </w:r>
          </w:p>
        </w:tc>
        <w:tc>
          <w:tcPr>
            <w:cnfStyle w:evenVBand="true" w:oddVBand="false" w:firstColumn="false"/>
            <w:tcW w:w="25.000000%" w:type="pct"/>
          </w:tcPr>
          <w:p>
            <w:pPr>
              <w:ind w:leftChars="0" w:left="0" w:right="0"/>
            </w:pPr>
            <w:r>
              <w:t>BLBB</w:t>
            </w:r>
          </w:p>
        </w:tc>
        <w:tc>
          <w:tcPr>
            <w:cnfStyle w:evenVBand="false" w:oddVBand="true" w:firstColumn="false"/>
            <w:tcW w:w="25.000000%" w:type="pct"/>
          </w:tcPr>
          <w:p>
            <w:pPr>
              <w:ind w:leftChars="0" w:left="0" w:right="0"/>
            </w:pPr>
            <w:r>
              <w:t>BAYERNLB</w:t>
            </w:r>
          </w:p>
        </w:tc>
        <w:tc>
          <w:tcPr>
            <w:cnfStyle w:evenVBand="true" w:oddVBand="false" w:firstColumn="false"/>
            <w:tcW w:w="25.000000%" w:type="pct"/>
          </w:tcPr>
          <w:p>
            <w:pPr>
              <w:ind w:leftChars="0" w:left="0" w:right="0"/>
            </w:pPr>
            <w:r>
              <w:t>209</w:t>
            </w:r>
          </w:p>
        </w:tc>
      </w:tr>
      <w:tr>
        <w:trPr>
          <w:cnfStyle w:evenHBand="false" w:oddHBand="true" w:firstRow="false"/>
        </w:trPr>
        <w:tc>
          <w:tcPr>
            <w:cnfStyle w:evenVBand="false" w:oddVBand="true" w:firstColumn="false"/>
            <w:tcW w:w="25.000000%" w:type="pct"/>
          </w:tcPr>
          <w:p>
            <w:pPr>
              <w:ind w:leftChars="0" w:left="0" w:right="0"/>
            </w:pPr>
            <w:r>
              <w:t>BLBF</w:t>
            </w:r>
          </w:p>
        </w:tc>
        <w:tc>
          <w:tcPr>
            <w:cnfStyle w:evenVBand="true" w:oddVBand="false" w:firstColumn="false"/>
            <w:tcW w:w="25.000000%" w:type="pct"/>
          </w:tcPr>
          <w:p>
            <w:pPr>
              <w:ind w:leftChars="0" w:left="0" w:right="0"/>
            </w:pPr>
            <w:r>
              <w:t>BLBF</w:t>
            </w:r>
          </w:p>
        </w:tc>
        <w:tc>
          <w:tcPr>
            <w:cnfStyle w:evenVBand="false" w:oddVBand="true" w:firstColumn="false"/>
            <w:tcW w:w="25.000000%" w:type="pct"/>
          </w:tcPr>
          <w:p>
            <w:pPr>
              <w:ind w:leftChars="0" w:left="0" w:right="0"/>
            </w:pPr>
            <w:r>
              <w:t>BANJA LUKA STOCK EXCHANGE - FREE MARKET</w:t>
            </w:r>
          </w:p>
        </w:tc>
        <w:tc>
          <w:tcPr>
            <w:cnfStyle w:evenVBand="true" w:oddVBand="false" w:firstColumn="false"/>
            <w:tcW w:w="25.000000%" w:type="pct"/>
          </w:tcPr>
          <w:p>
            <w:pPr>
              <w:ind w:leftChars="0" w:left="0" w:right="0"/>
            </w:pPr>
            <w:r>
              <w:t>210</w:t>
            </w:r>
          </w:p>
        </w:tc>
      </w:tr>
      <w:tr>
        <w:trPr>
          <w:cnfStyle w:evenHBand="true" w:oddHBand="false" w:firstRow="false"/>
        </w:trPr>
        <w:tc>
          <w:tcPr>
            <w:cnfStyle w:evenVBand="false" w:oddVBand="true" w:firstColumn="false"/>
            <w:tcW w:w="25.000000%" w:type="pct"/>
          </w:tcPr>
          <w:p>
            <w:pPr>
              <w:ind w:leftChars="0" w:left="0" w:right="0"/>
            </w:pPr>
            <w:r>
              <w:t>BLBS</w:t>
            </w:r>
          </w:p>
        </w:tc>
        <w:tc>
          <w:tcPr>
            <w:cnfStyle w:evenVBand="true" w:oddVBand="false" w:firstColumn="false"/>
            <w:tcW w:w="25.000000%" w:type="pct"/>
          </w:tcPr>
          <w:p>
            <w:pPr>
              <w:ind w:leftChars="0" w:left="0" w:right="0"/>
            </w:pPr>
            <w:r>
              <w:t>BLBS</w:t>
            </w:r>
          </w:p>
        </w:tc>
        <w:tc>
          <w:tcPr>
            <w:cnfStyle w:evenVBand="false" w:oddVBand="true" w:firstColumn="false"/>
            <w:tcW w:w="25.000000%" w:type="pct"/>
          </w:tcPr>
          <w:p>
            <w:pPr>
              <w:ind w:leftChars="0" w:left="0" w:right="0"/>
            </w:pPr>
            <w:r>
              <w:t>BAYERNLB - BONDS MARKET - SYSTEMATIC INTERNALISER</w:t>
            </w:r>
          </w:p>
        </w:tc>
        <w:tc>
          <w:tcPr>
            <w:cnfStyle w:evenVBand="true" w:oddVBand="false" w:firstColumn="false"/>
            <w:tcW w:w="25.000000%" w:type="pct"/>
          </w:tcPr>
          <w:p>
            <w:pPr>
              <w:ind w:leftChars="0" w:left="0" w:right="0"/>
            </w:pPr>
            <w:r>
              <w:t>211</w:t>
            </w:r>
          </w:p>
        </w:tc>
      </w:tr>
      <w:tr>
        <w:trPr>
          <w:cnfStyle w:evenHBand="false" w:oddHBand="true" w:firstRow="false"/>
        </w:trPr>
        <w:tc>
          <w:tcPr>
            <w:cnfStyle w:evenVBand="false" w:oddVBand="true" w:firstColumn="false"/>
            <w:tcW w:w="25.000000%" w:type="pct"/>
          </w:tcPr>
          <w:p>
            <w:pPr>
              <w:ind w:leftChars="0" w:left="0" w:right="0"/>
            </w:pPr>
            <w:r>
              <w:t>BLEQ</w:t>
            </w:r>
          </w:p>
        </w:tc>
        <w:tc>
          <w:tcPr>
            <w:cnfStyle w:evenVBand="true" w:oddVBand="false" w:firstColumn="false"/>
            <w:tcW w:w="25.000000%" w:type="pct"/>
          </w:tcPr>
          <w:p>
            <w:pPr>
              <w:ind w:leftChars="0" w:left="0" w:right="0"/>
            </w:pPr>
            <w:r>
              <w:t>BLEQ</w:t>
            </w:r>
          </w:p>
        </w:tc>
        <w:tc>
          <w:tcPr>
            <w:cnfStyle w:evenVBand="false" w:oddVBand="true" w:firstColumn="false"/>
            <w:tcW w:w="25.000000%" w:type="pct"/>
          </w:tcPr>
          <w:p>
            <w:pPr>
              <w:ind w:leftChars="0" w:left="0" w:right="0"/>
            </w:pPr>
            <w:r>
              <w:t>BAYERNLB - EQUITIES MARKET</w:t>
            </w:r>
          </w:p>
        </w:tc>
        <w:tc>
          <w:tcPr>
            <w:cnfStyle w:evenVBand="true" w:oddVBand="false" w:firstColumn="false"/>
            <w:tcW w:w="25.000000%" w:type="pct"/>
          </w:tcPr>
          <w:p>
            <w:pPr>
              <w:ind w:leftChars="0" w:left="0" w:right="0"/>
            </w:pPr>
            <w:r>
              <w:t>212</w:t>
            </w:r>
          </w:p>
        </w:tc>
      </w:tr>
      <w:tr>
        <w:trPr>
          <w:cnfStyle w:evenHBand="true" w:oddHBand="false" w:firstRow="false"/>
        </w:trPr>
        <w:tc>
          <w:tcPr>
            <w:cnfStyle w:evenVBand="false" w:oddVBand="true" w:firstColumn="false"/>
            <w:tcW w:w="25.000000%" w:type="pct"/>
          </w:tcPr>
          <w:p>
            <w:pPr>
              <w:ind w:leftChars="0" w:left="0" w:right="0"/>
            </w:pPr>
            <w:r>
              <w:t>BLEV</w:t>
            </w:r>
          </w:p>
        </w:tc>
        <w:tc>
          <w:tcPr>
            <w:cnfStyle w:evenVBand="true" w:oddVBand="false" w:firstColumn="false"/>
            <w:tcW w:w="25.000000%" w:type="pct"/>
          </w:tcPr>
          <w:p>
            <w:pPr>
              <w:ind w:leftChars="0" w:left="0" w:right="0"/>
            </w:pPr>
            <w:r>
              <w:t>BLEV</w:t>
            </w:r>
          </w:p>
        </w:tc>
        <w:tc>
          <w:tcPr>
            <w:cnfStyle w:evenVBand="false" w:oddVBand="true" w:firstColumn="false"/>
            <w:tcW w:w="25.000000%" w:type="pct"/>
          </w:tcPr>
          <w:p>
            <w:pPr>
              <w:ind w:leftChars="0" w:left="0" w:right="0"/>
            </w:pPr>
            <w:r>
              <w:t>BLOCK EVENT</w:t>
            </w:r>
          </w:p>
        </w:tc>
        <w:tc>
          <w:tcPr>
            <w:cnfStyle w:evenVBand="true" w:oddVBand="false" w:firstColumn="false"/>
            <w:tcW w:w="25.000000%" w:type="pct"/>
          </w:tcPr>
          <w:p>
            <w:pPr>
              <w:ind w:leftChars="0" w:left="0" w:right="0"/>
            </w:pPr>
            <w:r>
              <w:t>213</w:t>
            </w:r>
          </w:p>
        </w:tc>
      </w:tr>
      <w:tr>
        <w:trPr>
          <w:cnfStyle w:evenHBand="false" w:oddHBand="true" w:firstRow="false"/>
        </w:trPr>
        <w:tc>
          <w:tcPr>
            <w:cnfStyle w:evenVBand="false" w:oddVBand="true" w:firstColumn="false"/>
            <w:tcW w:w="25.000000%" w:type="pct"/>
          </w:tcPr>
          <w:p>
            <w:pPr>
              <w:ind w:leftChars="0" w:left="0" w:right="0"/>
            </w:pPr>
            <w:r>
              <w:t>BLFX</w:t>
            </w:r>
          </w:p>
        </w:tc>
        <w:tc>
          <w:tcPr>
            <w:cnfStyle w:evenVBand="true" w:oddVBand="false" w:firstColumn="false"/>
            <w:tcW w:w="25.000000%" w:type="pct"/>
          </w:tcPr>
          <w:p>
            <w:pPr>
              <w:ind w:leftChars="0" w:left="0" w:right="0"/>
            </w:pPr>
            <w:r>
              <w:t>BLFX</w:t>
            </w:r>
          </w:p>
        </w:tc>
        <w:tc>
          <w:tcPr>
            <w:cnfStyle w:evenVBand="false" w:oddVBand="true" w:firstColumn="false"/>
            <w:tcW w:w="25.000000%" w:type="pct"/>
          </w:tcPr>
          <w:p>
            <w:pPr>
              <w:ind w:leftChars="0" w:left="0" w:right="0"/>
            </w:pPr>
            <w:r>
              <w:t>BAYERNLB - FX DERIVATIVES MARKET</w:t>
            </w:r>
          </w:p>
        </w:tc>
        <w:tc>
          <w:tcPr>
            <w:cnfStyle w:evenVBand="true" w:oddVBand="false" w:firstColumn="false"/>
            <w:tcW w:w="25.000000%" w:type="pct"/>
          </w:tcPr>
          <w:p>
            <w:pPr>
              <w:ind w:leftChars="0" w:left="0" w:right="0"/>
            </w:pPr>
            <w:r>
              <w:t>214</w:t>
            </w:r>
          </w:p>
        </w:tc>
      </w:tr>
      <w:tr>
        <w:trPr>
          <w:cnfStyle w:evenHBand="true" w:oddHBand="false" w:firstRow="false"/>
        </w:trPr>
        <w:tc>
          <w:tcPr>
            <w:cnfStyle w:evenVBand="false" w:oddVBand="true" w:firstColumn="false"/>
            <w:tcW w:w="25.000000%" w:type="pct"/>
          </w:tcPr>
          <w:p>
            <w:pPr>
              <w:ind w:leftChars="0" w:left="0" w:right="0"/>
            </w:pPr>
            <w:r>
              <w:t>BLIQ</w:t>
            </w:r>
          </w:p>
        </w:tc>
        <w:tc>
          <w:tcPr>
            <w:cnfStyle w:evenVBand="true" w:oddVBand="false" w:firstColumn="false"/>
            <w:tcW w:w="25.000000%" w:type="pct"/>
          </w:tcPr>
          <w:p>
            <w:pPr>
              <w:ind w:leftChars="0" w:left="0" w:right="0"/>
            </w:pPr>
            <w:r>
              <w:t>BLIQ</w:t>
            </w:r>
          </w:p>
        </w:tc>
        <w:tc>
          <w:tcPr>
            <w:cnfStyle w:evenVBand="false" w:oddVBand="true" w:firstColumn="false"/>
            <w:tcW w:w="25.000000%" w:type="pct"/>
          </w:tcPr>
          <w:p>
            <w:pPr>
              <w:ind w:leftChars="0" w:left="0" w:right="0"/>
            </w:pPr>
            <w:r>
              <w:t>BAYERNLB - LIQP BONDS MARKET</w:t>
            </w:r>
          </w:p>
        </w:tc>
        <w:tc>
          <w:tcPr>
            <w:cnfStyle w:evenVBand="true" w:oddVBand="false" w:firstColumn="false"/>
            <w:tcW w:w="25.000000%" w:type="pct"/>
          </w:tcPr>
          <w:p>
            <w:pPr>
              <w:ind w:leftChars="0" w:left="0" w:right="0"/>
            </w:pPr>
            <w:r>
              <w:t>215</w:t>
            </w:r>
          </w:p>
        </w:tc>
      </w:tr>
      <w:tr>
        <w:trPr>
          <w:cnfStyle w:evenHBand="false" w:oddHBand="true" w:firstRow="false"/>
        </w:trPr>
        <w:tc>
          <w:tcPr>
            <w:cnfStyle w:evenVBand="false" w:oddVBand="true" w:firstColumn="false"/>
            <w:tcW w:w="25.000000%" w:type="pct"/>
          </w:tcPr>
          <w:p>
            <w:pPr>
              <w:ind w:leftChars="0" w:left="0" w:right="0"/>
            </w:pPr>
            <w:r>
              <w:t>BLKX</w:t>
            </w:r>
          </w:p>
        </w:tc>
        <w:tc>
          <w:tcPr>
            <w:cnfStyle w:evenVBand="true" w:oddVBand="false" w:firstColumn="false"/>
            <w:tcW w:w="25.000000%" w:type="pct"/>
          </w:tcPr>
          <w:p>
            <w:pPr>
              <w:ind w:leftChars="0" w:left="0" w:right="0"/>
            </w:pPr>
            <w:r>
              <w:t>BLKX</w:t>
            </w:r>
          </w:p>
        </w:tc>
        <w:tc>
          <w:tcPr>
            <w:cnfStyle w:evenVBand="false" w:oddVBand="true" w:firstColumn="false"/>
            <w:tcW w:w="25.000000%" w:type="pct"/>
          </w:tcPr>
          <w:p>
            <w:pPr>
              <w:ind w:leftChars="0" w:left="0" w:right="0"/>
            </w:pPr>
            <w:r>
              <w:t>INSTINET BLOCKCROSS ATS</w:t>
            </w:r>
          </w:p>
        </w:tc>
        <w:tc>
          <w:tcPr>
            <w:cnfStyle w:evenVBand="true" w:oddVBand="false" w:firstColumn="false"/>
            <w:tcW w:w="25.000000%" w:type="pct"/>
          </w:tcPr>
          <w:p>
            <w:pPr>
              <w:ind w:leftChars="0" w:left="0" w:right="0"/>
            </w:pPr>
            <w:r>
              <w:t>216</w:t>
            </w:r>
          </w:p>
        </w:tc>
      </w:tr>
      <w:tr>
        <w:trPr>
          <w:cnfStyle w:evenHBand="true" w:oddHBand="false" w:firstRow="false"/>
        </w:trPr>
        <w:tc>
          <w:tcPr>
            <w:cnfStyle w:evenVBand="false" w:oddVBand="true" w:firstColumn="false"/>
            <w:tcW w:w="25.000000%" w:type="pct"/>
          </w:tcPr>
          <w:p>
            <w:pPr>
              <w:ind w:leftChars="0" w:left="0" w:right="0"/>
            </w:pPr>
            <w:r>
              <w:t>BLNK</w:t>
            </w:r>
          </w:p>
        </w:tc>
        <w:tc>
          <w:tcPr>
            <w:cnfStyle w:evenVBand="true" w:oddVBand="false" w:firstColumn="false"/>
            <w:tcW w:w="25.000000%" w:type="pct"/>
          </w:tcPr>
          <w:p>
            <w:pPr>
              <w:ind w:leftChars="0" w:left="0" w:right="0"/>
            </w:pPr>
            <w:r>
              <w:t>BLNK</w:t>
            </w:r>
          </w:p>
        </w:tc>
        <w:tc>
          <w:tcPr>
            <w:cnfStyle w:evenVBand="false" w:oddVBand="true" w:firstColumn="false"/>
            <w:tcW w:w="25.000000%" w:type="pct"/>
          </w:tcPr>
          <w:p>
            <w:pPr>
              <w:ind w:leftChars="0" w:left="0" w:right="0"/>
            </w:pPr>
            <w:r>
              <w:t>BLINK MTF</w:t>
            </w:r>
          </w:p>
        </w:tc>
        <w:tc>
          <w:tcPr>
            <w:cnfStyle w:evenVBand="true" w:oddVBand="false" w:firstColumn="false"/>
            <w:tcW w:w="25.000000%" w:type="pct"/>
          </w:tcPr>
          <w:p>
            <w:pPr>
              <w:ind w:leftChars="0" w:left="0" w:right="0"/>
            </w:pPr>
            <w:r>
              <w:t>217</w:t>
            </w:r>
          </w:p>
        </w:tc>
      </w:tr>
      <w:tr>
        <w:trPr>
          <w:cnfStyle w:evenHBand="false" w:oddHBand="true" w:firstRow="false"/>
        </w:trPr>
        <w:tc>
          <w:tcPr>
            <w:cnfStyle w:evenVBand="false" w:oddVBand="true" w:firstColumn="false"/>
            <w:tcW w:w="25.000000%" w:type="pct"/>
          </w:tcPr>
          <w:p>
            <w:pPr>
              <w:ind w:leftChars="0" w:left="0" w:right="0"/>
            </w:pPr>
            <w:r>
              <w:t>BLOX</w:t>
            </w:r>
          </w:p>
        </w:tc>
        <w:tc>
          <w:tcPr>
            <w:cnfStyle w:evenVBand="true" w:oddVBand="false" w:firstColumn="false"/>
            <w:tcW w:w="25.000000%" w:type="pct"/>
          </w:tcPr>
          <w:p>
            <w:pPr>
              <w:ind w:leftChars="0" w:left="0" w:right="0"/>
            </w:pPr>
            <w:r>
              <w:t>BLOX</w:t>
            </w:r>
          </w:p>
        </w:tc>
        <w:tc>
          <w:tcPr>
            <w:cnfStyle w:evenVBand="false" w:oddVBand="true" w:firstColumn="false"/>
            <w:tcW w:w="25.000000%" w:type="pct"/>
          </w:tcPr>
          <w:p>
            <w:pPr>
              <w:ind w:leftChars="0" w:left="0" w:right="0"/>
            </w:pPr>
            <w:r>
              <w:t>BLOCKMATCH  UK DARK</w:t>
            </w:r>
          </w:p>
        </w:tc>
        <w:tc>
          <w:tcPr>
            <w:cnfStyle w:evenVBand="true" w:oddVBand="false" w:firstColumn="false"/>
            <w:tcW w:w="25.000000%" w:type="pct"/>
          </w:tcPr>
          <w:p>
            <w:pPr>
              <w:ind w:leftChars="0" w:left="0" w:right="0"/>
            </w:pPr>
            <w:r>
              <w:t>218</w:t>
            </w:r>
          </w:p>
        </w:tc>
      </w:tr>
      <w:tr>
        <w:trPr>
          <w:cnfStyle w:evenHBand="true" w:oddHBand="false" w:firstRow="false"/>
        </w:trPr>
        <w:tc>
          <w:tcPr>
            <w:cnfStyle w:evenVBand="false" w:oddVBand="true" w:firstColumn="false"/>
            <w:tcW w:w="25.000000%" w:type="pct"/>
          </w:tcPr>
          <w:p>
            <w:pPr>
              <w:ind w:leftChars="0" w:left="0" w:right="0"/>
            </w:pPr>
            <w:r>
              <w:t>BLPX</w:t>
            </w:r>
          </w:p>
        </w:tc>
        <w:tc>
          <w:tcPr>
            <w:cnfStyle w:evenVBand="true" w:oddVBand="false" w:firstColumn="false"/>
            <w:tcW w:w="25.000000%" w:type="pct"/>
          </w:tcPr>
          <w:p>
            <w:pPr>
              <w:ind w:leftChars="0" w:left="0" w:right="0"/>
            </w:pPr>
            <w:r>
              <w:t>BLPX</w:t>
            </w:r>
          </w:p>
        </w:tc>
        <w:tc>
          <w:tcPr>
            <w:cnfStyle w:evenVBand="false" w:oddVBand="true" w:firstColumn="false"/>
            <w:tcW w:w="25.000000%" w:type="pct"/>
          </w:tcPr>
          <w:p>
            <w:pPr>
              <w:ind w:leftChars="0" w:left="0" w:right="0"/>
            </w:pPr>
            <w:r>
              <w:t>BELGIAN POWER EXCHANGE</w:t>
            </w:r>
          </w:p>
        </w:tc>
        <w:tc>
          <w:tcPr>
            <w:cnfStyle w:evenVBand="true" w:oddVBand="false" w:firstColumn="false"/>
            <w:tcW w:w="25.000000%" w:type="pct"/>
          </w:tcPr>
          <w:p>
            <w:pPr>
              <w:ind w:leftChars="0" w:left="0" w:right="0"/>
            </w:pPr>
            <w:r>
              <w:t>219</w:t>
            </w:r>
          </w:p>
        </w:tc>
      </w:tr>
      <w:tr>
        <w:trPr>
          <w:cnfStyle w:evenHBand="false" w:oddHBand="true" w:firstRow="false"/>
        </w:trPr>
        <w:tc>
          <w:tcPr>
            <w:cnfStyle w:evenVBand="false" w:oddVBand="true" w:firstColumn="false"/>
            <w:tcW w:w="25.000000%" w:type="pct"/>
          </w:tcPr>
          <w:p>
            <w:pPr>
              <w:ind w:leftChars="0" w:left="0" w:right="0"/>
            </w:pPr>
            <w:r>
              <w:t>BLTD</w:t>
            </w:r>
          </w:p>
        </w:tc>
        <w:tc>
          <w:tcPr>
            <w:cnfStyle w:evenVBand="true" w:oddVBand="false" w:firstColumn="false"/>
            <w:tcW w:w="25.000000%" w:type="pct"/>
          </w:tcPr>
          <w:p>
            <w:pPr>
              <w:ind w:leftChars="0" w:left="0" w:right="0"/>
            </w:pPr>
            <w:r>
              <w:t>BLTD</w:t>
            </w:r>
          </w:p>
        </w:tc>
        <w:tc>
          <w:tcPr>
            <w:cnfStyle w:evenVBand="false" w:oddVBand="true" w:firstColumn="false"/>
            <w:tcW w:w="25.000000%" w:type="pct"/>
          </w:tcPr>
          <w:p>
            <w:pPr>
              <w:ind w:leftChars="0" w:left="0" w:right="0"/>
            </w:pPr>
            <w:r>
              <w:t>BLOOMBERG TRADEBOOK LLC</w:t>
            </w:r>
          </w:p>
        </w:tc>
        <w:tc>
          <w:tcPr>
            <w:cnfStyle w:evenVBand="true" w:oddVBand="false" w:firstColumn="false"/>
            <w:tcW w:w="25.000000%" w:type="pct"/>
          </w:tcPr>
          <w:p>
            <w:pPr>
              <w:ind w:leftChars="0" w:left="0" w:right="0"/>
            </w:pPr>
            <w:r>
              <w:t>220</w:t>
            </w:r>
          </w:p>
        </w:tc>
      </w:tr>
      <w:tr>
        <w:trPr>
          <w:cnfStyle w:evenHBand="true" w:oddHBand="false" w:firstRow="false"/>
        </w:trPr>
        <w:tc>
          <w:tcPr>
            <w:cnfStyle w:evenVBand="false" w:oddVBand="true" w:firstColumn="false"/>
            <w:tcW w:w="25.000000%" w:type="pct"/>
          </w:tcPr>
          <w:p>
            <w:pPr>
              <w:ind w:leftChars="0" w:left="0" w:right="0"/>
            </w:pPr>
            <w:r>
              <w:t>BLTX</w:t>
            </w:r>
          </w:p>
        </w:tc>
        <w:tc>
          <w:tcPr>
            <w:cnfStyle w:evenVBand="true" w:oddVBand="false" w:firstColumn="false"/>
            <w:tcW w:w="25.000000%" w:type="pct"/>
          </w:tcPr>
          <w:p>
            <w:pPr>
              <w:ind w:leftChars="0" w:left="0" w:right="0"/>
            </w:pPr>
            <w:r>
              <w:t>BLTX</w:t>
            </w:r>
          </w:p>
        </w:tc>
        <w:tc>
          <w:tcPr>
            <w:cnfStyle w:evenVBand="false" w:oddVBand="true" w:firstColumn="false"/>
            <w:tcW w:w="25.000000%" w:type="pct"/>
          </w:tcPr>
          <w:p>
            <w:pPr>
              <w:ind w:leftChars="0" w:left="0" w:right="0"/>
            </w:pPr>
            <w:r>
              <w:t>BALTEX - FREIGHT DERIVATIVES MARKET</w:t>
            </w:r>
          </w:p>
        </w:tc>
        <w:tc>
          <w:tcPr>
            <w:cnfStyle w:evenVBand="true" w:oddVBand="false" w:firstColumn="false"/>
            <w:tcW w:w="25.000000%" w:type="pct"/>
          </w:tcPr>
          <w:p>
            <w:pPr>
              <w:ind w:leftChars="0" w:left="0" w:right="0"/>
            </w:pPr>
            <w:r>
              <w:t>221</w:t>
            </w:r>
          </w:p>
        </w:tc>
      </w:tr>
      <w:tr>
        <w:trPr>
          <w:cnfStyle w:evenHBand="false" w:oddHBand="true" w:firstRow="false"/>
        </w:trPr>
        <w:tc>
          <w:tcPr>
            <w:cnfStyle w:evenVBand="false" w:oddVBand="true" w:firstColumn="false"/>
            <w:tcW w:w="25.000000%" w:type="pct"/>
          </w:tcPr>
          <w:p>
            <w:pPr>
              <w:ind w:leftChars="0" w:left="0" w:right="0"/>
            </w:pPr>
            <w:r>
              <w:t>BLUE</w:t>
            </w:r>
          </w:p>
        </w:tc>
        <w:tc>
          <w:tcPr>
            <w:cnfStyle w:evenVBand="true" w:oddVBand="false" w:firstColumn="false"/>
            <w:tcW w:w="25.000000%" w:type="pct"/>
          </w:tcPr>
          <w:p>
            <w:pPr>
              <w:ind w:leftChars="0" w:left="0" w:right="0"/>
            </w:pPr>
            <w:r>
              <w:t>BLUE</w:t>
            </w:r>
          </w:p>
        </w:tc>
        <w:tc>
          <w:tcPr>
            <w:cnfStyle w:evenVBand="false" w:oddVBand="true" w:firstColumn="false"/>
            <w:tcW w:w="25.000000%" w:type="pct"/>
          </w:tcPr>
          <w:p>
            <w:pPr>
              <w:ind w:leftChars="0" w:left="0" w:right="0"/>
            </w:pPr>
            <w:r>
              <w:t>PRO SECURITIES ATS</w:t>
            </w:r>
          </w:p>
        </w:tc>
        <w:tc>
          <w:tcPr>
            <w:cnfStyle w:evenVBand="true" w:oddVBand="false" w:firstColumn="false"/>
            <w:tcW w:w="25.000000%" w:type="pct"/>
          </w:tcPr>
          <w:p>
            <w:pPr>
              <w:ind w:leftChars="0" w:left="0" w:right="0"/>
            </w:pPr>
            <w:r>
              <w:t>222</w:t>
            </w:r>
          </w:p>
        </w:tc>
      </w:tr>
      <w:tr>
        <w:trPr>
          <w:cnfStyle w:evenHBand="true" w:oddHBand="false" w:firstRow="false"/>
        </w:trPr>
        <w:tc>
          <w:tcPr>
            <w:cnfStyle w:evenVBand="false" w:oddVBand="true" w:firstColumn="false"/>
            <w:tcW w:w="25.000000%" w:type="pct"/>
          </w:tcPr>
          <w:p>
            <w:pPr>
              <w:ind w:leftChars="0" w:left="0" w:right="0"/>
            </w:pPr>
            <w:r>
              <w:t>BLUX</w:t>
            </w:r>
          </w:p>
        </w:tc>
        <w:tc>
          <w:tcPr>
            <w:cnfStyle w:evenVBand="true" w:oddVBand="false" w:firstColumn="false"/>
            <w:tcW w:w="25.000000%" w:type="pct"/>
          </w:tcPr>
          <w:p>
            <w:pPr>
              <w:ind w:leftChars="0" w:left="0" w:right="0"/>
            </w:pPr>
            <w:r>
              <w:t>BLUX</w:t>
            </w:r>
          </w:p>
        </w:tc>
        <w:tc>
          <w:tcPr>
            <w:cnfStyle w:evenVBand="false" w:oddVBand="true" w:firstColumn="false"/>
            <w:tcW w:w="25.000000%" w:type="pct"/>
          </w:tcPr>
          <w:p>
            <w:pPr>
              <w:ind w:leftChars="0" w:left="0" w:right="0"/>
            </w:pPr>
            <w:r>
              <w:t>BANQUE DE LUXEMBOURG - SYSTEMATIC INTERNALISER</w:t>
            </w:r>
          </w:p>
        </w:tc>
        <w:tc>
          <w:tcPr>
            <w:cnfStyle w:evenVBand="true" w:oddVBand="false" w:firstColumn="false"/>
            <w:tcW w:w="25.000000%" w:type="pct"/>
          </w:tcPr>
          <w:p>
            <w:pPr>
              <w:ind w:leftChars="0" w:left="0" w:right="0"/>
            </w:pPr>
            <w:r>
              <w:t>223</w:t>
            </w:r>
          </w:p>
        </w:tc>
      </w:tr>
      <w:tr>
        <w:trPr>
          <w:cnfStyle w:evenHBand="false" w:oddHBand="true" w:firstRow="false"/>
        </w:trPr>
        <w:tc>
          <w:tcPr>
            <w:cnfStyle w:evenVBand="false" w:oddVBand="true" w:firstColumn="false"/>
            <w:tcW w:w="25.000000%" w:type="pct"/>
          </w:tcPr>
          <w:p>
            <w:pPr>
              <w:ind w:leftChars="0" w:left="0" w:right="0"/>
            </w:pPr>
            <w:r>
              <w:t>BLXA</w:t>
            </w:r>
          </w:p>
        </w:tc>
        <w:tc>
          <w:tcPr>
            <w:cnfStyle w:evenVBand="true" w:oddVBand="false" w:firstColumn="false"/>
            <w:tcW w:w="25.000000%" w:type="pct"/>
          </w:tcPr>
          <w:p>
            <w:pPr>
              <w:ind w:leftChars="0" w:left="0" w:right="0"/>
            </w:pPr>
            <w:r>
              <w:t>BLXA</w:t>
            </w:r>
          </w:p>
        </w:tc>
        <w:tc>
          <w:tcPr>
            <w:cnfStyle w:evenVBand="false" w:oddVBand="true" w:firstColumn="false"/>
            <w:tcW w:w="25.000000%" w:type="pct"/>
          </w:tcPr>
          <w:p>
            <w:pPr>
              <w:ind w:leftChars="0" w:left="0" w:right="0"/>
            </w:pPr>
            <w:r>
              <w:t>INSTINET BLX (AU)</w:t>
            </w:r>
          </w:p>
        </w:tc>
        <w:tc>
          <w:tcPr>
            <w:cnfStyle w:evenVBand="true" w:oddVBand="false" w:firstColumn="false"/>
            <w:tcW w:w="25.000000%" w:type="pct"/>
          </w:tcPr>
          <w:p>
            <w:pPr>
              <w:ind w:leftChars="0" w:left="0" w:right="0"/>
            </w:pPr>
            <w:r>
              <w:t>224</w:t>
            </w:r>
          </w:p>
        </w:tc>
      </w:tr>
      <w:tr>
        <w:trPr>
          <w:cnfStyle w:evenHBand="true" w:oddHBand="false" w:firstRow="false"/>
        </w:trPr>
        <w:tc>
          <w:tcPr>
            <w:cnfStyle w:evenVBand="false" w:oddVBand="true" w:firstColumn="false"/>
            <w:tcW w:w="25.000000%" w:type="pct"/>
          </w:tcPr>
          <w:p>
            <w:pPr>
              <w:ind w:leftChars="0" w:left="0" w:right="0"/>
            </w:pPr>
            <w:r>
              <w:t>BMCL</w:t>
            </w:r>
          </w:p>
        </w:tc>
        <w:tc>
          <w:tcPr>
            <w:cnfStyle w:evenVBand="true" w:oddVBand="false" w:firstColumn="false"/>
            <w:tcW w:w="25.000000%" w:type="pct"/>
          </w:tcPr>
          <w:p>
            <w:pPr>
              <w:ind w:leftChars="0" w:left="0" w:right="0"/>
            </w:pPr>
            <w:r>
              <w:t>BMCL</w:t>
            </w:r>
          </w:p>
        </w:tc>
        <w:tc>
          <w:tcPr>
            <w:cnfStyle w:evenVBand="false" w:oddVBand="true" w:firstColumn="false"/>
            <w:tcW w:w="25.000000%" w:type="pct"/>
          </w:tcPr>
          <w:p>
            <w:pPr>
              <w:ind w:leftChars="0" w:left="0" w:right="0"/>
            </w:pPr>
            <w:r>
              <w:t>BME CLEARING S.A.</w:t>
            </w:r>
          </w:p>
        </w:tc>
        <w:tc>
          <w:tcPr>
            <w:cnfStyle w:evenVBand="true" w:oddVBand="false" w:firstColumn="false"/>
            <w:tcW w:w="25.000000%" w:type="pct"/>
          </w:tcPr>
          <w:p>
            <w:pPr>
              <w:ind w:leftChars="0" w:left="0" w:right="0"/>
            </w:pPr>
            <w:r>
              <w:t>225</w:t>
            </w:r>
          </w:p>
        </w:tc>
      </w:tr>
      <w:tr>
        <w:trPr>
          <w:cnfStyle w:evenHBand="false" w:oddHBand="true" w:firstRow="false"/>
        </w:trPr>
        <w:tc>
          <w:tcPr>
            <w:cnfStyle w:evenVBand="false" w:oddVBand="true" w:firstColumn="false"/>
            <w:tcW w:w="25.000000%" w:type="pct"/>
          </w:tcPr>
          <w:p>
            <w:pPr>
              <w:ind w:leftChars="0" w:left="0" w:right="0"/>
            </w:pPr>
            <w:r>
              <w:t>BMCM</w:t>
            </w:r>
          </w:p>
        </w:tc>
        <w:tc>
          <w:tcPr>
            <w:cnfStyle w:evenVBand="true" w:oddVBand="false" w:firstColumn="false"/>
            <w:tcW w:w="25.000000%" w:type="pct"/>
          </w:tcPr>
          <w:p>
            <w:pPr>
              <w:ind w:leftChars="0" w:left="0" w:right="0"/>
            </w:pPr>
            <w:r>
              <w:t>BMCM</w:t>
            </w:r>
          </w:p>
        </w:tc>
        <w:tc>
          <w:tcPr>
            <w:cnfStyle w:evenVBand="false" w:oddVBand="true" w:firstColumn="false"/>
            <w:tcW w:w="25.000000%" w:type="pct"/>
          </w:tcPr>
          <w:p>
            <w:pPr>
              <w:ind w:leftChars="0" w:left="0" w:right="0"/>
            </w:pPr>
            <w:r>
              <w:t>BMO CAPITAL MARKETS LIMITED</w:t>
            </w:r>
          </w:p>
        </w:tc>
        <w:tc>
          <w:tcPr>
            <w:cnfStyle w:evenVBand="true" w:oddVBand="false" w:firstColumn="false"/>
            <w:tcW w:w="25.000000%" w:type="pct"/>
          </w:tcPr>
          <w:p>
            <w:pPr>
              <w:ind w:leftChars="0" w:left="0" w:right="0"/>
            </w:pPr>
            <w:r>
              <w:t>226</w:t>
            </w:r>
          </w:p>
        </w:tc>
      </w:tr>
      <w:tr>
        <w:trPr>
          <w:cnfStyle w:evenHBand="true" w:oddHBand="false" w:firstRow="false"/>
        </w:trPr>
        <w:tc>
          <w:tcPr>
            <w:cnfStyle w:evenVBand="false" w:oddVBand="true" w:firstColumn="false"/>
            <w:tcW w:w="25.000000%" w:type="pct"/>
          </w:tcPr>
          <w:p>
            <w:pPr>
              <w:ind w:leftChars="0" w:left="0" w:right="0"/>
            </w:pPr>
            <w:r>
              <w:t>BMEA</w:t>
            </w:r>
          </w:p>
        </w:tc>
        <w:tc>
          <w:tcPr>
            <w:cnfStyle w:evenVBand="true" w:oddVBand="false" w:firstColumn="false"/>
            <w:tcW w:w="25.000000%" w:type="pct"/>
          </w:tcPr>
          <w:p>
            <w:pPr>
              <w:ind w:leftChars="0" w:left="0" w:right="0"/>
            </w:pPr>
            <w:r>
              <w:t>BMEA</w:t>
            </w:r>
          </w:p>
        </w:tc>
        <w:tc>
          <w:tcPr>
            <w:cnfStyle w:evenVBand="false" w:oddVBand="true" w:firstColumn="false"/>
            <w:tcW w:w="25.000000%" w:type="pct"/>
          </w:tcPr>
          <w:p>
            <w:pPr>
              <w:ind w:leftChars="0" w:left="0" w:right="0"/>
            </w:pPr>
            <w:r>
              <w:t>BME - APA</w:t>
            </w:r>
          </w:p>
        </w:tc>
        <w:tc>
          <w:tcPr>
            <w:cnfStyle w:evenVBand="true" w:oddVBand="false" w:firstColumn="false"/>
            <w:tcW w:w="25.000000%" w:type="pct"/>
          </w:tcPr>
          <w:p>
            <w:pPr>
              <w:ind w:leftChars="0" w:left="0" w:right="0"/>
            </w:pPr>
            <w:r>
              <w:t>227</w:t>
            </w:r>
          </w:p>
        </w:tc>
      </w:tr>
      <w:tr>
        <w:trPr>
          <w:cnfStyle w:evenHBand="false" w:oddHBand="true" w:firstRow="false"/>
        </w:trPr>
        <w:tc>
          <w:tcPr>
            <w:cnfStyle w:evenVBand="false" w:oddVBand="true" w:firstColumn="false"/>
            <w:tcW w:w="25.000000%" w:type="pct"/>
          </w:tcPr>
          <w:p>
            <w:pPr>
              <w:ind w:leftChars="0" w:left="0" w:right="0"/>
            </w:pPr>
            <w:r>
              <w:t>BMEX</w:t>
            </w:r>
          </w:p>
        </w:tc>
        <w:tc>
          <w:tcPr>
            <w:cnfStyle w:evenVBand="true" w:oddVBand="false" w:firstColumn="false"/>
            <w:tcW w:w="25.000000%" w:type="pct"/>
          </w:tcPr>
          <w:p>
            <w:pPr>
              <w:ind w:leftChars="0" w:left="0" w:right="0"/>
            </w:pPr>
            <w:r>
              <w:t>BMEX</w:t>
            </w:r>
          </w:p>
        </w:tc>
        <w:tc>
          <w:tcPr>
            <w:cnfStyle w:evenVBand="false" w:oddVBand="true" w:firstColumn="false"/>
            <w:tcW w:w="25.000000%" w:type="pct"/>
          </w:tcPr>
          <w:p>
            <w:pPr>
              <w:ind w:leftChars="0" w:left="0" w:right="0"/>
            </w:pPr>
            <w:r>
              <w:t>BME - BOLSAS Y MERCADOS ESPANOLES</w:t>
            </w:r>
          </w:p>
        </w:tc>
        <w:tc>
          <w:tcPr>
            <w:cnfStyle w:evenVBand="true" w:oddVBand="false" w:firstColumn="false"/>
            <w:tcW w:w="25.000000%" w:type="pct"/>
          </w:tcPr>
          <w:p>
            <w:pPr>
              <w:ind w:leftChars="0" w:left="0" w:right="0"/>
            </w:pPr>
            <w:r>
              <w:t>228</w:t>
            </w:r>
          </w:p>
        </w:tc>
      </w:tr>
      <w:tr>
        <w:trPr>
          <w:cnfStyle w:evenHBand="true" w:oddHBand="false" w:firstRow="false"/>
        </w:trPr>
        <w:tc>
          <w:tcPr>
            <w:cnfStyle w:evenVBand="false" w:oddVBand="true" w:firstColumn="false"/>
            <w:tcW w:w="25.000000%" w:type="pct"/>
          </w:tcPr>
          <w:p>
            <w:pPr>
              <w:ind w:leftChars="0" w:left="0" w:right="0"/>
            </w:pPr>
            <w:r>
              <w:t>BMFA</w:t>
            </w:r>
          </w:p>
        </w:tc>
        <w:tc>
          <w:tcPr>
            <w:cnfStyle w:evenVBand="true" w:oddVBand="false" w:firstColumn="false"/>
            <w:tcW w:w="25.000000%" w:type="pct"/>
          </w:tcPr>
          <w:p>
            <w:pPr>
              <w:ind w:leftChars="0" w:left="0" w:right="0"/>
            </w:pPr>
            <w:r>
              <w:t>BMFA</w:t>
            </w:r>
          </w:p>
        </w:tc>
        <w:tc>
          <w:tcPr>
            <w:cnfStyle w:evenVBand="false" w:oddVBand="true" w:firstColumn="false"/>
            <w:tcW w:w="25.000000%" w:type="pct"/>
          </w:tcPr>
          <w:p>
            <w:pPr>
              <w:ind w:leftChars="0" w:left="0" w:right="0"/>
            </w:pPr>
            <w:r>
              <w:t>BMFMS-ATS</w:t>
            </w:r>
          </w:p>
        </w:tc>
        <w:tc>
          <w:tcPr>
            <w:cnfStyle w:evenVBand="true" w:oddVBand="false" w:firstColumn="false"/>
            <w:tcW w:w="25.000000%" w:type="pct"/>
          </w:tcPr>
          <w:p>
            <w:pPr>
              <w:ind w:leftChars="0" w:left="0" w:right="0"/>
            </w:pPr>
            <w:r>
              <w:t>229</w:t>
            </w:r>
          </w:p>
        </w:tc>
      </w:tr>
      <w:tr>
        <w:trPr>
          <w:cnfStyle w:evenHBand="false" w:oddHBand="true" w:firstRow="false"/>
        </w:trPr>
        <w:tc>
          <w:tcPr>
            <w:cnfStyle w:evenVBand="false" w:oddVBand="true" w:firstColumn="false"/>
            <w:tcW w:w="25.000000%" w:type="pct"/>
          </w:tcPr>
          <w:p>
            <w:pPr>
              <w:ind w:leftChars="0" w:left="0" w:right="0"/>
            </w:pPr>
            <w:r>
              <w:t>BMFM</w:t>
            </w:r>
          </w:p>
        </w:tc>
        <w:tc>
          <w:tcPr>
            <w:cnfStyle w:evenVBand="true" w:oddVBand="false" w:firstColumn="false"/>
            <w:tcW w:w="25.000000%" w:type="pct"/>
          </w:tcPr>
          <w:p>
            <w:pPr>
              <w:ind w:leftChars="0" w:left="0" w:right="0"/>
            </w:pPr>
            <w:r>
              <w:t>BMFM</w:t>
            </w:r>
          </w:p>
        </w:tc>
        <w:tc>
          <w:tcPr>
            <w:cnfStyle w:evenVBand="false" w:oddVBand="true" w:firstColumn="false"/>
            <w:tcW w:w="25.000000%" w:type="pct"/>
          </w:tcPr>
          <w:p>
            <w:pPr>
              <w:ind w:leftChars="0" w:left="0" w:right="0"/>
            </w:pPr>
            <w:r>
              <w:t>DERIVATIVES REGULATED MARKET - BMFMS</w:t>
            </w:r>
          </w:p>
        </w:tc>
        <w:tc>
          <w:tcPr>
            <w:cnfStyle w:evenVBand="true" w:oddVBand="false" w:firstColumn="false"/>
            <w:tcW w:w="25.000000%" w:type="pct"/>
          </w:tcPr>
          <w:p>
            <w:pPr>
              <w:ind w:leftChars="0" w:left="0" w:right="0"/>
            </w:pPr>
            <w:r>
              <w:t>230</w:t>
            </w:r>
          </w:p>
        </w:tc>
      </w:tr>
      <w:tr>
        <w:trPr>
          <w:cnfStyle w:evenHBand="true" w:oddHBand="false" w:firstRow="false"/>
        </w:trPr>
        <w:tc>
          <w:tcPr>
            <w:cnfStyle w:evenVBand="false" w:oddVBand="true" w:firstColumn="false"/>
            <w:tcW w:w="25.000000%" w:type="pct"/>
          </w:tcPr>
          <w:p>
            <w:pPr>
              <w:ind w:leftChars="0" w:left="0" w:right="0"/>
            </w:pPr>
            <w:r>
              <w:t>BMFX</w:t>
            </w:r>
          </w:p>
        </w:tc>
        <w:tc>
          <w:tcPr>
            <w:cnfStyle w:evenVBand="true" w:oddVBand="false" w:firstColumn="false"/>
            <w:tcW w:w="25.000000%" w:type="pct"/>
          </w:tcPr>
          <w:p>
            <w:pPr>
              <w:ind w:leftChars="0" w:left="0" w:right="0"/>
            </w:pPr>
            <w:r>
              <w:t>BMFX</w:t>
            </w:r>
          </w:p>
        </w:tc>
        <w:tc>
          <w:tcPr>
            <w:cnfStyle w:evenVBand="false" w:oddVBand="true" w:firstColumn="false"/>
            <w:tcW w:w="25.000000%" w:type="pct"/>
          </w:tcPr>
          <w:p>
            <w:pPr>
              <w:ind w:leftChars="0" w:left="0" w:right="0"/>
            </w:pPr>
            <w:r>
              <w:t>SIBIU MONETARY- FINANCIAL AND COMMODITIES EXCHANGE</w:t>
            </w:r>
          </w:p>
        </w:tc>
        <w:tc>
          <w:tcPr>
            <w:cnfStyle w:evenVBand="true" w:oddVBand="false" w:firstColumn="false"/>
            <w:tcW w:w="25.000000%" w:type="pct"/>
          </w:tcPr>
          <w:p>
            <w:pPr>
              <w:ind w:leftChars="0" w:left="0" w:right="0"/>
            </w:pPr>
            <w:r>
              <w:t>231</w:t>
            </w:r>
          </w:p>
        </w:tc>
      </w:tr>
      <w:tr>
        <w:trPr>
          <w:cnfStyle w:evenHBand="false" w:oddHBand="true" w:firstRow="false"/>
        </w:trPr>
        <w:tc>
          <w:tcPr>
            <w:cnfStyle w:evenVBand="false" w:oddVBand="true" w:firstColumn="false"/>
            <w:tcW w:w="25.000000%" w:type="pct"/>
          </w:tcPr>
          <w:p>
            <w:pPr>
              <w:ind w:leftChars="0" w:left="0" w:right="0"/>
            </w:pPr>
            <w:r>
              <w:t>BMLB</w:t>
            </w:r>
          </w:p>
        </w:tc>
        <w:tc>
          <w:tcPr>
            <w:cnfStyle w:evenVBand="true" w:oddVBand="false" w:firstColumn="false"/>
            <w:tcW w:w="25.000000%" w:type="pct"/>
          </w:tcPr>
          <w:p>
            <w:pPr>
              <w:ind w:leftChars="0" w:left="0" w:right="0"/>
            </w:pPr>
            <w:r>
              <w:t>BMLB</w:t>
            </w:r>
          </w:p>
        </w:tc>
        <w:tc>
          <w:tcPr>
            <w:cnfStyle w:evenVBand="false" w:oddVBand="true" w:firstColumn="false"/>
            <w:tcW w:w="25.000000%" w:type="pct"/>
          </w:tcPr>
          <w:p>
            <w:pPr>
              <w:ind w:leftChars="0" w:left="0" w:right="0"/>
            </w:pPr>
            <w:r>
              <w:t>BANK OF MONTREAL - LONDON BRANCH - SYSTEMATIC INTERNALISER</w:t>
            </w:r>
          </w:p>
        </w:tc>
        <w:tc>
          <w:tcPr>
            <w:cnfStyle w:evenVBand="true" w:oddVBand="false" w:firstColumn="false"/>
            <w:tcW w:w="25.000000%" w:type="pct"/>
          </w:tcPr>
          <w:p>
            <w:pPr>
              <w:ind w:leftChars="0" w:left="0" w:right="0"/>
            </w:pPr>
            <w:r>
              <w:t>232</w:t>
            </w:r>
          </w:p>
        </w:tc>
      </w:tr>
      <w:tr>
        <w:trPr>
          <w:cnfStyle w:evenHBand="true" w:oddHBand="false" w:firstRow="false"/>
        </w:trPr>
        <w:tc>
          <w:tcPr>
            <w:cnfStyle w:evenVBand="false" w:oddVBand="true" w:firstColumn="false"/>
            <w:tcW w:w="25.000000%" w:type="pct"/>
          </w:tcPr>
          <w:p>
            <w:pPr>
              <w:ind w:leftChars="0" w:left="0" w:right="0"/>
            </w:pPr>
            <w:r>
              <w:t>BMLI</w:t>
            </w:r>
          </w:p>
        </w:tc>
        <w:tc>
          <w:tcPr>
            <w:cnfStyle w:evenVBand="true" w:oddVBand="false" w:firstColumn="false"/>
            <w:tcW w:w="25.000000%" w:type="pct"/>
          </w:tcPr>
          <w:p>
            <w:pPr>
              <w:ind w:leftChars="0" w:left="0" w:right="0"/>
            </w:pPr>
            <w:r>
              <w:t>BMLI</w:t>
            </w:r>
          </w:p>
        </w:tc>
        <w:tc>
          <w:tcPr>
            <w:cnfStyle w:evenVBand="false" w:oddVBand="true" w:firstColumn="false"/>
            <w:tcW w:w="25.000000%" w:type="pct"/>
          </w:tcPr>
          <w:p>
            <w:pPr>
              <w:ind w:leftChars="0" w:left="0" w:right="0"/>
            </w:pPr>
            <w:r>
              <w:t>BANK OF AMERICA MERRILL LYNCH INTERNATIONAL BANK DESIGNATED ACTIVITY COMPANY</w:t>
            </w:r>
          </w:p>
        </w:tc>
        <w:tc>
          <w:tcPr>
            <w:cnfStyle w:evenVBand="true" w:oddVBand="false" w:firstColumn="false"/>
            <w:tcW w:w="25.000000%" w:type="pct"/>
          </w:tcPr>
          <w:p>
            <w:pPr>
              <w:ind w:leftChars="0" w:left="0" w:right="0"/>
            </w:pPr>
            <w:r>
              <w:t>233</w:t>
            </w:r>
          </w:p>
        </w:tc>
      </w:tr>
      <w:tr>
        <w:trPr>
          <w:cnfStyle w:evenHBand="false" w:oddHBand="true" w:firstRow="false"/>
        </w:trPr>
        <w:tc>
          <w:tcPr>
            <w:cnfStyle w:evenVBand="false" w:oddVBand="true" w:firstColumn="false"/>
            <w:tcW w:w="25.000000%" w:type="pct"/>
          </w:tcPr>
          <w:p>
            <w:pPr>
              <w:ind w:leftChars="0" w:left="0" w:right="0"/>
            </w:pPr>
            <w:r>
              <w:t>BMLS</w:t>
            </w:r>
          </w:p>
        </w:tc>
        <w:tc>
          <w:tcPr>
            <w:cnfStyle w:evenVBand="true" w:oddVBand="false" w:firstColumn="false"/>
            <w:tcW w:w="25.000000%" w:type="pct"/>
          </w:tcPr>
          <w:p>
            <w:pPr>
              <w:ind w:leftChars="0" w:left="0" w:right="0"/>
            </w:pPr>
            <w:r>
              <w:t>BMLS</w:t>
            </w:r>
          </w:p>
        </w:tc>
        <w:tc>
          <w:tcPr>
            <w:cnfStyle w:evenVBand="false" w:oddVBand="true" w:firstColumn="false"/>
            <w:tcW w:w="25.000000%" w:type="pct"/>
          </w:tcPr>
          <w:p>
            <w:pPr>
              <w:ind w:leftChars="0" w:left="0" w:right="0"/>
            </w:pPr>
            <w:r>
              <w:t>BANK OF AMERICA MERRILL LYNCH INTERNATIONAL BANK DESIGNATED ACTIVITY COMPANY - SYSTEMATIC INTERNALISER</w:t>
            </w:r>
          </w:p>
        </w:tc>
        <w:tc>
          <w:tcPr>
            <w:cnfStyle w:evenVBand="true" w:oddVBand="false" w:firstColumn="false"/>
            <w:tcW w:w="25.000000%" w:type="pct"/>
          </w:tcPr>
          <w:p>
            <w:pPr>
              <w:ind w:leftChars="0" w:left="0" w:right="0"/>
            </w:pPr>
            <w:r>
              <w:t>234</w:t>
            </w:r>
          </w:p>
        </w:tc>
      </w:tr>
      <w:tr>
        <w:trPr>
          <w:cnfStyle w:evenHBand="true" w:oddHBand="false" w:firstRow="false"/>
        </w:trPr>
        <w:tc>
          <w:tcPr>
            <w:cnfStyle w:evenVBand="false" w:oddVBand="true" w:firstColumn="false"/>
            <w:tcW w:w="25.000000%" w:type="pct"/>
          </w:tcPr>
          <w:p>
            <w:pPr>
              <w:ind w:leftChars="0" w:left="0" w:right="0"/>
            </w:pPr>
            <w:r>
              <w:t>BMLX</w:t>
            </w:r>
          </w:p>
        </w:tc>
        <w:tc>
          <w:tcPr>
            <w:cnfStyle w:evenVBand="true" w:oddVBand="false" w:firstColumn="false"/>
            <w:tcW w:w="25.000000%" w:type="pct"/>
          </w:tcPr>
          <w:p>
            <w:pPr>
              <w:ind w:leftChars="0" w:left="0" w:right="0"/>
            </w:pPr>
            <w:r>
              <w:t>BMLX</w:t>
            </w:r>
          </w:p>
        </w:tc>
        <w:tc>
          <w:tcPr>
            <w:cnfStyle w:evenVBand="false" w:oddVBand="true" w:firstColumn="false"/>
            <w:tcW w:w="25.000000%" w:type="pct"/>
          </w:tcPr>
          <w:p>
            <w:pPr>
              <w:ind w:leftChars="0" w:left="0" w:right="0"/>
            </w:pPr>
            <w:r>
              <w:t>BANK OF AMERICA MERRILL LYNCH INTERNATIONAL BANK DESIGNATED ACTIVITY COMPANY</w:t>
            </w:r>
          </w:p>
        </w:tc>
        <w:tc>
          <w:tcPr>
            <w:cnfStyle w:evenVBand="true" w:oddVBand="false" w:firstColumn="false"/>
            <w:tcW w:w="25.000000%" w:type="pct"/>
          </w:tcPr>
          <w:p>
            <w:pPr>
              <w:ind w:leftChars="0" w:left="0" w:right="0"/>
            </w:pPr>
            <w:r>
              <w:t>235</w:t>
            </w:r>
          </w:p>
        </w:tc>
      </w:tr>
      <w:tr>
        <w:trPr>
          <w:cnfStyle w:evenHBand="false" w:oddHBand="true" w:firstRow="false"/>
        </w:trPr>
        <w:tc>
          <w:tcPr>
            <w:cnfStyle w:evenVBand="false" w:oddVBand="true" w:firstColumn="false"/>
            <w:tcW w:w="25.000000%" w:type="pct"/>
          </w:tcPr>
          <w:p>
            <w:pPr>
              <w:ind w:leftChars="0" w:left="0" w:right="0"/>
            </w:pPr>
            <w:r>
              <w:t>BMSI</w:t>
            </w:r>
          </w:p>
        </w:tc>
        <w:tc>
          <w:tcPr>
            <w:cnfStyle w:evenVBand="true" w:oddVBand="false" w:firstColumn="false"/>
            <w:tcW w:w="25.000000%" w:type="pct"/>
          </w:tcPr>
          <w:p>
            <w:pPr>
              <w:ind w:leftChars="0" w:left="0" w:right="0"/>
            </w:pPr>
            <w:r>
              <w:t>BMSI</w:t>
            </w:r>
          </w:p>
        </w:tc>
        <w:tc>
          <w:tcPr>
            <w:cnfStyle w:evenVBand="false" w:oddVBand="true" w:firstColumn="false"/>
            <w:tcW w:w="25.000000%" w:type="pct"/>
          </w:tcPr>
          <w:p>
            <w:pPr>
              <w:ind w:leftChars="0" w:left="0" w:right="0"/>
            </w:pPr>
            <w:r>
              <w:t>BANK OF AMERICA MERRILL LYNCH INTERNATIONAL BANK DESIGNATED ACTIVITY COMPANY - SYSTEMATIC INTERNALISER</w:t>
            </w:r>
          </w:p>
        </w:tc>
        <w:tc>
          <w:tcPr>
            <w:cnfStyle w:evenVBand="true" w:oddVBand="false" w:firstColumn="false"/>
            <w:tcW w:w="25.000000%" w:type="pct"/>
          </w:tcPr>
          <w:p>
            <w:pPr>
              <w:ind w:leftChars="0" w:left="0" w:right="0"/>
            </w:pPr>
            <w:r>
              <w:t>236</w:t>
            </w:r>
          </w:p>
        </w:tc>
      </w:tr>
      <w:tr>
        <w:trPr>
          <w:cnfStyle w:evenHBand="true" w:oddHBand="false" w:firstRow="false"/>
        </w:trPr>
        <w:tc>
          <w:tcPr>
            <w:cnfStyle w:evenVBand="false" w:oddVBand="true" w:firstColumn="false"/>
            <w:tcW w:w="25.000000%" w:type="pct"/>
          </w:tcPr>
          <w:p>
            <w:pPr>
              <w:ind w:leftChars="0" w:left="0" w:right="0"/>
            </w:pPr>
            <w:r>
              <w:t>BMTF</w:t>
            </w:r>
          </w:p>
        </w:tc>
        <w:tc>
          <w:tcPr>
            <w:cnfStyle w:evenVBand="true" w:oddVBand="false" w:firstColumn="false"/>
            <w:tcW w:w="25.000000%" w:type="pct"/>
          </w:tcPr>
          <w:p>
            <w:pPr>
              <w:ind w:leftChars="0" w:left="0" w:right="0"/>
            </w:pPr>
            <w:r>
              <w:t>BMTF</w:t>
            </w:r>
          </w:p>
        </w:tc>
        <w:tc>
          <w:tcPr>
            <w:cnfStyle w:evenVBand="false" w:oddVBand="true" w:firstColumn="false"/>
            <w:tcW w:w="25.000000%" w:type="pct"/>
          </w:tcPr>
          <w:p>
            <w:pPr>
              <w:ind w:leftChars="0" w:left="0" w:right="0"/>
            </w:pPr>
            <w:r>
              <w:t>BLOOMBERG TRADING FACILITY LIMITED</w:t>
            </w:r>
          </w:p>
        </w:tc>
        <w:tc>
          <w:tcPr>
            <w:cnfStyle w:evenVBand="true" w:oddVBand="false" w:firstColumn="false"/>
            <w:tcW w:w="25.000000%" w:type="pct"/>
          </w:tcPr>
          <w:p>
            <w:pPr>
              <w:ind w:leftChars="0" w:left="0" w:right="0"/>
            </w:pPr>
            <w:r>
              <w:t>237</w:t>
            </w:r>
          </w:p>
        </w:tc>
      </w:tr>
      <w:tr>
        <w:trPr>
          <w:cnfStyle w:evenHBand="false" w:oddHBand="true" w:firstRow="false"/>
        </w:trPr>
        <w:tc>
          <w:tcPr>
            <w:cnfStyle w:evenVBand="false" w:oddVBand="true" w:firstColumn="false"/>
            <w:tcW w:w="25.000000%" w:type="pct"/>
          </w:tcPr>
          <w:p>
            <w:pPr>
              <w:ind w:leftChars="0" w:left="0" w:right="0"/>
            </w:pPr>
            <w:r>
              <w:t>BMTS</w:t>
            </w:r>
          </w:p>
        </w:tc>
        <w:tc>
          <w:tcPr>
            <w:cnfStyle w:evenVBand="true" w:oddVBand="false" w:firstColumn="false"/>
            <w:tcW w:w="25.000000%" w:type="pct"/>
          </w:tcPr>
          <w:p>
            <w:pPr>
              <w:ind w:leftChars="0" w:left="0" w:right="0"/>
            </w:pPr>
            <w:r>
              <w:t>BMTS</w:t>
            </w:r>
          </w:p>
        </w:tc>
        <w:tc>
          <w:tcPr>
            <w:cnfStyle w:evenVBand="false" w:oddVBand="true" w:firstColumn="false"/>
            <w:tcW w:w="25.000000%" w:type="pct"/>
          </w:tcPr>
          <w:p>
            <w:pPr>
              <w:ind w:leftChars="0" w:left="0" w:right="0"/>
            </w:pPr>
            <w:r>
              <w:t>MTS BELGIUM</w:t>
            </w:r>
          </w:p>
        </w:tc>
        <w:tc>
          <w:tcPr>
            <w:cnfStyle w:evenVBand="true" w:oddVBand="false" w:firstColumn="false"/>
            <w:tcW w:w="25.000000%" w:type="pct"/>
          </w:tcPr>
          <w:p>
            <w:pPr>
              <w:ind w:leftChars="0" w:left="0" w:right="0"/>
            </w:pPr>
            <w:r>
              <w:t>238</w:t>
            </w:r>
          </w:p>
        </w:tc>
      </w:tr>
      <w:tr>
        <w:trPr>
          <w:cnfStyle w:evenHBand="true" w:oddHBand="false" w:firstRow="false"/>
        </w:trPr>
        <w:tc>
          <w:tcPr>
            <w:cnfStyle w:evenVBand="false" w:oddVBand="true" w:firstColumn="false"/>
            <w:tcW w:w="25.000000%" w:type="pct"/>
          </w:tcPr>
          <w:p>
            <w:pPr>
              <w:ind w:leftChars="0" w:left="0" w:right="0"/>
            </w:pPr>
            <w:r>
              <w:t>BNDD</w:t>
            </w:r>
          </w:p>
        </w:tc>
        <w:tc>
          <w:tcPr>
            <w:cnfStyle w:evenVBand="true" w:oddVBand="false" w:firstColumn="false"/>
            <w:tcW w:w="25.000000%" w:type="pct"/>
          </w:tcPr>
          <w:p>
            <w:pPr>
              <w:ind w:leftChars="0" w:left="0" w:right="0"/>
            </w:pPr>
            <w:r>
              <w:t>BNDD</w:t>
            </w:r>
          </w:p>
        </w:tc>
        <w:tc>
          <w:tcPr>
            <w:cnfStyle w:evenVBand="false" w:oddVBand="true" w:firstColumn="false"/>
            <w:tcW w:w="25.000000%" w:type="pct"/>
          </w:tcPr>
          <w:p>
            <w:pPr>
              <w:ind w:leftChars="0" w:left="0" w:right="0"/>
            </w:pPr>
            <w:r>
              <w:t>TRADEWEB DIRECT LLC</w:t>
            </w:r>
          </w:p>
        </w:tc>
        <w:tc>
          <w:tcPr>
            <w:cnfStyle w:evenVBand="true" w:oddVBand="false" w:firstColumn="false"/>
            <w:tcW w:w="25.000000%" w:type="pct"/>
          </w:tcPr>
          <w:p>
            <w:pPr>
              <w:ind w:leftChars="0" w:left="0" w:right="0"/>
            </w:pPr>
            <w:r>
              <w:t>239</w:t>
            </w:r>
          </w:p>
        </w:tc>
      </w:tr>
      <w:tr>
        <w:trPr>
          <w:cnfStyle w:evenHBand="false" w:oddHBand="true" w:firstRow="false"/>
        </w:trPr>
        <w:tc>
          <w:tcPr>
            <w:cnfStyle w:evenVBand="false" w:oddVBand="true" w:firstColumn="false"/>
            <w:tcW w:w="25.000000%" w:type="pct"/>
          </w:tcPr>
          <w:p>
            <w:pPr>
              <w:ind w:leftChars="0" w:left="0" w:right="0"/>
            </w:pPr>
            <w:r>
              <w:t>BNLD</w:t>
            </w:r>
          </w:p>
        </w:tc>
        <w:tc>
          <w:tcPr>
            <w:cnfStyle w:evenVBand="true" w:oddVBand="false" w:firstColumn="false"/>
            <w:tcW w:w="25.000000%" w:type="pct"/>
          </w:tcPr>
          <w:p>
            <w:pPr>
              <w:ind w:leftChars="0" w:left="0" w:right="0"/>
            </w:pPr>
            <w:r>
              <w:t>BNLD</w:t>
            </w:r>
          </w:p>
        </w:tc>
        <w:tc>
          <w:tcPr>
            <w:cnfStyle w:evenVBand="false" w:oddVBand="true" w:firstColumn="false"/>
            <w:tcW w:w="25.000000%" w:type="pct"/>
          </w:tcPr>
          <w:p>
            <w:pPr>
              <w:ind w:leftChars="0" w:left="0" w:right="0"/>
            </w:pPr>
            <w:r>
              <w:t>BANCA NAZIONALE DEL LAVORO SPA - SYSTEMATIC INTERNALISER</w:t>
            </w:r>
          </w:p>
        </w:tc>
        <w:tc>
          <w:tcPr>
            <w:cnfStyle w:evenVBand="true" w:oddVBand="false" w:firstColumn="false"/>
            <w:tcW w:w="25.000000%" w:type="pct"/>
          </w:tcPr>
          <w:p>
            <w:pPr>
              <w:ind w:leftChars="0" w:left="0" w:right="0"/>
            </w:pPr>
            <w:r>
              <w:t>240</w:t>
            </w:r>
          </w:p>
        </w:tc>
      </w:tr>
      <w:tr>
        <w:trPr>
          <w:cnfStyle w:evenHBand="true" w:oddHBand="false" w:firstRow="false"/>
        </w:trPr>
        <w:tc>
          <w:tcPr>
            <w:cnfStyle w:evenVBand="false" w:oddVBand="true" w:firstColumn="false"/>
            <w:tcW w:w="25.000000%" w:type="pct"/>
          </w:tcPr>
          <w:p>
            <w:pPr>
              <w:ind w:leftChars="0" w:left="0" w:right="0"/>
            </w:pPr>
            <w:r>
              <w:t>BNPA</w:t>
            </w:r>
          </w:p>
        </w:tc>
        <w:tc>
          <w:tcPr>
            <w:cnfStyle w:evenVBand="true" w:oddVBand="false" w:firstColumn="false"/>
            <w:tcW w:w="25.000000%" w:type="pct"/>
          </w:tcPr>
          <w:p>
            <w:pPr>
              <w:ind w:leftChars="0" w:left="0" w:right="0"/>
            </w:pPr>
            <w:r>
              <w:t>BNPA</w:t>
            </w:r>
          </w:p>
        </w:tc>
        <w:tc>
          <w:tcPr>
            <w:cnfStyle w:evenVBand="false" w:oddVBand="true" w:firstColumn="false"/>
            <w:tcW w:w="25.000000%" w:type="pct"/>
          </w:tcPr>
          <w:p>
            <w:pPr>
              <w:ind w:leftChars="0" w:left="0" w:right="0"/>
            </w:pPr>
            <w:r>
              <w:t>BNP PARIBAS ARBITRAGE SNC - SYSTEMATIC INTERNALISER</w:t>
            </w:r>
          </w:p>
        </w:tc>
        <w:tc>
          <w:tcPr>
            <w:cnfStyle w:evenVBand="true" w:oddVBand="false" w:firstColumn="false"/>
            <w:tcW w:w="25.000000%" w:type="pct"/>
          </w:tcPr>
          <w:p>
            <w:pPr>
              <w:ind w:leftChars="0" w:left="0" w:right="0"/>
            </w:pPr>
            <w:r>
              <w:t>241</w:t>
            </w:r>
          </w:p>
        </w:tc>
      </w:tr>
      <w:tr>
        <w:trPr>
          <w:cnfStyle w:evenHBand="false" w:oddHBand="true" w:firstRow="false"/>
        </w:trPr>
        <w:tc>
          <w:tcPr>
            <w:cnfStyle w:evenVBand="false" w:oddVBand="true" w:firstColumn="false"/>
            <w:tcW w:w="25.000000%" w:type="pct"/>
          </w:tcPr>
          <w:p>
            <w:pPr>
              <w:ind w:leftChars="0" w:left="0" w:right="0"/>
            </w:pPr>
            <w:r>
              <w:t>BNPC</w:t>
            </w:r>
          </w:p>
        </w:tc>
        <w:tc>
          <w:tcPr>
            <w:cnfStyle w:evenVBand="true" w:oddVBand="false" w:firstColumn="false"/>
            <w:tcW w:w="25.000000%" w:type="pct"/>
          </w:tcPr>
          <w:p>
            <w:pPr>
              <w:ind w:leftChars="0" w:left="0" w:right="0"/>
            </w:pPr>
            <w:r>
              <w:t>BNPC</w:t>
            </w:r>
          </w:p>
        </w:tc>
        <w:tc>
          <w:tcPr>
            <w:cnfStyle w:evenVBand="false" w:oddVBand="true" w:firstColumn="false"/>
            <w:tcW w:w="25.000000%" w:type="pct"/>
          </w:tcPr>
          <w:p>
            <w:pPr>
              <w:ind w:leftChars="0" w:left="0" w:right="0"/>
            </w:pPr>
            <w:r>
              <w:t>BNPP CORTEX ATS</w:t>
            </w:r>
          </w:p>
        </w:tc>
        <w:tc>
          <w:tcPr>
            <w:cnfStyle w:evenVBand="true" w:oddVBand="false" w:firstColumn="false"/>
            <w:tcW w:w="25.000000%" w:type="pct"/>
          </w:tcPr>
          <w:p>
            <w:pPr>
              <w:ind w:leftChars="0" w:left="0" w:right="0"/>
            </w:pPr>
            <w:r>
              <w:t>242</w:t>
            </w:r>
          </w:p>
        </w:tc>
      </w:tr>
      <w:tr>
        <w:trPr>
          <w:cnfStyle w:evenHBand="true" w:oddHBand="false" w:firstRow="false"/>
        </w:trPr>
        <w:tc>
          <w:tcPr>
            <w:cnfStyle w:evenVBand="false" w:oddVBand="true" w:firstColumn="false"/>
            <w:tcW w:w="25.000000%" w:type="pct"/>
          </w:tcPr>
          <w:p>
            <w:pPr>
              <w:ind w:leftChars="0" w:left="0" w:right="0"/>
            </w:pPr>
            <w:r>
              <w:t>BNPF</w:t>
            </w:r>
          </w:p>
        </w:tc>
        <w:tc>
          <w:tcPr>
            <w:cnfStyle w:evenVBand="true" w:oddVBand="false" w:firstColumn="false"/>
            <w:tcW w:w="25.000000%" w:type="pct"/>
          </w:tcPr>
          <w:p>
            <w:pPr>
              <w:ind w:leftChars="0" w:left="0" w:right="0"/>
            </w:pPr>
            <w:r>
              <w:t>BNPF</w:t>
            </w:r>
          </w:p>
        </w:tc>
        <w:tc>
          <w:tcPr>
            <w:cnfStyle w:evenVBand="false" w:oddVBand="true" w:firstColumn="false"/>
            <w:tcW w:w="25.000000%" w:type="pct"/>
          </w:tcPr>
          <w:p>
            <w:pPr>
              <w:ind w:leftChars="0" w:left="0" w:right="0"/>
            </w:pPr>
            <w:r>
              <w:t>BNP PARIBAS FORTIS SA/NV- SYSTEMATIC INTERNALISER</w:t>
            </w:r>
          </w:p>
        </w:tc>
        <w:tc>
          <w:tcPr>
            <w:cnfStyle w:evenVBand="true" w:oddVBand="false" w:firstColumn="false"/>
            <w:tcW w:w="25.000000%" w:type="pct"/>
          </w:tcPr>
          <w:p>
            <w:pPr>
              <w:ind w:leftChars="0" w:left="0" w:right="0"/>
            </w:pPr>
            <w:r>
              <w:t>243</w:t>
            </w:r>
          </w:p>
        </w:tc>
      </w:tr>
      <w:tr>
        <w:trPr>
          <w:cnfStyle w:evenHBand="false" w:oddHBand="true" w:firstRow="false"/>
        </w:trPr>
        <w:tc>
          <w:tcPr>
            <w:cnfStyle w:evenVBand="false" w:oddVBand="true" w:firstColumn="false"/>
            <w:tcW w:w="25.000000%" w:type="pct"/>
          </w:tcPr>
          <w:p>
            <w:pPr>
              <w:ind w:leftChars="0" w:left="0" w:right="0"/>
            </w:pPr>
            <w:r>
              <w:t>BNPL</w:t>
            </w:r>
          </w:p>
        </w:tc>
        <w:tc>
          <w:tcPr>
            <w:cnfStyle w:evenVBand="true" w:oddVBand="false" w:firstColumn="false"/>
            <w:tcW w:w="25.000000%" w:type="pct"/>
          </w:tcPr>
          <w:p>
            <w:pPr>
              <w:ind w:leftChars="0" w:left="0" w:right="0"/>
            </w:pPr>
            <w:r>
              <w:t>BNPL</w:t>
            </w:r>
          </w:p>
        </w:tc>
        <w:tc>
          <w:tcPr>
            <w:cnfStyle w:evenVBand="false" w:oddVBand="true" w:firstColumn="false"/>
            <w:tcW w:w="25.000000%" w:type="pct"/>
          </w:tcPr>
          <w:p>
            <w:pPr>
              <w:ind w:leftChars="0" w:left="0" w:right="0"/>
            </w:pPr>
            <w:r>
              <w:t>BNP PARIBAS SA LONDON BRANCH - SYSTEMATIC INTERNALISER</w:t>
            </w:r>
          </w:p>
        </w:tc>
        <w:tc>
          <w:tcPr>
            <w:cnfStyle w:evenVBand="true" w:oddVBand="false" w:firstColumn="false"/>
            <w:tcW w:w="25.000000%" w:type="pct"/>
          </w:tcPr>
          <w:p>
            <w:pPr>
              <w:ind w:leftChars="0" w:left="0" w:right="0"/>
            </w:pPr>
            <w:r>
              <w:t>244</w:t>
            </w:r>
          </w:p>
        </w:tc>
      </w:tr>
      <w:tr>
        <w:trPr>
          <w:cnfStyle w:evenHBand="true" w:oddHBand="false" w:firstRow="false"/>
        </w:trPr>
        <w:tc>
          <w:tcPr>
            <w:cnfStyle w:evenVBand="false" w:oddVBand="true" w:firstColumn="false"/>
            <w:tcW w:w="25.000000%" w:type="pct"/>
          </w:tcPr>
          <w:p>
            <w:pPr>
              <w:ind w:leftChars="0" w:left="0" w:right="0"/>
            </w:pPr>
            <w:r>
              <w:t>BNPP</w:t>
            </w:r>
          </w:p>
        </w:tc>
        <w:tc>
          <w:tcPr>
            <w:cnfStyle w:evenVBand="true" w:oddVBand="false" w:firstColumn="false"/>
            <w:tcW w:w="25.000000%" w:type="pct"/>
          </w:tcPr>
          <w:p>
            <w:pPr>
              <w:ind w:leftChars="0" w:left="0" w:right="0"/>
            </w:pPr>
            <w:r>
              <w:t>BNPP</w:t>
            </w:r>
          </w:p>
        </w:tc>
        <w:tc>
          <w:tcPr>
            <w:cnfStyle w:evenVBand="false" w:oddVBand="true" w:firstColumn="false"/>
            <w:tcW w:w="25.000000%" w:type="pct"/>
          </w:tcPr>
          <w:p>
            <w:pPr>
              <w:ind w:leftChars="0" w:left="0" w:right="0"/>
            </w:pPr>
            <w:r>
              <w:t>BANK BGZ BNP PARIBAS S.A. - SYSTEMATIC INTERNALISER</w:t>
            </w:r>
          </w:p>
        </w:tc>
        <w:tc>
          <w:tcPr>
            <w:cnfStyle w:evenVBand="true" w:oddVBand="false" w:firstColumn="false"/>
            <w:tcW w:w="25.000000%" w:type="pct"/>
          </w:tcPr>
          <w:p>
            <w:pPr>
              <w:ind w:leftChars="0" w:left="0" w:right="0"/>
            </w:pPr>
            <w:r>
              <w:t>245</w:t>
            </w:r>
          </w:p>
        </w:tc>
      </w:tr>
      <w:tr>
        <w:trPr>
          <w:cnfStyle w:evenHBand="false" w:oddHBand="true" w:firstRow="false"/>
        </w:trPr>
        <w:tc>
          <w:tcPr>
            <w:cnfStyle w:evenVBand="false" w:oddVBand="true" w:firstColumn="false"/>
            <w:tcW w:w="25.000000%" w:type="pct"/>
          </w:tcPr>
          <w:p>
            <w:pPr>
              <w:ind w:leftChars="0" w:left="0" w:right="0"/>
            </w:pPr>
            <w:r>
              <w:t>BNPS</w:t>
            </w:r>
          </w:p>
        </w:tc>
        <w:tc>
          <w:tcPr>
            <w:cnfStyle w:evenVBand="true" w:oddVBand="false" w:firstColumn="false"/>
            <w:tcW w:w="25.000000%" w:type="pct"/>
          </w:tcPr>
          <w:p>
            <w:pPr>
              <w:ind w:leftChars="0" w:left="0" w:right="0"/>
            </w:pPr>
            <w:r>
              <w:t>BNPS</w:t>
            </w:r>
          </w:p>
        </w:tc>
        <w:tc>
          <w:tcPr>
            <w:cnfStyle w:evenVBand="false" w:oddVBand="true" w:firstColumn="false"/>
            <w:tcW w:w="25.000000%" w:type="pct"/>
          </w:tcPr>
          <w:p>
            <w:pPr>
              <w:ind w:leftChars="0" w:left="0" w:right="0"/>
            </w:pPr>
            <w:r>
              <w:t>BNP PARIBAS SA - SYSTEMATIC INTERNALISER</w:t>
            </w:r>
          </w:p>
        </w:tc>
        <w:tc>
          <w:tcPr>
            <w:cnfStyle w:evenVBand="true" w:oddVBand="false" w:firstColumn="false"/>
            <w:tcW w:w="25.000000%" w:type="pct"/>
          </w:tcPr>
          <w:p>
            <w:pPr>
              <w:ind w:leftChars="0" w:left="0" w:right="0"/>
            </w:pPr>
            <w:r>
              <w:t>246</w:t>
            </w:r>
          </w:p>
        </w:tc>
      </w:tr>
      <w:tr>
        <w:trPr>
          <w:cnfStyle w:evenHBand="true" w:oddHBand="false" w:firstRow="false"/>
        </w:trPr>
        <w:tc>
          <w:tcPr>
            <w:cnfStyle w:evenVBand="false" w:oddVBand="true" w:firstColumn="false"/>
            <w:tcW w:w="25.000000%" w:type="pct"/>
          </w:tcPr>
          <w:p>
            <w:pPr>
              <w:ind w:leftChars="0" w:left="0" w:right="0"/>
            </w:pPr>
            <w:r>
              <w:t>BNPX</w:t>
            </w:r>
          </w:p>
        </w:tc>
        <w:tc>
          <w:tcPr>
            <w:cnfStyle w:evenVBand="true" w:oddVBand="false" w:firstColumn="false"/>
            <w:tcW w:w="25.000000%" w:type="pct"/>
          </w:tcPr>
          <w:p>
            <w:pPr>
              <w:ind w:leftChars="0" w:left="0" w:right="0"/>
            </w:pPr>
            <w:r>
              <w:t>BNPX</w:t>
            </w:r>
          </w:p>
        </w:tc>
        <w:tc>
          <w:tcPr>
            <w:cnfStyle w:evenVBand="false" w:oddVBand="true" w:firstColumn="false"/>
            <w:tcW w:w="25.000000%" w:type="pct"/>
          </w:tcPr>
          <w:p>
            <w:pPr>
              <w:ind w:leftChars="0" w:left="0" w:right="0"/>
            </w:pPr>
            <w:r>
              <w:t>BNP PARIBAS ALTERNATIVE TRADING SYSTEM</w:t>
            </w:r>
          </w:p>
        </w:tc>
        <w:tc>
          <w:tcPr>
            <w:cnfStyle w:evenVBand="true" w:oddVBand="false" w:firstColumn="false"/>
            <w:tcW w:w="25.000000%" w:type="pct"/>
          </w:tcPr>
          <w:p>
            <w:pPr>
              <w:ind w:leftChars="0" w:left="0" w:right="0"/>
            </w:pPr>
            <w:r>
              <w:t>247</w:t>
            </w:r>
          </w:p>
        </w:tc>
      </w:tr>
      <w:tr>
        <w:trPr>
          <w:cnfStyle w:evenHBand="false" w:oddHBand="true" w:firstRow="false"/>
        </w:trPr>
        <w:tc>
          <w:tcPr>
            <w:cnfStyle w:evenVBand="false" w:oddVBand="true" w:firstColumn="false"/>
            <w:tcW w:w="25.000000%" w:type="pct"/>
          </w:tcPr>
          <w:p>
            <w:pPr>
              <w:ind w:leftChars="0" w:left="0" w:right="0"/>
            </w:pPr>
            <w:r>
              <w:t>BNSX</w:t>
            </w:r>
          </w:p>
        </w:tc>
        <w:tc>
          <w:tcPr>
            <w:cnfStyle w:evenVBand="true" w:oddVBand="false" w:firstColumn="false"/>
            <w:tcW w:w="25.000000%" w:type="pct"/>
          </w:tcPr>
          <w:p>
            <w:pPr>
              <w:ind w:leftChars="0" w:left="0" w:right="0"/>
            </w:pPr>
            <w:r>
              <w:t>BNSX</w:t>
            </w:r>
          </w:p>
        </w:tc>
        <w:tc>
          <w:tcPr>
            <w:cnfStyle w:evenVBand="false" w:oddVBand="true" w:firstColumn="false"/>
            <w:tcW w:w="25.000000%" w:type="pct"/>
          </w:tcPr>
          <w:p>
            <w:pPr>
              <w:ind w:leftChars="0" w:left="0" w:right="0"/>
            </w:pPr>
            <w:r>
              <w:t>THE BANK OF NOVA SCOTIA - SYSTEMATIC INTERNALISER</w:t>
            </w:r>
          </w:p>
        </w:tc>
        <w:tc>
          <w:tcPr>
            <w:cnfStyle w:evenVBand="true" w:oddVBand="false" w:firstColumn="false"/>
            <w:tcW w:w="25.000000%" w:type="pct"/>
          </w:tcPr>
          <w:p>
            <w:pPr>
              <w:ind w:leftChars="0" w:left="0" w:right="0"/>
            </w:pPr>
            <w:r>
              <w:t>248</w:t>
            </w:r>
          </w:p>
        </w:tc>
      </w:tr>
      <w:tr>
        <w:trPr>
          <w:cnfStyle w:evenHBand="true" w:oddHBand="false" w:firstRow="false"/>
        </w:trPr>
        <w:tc>
          <w:tcPr>
            <w:cnfStyle w:evenVBand="false" w:oddVBand="true" w:firstColumn="false"/>
            <w:tcW w:w="25.000000%" w:type="pct"/>
          </w:tcPr>
          <w:p>
            <w:pPr>
              <w:ind w:leftChars="0" w:left="0" w:right="0"/>
            </w:pPr>
            <w:r>
              <w:t>BNTW</w:t>
            </w:r>
          </w:p>
        </w:tc>
        <w:tc>
          <w:tcPr>
            <w:cnfStyle w:evenVBand="true" w:oddVBand="false" w:firstColumn="false"/>
            <w:tcW w:w="25.000000%" w:type="pct"/>
          </w:tcPr>
          <w:p>
            <w:pPr>
              <w:ind w:leftChars="0" w:left="0" w:right="0"/>
            </w:pPr>
            <w:r>
              <w:t>BNTW</w:t>
            </w:r>
          </w:p>
        </w:tc>
        <w:tc>
          <w:tcPr>
            <w:cnfStyle w:evenVBand="false" w:oddVBand="true" w:firstColumn="false"/>
            <w:tcW w:w="25.000000%" w:type="pct"/>
          </w:tcPr>
          <w:p>
            <w:pPr>
              <w:ind w:leftChars="0" w:left="0" w:right="0"/>
            </w:pPr>
            <w:r>
              <w:t>BLOCKMATCH UK NT</w:t>
            </w:r>
          </w:p>
        </w:tc>
        <w:tc>
          <w:tcPr>
            <w:cnfStyle w:evenVBand="true" w:oddVBand="false" w:firstColumn="false"/>
            <w:tcW w:w="25.000000%" w:type="pct"/>
          </w:tcPr>
          <w:p>
            <w:pPr>
              <w:ind w:leftChars="0" w:left="0" w:right="0"/>
            </w:pPr>
            <w:r>
              <w:t>249</w:t>
            </w:r>
          </w:p>
        </w:tc>
      </w:tr>
      <w:tr>
        <w:trPr>
          <w:cnfStyle w:evenHBand="false" w:oddHBand="true" w:firstRow="false"/>
        </w:trPr>
        <w:tc>
          <w:tcPr>
            <w:cnfStyle w:evenVBand="false" w:oddVBand="true" w:firstColumn="false"/>
            <w:tcW w:w="25.000000%" w:type="pct"/>
          </w:tcPr>
          <w:p>
            <w:pPr>
              <w:ind w:leftChars="0" w:left="0" w:right="0"/>
            </w:pPr>
            <w:r>
              <w:t>BNYC</w:t>
            </w:r>
          </w:p>
        </w:tc>
        <w:tc>
          <w:tcPr>
            <w:cnfStyle w:evenVBand="true" w:oddVBand="false" w:firstColumn="false"/>
            <w:tcW w:w="25.000000%" w:type="pct"/>
          </w:tcPr>
          <w:p>
            <w:pPr>
              <w:ind w:leftChars="0" w:left="0" w:right="0"/>
            </w:pPr>
            <w:r>
              <w:t>BNYC</w:t>
            </w:r>
          </w:p>
        </w:tc>
        <w:tc>
          <w:tcPr>
            <w:cnfStyle w:evenVBand="false" w:oddVBand="true" w:firstColumn="false"/>
            <w:tcW w:w="25.000000%" w:type="pct"/>
          </w:tcPr>
          <w:p>
            <w:pPr>
              <w:ind w:leftChars="0" w:left="0" w:right="0"/>
            </w:pPr>
            <w:r>
              <w:t>CONVERGEX</w:t>
            </w:r>
          </w:p>
        </w:tc>
        <w:tc>
          <w:tcPr>
            <w:cnfStyle w:evenVBand="true" w:oddVBand="false" w:firstColumn="false"/>
            <w:tcW w:w="25.000000%" w:type="pct"/>
          </w:tcPr>
          <w:p>
            <w:pPr>
              <w:ind w:leftChars="0" w:left="0" w:right="0"/>
            </w:pPr>
            <w:r>
              <w:t>250</w:t>
            </w:r>
          </w:p>
        </w:tc>
      </w:tr>
      <w:tr>
        <w:trPr>
          <w:cnfStyle w:evenHBand="true" w:oddHBand="false" w:firstRow="false"/>
        </w:trPr>
        <w:tc>
          <w:tcPr>
            <w:cnfStyle w:evenVBand="false" w:oddVBand="true" w:firstColumn="false"/>
            <w:tcW w:w="25.000000%" w:type="pct"/>
          </w:tcPr>
          <w:p>
            <w:pPr>
              <w:ind w:leftChars="0" w:left="0" w:right="0"/>
            </w:pPr>
            <w:r>
              <w:t>BOAL</w:t>
            </w:r>
          </w:p>
        </w:tc>
        <w:tc>
          <w:tcPr>
            <w:cnfStyle w:evenVBand="true" w:oddVBand="false" w:firstColumn="false"/>
            <w:tcW w:w="25.000000%" w:type="pct"/>
          </w:tcPr>
          <w:p>
            <w:pPr>
              <w:ind w:leftChars="0" w:left="0" w:right="0"/>
            </w:pPr>
            <w:r>
              <w:t>BOAL</w:t>
            </w:r>
          </w:p>
        </w:tc>
        <w:tc>
          <w:tcPr>
            <w:cnfStyle w:evenVBand="false" w:oddVBand="true" w:firstColumn="false"/>
            <w:tcW w:w="25.000000%" w:type="pct"/>
          </w:tcPr>
          <w:p>
            <w:pPr>
              <w:ind w:leftChars="0" w:left="0" w:right="0"/>
            </w:pPr>
            <w:r>
              <w:t>BANK OF AMERICA, NATIONAL ASSOCIATION - LONDON BRANCH OFFICE</w:t>
            </w:r>
          </w:p>
        </w:tc>
        <w:tc>
          <w:tcPr>
            <w:cnfStyle w:evenVBand="true" w:oddVBand="false" w:firstColumn="false"/>
            <w:tcW w:w="25.000000%" w:type="pct"/>
          </w:tcPr>
          <w:p>
            <w:pPr>
              <w:ind w:leftChars="0" w:left="0" w:right="0"/>
            </w:pPr>
            <w:r>
              <w:t>251</w:t>
            </w:r>
          </w:p>
        </w:tc>
      </w:tr>
      <w:tr>
        <w:trPr>
          <w:cnfStyle w:evenHBand="false" w:oddHBand="true" w:firstRow="false"/>
        </w:trPr>
        <w:tc>
          <w:tcPr>
            <w:cnfStyle w:evenVBand="false" w:oddVBand="true" w:firstColumn="false"/>
            <w:tcW w:w="25.000000%" w:type="pct"/>
          </w:tcPr>
          <w:p>
            <w:pPr>
              <w:ind w:leftChars="0" w:left="0" w:right="0"/>
            </w:pPr>
            <w:r>
              <w:t>BOAT</w:t>
            </w:r>
          </w:p>
        </w:tc>
        <w:tc>
          <w:tcPr>
            <w:cnfStyle w:evenVBand="true" w:oddVBand="false" w:firstColumn="false"/>
            <w:tcW w:w="25.000000%" w:type="pct"/>
          </w:tcPr>
          <w:p>
            <w:pPr>
              <w:ind w:leftChars="0" w:left="0" w:right="0"/>
            </w:pPr>
            <w:r>
              <w:t>BOAT</w:t>
            </w:r>
          </w:p>
        </w:tc>
        <w:tc>
          <w:tcPr>
            <w:cnfStyle w:evenVBand="false" w:oddVBand="true" w:firstColumn="false"/>
            <w:tcW w:w="25.000000%" w:type="pct"/>
          </w:tcPr>
          <w:p>
            <w:pPr>
              <w:ind w:leftChars="0" w:left="0" w:right="0"/>
            </w:pPr>
            <w:r>
              <w:t>CINNOBER BOAT</w:t>
            </w:r>
          </w:p>
        </w:tc>
        <w:tc>
          <w:tcPr>
            <w:cnfStyle w:evenVBand="true" w:oddVBand="false" w:firstColumn="false"/>
            <w:tcW w:w="25.000000%" w:type="pct"/>
          </w:tcPr>
          <w:p>
            <w:pPr>
              <w:ind w:leftChars="0" w:left="0" w:right="0"/>
            </w:pPr>
            <w:r>
              <w:t>252</w:t>
            </w:r>
          </w:p>
        </w:tc>
      </w:tr>
      <w:tr>
        <w:trPr>
          <w:cnfStyle w:evenHBand="true" w:oddHBand="false" w:firstRow="false"/>
        </w:trPr>
        <w:tc>
          <w:tcPr>
            <w:cnfStyle w:evenVBand="false" w:oddVBand="true" w:firstColumn="false"/>
            <w:tcW w:w="25.000000%" w:type="pct"/>
          </w:tcPr>
          <w:p>
            <w:pPr>
              <w:ind w:leftChars="0" w:left="0" w:right="0"/>
            </w:pPr>
            <w:r>
              <w:t>BOCF</w:t>
            </w:r>
          </w:p>
        </w:tc>
        <w:tc>
          <w:tcPr>
            <w:cnfStyle w:evenVBand="true" w:oddVBand="false" w:firstColumn="false"/>
            <w:tcW w:w="25.000000%" w:type="pct"/>
          </w:tcPr>
          <w:p>
            <w:pPr>
              <w:ind w:leftChars="0" w:left="0" w:right="0"/>
            </w:pPr>
            <w:r>
              <w:t>BOCF</w:t>
            </w:r>
          </w:p>
        </w:tc>
        <w:tc>
          <w:tcPr>
            <w:cnfStyle w:evenVBand="false" w:oddVBand="true" w:firstColumn="false"/>
            <w:tcW w:w="25.000000%" w:type="pct"/>
          </w:tcPr>
          <w:p>
            <w:pPr>
              <w:ind w:leftChars="0" w:left="0" w:right="0"/>
            </w:pPr>
            <w:r>
              <w:t>BANK OF CHINA LIMITED - FRANKFURT BRANCH - SYSTEMATIC INTERNALISER</w:t>
            </w:r>
          </w:p>
        </w:tc>
        <w:tc>
          <w:tcPr>
            <w:cnfStyle w:evenVBand="true" w:oddVBand="false" w:firstColumn="false"/>
            <w:tcW w:w="25.000000%" w:type="pct"/>
          </w:tcPr>
          <w:p>
            <w:pPr>
              <w:ind w:leftChars="0" w:left="0" w:right="0"/>
            </w:pPr>
            <w:r>
              <w:t>253</w:t>
            </w:r>
          </w:p>
        </w:tc>
      </w:tr>
      <w:tr>
        <w:trPr>
          <w:cnfStyle w:evenHBand="false" w:oddHBand="true" w:firstRow="false"/>
        </w:trPr>
        <w:tc>
          <w:tcPr>
            <w:cnfStyle w:evenVBand="false" w:oddVBand="true" w:firstColumn="false"/>
            <w:tcW w:w="25.000000%" w:type="pct"/>
          </w:tcPr>
          <w:p>
            <w:pPr>
              <w:ind w:leftChars="0" w:left="0" w:right="0"/>
            </w:pPr>
            <w:r>
              <w:t>BOFS</w:t>
            </w:r>
          </w:p>
        </w:tc>
        <w:tc>
          <w:tcPr>
            <w:cnfStyle w:evenVBand="true" w:oddVBand="false" w:firstColumn="false"/>
            <w:tcW w:w="25.000000%" w:type="pct"/>
          </w:tcPr>
          <w:p>
            <w:pPr>
              <w:ind w:leftChars="0" w:left="0" w:right="0"/>
            </w:pPr>
            <w:r>
              <w:t>BOFS</w:t>
            </w:r>
          </w:p>
        </w:tc>
        <w:tc>
          <w:tcPr>
            <w:cnfStyle w:evenVBand="false" w:oddVBand="true" w:firstColumn="false"/>
            <w:tcW w:w="25.000000%" w:type="pct"/>
          </w:tcPr>
          <w:p>
            <w:pPr>
              <w:ind w:leftChars="0" w:left="0" w:right="0"/>
            </w:pPr>
            <w:r>
              <w:t>BANK OF SCOTLAND PLC - SYSTEMATIC INTERNALISER</w:t>
            </w:r>
          </w:p>
        </w:tc>
        <w:tc>
          <w:tcPr>
            <w:cnfStyle w:evenVBand="true" w:oddVBand="false" w:firstColumn="false"/>
            <w:tcW w:w="25.000000%" w:type="pct"/>
          </w:tcPr>
          <w:p>
            <w:pPr>
              <w:ind w:leftChars="0" w:left="0" w:right="0"/>
            </w:pPr>
            <w:r>
              <w:t>254</w:t>
            </w:r>
          </w:p>
        </w:tc>
      </w:tr>
      <w:tr>
        <w:trPr>
          <w:cnfStyle w:evenHBand="true" w:oddHBand="false" w:firstRow="false"/>
        </w:trPr>
        <w:tc>
          <w:tcPr>
            <w:cnfStyle w:evenVBand="false" w:oddVBand="true" w:firstColumn="false"/>
            <w:tcW w:w="25.000000%" w:type="pct"/>
          </w:tcPr>
          <w:p>
            <w:pPr>
              <w:ind w:leftChars="0" w:left="0" w:right="0"/>
            </w:pPr>
            <w:r>
              <w:t>BOND</w:t>
            </w:r>
          </w:p>
        </w:tc>
        <w:tc>
          <w:tcPr>
            <w:cnfStyle w:evenVBand="true" w:oddVBand="false" w:firstColumn="false"/>
            <w:tcW w:w="25.000000%" w:type="pct"/>
          </w:tcPr>
          <w:p>
            <w:pPr>
              <w:ind w:leftChars="0" w:left="0" w:right="0"/>
            </w:pPr>
            <w:r>
              <w:t>BOND</w:t>
            </w:r>
          </w:p>
        </w:tc>
        <w:tc>
          <w:tcPr>
            <w:cnfStyle w:evenVBand="false" w:oddVBand="true" w:firstColumn="false"/>
            <w:tcW w:w="25.000000%" w:type="pct"/>
          </w:tcPr>
          <w:p>
            <w:pPr>
              <w:ind w:leftChars="0" w:left="0" w:right="0"/>
            </w:pPr>
            <w:r>
              <w:t>BONDVISION ITALIA</w:t>
            </w:r>
          </w:p>
        </w:tc>
        <w:tc>
          <w:tcPr>
            <w:cnfStyle w:evenVBand="true" w:oddVBand="false" w:firstColumn="false"/>
            <w:tcW w:w="25.000000%" w:type="pct"/>
          </w:tcPr>
          <w:p>
            <w:pPr>
              <w:ind w:leftChars="0" w:left="0" w:right="0"/>
            </w:pPr>
            <w:r>
              <w:t>255</w:t>
            </w:r>
          </w:p>
        </w:tc>
      </w:tr>
      <w:tr>
        <w:trPr>
          <w:cnfStyle w:evenHBand="false" w:oddHBand="true" w:firstRow="false"/>
        </w:trPr>
        <w:tc>
          <w:tcPr>
            <w:cnfStyle w:evenVBand="false" w:oddVBand="true" w:firstColumn="false"/>
            <w:tcW w:w="25.000000%" w:type="pct"/>
          </w:tcPr>
          <w:p>
            <w:pPr>
              <w:ind w:leftChars="0" w:left="0" w:right="0"/>
            </w:pPr>
            <w:r>
              <w:t>BOSC</w:t>
            </w:r>
          </w:p>
        </w:tc>
        <w:tc>
          <w:tcPr>
            <w:cnfStyle w:evenVBand="true" w:oddVBand="false" w:firstColumn="false"/>
            <w:tcW w:w="25.000000%" w:type="pct"/>
          </w:tcPr>
          <w:p>
            <w:pPr>
              <w:ind w:leftChars="0" w:left="0" w:right="0"/>
            </w:pPr>
            <w:r>
              <w:t>BOSC</w:t>
            </w:r>
          </w:p>
        </w:tc>
        <w:tc>
          <w:tcPr>
            <w:cnfStyle w:evenVBand="false" w:oddVBand="true" w:firstColumn="false"/>
            <w:tcW w:w="25.000000%" w:type="pct"/>
          </w:tcPr>
          <w:p>
            <w:pPr>
              <w:ind w:leftChars="0" w:left="0" w:right="0"/>
            </w:pPr>
            <w:r>
              <w:t>BONDSCAPE</w:t>
            </w:r>
          </w:p>
        </w:tc>
        <w:tc>
          <w:tcPr>
            <w:cnfStyle w:evenVBand="true" w:oddVBand="false" w:firstColumn="false"/>
            <w:tcW w:w="25.000000%" w:type="pct"/>
          </w:tcPr>
          <w:p>
            <w:pPr>
              <w:ind w:leftChars="0" w:left="0" w:right="0"/>
            </w:pPr>
            <w:r>
              <w:t>256</w:t>
            </w:r>
          </w:p>
        </w:tc>
      </w:tr>
      <w:tr>
        <w:trPr>
          <w:cnfStyle w:evenHBand="true" w:oddHBand="false" w:firstRow="false"/>
        </w:trPr>
        <w:tc>
          <w:tcPr>
            <w:cnfStyle w:evenVBand="false" w:oddVBand="true" w:firstColumn="false"/>
            <w:tcW w:w="25.000000%" w:type="pct"/>
          </w:tcPr>
          <w:p>
            <w:pPr>
              <w:ind w:leftChars="0" w:left="0" w:right="0"/>
            </w:pPr>
            <w:r>
              <w:t>BOSD</w:t>
            </w:r>
          </w:p>
        </w:tc>
        <w:tc>
          <w:tcPr>
            <w:cnfStyle w:evenVBand="true" w:oddVBand="false" w:firstColumn="false"/>
            <w:tcW w:w="25.000000%" w:type="pct"/>
          </w:tcPr>
          <w:p>
            <w:pPr>
              <w:ind w:leftChars="0" w:left="0" w:right="0"/>
            </w:pPr>
            <w:r>
              <w:t>BOSD</w:t>
            </w:r>
          </w:p>
        </w:tc>
        <w:tc>
          <w:tcPr>
            <w:cnfStyle w:evenVBand="false" w:oddVBand="true" w:firstColumn="false"/>
            <w:tcW w:w="25.000000%" w:type="pct"/>
          </w:tcPr>
          <w:p>
            <w:pPr>
              <w:ind w:leftChars="0" w:left="0" w:right="0"/>
            </w:pPr>
            <w:r>
              <w:t>NASDAQ OMX BX DARK</w:t>
            </w:r>
          </w:p>
        </w:tc>
        <w:tc>
          <w:tcPr>
            <w:cnfStyle w:evenVBand="true" w:oddVBand="false" w:firstColumn="false"/>
            <w:tcW w:w="25.000000%" w:type="pct"/>
          </w:tcPr>
          <w:p>
            <w:pPr>
              <w:ind w:leftChars="0" w:left="0" w:right="0"/>
            </w:pPr>
            <w:r>
              <w:t>257</w:t>
            </w:r>
          </w:p>
        </w:tc>
      </w:tr>
      <w:tr>
        <w:trPr>
          <w:cnfStyle w:evenHBand="false" w:oddHBand="true" w:firstRow="false"/>
        </w:trPr>
        <w:tc>
          <w:tcPr>
            <w:cnfStyle w:evenVBand="false" w:oddVBand="true" w:firstColumn="false"/>
            <w:tcW w:w="25.000000%" w:type="pct"/>
          </w:tcPr>
          <w:p>
            <w:pPr>
              <w:ind w:leftChars="0" w:left="0" w:right="0"/>
            </w:pPr>
            <w:r>
              <w:t>BOSP</w:t>
            </w:r>
          </w:p>
        </w:tc>
        <w:tc>
          <w:tcPr>
            <w:cnfStyle w:evenVBand="true" w:oddVBand="false" w:firstColumn="false"/>
            <w:tcW w:w="25.000000%" w:type="pct"/>
          </w:tcPr>
          <w:p>
            <w:pPr>
              <w:ind w:leftChars="0" w:left="0" w:right="0"/>
            </w:pPr>
            <w:r>
              <w:t>BOSP</w:t>
            </w:r>
          </w:p>
        </w:tc>
        <w:tc>
          <w:tcPr>
            <w:cnfStyle w:evenVBand="false" w:oddVBand="true" w:firstColumn="false"/>
            <w:tcW w:w="25.000000%" w:type="pct"/>
          </w:tcPr>
          <w:p>
            <w:pPr>
              <w:ind w:leftChars="0" w:left="0" w:right="0"/>
            </w:pPr>
            <w:r>
              <w:t>WARSAW STOCK EXCHANGE/BONDS/CATALYST/BONDSPOT/MTF</w:t>
            </w:r>
          </w:p>
        </w:tc>
        <w:tc>
          <w:tcPr>
            <w:cnfStyle w:evenVBand="true" w:oddVBand="false" w:firstColumn="false"/>
            <w:tcW w:w="25.000000%" w:type="pct"/>
          </w:tcPr>
          <w:p>
            <w:pPr>
              <w:ind w:leftChars="0" w:left="0" w:right="0"/>
            </w:pPr>
            <w:r>
              <w:t>258</w:t>
            </w:r>
          </w:p>
        </w:tc>
      </w:tr>
      <w:tr>
        <w:trPr>
          <w:cnfStyle w:evenHBand="true" w:oddHBand="false" w:firstRow="false"/>
        </w:trPr>
        <w:tc>
          <w:tcPr>
            <w:cnfStyle w:evenVBand="false" w:oddVBand="true" w:firstColumn="false"/>
            <w:tcW w:w="25.000000%" w:type="pct"/>
          </w:tcPr>
          <w:p>
            <w:pPr>
              <w:ind w:leftChars="0" w:left="0" w:right="0"/>
            </w:pPr>
            <w:r>
              <w:t>BOTC</w:t>
            </w:r>
          </w:p>
        </w:tc>
        <w:tc>
          <w:tcPr>
            <w:cnfStyle w:evenVBand="true" w:oddVBand="false" w:firstColumn="false"/>
            <w:tcW w:w="25.000000%" w:type="pct"/>
          </w:tcPr>
          <w:p>
            <w:pPr>
              <w:ind w:leftChars="0" w:left="0" w:right="0"/>
            </w:pPr>
            <w:r>
              <w:t>BOTC</w:t>
            </w:r>
          </w:p>
        </w:tc>
        <w:tc>
          <w:tcPr>
            <w:cnfStyle w:evenVBand="false" w:oddVBand="true" w:firstColumn="false"/>
            <w:tcW w:w="25.000000%" w:type="pct"/>
          </w:tcPr>
          <w:p>
            <w:pPr>
              <w:ind w:leftChars="0" w:left="0" w:right="0"/>
            </w:pPr>
            <w:r>
              <w:t>OFF EXCHANGE IDENTIFIER FOR OTC TRADES REPORTED TO CBOE EUROPE</w:t>
            </w:r>
          </w:p>
        </w:tc>
        <w:tc>
          <w:tcPr>
            <w:cnfStyle w:evenVBand="true" w:oddVBand="false" w:firstColumn="false"/>
            <w:tcW w:w="25.000000%" w:type="pct"/>
          </w:tcPr>
          <w:p>
            <w:pPr>
              <w:ind w:leftChars="0" w:left="0" w:right="0"/>
            </w:pPr>
            <w:r>
              <w:t>259</w:t>
            </w:r>
          </w:p>
        </w:tc>
      </w:tr>
      <w:tr>
        <w:trPr>
          <w:cnfStyle w:evenHBand="false" w:oddHBand="true" w:firstRow="false"/>
        </w:trPr>
        <w:tc>
          <w:tcPr>
            <w:cnfStyle w:evenVBand="false" w:oddVBand="true" w:firstColumn="false"/>
            <w:tcW w:w="25.000000%" w:type="pct"/>
          </w:tcPr>
          <w:p>
            <w:pPr>
              <w:ind w:leftChars="0" w:left="0" w:right="0"/>
            </w:pPr>
            <w:r>
              <w:t>BOTE</w:t>
            </w:r>
          </w:p>
        </w:tc>
        <w:tc>
          <w:tcPr>
            <w:cnfStyle w:evenVBand="true" w:oddVBand="false" w:firstColumn="false"/>
            <w:tcW w:w="25.000000%" w:type="pct"/>
          </w:tcPr>
          <w:p>
            <w:pPr>
              <w:ind w:leftChars="0" w:left="0" w:right="0"/>
            </w:pPr>
            <w:r>
              <w:t>BOTE</w:t>
            </w:r>
          </w:p>
        </w:tc>
        <w:tc>
          <w:tcPr>
            <w:cnfStyle w:evenVBand="false" w:oddVBand="true" w:firstColumn="false"/>
            <w:tcW w:w="25.000000%" w:type="pct"/>
          </w:tcPr>
          <w:p>
            <w:pPr>
              <w:ind w:leftChars="0" w:left="0" w:right="0"/>
            </w:pPr>
            <w:r>
              <w:t>BOTSWANA STOCK EXCHANGE - EXCHANGE TRADED FUNDS (ETF)</w:t>
            </w:r>
          </w:p>
        </w:tc>
        <w:tc>
          <w:tcPr>
            <w:cnfStyle w:evenVBand="true" w:oddVBand="false" w:firstColumn="false"/>
            <w:tcW w:w="25.000000%" w:type="pct"/>
          </w:tcPr>
          <w:p>
            <w:pPr>
              <w:ind w:leftChars="0" w:left="0" w:right="0"/>
            </w:pPr>
            <w:r>
              <w:t>260</w:t>
            </w:r>
          </w:p>
        </w:tc>
      </w:tr>
      <w:tr>
        <w:trPr>
          <w:cnfStyle w:evenHBand="true" w:oddHBand="false" w:firstRow="false"/>
        </w:trPr>
        <w:tc>
          <w:tcPr>
            <w:cnfStyle w:evenVBand="false" w:oddVBand="true" w:firstColumn="false"/>
            <w:tcW w:w="25.000000%" w:type="pct"/>
          </w:tcPr>
          <w:p>
            <w:pPr>
              <w:ind w:leftChars="0" w:left="0" w:right="0"/>
            </w:pPr>
            <w:r>
              <w:t>BOTV</w:t>
            </w:r>
          </w:p>
        </w:tc>
        <w:tc>
          <w:tcPr>
            <w:cnfStyle w:evenVBand="true" w:oddVBand="false" w:firstColumn="false"/>
            <w:tcW w:w="25.000000%" w:type="pct"/>
          </w:tcPr>
          <w:p>
            <w:pPr>
              <w:ind w:leftChars="0" w:left="0" w:right="0"/>
            </w:pPr>
            <w:r>
              <w:t>BOTV</w:t>
            </w:r>
          </w:p>
        </w:tc>
        <w:tc>
          <w:tcPr>
            <w:cnfStyle w:evenVBand="false" w:oddVBand="true" w:firstColumn="false"/>
            <w:tcW w:w="25.000000%" w:type="pct"/>
          </w:tcPr>
          <w:p>
            <w:pPr>
              <w:ind w:leftChars="0" w:left="0" w:right="0"/>
            </w:pPr>
            <w:r>
              <w:t>BOTSWANA STOCK EXCHANGE - VENTURE CAPITAL</w:t>
            </w:r>
          </w:p>
        </w:tc>
        <w:tc>
          <w:tcPr>
            <w:cnfStyle w:evenVBand="true" w:oddVBand="false" w:firstColumn="false"/>
            <w:tcW w:w="25.000000%" w:type="pct"/>
          </w:tcPr>
          <w:p>
            <w:pPr>
              <w:ind w:leftChars="0" w:left="0" w:right="0"/>
            </w:pPr>
            <w:r>
              <w:t>261</w:t>
            </w:r>
          </w:p>
        </w:tc>
      </w:tr>
      <w:tr>
        <w:trPr>
          <w:cnfStyle w:evenHBand="false" w:oddHBand="true" w:firstRow="false"/>
        </w:trPr>
        <w:tc>
          <w:tcPr>
            <w:cnfStyle w:evenVBand="false" w:oddVBand="true" w:firstColumn="false"/>
            <w:tcW w:w="25.000000%" w:type="pct"/>
          </w:tcPr>
          <w:p>
            <w:pPr>
              <w:ind w:leftChars="0" w:left="0" w:right="0"/>
            </w:pPr>
            <w:r>
              <w:t>BOVA</w:t>
            </w:r>
          </w:p>
        </w:tc>
        <w:tc>
          <w:tcPr>
            <w:cnfStyle w:evenVBand="true" w:oddVBand="false" w:firstColumn="false"/>
            <w:tcW w:w="25.000000%" w:type="pct"/>
          </w:tcPr>
          <w:p>
            <w:pPr>
              <w:ind w:leftChars="0" w:left="0" w:right="0"/>
            </w:pPr>
            <w:r>
              <w:t>BOVA</w:t>
            </w:r>
          </w:p>
        </w:tc>
        <w:tc>
          <w:tcPr>
            <w:cnfStyle w:evenVBand="false" w:oddVBand="true" w:firstColumn="false"/>
            <w:tcW w:w="25.000000%" w:type="pct"/>
          </w:tcPr>
          <w:p>
            <w:pPr>
              <w:ind w:leftChars="0" w:left="0" w:right="0"/>
            </w:pPr>
            <w:r>
              <w:t>BOLSA DE CORREDORES - BOLSA DE VALORES</w:t>
            </w:r>
          </w:p>
        </w:tc>
        <w:tc>
          <w:tcPr>
            <w:cnfStyle w:evenVBand="true" w:oddVBand="false" w:firstColumn="false"/>
            <w:tcW w:w="25.000000%" w:type="pct"/>
          </w:tcPr>
          <w:p>
            <w:pPr>
              <w:ind w:leftChars="0" w:left="0" w:right="0"/>
            </w:pPr>
            <w:r>
              <w:t>262</w:t>
            </w:r>
          </w:p>
        </w:tc>
      </w:tr>
      <w:tr>
        <w:trPr>
          <w:cnfStyle w:evenHBand="true" w:oddHBand="false" w:firstRow="false"/>
        </w:trPr>
        <w:tc>
          <w:tcPr>
            <w:cnfStyle w:evenVBand="false" w:oddVBand="true" w:firstColumn="false"/>
            <w:tcW w:w="25.000000%" w:type="pct"/>
          </w:tcPr>
          <w:p>
            <w:pPr>
              <w:ind w:leftChars="0" w:left="0" w:right="0"/>
            </w:pPr>
            <w:r>
              <w:t>BOVM</w:t>
            </w:r>
          </w:p>
        </w:tc>
        <w:tc>
          <w:tcPr>
            <w:cnfStyle w:evenVBand="true" w:oddVBand="false" w:firstColumn="false"/>
            <w:tcW w:w="25.000000%" w:type="pct"/>
          </w:tcPr>
          <w:p>
            <w:pPr>
              <w:ind w:leftChars="0" w:left="0" w:right="0"/>
            </w:pPr>
            <w:r>
              <w:t>BOVM</w:t>
            </w:r>
          </w:p>
        </w:tc>
        <w:tc>
          <w:tcPr>
            <w:cnfStyle w:evenVBand="false" w:oddVBand="true" w:firstColumn="false"/>
            <w:tcW w:w="25.000000%" w:type="pct"/>
          </w:tcPr>
          <w:p>
            <w:pPr>
              <w:ind w:leftChars="0" w:left="0" w:right="0"/>
            </w:pPr>
            <w:r>
              <w:t>BOLSA DE VALORES MINAS-ESPÍRITO SANTO-BRASÍLIA</w:t>
            </w:r>
          </w:p>
        </w:tc>
        <w:tc>
          <w:tcPr>
            <w:cnfStyle w:evenVBand="true" w:oddVBand="false" w:firstColumn="false"/>
            <w:tcW w:w="25.000000%" w:type="pct"/>
          </w:tcPr>
          <w:p>
            <w:pPr>
              <w:ind w:leftChars="0" w:left="0" w:right="0"/>
            </w:pPr>
            <w:r>
              <w:t>263</w:t>
            </w:r>
          </w:p>
        </w:tc>
      </w:tr>
      <w:tr>
        <w:trPr>
          <w:cnfStyle w:evenHBand="false" w:oddHBand="true" w:firstRow="false"/>
        </w:trPr>
        <w:tc>
          <w:tcPr>
            <w:cnfStyle w:evenVBand="false" w:oddVBand="true" w:firstColumn="false"/>
            <w:tcW w:w="25.000000%" w:type="pct"/>
          </w:tcPr>
          <w:p>
            <w:pPr>
              <w:ind w:leftChars="0" w:left="0" w:right="0"/>
            </w:pPr>
            <w:r>
              <w:t>BPAS</w:t>
            </w:r>
          </w:p>
        </w:tc>
        <w:tc>
          <w:tcPr>
            <w:cnfStyle w:evenVBand="true" w:oddVBand="false" w:firstColumn="false"/>
            <w:tcW w:w="25.000000%" w:type="pct"/>
          </w:tcPr>
          <w:p>
            <w:pPr>
              <w:ind w:leftChars="0" w:left="0" w:right="0"/>
            </w:pPr>
            <w:r>
              <w:t>BPAS</w:t>
            </w:r>
          </w:p>
        </w:tc>
        <w:tc>
          <w:tcPr>
            <w:cnfStyle w:evenVBand="false" w:oddVBand="true" w:firstColumn="false"/>
            <w:tcW w:w="25.000000%" w:type="pct"/>
          </w:tcPr>
          <w:p>
            <w:pPr>
              <w:ind w:leftChars="0" w:left="0" w:right="0"/>
            </w:pPr>
            <w:r>
              <w:t>BANCA PASSADORE - SYSTEMATIC INTERNALISER</w:t>
            </w:r>
          </w:p>
        </w:tc>
        <w:tc>
          <w:tcPr>
            <w:cnfStyle w:evenVBand="true" w:oddVBand="false" w:firstColumn="false"/>
            <w:tcW w:w="25.000000%" w:type="pct"/>
          </w:tcPr>
          <w:p>
            <w:pPr>
              <w:ind w:leftChars="0" w:left="0" w:right="0"/>
            </w:pPr>
            <w:r>
              <w:t>264</w:t>
            </w:r>
          </w:p>
        </w:tc>
      </w:tr>
      <w:tr>
        <w:trPr>
          <w:cnfStyle w:evenHBand="true" w:oddHBand="false" w:firstRow="false"/>
        </w:trPr>
        <w:tc>
          <w:tcPr>
            <w:cnfStyle w:evenVBand="false" w:oddVBand="true" w:firstColumn="false"/>
            <w:tcW w:w="25.000000%" w:type="pct"/>
          </w:tcPr>
          <w:p>
            <w:pPr>
              <w:ind w:leftChars="0" w:left="0" w:right="0"/>
            </w:pPr>
            <w:r>
              <w:t>BPKO</w:t>
            </w:r>
          </w:p>
        </w:tc>
        <w:tc>
          <w:tcPr>
            <w:cnfStyle w:evenVBand="true" w:oddVBand="false" w:firstColumn="false"/>
            <w:tcW w:w="25.000000%" w:type="pct"/>
          </w:tcPr>
          <w:p>
            <w:pPr>
              <w:ind w:leftChars="0" w:left="0" w:right="0"/>
            </w:pPr>
            <w:r>
              <w:t>BPKO</w:t>
            </w:r>
          </w:p>
        </w:tc>
        <w:tc>
          <w:tcPr>
            <w:cnfStyle w:evenVBand="false" w:oddVBand="true" w:firstColumn="false"/>
            <w:tcW w:w="25.000000%" w:type="pct"/>
          </w:tcPr>
          <w:p>
            <w:pPr>
              <w:ind w:leftChars="0" w:left="0" w:right="0"/>
            </w:pPr>
            <w:r>
              <w:t>PKO BANK POLSKI S.A. - SYSTEMATIC INTERNALISER</w:t>
            </w:r>
          </w:p>
        </w:tc>
        <w:tc>
          <w:tcPr>
            <w:cnfStyle w:evenVBand="true" w:oddVBand="false" w:firstColumn="false"/>
            <w:tcW w:w="25.000000%" w:type="pct"/>
          </w:tcPr>
          <w:p>
            <w:pPr>
              <w:ind w:leftChars="0" w:left="0" w:right="0"/>
            </w:pPr>
            <w:r>
              <w:t>265</w:t>
            </w:r>
          </w:p>
        </w:tc>
      </w:tr>
      <w:tr>
        <w:trPr>
          <w:cnfStyle w:evenHBand="false" w:oddHBand="true" w:firstRow="false"/>
        </w:trPr>
        <w:tc>
          <w:tcPr>
            <w:cnfStyle w:evenVBand="false" w:oddVBand="true" w:firstColumn="false"/>
            <w:tcW w:w="25.000000%" w:type="pct"/>
          </w:tcPr>
          <w:p>
            <w:pPr>
              <w:ind w:leftChars="0" w:left="0" w:right="0"/>
            </w:pPr>
            <w:r>
              <w:t>BPLC</w:t>
            </w:r>
          </w:p>
        </w:tc>
        <w:tc>
          <w:tcPr>
            <w:cnfStyle w:evenVBand="true" w:oddVBand="false" w:firstColumn="false"/>
            <w:tcW w:w="25.000000%" w:type="pct"/>
          </w:tcPr>
          <w:p>
            <w:pPr>
              <w:ind w:leftChars="0" w:left="0" w:right="0"/>
            </w:pPr>
            <w:r>
              <w:t>BPLC</w:t>
            </w:r>
          </w:p>
        </w:tc>
        <w:tc>
          <w:tcPr>
            <w:cnfStyle w:evenVBand="false" w:oddVBand="true" w:firstColumn="false"/>
            <w:tcW w:w="25.000000%" w:type="pct"/>
          </w:tcPr>
          <w:p>
            <w:pPr>
              <w:ind w:leftChars="0" w:left="0" w:right="0"/>
            </w:pPr>
            <w:r>
              <w:t>BARCLAYS BANK PLC</w:t>
            </w:r>
          </w:p>
        </w:tc>
        <w:tc>
          <w:tcPr>
            <w:cnfStyle w:evenVBand="true" w:oddVBand="false" w:firstColumn="false"/>
            <w:tcW w:w="25.000000%" w:type="pct"/>
          </w:tcPr>
          <w:p>
            <w:pPr>
              <w:ind w:leftChars="0" w:left="0" w:right="0"/>
            </w:pPr>
            <w:r>
              <w:t>266</w:t>
            </w:r>
          </w:p>
        </w:tc>
      </w:tr>
      <w:tr>
        <w:trPr>
          <w:cnfStyle w:evenHBand="true" w:oddHBand="false" w:firstRow="false"/>
        </w:trPr>
        <w:tc>
          <w:tcPr>
            <w:cnfStyle w:evenVBand="false" w:oddVBand="true" w:firstColumn="false"/>
            <w:tcW w:w="25.000000%" w:type="pct"/>
          </w:tcPr>
          <w:p>
            <w:pPr>
              <w:ind w:leftChars="0" w:left="0" w:right="0"/>
            </w:pPr>
            <w:r>
              <w:t>BPOL</w:t>
            </w:r>
          </w:p>
        </w:tc>
        <w:tc>
          <w:tcPr>
            <w:cnfStyle w:evenVBand="true" w:oddVBand="false" w:firstColumn="false"/>
            <w:tcW w:w="25.000000%" w:type="pct"/>
          </w:tcPr>
          <w:p>
            <w:pPr>
              <w:ind w:leftChars="0" w:left="0" w:right="0"/>
            </w:pPr>
            <w:r>
              <w:t>BPOL</w:t>
            </w:r>
          </w:p>
        </w:tc>
        <w:tc>
          <w:tcPr>
            <w:cnfStyle w:evenVBand="false" w:oddVBand="true" w:firstColumn="false"/>
            <w:tcW w:w="25.000000%" w:type="pct"/>
          </w:tcPr>
          <w:p>
            <w:pPr>
              <w:ind w:leftChars="0" w:left="0" w:right="0"/>
            </w:pPr>
            <w:r>
              <w:t>BLOOMBERG BPOOL</w:t>
            </w:r>
          </w:p>
        </w:tc>
        <w:tc>
          <w:tcPr>
            <w:cnfStyle w:evenVBand="true" w:oddVBand="false" w:firstColumn="false"/>
            <w:tcW w:w="25.000000%" w:type="pct"/>
          </w:tcPr>
          <w:p>
            <w:pPr>
              <w:ind w:leftChars="0" w:left="0" w:right="0"/>
            </w:pPr>
            <w:r>
              <w:t>267</w:t>
            </w:r>
          </w:p>
        </w:tc>
      </w:tr>
      <w:tr>
        <w:trPr>
          <w:cnfStyle w:evenHBand="false" w:oddHBand="true" w:firstRow="false"/>
        </w:trPr>
        <w:tc>
          <w:tcPr>
            <w:cnfStyle w:evenVBand="false" w:oddVBand="true" w:firstColumn="false"/>
            <w:tcW w:w="25.000000%" w:type="pct"/>
          </w:tcPr>
          <w:p>
            <w:pPr>
              <w:ind w:leftChars="0" w:left="0" w:right="0"/>
            </w:pPr>
            <w:r>
              <w:t>BPSX</w:t>
            </w:r>
          </w:p>
        </w:tc>
        <w:tc>
          <w:tcPr>
            <w:cnfStyle w:evenVBand="true" w:oddVBand="false" w:firstColumn="false"/>
            <w:tcW w:w="25.000000%" w:type="pct"/>
          </w:tcPr>
          <w:p>
            <w:pPr>
              <w:ind w:leftChars="0" w:left="0" w:right="0"/>
            </w:pPr>
            <w:r>
              <w:t>BPSX</w:t>
            </w:r>
          </w:p>
        </w:tc>
        <w:tc>
          <w:tcPr>
            <w:cnfStyle w:evenVBand="false" w:oddVBand="true" w:firstColumn="false"/>
            <w:tcW w:w="25.000000%" w:type="pct"/>
          </w:tcPr>
          <w:p>
            <w:pPr>
              <w:ind w:leftChars="0" w:left="0" w:right="0"/>
            </w:pPr>
            <w:r>
              <w:t>BNP PARIBAS SECURITIES SERVICES - SYSTEMATIC INTERNALISER</w:t>
            </w:r>
          </w:p>
        </w:tc>
        <w:tc>
          <w:tcPr>
            <w:cnfStyle w:evenVBand="true" w:oddVBand="false" w:firstColumn="false"/>
            <w:tcW w:w="25.000000%" w:type="pct"/>
          </w:tcPr>
          <w:p>
            <w:pPr>
              <w:ind w:leftChars="0" w:left="0" w:right="0"/>
            </w:pPr>
            <w:r>
              <w:t>268</w:t>
            </w:r>
          </w:p>
        </w:tc>
      </w:tr>
      <w:tr>
        <w:trPr>
          <w:cnfStyle w:evenHBand="true" w:oddHBand="false" w:firstRow="false"/>
        </w:trPr>
        <w:tc>
          <w:tcPr>
            <w:cnfStyle w:evenVBand="false" w:oddVBand="true" w:firstColumn="false"/>
            <w:tcW w:w="25.000000%" w:type="pct"/>
          </w:tcPr>
          <w:p>
            <w:pPr>
              <w:ind w:leftChars="0" w:left="0" w:right="0"/>
            </w:pPr>
            <w:r>
              <w:t>BRDE</w:t>
            </w:r>
          </w:p>
        </w:tc>
        <w:tc>
          <w:tcPr>
            <w:cnfStyle w:evenVBand="true" w:oddVBand="false" w:firstColumn="false"/>
            <w:tcW w:w="25.000000%" w:type="pct"/>
          </w:tcPr>
          <w:p>
            <w:pPr>
              <w:ind w:leftChars="0" w:left="0" w:right="0"/>
            </w:pPr>
            <w:r>
              <w:t>BRDE</w:t>
            </w:r>
          </w:p>
        </w:tc>
        <w:tc>
          <w:tcPr>
            <w:cnfStyle w:evenVBand="false" w:oddVBand="true" w:firstColumn="false"/>
            <w:tcW w:w="25.000000%" w:type="pct"/>
          </w:tcPr>
          <w:p>
            <w:pPr>
              <w:ind w:leftChars="0" w:left="0" w:right="0"/>
            </w:pPr>
            <w:r>
              <w:t>BRD - GROUPE SOCIETE GENERALE S.A.</w:t>
            </w:r>
          </w:p>
        </w:tc>
        <w:tc>
          <w:tcPr>
            <w:cnfStyle w:evenVBand="true" w:oddVBand="false" w:firstColumn="false"/>
            <w:tcW w:w="25.000000%" w:type="pct"/>
          </w:tcPr>
          <w:p>
            <w:pPr>
              <w:ind w:leftChars="0" w:left="0" w:right="0"/>
            </w:pPr>
            <w:r>
              <w:t>269</w:t>
            </w:r>
          </w:p>
        </w:tc>
      </w:tr>
      <w:tr>
        <w:trPr>
          <w:cnfStyle w:evenHBand="false" w:oddHBand="true" w:firstRow="false"/>
        </w:trPr>
        <w:tc>
          <w:tcPr>
            <w:cnfStyle w:evenVBand="false" w:oddVBand="true" w:firstColumn="false"/>
            <w:tcW w:w="25.000000%" w:type="pct"/>
          </w:tcPr>
          <w:p>
            <w:pPr>
              <w:ind w:leftChars="0" w:left="0" w:right="0"/>
            </w:pPr>
            <w:r>
              <w:t>BRDL</w:t>
            </w:r>
          </w:p>
        </w:tc>
        <w:tc>
          <w:tcPr>
            <w:cnfStyle w:evenVBand="true" w:oddVBand="false" w:firstColumn="false"/>
            <w:tcW w:w="25.000000%" w:type="pct"/>
          </w:tcPr>
          <w:p>
            <w:pPr>
              <w:ind w:leftChars="0" w:left="0" w:right="0"/>
            </w:pPr>
            <w:r>
              <w:t>BRDL</w:t>
            </w:r>
          </w:p>
        </w:tc>
        <w:tc>
          <w:tcPr>
            <w:cnfStyle w:evenVBand="false" w:oddVBand="true" w:firstColumn="false"/>
            <w:tcW w:w="25.000000%" w:type="pct"/>
          </w:tcPr>
          <w:p>
            <w:pPr>
              <w:ind w:leftChars="0" w:left="0" w:right="0"/>
            </w:pPr>
            <w:r>
              <w:t>BRD - GROUPE SOCIETE GENERALE S.A. - LIQUIDITY PROVIDER</w:t>
            </w:r>
          </w:p>
        </w:tc>
        <w:tc>
          <w:tcPr>
            <w:cnfStyle w:evenVBand="true" w:oddVBand="false" w:firstColumn="false"/>
            <w:tcW w:w="25.000000%" w:type="pct"/>
          </w:tcPr>
          <w:p>
            <w:pPr>
              <w:ind w:leftChars="0" w:left="0" w:right="0"/>
            </w:pPr>
            <w:r>
              <w:t>270</w:t>
            </w:r>
          </w:p>
        </w:tc>
      </w:tr>
      <w:tr>
        <w:trPr>
          <w:cnfStyle w:evenHBand="true" w:oddHBand="false" w:firstRow="false"/>
        </w:trPr>
        <w:tc>
          <w:tcPr>
            <w:cnfStyle w:evenVBand="false" w:oddVBand="true" w:firstColumn="false"/>
            <w:tcW w:w="25.000000%" w:type="pct"/>
          </w:tcPr>
          <w:p>
            <w:pPr>
              <w:ind w:leftChars="0" w:left="0" w:right="0"/>
            </w:pPr>
            <w:r>
              <w:t>BRDS</w:t>
            </w:r>
          </w:p>
        </w:tc>
        <w:tc>
          <w:tcPr>
            <w:cnfStyle w:evenVBand="true" w:oddVBand="false" w:firstColumn="false"/>
            <w:tcW w:w="25.000000%" w:type="pct"/>
          </w:tcPr>
          <w:p>
            <w:pPr>
              <w:ind w:leftChars="0" w:left="0" w:right="0"/>
            </w:pPr>
            <w:r>
              <w:t>BRDS</w:t>
            </w:r>
          </w:p>
        </w:tc>
        <w:tc>
          <w:tcPr>
            <w:cnfStyle w:evenVBand="false" w:oddVBand="true" w:firstColumn="false"/>
            <w:tcW w:w="25.000000%" w:type="pct"/>
          </w:tcPr>
          <w:p>
            <w:pPr>
              <w:ind w:leftChars="0" w:left="0" w:right="0"/>
            </w:pPr>
            <w:r>
              <w:t>BRD - GROUPE SOCIETE GENERALE S.A. - SYSTEMATIC INTERNALISER</w:t>
            </w:r>
          </w:p>
        </w:tc>
        <w:tc>
          <w:tcPr>
            <w:cnfStyle w:evenVBand="true" w:oddVBand="false" w:firstColumn="false"/>
            <w:tcW w:w="25.000000%" w:type="pct"/>
          </w:tcPr>
          <w:p>
            <w:pPr>
              <w:ind w:leftChars="0" w:left="0" w:right="0"/>
            </w:pPr>
            <w:r>
              <w:t>271</w:t>
            </w:r>
          </w:p>
        </w:tc>
      </w:tr>
      <w:tr>
        <w:trPr>
          <w:cnfStyle w:evenHBand="false" w:oddHBand="true" w:firstRow="false"/>
        </w:trPr>
        <w:tc>
          <w:tcPr>
            <w:cnfStyle w:evenVBand="false" w:oddVBand="true" w:firstColumn="false"/>
            <w:tcW w:w="25.000000%" w:type="pct"/>
          </w:tcPr>
          <w:p>
            <w:pPr>
              <w:ind w:leftChars="0" w:left="0" w:right="0"/>
            </w:pPr>
            <w:r>
              <w:t>BREA</w:t>
            </w:r>
          </w:p>
        </w:tc>
        <w:tc>
          <w:tcPr>
            <w:cnfStyle w:evenVBand="true" w:oddVBand="false" w:firstColumn="false"/>
            <w:tcW w:w="25.000000%" w:type="pct"/>
          </w:tcPr>
          <w:p>
            <w:pPr>
              <w:ind w:leftChars="0" w:left="0" w:right="0"/>
            </w:pPr>
            <w:r>
              <w:t>BREA</w:t>
            </w:r>
          </w:p>
        </w:tc>
        <w:tc>
          <w:tcPr>
            <w:cnfStyle w:evenVBand="false" w:oddVBand="true" w:firstColumn="false"/>
            <w:tcW w:w="25.000000%" w:type="pct"/>
          </w:tcPr>
          <w:p>
            <w:pPr>
              <w:ind w:leftChars="0" w:left="0" w:right="0"/>
            </w:pPr>
            <w:r>
              <w:t>BANCA REALE - SYSTEMATIC INTERNALISER</w:t>
            </w:r>
          </w:p>
        </w:tc>
        <w:tc>
          <w:tcPr>
            <w:cnfStyle w:evenVBand="true" w:oddVBand="false" w:firstColumn="false"/>
            <w:tcW w:w="25.000000%" w:type="pct"/>
          </w:tcPr>
          <w:p>
            <w:pPr>
              <w:ind w:leftChars="0" w:left="0" w:right="0"/>
            </w:pPr>
            <w:r>
              <w:t>272</w:t>
            </w:r>
          </w:p>
        </w:tc>
      </w:tr>
      <w:tr>
        <w:trPr>
          <w:cnfStyle w:evenHBand="true" w:oddHBand="false" w:firstRow="false"/>
        </w:trPr>
        <w:tc>
          <w:tcPr>
            <w:cnfStyle w:evenVBand="false" w:oddVBand="true" w:firstColumn="false"/>
            <w:tcW w:w="25.000000%" w:type="pct"/>
          </w:tcPr>
          <w:p>
            <w:pPr>
              <w:ind w:leftChars="0" w:left="0" w:right="0"/>
            </w:pPr>
            <w:r>
              <w:t>BRED</w:t>
            </w:r>
          </w:p>
        </w:tc>
        <w:tc>
          <w:tcPr>
            <w:cnfStyle w:evenVBand="true" w:oddVBand="false" w:firstColumn="false"/>
            <w:tcW w:w="25.000000%" w:type="pct"/>
          </w:tcPr>
          <w:p>
            <w:pPr>
              <w:ind w:leftChars="0" w:left="0" w:right="0"/>
            </w:pPr>
            <w:r>
              <w:t>BRED</w:t>
            </w:r>
          </w:p>
        </w:tc>
        <w:tc>
          <w:tcPr>
            <w:cnfStyle w:evenVBand="false" w:oddVBand="true" w:firstColumn="false"/>
            <w:tcW w:w="25.000000%" w:type="pct"/>
          </w:tcPr>
          <w:p>
            <w:pPr>
              <w:ind w:leftChars="0" w:left="0" w:right="0"/>
            </w:pPr>
            <w:r>
              <w:t>BRED BANQUE POPULAIRE - SYSTEMATIC INTERNALISER</w:t>
            </w:r>
          </w:p>
        </w:tc>
        <w:tc>
          <w:tcPr>
            <w:cnfStyle w:evenVBand="true" w:oddVBand="false" w:firstColumn="false"/>
            <w:tcW w:w="25.000000%" w:type="pct"/>
          </w:tcPr>
          <w:p>
            <w:pPr>
              <w:ind w:leftChars="0" w:left="0" w:right="0"/>
            </w:pPr>
            <w:r>
              <w:t>273</w:t>
            </w:r>
          </w:p>
        </w:tc>
      </w:tr>
      <w:tr>
        <w:trPr>
          <w:cnfStyle w:evenHBand="false" w:oddHBand="true" w:firstRow="false"/>
        </w:trPr>
        <w:tc>
          <w:tcPr>
            <w:cnfStyle w:evenVBand="false" w:oddVBand="true" w:firstColumn="false"/>
            <w:tcW w:w="25.000000%" w:type="pct"/>
          </w:tcPr>
          <w:p>
            <w:pPr>
              <w:ind w:leftChars="0" w:left="0" w:right="0"/>
            </w:pPr>
            <w:r>
              <w:t>BRFQ</w:t>
            </w:r>
          </w:p>
        </w:tc>
        <w:tc>
          <w:tcPr>
            <w:cnfStyle w:evenVBand="true" w:oddVBand="false" w:firstColumn="false"/>
            <w:tcW w:w="25.000000%" w:type="pct"/>
          </w:tcPr>
          <w:p>
            <w:pPr>
              <w:ind w:leftChars="0" w:left="0" w:right="0"/>
            </w:pPr>
            <w:r>
              <w:t>BRFQ</w:t>
            </w:r>
          </w:p>
        </w:tc>
        <w:tc>
          <w:tcPr>
            <w:cnfStyle w:evenVBand="false" w:oddVBand="true" w:firstColumn="false"/>
            <w:tcW w:w="25.000000%" w:type="pct"/>
          </w:tcPr>
          <w:p>
            <w:pPr>
              <w:ind w:leftChars="0" w:left="0" w:right="0"/>
            </w:pPr>
            <w:r>
              <w:t>BLOCKMATCH UK RFQ</w:t>
            </w:r>
          </w:p>
        </w:tc>
        <w:tc>
          <w:tcPr>
            <w:cnfStyle w:evenVBand="true" w:oddVBand="false" w:firstColumn="false"/>
            <w:tcW w:w="25.000000%" w:type="pct"/>
          </w:tcPr>
          <w:p>
            <w:pPr>
              <w:ind w:leftChars="0" w:left="0" w:right="0"/>
            </w:pPr>
            <w:r>
              <w:t>274</w:t>
            </w:r>
          </w:p>
        </w:tc>
      </w:tr>
      <w:tr>
        <w:trPr>
          <w:cnfStyle w:evenHBand="true" w:oddHBand="false" w:firstRow="false"/>
        </w:trPr>
        <w:tc>
          <w:tcPr>
            <w:cnfStyle w:evenVBand="false" w:oddVBand="true" w:firstColumn="false"/>
            <w:tcW w:w="25.000000%" w:type="pct"/>
          </w:tcPr>
          <w:p>
            <w:pPr>
              <w:ind w:leftChars="0" w:left="0" w:right="0"/>
            </w:pPr>
            <w:r>
              <w:t>BRGA</w:t>
            </w:r>
          </w:p>
        </w:tc>
        <w:tc>
          <w:tcPr>
            <w:cnfStyle w:evenVBand="true" w:oddVBand="false" w:firstColumn="false"/>
            <w:tcW w:w="25.000000%" w:type="pct"/>
          </w:tcPr>
          <w:p>
            <w:pPr>
              <w:ind w:leftChars="0" w:left="0" w:right="0"/>
            </w:pPr>
            <w:r>
              <w:t>BRGA</w:t>
            </w:r>
          </w:p>
        </w:tc>
        <w:tc>
          <w:tcPr>
            <w:cnfStyle w:evenVBand="false" w:oddVBand="true" w:firstColumn="false"/>
            <w:tcW w:w="25.000000%" w:type="pct"/>
          </w:tcPr>
          <w:p>
            <w:pPr>
              <w:ind w:leftChars="0" w:left="0" w:right="0"/>
            </w:pPr>
            <w:r>
              <w:t>BRYAN GARNIER AND CO LIMITED</w:t>
            </w:r>
          </w:p>
        </w:tc>
        <w:tc>
          <w:tcPr>
            <w:cnfStyle w:evenVBand="true" w:oddVBand="false" w:firstColumn="false"/>
            <w:tcW w:w="25.000000%" w:type="pct"/>
          </w:tcPr>
          <w:p>
            <w:pPr>
              <w:ind w:leftChars="0" w:left="0" w:right="0"/>
            </w:pPr>
            <w:r>
              <w:t>275</w:t>
            </w:r>
          </w:p>
        </w:tc>
      </w:tr>
      <w:tr>
        <w:trPr>
          <w:cnfStyle w:evenHBand="false" w:oddHBand="true" w:firstRow="false"/>
        </w:trPr>
        <w:tc>
          <w:tcPr>
            <w:cnfStyle w:evenVBand="false" w:oddVBand="true" w:firstColumn="false"/>
            <w:tcW w:w="25.000000%" w:type="pct"/>
          </w:tcPr>
          <w:p>
            <w:pPr>
              <w:ind w:leftChars="0" w:left="0" w:right="0"/>
            </w:pPr>
            <w:r>
              <w:t>BRIX</w:t>
            </w:r>
          </w:p>
        </w:tc>
        <w:tc>
          <w:tcPr>
            <w:cnfStyle w:evenVBand="true" w:oddVBand="false" w:firstColumn="false"/>
            <w:tcW w:w="25.000000%" w:type="pct"/>
          </w:tcPr>
          <w:p>
            <w:pPr>
              <w:ind w:leftChars="0" w:left="0" w:right="0"/>
            </w:pPr>
            <w:r>
              <w:t>BRIX</w:t>
            </w:r>
          </w:p>
        </w:tc>
        <w:tc>
          <w:tcPr>
            <w:cnfStyle w:evenVBand="false" w:oddVBand="true" w:firstColumn="false"/>
            <w:tcW w:w="25.000000%" w:type="pct"/>
          </w:tcPr>
          <w:p>
            <w:pPr>
              <w:ind w:leftChars="0" w:left="0" w:right="0"/>
            </w:pPr>
            <w:r>
              <w:t>BRAZILIAN ENERGY EXCHANGE</w:t>
            </w:r>
          </w:p>
        </w:tc>
        <w:tc>
          <w:tcPr>
            <w:cnfStyle w:evenVBand="true" w:oddVBand="false" w:firstColumn="false"/>
            <w:tcW w:w="25.000000%" w:type="pct"/>
          </w:tcPr>
          <w:p>
            <w:pPr>
              <w:ind w:leftChars="0" w:left="0" w:right="0"/>
            </w:pPr>
            <w:r>
              <w:t>276</w:t>
            </w:r>
          </w:p>
        </w:tc>
      </w:tr>
      <w:tr>
        <w:trPr>
          <w:cnfStyle w:evenHBand="true" w:oddHBand="false" w:firstRow="false"/>
        </w:trPr>
        <w:tc>
          <w:tcPr>
            <w:cnfStyle w:evenVBand="false" w:oddVBand="true" w:firstColumn="false"/>
            <w:tcW w:w="25.000000%" w:type="pct"/>
          </w:tcPr>
          <w:p>
            <w:pPr>
              <w:ind w:leftChars="0" w:left="0" w:right="0"/>
            </w:pPr>
            <w:r>
              <w:t>BRMF</w:t>
            </w:r>
          </w:p>
        </w:tc>
        <w:tc>
          <w:tcPr>
            <w:cnfStyle w:evenVBand="true" w:oddVBand="false" w:firstColumn="false"/>
            <w:tcW w:w="25.000000%" w:type="pct"/>
          </w:tcPr>
          <w:p>
            <w:pPr>
              <w:ind w:leftChars="0" w:left="0" w:right="0"/>
            </w:pPr>
            <w:r>
              <w:t>BRMF</w:t>
            </w:r>
          </w:p>
        </w:tc>
        <w:tc>
          <w:tcPr>
            <w:cnfStyle w:evenVBand="false" w:oddVBand="true" w:firstColumn="false"/>
            <w:tcW w:w="25.000000%" w:type="pct"/>
          </w:tcPr>
          <w:p>
            <w:pPr>
              <w:ind w:leftChars="0" w:left="0" w:right="0"/>
            </w:pPr>
            <w:r>
              <w:t>ROMANIAN  COMMODITIES EXCHANGE - BRM-SMT</w:t>
            </w:r>
          </w:p>
        </w:tc>
        <w:tc>
          <w:tcPr>
            <w:cnfStyle w:evenVBand="true" w:oddVBand="false" w:firstColumn="false"/>
            <w:tcW w:w="25.000000%" w:type="pct"/>
          </w:tcPr>
          <w:p>
            <w:pPr>
              <w:ind w:leftChars="0" w:left="0" w:right="0"/>
            </w:pPr>
            <w:r>
              <w:t>277</w:t>
            </w:r>
          </w:p>
        </w:tc>
      </w:tr>
      <w:tr>
        <w:trPr>
          <w:cnfStyle w:evenHBand="false" w:oddHBand="true" w:firstRow="false"/>
        </w:trPr>
        <w:tc>
          <w:tcPr>
            <w:cnfStyle w:evenVBand="false" w:oddVBand="true" w:firstColumn="false"/>
            <w:tcW w:w="25.000000%" w:type="pct"/>
          </w:tcPr>
          <w:p>
            <w:pPr>
              <w:ind w:leftChars="0" w:left="0" w:right="0"/>
            </w:pPr>
            <w:r>
              <w:t>BRNX</w:t>
            </w:r>
          </w:p>
        </w:tc>
        <w:tc>
          <w:tcPr>
            <w:cnfStyle w:evenVBand="true" w:oddVBand="false" w:firstColumn="false"/>
            <w:tcW w:w="25.000000%" w:type="pct"/>
          </w:tcPr>
          <w:p>
            <w:pPr>
              <w:ind w:leftChars="0" w:left="0" w:right="0"/>
            </w:pPr>
            <w:r>
              <w:t>BRNX</w:t>
            </w:r>
          </w:p>
        </w:tc>
        <w:tc>
          <w:tcPr>
            <w:cnfStyle w:evenVBand="false" w:oddVBand="true" w:firstColumn="false"/>
            <w:tcW w:w="25.000000%" w:type="pct"/>
          </w:tcPr>
          <w:p>
            <w:pPr>
              <w:ind w:leftChars="0" w:left="0" w:right="0"/>
            </w:pPr>
            <w:r>
              <w:t>BERNSTEIN CROSS (BERN-X)</w:t>
            </w:r>
          </w:p>
        </w:tc>
        <w:tc>
          <w:tcPr>
            <w:cnfStyle w:evenVBand="true" w:oddVBand="false" w:firstColumn="false"/>
            <w:tcW w:w="25.000000%" w:type="pct"/>
          </w:tcPr>
          <w:p>
            <w:pPr>
              <w:ind w:leftChars="0" w:left="0" w:right="0"/>
            </w:pPr>
            <w:r>
              <w:t>278</w:t>
            </w:r>
          </w:p>
        </w:tc>
      </w:tr>
      <w:tr>
        <w:trPr>
          <w:cnfStyle w:evenHBand="true" w:oddHBand="false" w:firstRow="false"/>
        </w:trPr>
        <w:tc>
          <w:tcPr>
            <w:cnfStyle w:evenVBand="false" w:oddVBand="true" w:firstColumn="false"/>
            <w:tcW w:w="25.000000%" w:type="pct"/>
          </w:tcPr>
          <w:p>
            <w:pPr>
              <w:ind w:leftChars="0" w:left="0" w:right="0"/>
            </w:pPr>
            <w:r>
              <w:t>BSAB</w:t>
            </w:r>
          </w:p>
        </w:tc>
        <w:tc>
          <w:tcPr>
            <w:cnfStyle w:evenVBand="true" w:oddVBand="false" w:firstColumn="false"/>
            <w:tcW w:w="25.000000%" w:type="pct"/>
          </w:tcPr>
          <w:p>
            <w:pPr>
              <w:ind w:leftChars="0" w:left="0" w:right="0"/>
            </w:pPr>
            <w:r>
              <w:t>BSAB</w:t>
            </w:r>
          </w:p>
        </w:tc>
        <w:tc>
          <w:tcPr>
            <w:cnfStyle w:evenVBand="false" w:oddVBand="true" w:firstColumn="false"/>
            <w:tcW w:w="25.000000%" w:type="pct"/>
          </w:tcPr>
          <w:p>
            <w:pPr>
              <w:ind w:leftChars="0" w:left="0" w:right="0"/>
            </w:pPr>
            <w:r>
              <w:t>BANCO DE SABADELL, S.A. -  SYSTEMATIC INTERNALISER</w:t>
            </w:r>
          </w:p>
        </w:tc>
        <w:tc>
          <w:tcPr>
            <w:cnfStyle w:evenVBand="true" w:oddVBand="false" w:firstColumn="false"/>
            <w:tcW w:w="25.000000%" w:type="pct"/>
          </w:tcPr>
          <w:p>
            <w:pPr>
              <w:ind w:leftChars="0" w:left="0" w:right="0"/>
            </w:pPr>
            <w:r>
              <w:t>279</w:t>
            </w:r>
          </w:p>
        </w:tc>
      </w:tr>
      <w:tr>
        <w:trPr>
          <w:cnfStyle w:evenHBand="false" w:oddHBand="true" w:firstRow="false"/>
        </w:trPr>
        <w:tc>
          <w:tcPr>
            <w:cnfStyle w:evenVBand="false" w:oddVBand="true" w:firstColumn="false"/>
            <w:tcW w:w="25.000000%" w:type="pct"/>
          </w:tcPr>
          <w:p>
            <w:pPr>
              <w:ind w:leftChars="0" w:left="0" w:right="0"/>
            </w:pPr>
            <w:r>
              <w:t>BSEX</w:t>
            </w:r>
          </w:p>
        </w:tc>
        <w:tc>
          <w:tcPr>
            <w:cnfStyle w:evenVBand="true" w:oddVBand="false" w:firstColumn="false"/>
            <w:tcW w:w="25.000000%" w:type="pct"/>
          </w:tcPr>
          <w:p>
            <w:pPr>
              <w:ind w:leftChars="0" w:left="0" w:right="0"/>
            </w:pPr>
            <w:r>
              <w:t>BSEX</w:t>
            </w:r>
          </w:p>
        </w:tc>
        <w:tc>
          <w:tcPr>
            <w:cnfStyle w:evenVBand="false" w:oddVBand="true" w:firstColumn="false"/>
            <w:tcW w:w="25.000000%" w:type="pct"/>
          </w:tcPr>
          <w:p>
            <w:pPr>
              <w:ind w:leftChars="0" w:left="0" w:right="0"/>
            </w:pPr>
            <w:r>
              <w:t>BAKU STOCK EXCHANGE</w:t>
            </w:r>
          </w:p>
        </w:tc>
        <w:tc>
          <w:tcPr>
            <w:cnfStyle w:evenVBand="true" w:oddVBand="false" w:firstColumn="false"/>
            <w:tcW w:w="25.000000%" w:type="pct"/>
          </w:tcPr>
          <w:p>
            <w:pPr>
              <w:ind w:leftChars="0" w:left="0" w:right="0"/>
            </w:pPr>
            <w:r>
              <w:t>280</w:t>
            </w:r>
          </w:p>
        </w:tc>
      </w:tr>
      <w:tr>
        <w:trPr>
          <w:cnfStyle w:evenHBand="true" w:oddHBand="false" w:firstRow="false"/>
        </w:trPr>
        <w:tc>
          <w:tcPr>
            <w:cnfStyle w:evenVBand="false" w:oddVBand="true" w:firstColumn="false"/>
            <w:tcW w:w="25.000000%" w:type="pct"/>
          </w:tcPr>
          <w:p>
            <w:pPr>
              <w:ind w:leftChars="0" w:left="0" w:right="0"/>
            </w:pPr>
            <w:r>
              <w:t>BSFX</w:t>
            </w:r>
          </w:p>
        </w:tc>
        <w:tc>
          <w:tcPr>
            <w:cnfStyle w:evenVBand="true" w:oddVBand="false" w:firstColumn="false"/>
            <w:tcW w:w="25.000000%" w:type="pct"/>
          </w:tcPr>
          <w:p>
            <w:pPr>
              <w:ind w:leftChars="0" w:left="0" w:right="0"/>
            </w:pPr>
            <w:r>
              <w:t>BSFX</w:t>
            </w:r>
          </w:p>
        </w:tc>
        <w:tc>
          <w:tcPr>
            <w:cnfStyle w:evenVBand="false" w:oddVBand="true" w:firstColumn="false"/>
            <w:tcW w:w="25.000000%" w:type="pct"/>
          </w:tcPr>
          <w:p>
            <w:pPr>
              <w:ind w:leftChars="0" w:left="0" w:right="0"/>
            </w:pPr>
            <w:r>
              <w:t>BAYERNLB - FX HANDEL - SYSTEMATIC INTERNALISER</w:t>
            </w:r>
          </w:p>
        </w:tc>
        <w:tc>
          <w:tcPr>
            <w:cnfStyle w:evenVBand="true" w:oddVBand="false" w:firstColumn="false"/>
            <w:tcW w:w="25.000000%" w:type="pct"/>
          </w:tcPr>
          <w:p>
            <w:pPr>
              <w:ind w:leftChars="0" w:left="0" w:right="0"/>
            </w:pPr>
            <w:r>
              <w:t>281</w:t>
            </w:r>
          </w:p>
        </w:tc>
      </w:tr>
      <w:tr>
        <w:trPr>
          <w:cnfStyle w:evenHBand="false" w:oddHBand="true" w:firstRow="false"/>
        </w:trPr>
        <w:tc>
          <w:tcPr>
            <w:cnfStyle w:evenVBand="false" w:oddVBand="true" w:firstColumn="false"/>
            <w:tcW w:w="25.000000%" w:type="pct"/>
          </w:tcPr>
          <w:p>
            <w:pPr>
              <w:ind w:leftChars="0" w:left="0" w:right="0"/>
            </w:pPr>
            <w:r>
              <w:t>BSLB</w:t>
            </w:r>
          </w:p>
        </w:tc>
        <w:tc>
          <w:tcPr>
            <w:cnfStyle w:evenVBand="true" w:oddVBand="false" w:firstColumn="false"/>
            <w:tcW w:w="25.000000%" w:type="pct"/>
          </w:tcPr>
          <w:p>
            <w:pPr>
              <w:ind w:leftChars="0" w:left="0" w:right="0"/>
            </w:pPr>
            <w:r>
              <w:t>BSLB</w:t>
            </w:r>
          </w:p>
        </w:tc>
        <w:tc>
          <w:tcPr>
            <w:cnfStyle w:evenVBand="false" w:oddVBand="true" w:firstColumn="false"/>
            <w:tcW w:w="25.000000%" w:type="pct"/>
          </w:tcPr>
          <w:p>
            <w:pPr>
              <w:ind w:leftChars="0" w:left="0" w:right="0"/>
            </w:pPr>
            <w:r>
              <w:t>BANCO SANTANDER, LONDON BRANCH - SYSTEMATIC INTERNALISER</w:t>
            </w:r>
          </w:p>
        </w:tc>
        <w:tc>
          <w:tcPr>
            <w:cnfStyle w:evenVBand="true" w:oddVBand="false" w:firstColumn="false"/>
            <w:tcW w:w="25.000000%" w:type="pct"/>
          </w:tcPr>
          <w:p>
            <w:pPr>
              <w:ind w:leftChars="0" w:left="0" w:right="0"/>
            </w:pPr>
            <w:r>
              <w:t>282</w:t>
            </w:r>
          </w:p>
        </w:tc>
      </w:tr>
      <w:tr>
        <w:trPr>
          <w:cnfStyle w:evenHBand="true" w:oddHBand="false" w:firstRow="false"/>
        </w:trPr>
        <w:tc>
          <w:tcPr>
            <w:cnfStyle w:evenVBand="false" w:oddVBand="true" w:firstColumn="false"/>
            <w:tcW w:w="25.000000%" w:type="pct"/>
          </w:tcPr>
          <w:p>
            <w:pPr>
              <w:ind w:leftChars="0" w:left="0" w:right="0"/>
            </w:pPr>
            <w:r>
              <w:t>BSME</w:t>
            </w:r>
          </w:p>
        </w:tc>
        <w:tc>
          <w:tcPr>
            <w:cnfStyle w:evenVBand="true" w:oddVBand="false" w:firstColumn="false"/>
            <w:tcW w:w="25.000000%" w:type="pct"/>
          </w:tcPr>
          <w:p>
            <w:pPr>
              <w:ind w:leftChars="0" w:left="0" w:right="0"/>
            </w:pPr>
            <w:r>
              <w:t>BSME</w:t>
            </w:r>
          </w:p>
        </w:tc>
        <w:tc>
          <w:tcPr>
            <w:cnfStyle w:evenVBand="false" w:oddVBand="true" w:firstColumn="false"/>
            <w:tcW w:w="25.000000%" w:type="pct"/>
          </w:tcPr>
          <w:p>
            <w:pPr>
              <w:ind w:leftChars="0" w:left="0" w:right="0"/>
            </w:pPr>
            <w:r>
              <w:t>BSE SME</w:t>
            </w:r>
          </w:p>
        </w:tc>
        <w:tc>
          <w:tcPr>
            <w:cnfStyle w:evenVBand="true" w:oddVBand="false" w:firstColumn="false"/>
            <w:tcW w:w="25.000000%" w:type="pct"/>
          </w:tcPr>
          <w:p>
            <w:pPr>
              <w:ind w:leftChars="0" w:left="0" w:right="0"/>
            </w:pPr>
            <w:r>
              <w:t>283</w:t>
            </w:r>
          </w:p>
        </w:tc>
      </w:tr>
      <w:tr>
        <w:trPr>
          <w:cnfStyle w:evenHBand="false" w:oddHBand="true" w:firstRow="false"/>
        </w:trPr>
        <w:tc>
          <w:tcPr>
            <w:cnfStyle w:evenVBand="false" w:oddVBand="true" w:firstColumn="false"/>
            <w:tcW w:w="25.000000%" w:type="pct"/>
          </w:tcPr>
          <w:p>
            <w:pPr>
              <w:ind w:leftChars="0" w:left="0" w:right="0"/>
            </w:pPr>
            <w:r>
              <w:t>BSPL</w:t>
            </w:r>
          </w:p>
        </w:tc>
        <w:tc>
          <w:tcPr>
            <w:cnfStyle w:evenVBand="true" w:oddVBand="false" w:firstColumn="false"/>
            <w:tcW w:w="25.000000%" w:type="pct"/>
          </w:tcPr>
          <w:p>
            <w:pPr>
              <w:ind w:leftChars="0" w:left="0" w:right="0"/>
            </w:pPr>
            <w:r>
              <w:t>BSPL</w:t>
            </w:r>
          </w:p>
        </w:tc>
        <w:tc>
          <w:tcPr>
            <w:cnfStyle w:evenVBand="false" w:oddVBand="true" w:firstColumn="false"/>
            <w:tcW w:w="25.000000%" w:type="pct"/>
          </w:tcPr>
          <w:p>
            <w:pPr>
              <w:ind w:leftChars="0" w:left="0" w:right="0"/>
            </w:pPr>
            <w:r>
              <w:t>BNP PARIBAS SECURITIES SERVICES LONDON BRANCH - SYSTEMATIC INTERNALISER</w:t>
            </w:r>
          </w:p>
        </w:tc>
        <w:tc>
          <w:tcPr>
            <w:cnfStyle w:evenVBand="true" w:oddVBand="false" w:firstColumn="false"/>
            <w:tcW w:w="25.000000%" w:type="pct"/>
          </w:tcPr>
          <w:p>
            <w:pPr>
              <w:ind w:leftChars="0" w:left="0" w:right="0"/>
            </w:pPr>
            <w:r>
              <w:t>284</w:t>
            </w:r>
          </w:p>
        </w:tc>
      </w:tr>
      <w:tr>
        <w:trPr>
          <w:cnfStyle w:evenHBand="true" w:oddHBand="false" w:firstRow="false"/>
        </w:trPr>
        <w:tc>
          <w:tcPr>
            <w:cnfStyle w:evenVBand="false" w:oddVBand="true" w:firstColumn="false"/>
            <w:tcW w:w="25.000000%" w:type="pct"/>
          </w:tcPr>
          <w:p>
            <w:pPr>
              <w:ind w:leftChars="0" w:left="0" w:right="0"/>
            </w:pPr>
            <w:r>
              <w:t>BSTX</w:t>
            </w:r>
          </w:p>
        </w:tc>
        <w:tc>
          <w:tcPr>
            <w:cnfStyle w:evenVBand="true" w:oddVBand="false" w:firstColumn="false"/>
            <w:tcW w:w="25.000000%" w:type="pct"/>
          </w:tcPr>
          <w:p>
            <w:pPr>
              <w:ind w:leftChars="0" w:left="0" w:right="0"/>
            </w:pPr>
            <w:r>
              <w:t>BSTX</w:t>
            </w:r>
          </w:p>
        </w:tc>
        <w:tc>
          <w:tcPr>
            <w:cnfStyle w:evenVBand="false" w:oddVBand="true" w:firstColumn="false"/>
            <w:tcW w:w="25.000000%" w:type="pct"/>
          </w:tcPr>
          <w:p>
            <w:pPr>
              <w:ind w:leftChars="0" w:left="0" w:right="0"/>
            </w:pPr>
            <w:r>
              <w:t>BOSTON SECURITY TOKEN EXCHANGE LLC</w:t>
            </w:r>
          </w:p>
        </w:tc>
        <w:tc>
          <w:tcPr>
            <w:cnfStyle w:evenVBand="true" w:oddVBand="false" w:firstColumn="false"/>
            <w:tcW w:w="25.000000%" w:type="pct"/>
          </w:tcPr>
          <w:p>
            <w:pPr>
              <w:ind w:leftChars="0" w:left="0" w:right="0"/>
            </w:pPr>
            <w:r>
              <w:t>285</w:t>
            </w:r>
          </w:p>
        </w:tc>
      </w:tr>
      <w:tr>
        <w:trPr>
          <w:cnfStyle w:evenHBand="false" w:oddHBand="true" w:firstRow="false"/>
        </w:trPr>
        <w:tc>
          <w:tcPr>
            <w:cnfStyle w:evenVBand="false" w:oddVBand="true" w:firstColumn="false"/>
            <w:tcW w:w="25.000000%" w:type="pct"/>
          </w:tcPr>
          <w:p>
            <w:pPr>
              <w:ind w:leftChars="0" w:left="0" w:right="0"/>
            </w:pPr>
            <w:r>
              <w:t>BTAM</w:t>
            </w:r>
          </w:p>
        </w:tc>
        <w:tc>
          <w:tcPr>
            <w:cnfStyle w:evenVBand="true" w:oddVBand="false" w:firstColumn="false"/>
            <w:tcW w:w="25.000000%" w:type="pct"/>
          </w:tcPr>
          <w:p>
            <w:pPr>
              <w:ind w:leftChars="0" w:left="0" w:right="0"/>
            </w:pPr>
            <w:r>
              <w:t>BTAM</w:t>
            </w:r>
          </w:p>
        </w:tc>
        <w:tc>
          <w:tcPr>
            <w:cnfStyle w:evenVBand="false" w:oddVBand="true" w:firstColumn="false"/>
            <w:tcW w:w="25.000000%" w:type="pct"/>
          </w:tcPr>
          <w:p>
            <w:pPr>
              <w:ind w:leftChars="0" w:left="0" w:right="0"/>
            </w:pPr>
            <w:r>
              <w:t>CME AMSTERDAM B.V.</w:t>
            </w:r>
          </w:p>
        </w:tc>
        <w:tc>
          <w:tcPr>
            <w:cnfStyle w:evenVBand="true" w:oddVBand="false" w:firstColumn="false"/>
            <w:tcW w:w="25.000000%" w:type="pct"/>
          </w:tcPr>
          <w:p>
            <w:pPr>
              <w:ind w:leftChars="0" w:left="0" w:right="0"/>
            </w:pPr>
            <w:r>
              <w:t>286</w:t>
            </w:r>
          </w:p>
        </w:tc>
      </w:tr>
      <w:tr>
        <w:trPr>
          <w:cnfStyle w:evenHBand="true" w:oddHBand="false" w:firstRow="false"/>
        </w:trPr>
        <w:tc>
          <w:tcPr>
            <w:cnfStyle w:evenVBand="false" w:oddVBand="true" w:firstColumn="false"/>
            <w:tcW w:w="25.000000%" w:type="pct"/>
          </w:tcPr>
          <w:p>
            <w:pPr>
              <w:ind w:leftChars="0" w:left="0" w:right="0"/>
            </w:pPr>
            <w:r>
              <w:t>BTBS</w:t>
            </w:r>
          </w:p>
        </w:tc>
        <w:tc>
          <w:tcPr>
            <w:cnfStyle w:evenVBand="true" w:oddVBand="false" w:firstColumn="false"/>
            <w:tcW w:w="25.000000%" w:type="pct"/>
          </w:tcPr>
          <w:p>
            <w:pPr>
              <w:ind w:leftChars="0" w:left="0" w:right="0"/>
            </w:pPr>
            <w:r>
              <w:t>BTBS</w:t>
            </w:r>
          </w:p>
        </w:tc>
        <w:tc>
          <w:tcPr>
            <w:cnfStyle w:evenVBand="false" w:oddVBand="true" w:firstColumn="false"/>
            <w:tcW w:w="25.000000%" w:type="pct"/>
          </w:tcPr>
          <w:p>
            <w:pPr>
              <w:ind w:leftChars="0" w:left="0" w:right="0"/>
            </w:pPr>
            <w:r>
              <w:t>BLOOMBERG TRADEBOOK SINGAPORE PTE LTD</w:t>
            </w:r>
          </w:p>
        </w:tc>
        <w:tc>
          <w:tcPr>
            <w:cnfStyle w:evenVBand="true" w:oddVBand="false" w:firstColumn="false"/>
            <w:tcW w:w="25.000000%" w:type="pct"/>
          </w:tcPr>
          <w:p>
            <w:pPr>
              <w:ind w:leftChars="0" w:left="0" w:right="0"/>
            </w:pPr>
            <w:r>
              <w:t>287</w:t>
            </w:r>
          </w:p>
        </w:tc>
      </w:tr>
      <w:tr>
        <w:trPr>
          <w:cnfStyle w:evenHBand="false" w:oddHBand="true" w:firstRow="false"/>
        </w:trPr>
        <w:tc>
          <w:tcPr>
            <w:cnfStyle w:evenVBand="false" w:oddVBand="true" w:firstColumn="false"/>
            <w:tcW w:w="25.000000%" w:type="pct"/>
          </w:tcPr>
          <w:p>
            <w:pPr>
              <w:ind w:leftChars="0" w:left="0" w:right="0"/>
            </w:pPr>
            <w:r>
              <w:t>BTEC</w:t>
            </w:r>
          </w:p>
        </w:tc>
        <w:tc>
          <w:tcPr>
            <w:cnfStyle w:evenVBand="true" w:oddVBand="false" w:firstColumn="false"/>
            <w:tcW w:w="25.000000%" w:type="pct"/>
          </w:tcPr>
          <w:p>
            <w:pPr>
              <w:ind w:leftChars="0" w:left="0" w:right="0"/>
            </w:pPr>
            <w:r>
              <w:t>BTEC</w:t>
            </w:r>
          </w:p>
        </w:tc>
        <w:tc>
          <w:tcPr>
            <w:cnfStyle w:evenVBand="false" w:oddVBand="true" w:firstColumn="false"/>
            <w:tcW w:w="25.000000%" w:type="pct"/>
          </w:tcPr>
          <w:p>
            <w:pPr>
              <w:ind w:leftChars="0" w:left="0" w:right="0"/>
            </w:pPr>
            <w:r>
              <w:t>ICAP ELECTRONIC BROKING (US)</w:t>
            </w:r>
          </w:p>
        </w:tc>
        <w:tc>
          <w:tcPr>
            <w:cnfStyle w:evenVBand="true" w:oddVBand="false" w:firstColumn="false"/>
            <w:tcW w:w="25.000000%" w:type="pct"/>
          </w:tcPr>
          <w:p>
            <w:pPr>
              <w:ind w:leftChars="0" w:left="0" w:right="0"/>
            </w:pPr>
            <w:r>
              <w:t>288</w:t>
            </w:r>
          </w:p>
        </w:tc>
      </w:tr>
      <w:tr>
        <w:trPr>
          <w:cnfStyle w:evenHBand="true" w:oddHBand="false" w:firstRow="false"/>
        </w:trPr>
        <w:tc>
          <w:tcPr>
            <w:cnfStyle w:evenVBand="false" w:oddVBand="true" w:firstColumn="false"/>
            <w:tcW w:w="25.000000%" w:type="pct"/>
          </w:tcPr>
          <w:p>
            <w:pPr>
              <w:ind w:leftChars="0" w:left="0" w:right="0"/>
            </w:pPr>
            <w:r>
              <w:t>BTEE</w:t>
            </w:r>
          </w:p>
        </w:tc>
        <w:tc>
          <w:tcPr>
            <w:cnfStyle w:evenVBand="true" w:oddVBand="false" w:firstColumn="false"/>
            <w:tcW w:w="25.000000%" w:type="pct"/>
          </w:tcPr>
          <w:p>
            <w:pPr>
              <w:ind w:leftChars="0" w:left="0" w:right="0"/>
            </w:pPr>
            <w:r>
              <w:t>BTEE</w:t>
            </w:r>
          </w:p>
        </w:tc>
        <w:tc>
          <w:tcPr>
            <w:cnfStyle w:evenVBand="false" w:oddVBand="true" w:firstColumn="false"/>
            <w:tcW w:w="25.000000%" w:type="pct"/>
          </w:tcPr>
          <w:p>
            <w:pPr>
              <w:ind w:leftChars="0" w:left="0" w:right="0"/>
            </w:pPr>
            <w:r>
              <w:t>BROKERTEC EUROPE LIMITED - ALL MARKETS</w:t>
            </w:r>
          </w:p>
        </w:tc>
        <w:tc>
          <w:tcPr>
            <w:cnfStyle w:evenVBand="true" w:oddVBand="false" w:firstColumn="false"/>
            <w:tcW w:w="25.000000%" w:type="pct"/>
          </w:tcPr>
          <w:p>
            <w:pPr>
              <w:ind w:leftChars="0" w:left="0" w:right="0"/>
            </w:pPr>
            <w:r>
              <w:t>289</w:t>
            </w:r>
          </w:p>
        </w:tc>
      </w:tr>
      <w:tr>
        <w:trPr>
          <w:cnfStyle w:evenHBand="false" w:oddHBand="true" w:firstRow="false"/>
        </w:trPr>
        <w:tc>
          <w:tcPr>
            <w:cnfStyle w:evenVBand="false" w:oddVBand="true" w:firstColumn="false"/>
            <w:tcW w:w="25.000000%" w:type="pct"/>
          </w:tcPr>
          <w:p>
            <w:pPr>
              <w:ind w:leftChars="0" w:left="0" w:right="0"/>
            </w:pPr>
            <w:r>
              <w:t>BTEQ</w:t>
            </w:r>
          </w:p>
        </w:tc>
        <w:tc>
          <w:tcPr>
            <w:cnfStyle w:evenVBand="true" w:oddVBand="false" w:firstColumn="false"/>
            <w:tcW w:w="25.000000%" w:type="pct"/>
          </w:tcPr>
          <w:p>
            <w:pPr>
              <w:ind w:leftChars="0" w:left="0" w:right="0"/>
            </w:pPr>
            <w:r>
              <w:t>BTEQ</w:t>
            </w:r>
          </w:p>
        </w:tc>
        <w:tc>
          <w:tcPr>
            <w:cnfStyle w:evenVBand="false" w:oddVBand="true" w:firstColumn="false"/>
            <w:tcW w:w="25.000000%" w:type="pct"/>
          </w:tcPr>
          <w:p>
            <w:pPr>
              <w:ind w:leftChars="0" w:left="0" w:right="0"/>
            </w:pPr>
            <w:r>
              <w:t>BROKERTEC AMERICAS LLC - RFQ PLATFORM</w:t>
            </w:r>
          </w:p>
        </w:tc>
        <w:tc>
          <w:tcPr>
            <w:cnfStyle w:evenVBand="true" w:oddVBand="false" w:firstColumn="false"/>
            <w:tcW w:w="25.000000%" w:type="pct"/>
          </w:tcPr>
          <w:p>
            <w:pPr>
              <w:ind w:leftChars="0" w:left="0" w:right="0"/>
            </w:pPr>
            <w:r>
              <w:t>290</w:t>
            </w:r>
          </w:p>
        </w:tc>
      </w:tr>
      <w:tr>
        <w:trPr>
          <w:cnfStyle w:evenHBand="true" w:oddHBand="false" w:firstRow="false"/>
        </w:trPr>
        <w:tc>
          <w:tcPr>
            <w:cnfStyle w:evenVBand="false" w:oddVBand="true" w:firstColumn="false"/>
            <w:tcW w:w="25.000000%" w:type="pct"/>
          </w:tcPr>
          <w:p>
            <w:pPr>
              <w:ind w:leftChars="0" w:left="0" w:right="0"/>
            </w:pPr>
            <w:r>
              <w:t>BTFE</w:t>
            </w:r>
          </w:p>
        </w:tc>
        <w:tc>
          <w:tcPr>
            <w:cnfStyle w:evenVBand="true" w:oddVBand="false" w:firstColumn="false"/>
            <w:tcW w:w="25.000000%" w:type="pct"/>
          </w:tcPr>
          <w:p>
            <w:pPr>
              <w:ind w:leftChars="0" w:left="0" w:right="0"/>
            </w:pPr>
            <w:r>
              <w:t>BTFE</w:t>
            </w:r>
          </w:p>
        </w:tc>
        <w:tc>
          <w:tcPr>
            <w:cnfStyle w:evenVBand="false" w:oddVBand="true" w:firstColumn="false"/>
            <w:tcW w:w="25.000000%" w:type="pct"/>
          </w:tcPr>
          <w:p>
            <w:pPr>
              <w:ind w:leftChars="0" w:left="0" w:right="0"/>
            </w:pPr>
            <w:r>
              <w:t>BLOOMBERG TRADING FACILITY B.V.</w:t>
            </w:r>
          </w:p>
        </w:tc>
        <w:tc>
          <w:tcPr>
            <w:cnfStyle w:evenVBand="true" w:oddVBand="false" w:firstColumn="false"/>
            <w:tcW w:w="25.000000%" w:type="pct"/>
          </w:tcPr>
          <w:p>
            <w:pPr>
              <w:ind w:leftChars="0" w:left="0" w:right="0"/>
            </w:pPr>
            <w:r>
              <w:t>291</w:t>
            </w:r>
          </w:p>
        </w:tc>
      </w:tr>
      <w:tr>
        <w:trPr>
          <w:cnfStyle w:evenHBand="false" w:oddHBand="true" w:firstRow="false"/>
        </w:trPr>
        <w:tc>
          <w:tcPr>
            <w:cnfStyle w:evenVBand="false" w:oddVBand="true" w:firstColumn="false"/>
            <w:tcW w:w="25.000000%" w:type="pct"/>
          </w:tcPr>
          <w:p>
            <w:pPr>
              <w:ind w:leftChars="0" w:left="0" w:right="0"/>
            </w:pPr>
            <w:r>
              <w:t>BTLX</w:t>
            </w:r>
          </w:p>
        </w:tc>
        <w:tc>
          <w:tcPr>
            <w:cnfStyle w:evenVBand="true" w:oddVBand="false" w:firstColumn="false"/>
            <w:tcW w:w="25.000000%" w:type="pct"/>
          </w:tcPr>
          <w:p>
            <w:pPr>
              <w:ind w:leftChars="0" w:left="0" w:right="0"/>
            </w:pPr>
            <w:r>
              <w:t>BTLX</w:t>
            </w:r>
          </w:p>
        </w:tc>
        <w:tc>
          <w:tcPr>
            <w:cnfStyle w:evenVBand="false" w:oddVBand="true" w:firstColumn="false"/>
            <w:tcW w:w="25.000000%" w:type="pct"/>
          </w:tcPr>
          <w:p>
            <w:pPr>
              <w:ind w:leftChars="0" w:left="0" w:right="0"/>
            </w:pPr>
            <w:r>
              <w:t>BTL OTC BILAT COMMODITY DERIVATIVES</w:t>
            </w:r>
          </w:p>
        </w:tc>
        <w:tc>
          <w:tcPr>
            <w:cnfStyle w:evenVBand="true" w:oddVBand="false" w:firstColumn="false"/>
            <w:tcW w:w="25.000000%" w:type="pct"/>
          </w:tcPr>
          <w:p>
            <w:pPr>
              <w:ind w:leftChars="0" w:left="0" w:right="0"/>
            </w:pPr>
            <w:r>
              <w:t>292</w:t>
            </w:r>
          </w:p>
        </w:tc>
      </w:tr>
      <w:tr>
        <w:trPr>
          <w:cnfStyle w:evenHBand="true" w:oddHBand="false" w:firstRow="false"/>
        </w:trPr>
        <w:tc>
          <w:tcPr>
            <w:cnfStyle w:evenVBand="false" w:oddVBand="true" w:firstColumn="false"/>
            <w:tcW w:w="25.000000%" w:type="pct"/>
          </w:tcPr>
          <w:p>
            <w:pPr>
              <w:ind w:leftChars="0" w:left="0" w:right="0"/>
            </w:pPr>
            <w:r>
              <w:t>BTNL</w:t>
            </w:r>
          </w:p>
        </w:tc>
        <w:tc>
          <w:tcPr>
            <w:cnfStyle w:evenVBand="true" w:oddVBand="false" w:firstColumn="false"/>
            <w:tcW w:w="25.000000%" w:type="pct"/>
          </w:tcPr>
          <w:p>
            <w:pPr>
              <w:ind w:leftChars="0" w:left="0" w:right="0"/>
            </w:pPr>
            <w:r>
              <w:t>BTNL</w:t>
            </w:r>
          </w:p>
        </w:tc>
        <w:tc>
          <w:tcPr>
            <w:cnfStyle w:evenVBand="false" w:oddVBand="true" w:firstColumn="false"/>
            <w:tcW w:w="25.000000%" w:type="pct"/>
          </w:tcPr>
          <w:p>
            <w:pPr>
              <w:ind w:leftChars="0" w:left="0" w:right="0"/>
            </w:pPr>
            <w:r>
              <w:t>BITNOMIAL</w:t>
            </w:r>
          </w:p>
        </w:tc>
        <w:tc>
          <w:tcPr>
            <w:cnfStyle w:evenVBand="true" w:oddVBand="false" w:firstColumn="false"/>
            <w:tcW w:w="25.000000%" w:type="pct"/>
          </w:tcPr>
          <w:p>
            <w:pPr>
              <w:ind w:leftChars="0" w:left="0" w:right="0"/>
            </w:pPr>
            <w:r>
              <w:t>293</w:t>
            </w:r>
          </w:p>
        </w:tc>
      </w:tr>
      <w:tr>
        <w:trPr>
          <w:cnfStyle w:evenHBand="false" w:oddHBand="true" w:firstRow="false"/>
        </w:trPr>
        <w:tc>
          <w:tcPr>
            <w:cnfStyle w:evenVBand="false" w:oddVBand="true" w:firstColumn="false"/>
            <w:tcW w:w="25.000000%" w:type="pct"/>
          </w:tcPr>
          <w:p>
            <w:pPr>
              <w:ind w:leftChars="0" w:left="0" w:right="0"/>
            </w:pPr>
            <w:r>
              <w:t>BTQE</w:t>
            </w:r>
          </w:p>
        </w:tc>
        <w:tc>
          <w:tcPr>
            <w:cnfStyle w:evenVBand="true" w:oddVBand="false" w:firstColumn="false"/>
            <w:tcW w:w="25.000000%" w:type="pct"/>
          </w:tcPr>
          <w:p>
            <w:pPr>
              <w:ind w:leftChars="0" w:left="0" w:right="0"/>
            </w:pPr>
            <w:r>
              <w:t>BTQE</w:t>
            </w:r>
          </w:p>
        </w:tc>
        <w:tc>
          <w:tcPr>
            <w:cnfStyle w:evenVBand="false" w:oddVBand="true" w:firstColumn="false"/>
            <w:tcW w:w="25.000000%" w:type="pct"/>
          </w:tcPr>
          <w:p>
            <w:pPr>
              <w:ind w:leftChars="0" w:left="0" w:right="0"/>
            </w:pPr>
            <w:r>
              <w:t>CME AMSTERDAM B.V. - RFQ TRADING PROTOCOL</w:t>
            </w:r>
          </w:p>
        </w:tc>
        <w:tc>
          <w:tcPr>
            <w:cnfStyle w:evenVBand="true" w:oddVBand="false" w:firstColumn="false"/>
            <w:tcW w:w="25.000000%" w:type="pct"/>
          </w:tcPr>
          <w:p>
            <w:pPr>
              <w:ind w:leftChars="0" w:left="0" w:right="0"/>
            </w:pPr>
            <w:r>
              <w:t>294</w:t>
            </w:r>
          </w:p>
        </w:tc>
      </w:tr>
      <w:tr>
        <w:trPr>
          <w:cnfStyle w:evenHBand="true" w:oddHBand="false" w:firstRow="false"/>
        </w:trPr>
        <w:tc>
          <w:tcPr>
            <w:cnfStyle w:evenVBand="false" w:oddVBand="true" w:firstColumn="false"/>
            <w:tcW w:w="25.000000%" w:type="pct"/>
          </w:tcPr>
          <w:p>
            <w:pPr>
              <w:ind w:leftChars="0" w:left="0" w:right="0"/>
            </w:pPr>
            <w:r>
              <w:t>BTQG</w:t>
            </w:r>
          </w:p>
        </w:tc>
        <w:tc>
          <w:tcPr>
            <w:cnfStyle w:evenVBand="true" w:oddVBand="false" w:firstColumn="false"/>
            <w:tcW w:w="25.000000%" w:type="pct"/>
          </w:tcPr>
          <w:p>
            <w:pPr>
              <w:ind w:leftChars="0" w:left="0" w:right="0"/>
            </w:pPr>
            <w:r>
              <w:t>BTQG</w:t>
            </w:r>
          </w:p>
        </w:tc>
        <w:tc>
          <w:tcPr>
            <w:cnfStyle w:evenVBand="false" w:oddVBand="true" w:firstColumn="false"/>
            <w:tcW w:w="25.000000%" w:type="pct"/>
          </w:tcPr>
          <w:p>
            <w:pPr>
              <w:ind w:leftChars="0" w:left="0" w:right="0"/>
            </w:pPr>
            <w:r>
              <w:t>BROKERTEC EUROPE LIMITED - RFQ TRADING PROTOCOL</w:t>
            </w:r>
          </w:p>
        </w:tc>
        <w:tc>
          <w:tcPr>
            <w:cnfStyle w:evenVBand="true" w:oddVBand="false" w:firstColumn="false"/>
            <w:tcW w:w="25.000000%" w:type="pct"/>
          </w:tcPr>
          <w:p>
            <w:pPr>
              <w:ind w:leftChars="0" w:left="0" w:right="0"/>
            </w:pPr>
            <w:r>
              <w:t>295</w:t>
            </w:r>
          </w:p>
        </w:tc>
      </w:tr>
      <w:tr>
        <w:trPr>
          <w:cnfStyle w:evenHBand="false" w:oddHBand="true" w:firstRow="false"/>
        </w:trPr>
        <w:tc>
          <w:tcPr>
            <w:cnfStyle w:evenVBand="false" w:oddVBand="true" w:firstColumn="false"/>
            <w:tcW w:w="25.000000%" w:type="pct"/>
          </w:tcPr>
          <w:p>
            <w:pPr>
              <w:ind w:leftChars="0" w:left="0" w:right="0"/>
            </w:pPr>
            <w:r>
              <w:t>BTRL</w:t>
            </w:r>
          </w:p>
        </w:tc>
        <w:tc>
          <w:tcPr>
            <w:cnfStyle w:evenVBand="true" w:oddVBand="false" w:firstColumn="false"/>
            <w:tcW w:w="25.000000%" w:type="pct"/>
          </w:tcPr>
          <w:p>
            <w:pPr>
              <w:ind w:leftChars="0" w:left="0" w:right="0"/>
            </w:pPr>
            <w:r>
              <w:t>BTRL</w:t>
            </w:r>
          </w:p>
        </w:tc>
        <w:tc>
          <w:tcPr>
            <w:cnfStyle w:evenVBand="false" w:oddVBand="true" w:firstColumn="false"/>
            <w:tcW w:w="25.000000%" w:type="pct"/>
          </w:tcPr>
          <w:p>
            <w:pPr>
              <w:ind w:leftChars="0" w:left="0" w:right="0"/>
            </w:pPr>
            <w:r>
              <w:t>BANCA TRANSILVANIA S.A.</w:t>
            </w:r>
          </w:p>
        </w:tc>
        <w:tc>
          <w:tcPr>
            <w:cnfStyle w:evenVBand="true" w:oddVBand="false" w:firstColumn="false"/>
            <w:tcW w:w="25.000000%" w:type="pct"/>
          </w:tcPr>
          <w:p>
            <w:pPr>
              <w:ind w:leftChars="0" w:left="0" w:right="0"/>
            </w:pPr>
            <w:r>
              <w:t>296</w:t>
            </w:r>
          </w:p>
        </w:tc>
      </w:tr>
      <w:tr>
        <w:trPr>
          <w:cnfStyle w:evenHBand="true" w:oddHBand="false" w:firstRow="false"/>
        </w:trPr>
        <w:tc>
          <w:tcPr>
            <w:cnfStyle w:evenVBand="false" w:oddVBand="true" w:firstColumn="false"/>
            <w:tcW w:w="25.000000%" w:type="pct"/>
          </w:tcPr>
          <w:p>
            <w:pPr>
              <w:ind w:leftChars="0" w:left="0" w:right="0"/>
            </w:pPr>
            <w:r>
              <w:t>BTUN</w:t>
            </w:r>
          </w:p>
        </w:tc>
        <w:tc>
          <w:tcPr>
            <w:cnfStyle w:evenVBand="true" w:oddVBand="false" w:firstColumn="false"/>
            <w:tcW w:w="25.000000%" w:type="pct"/>
          </w:tcPr>
          <w:p>
            <w:pPr>
              <w:ind w:leftChars="0" w:left="0" w:right="0"/>
            </w:pPr>
            <w:r>
              <w:t>BTUN</w:t>
            </w:r>
          </w:p>
        </w:tc>
        <w:tc>
          <w:tcPr>
            <w:cnfStyle w:evenVBand="false" w:oddVBand="true" w:firstColumn="false"/>
            <w:tcW w:w="25.000000%" w:type="pct"/>
          </w:tcPr>
          <w:p>
            <w:pPr>
              <w:ind w:leftChars="0" w:left="0" w:right="0"/>
            </w:pPr>
            <w:r>
              <w:t>TUNIS STOCK EXCHANGE (BOURSE DE TUNIS) - BONDS MARKET</w:t>
            </w:r>
          </w:p>
        </w:tc>
        <w:tc>
          <w:tcPr>
            <w:cnfStyle w:evenVBand="true" w:oddVBand="false" w:firstColumn="false"/>
            <w:tcW w:w="25.000000%" w:type="pct"/>
          </w:tcPr>
          <w:p>
            <w:pPr>
              <w:ind w:leftChars="0" w:left="0" w:right="0"/>
            </w:pPr>
            <w:r>
              <w:t>297</w:t>
            </w:r>
          </w:p>
        </w:tc>
      </w:tr>
      <w:tr>
        <w:trPr>
          <w:cnfStyle w:evenHBand="false" w:oddHBand="true" w:firstRow="false"/>
        </w:trPr>
        <w:tc>
          <w:tcPr>
            <w:cnfStyle w:evenVBand="false" w:oddVBand="true" w:firstColumn="false"/>
            <w:tcW w:w="25.000000%" w:type="pct"/>
          </w:tcPr>
          <w:p>
            <w:pPr>
              <w:ind w:leftChars="0" w:left="0" w:right="0"/>
            </w:pPr>
            <w:r>
              <w:t>BULK</w:t>
            </w:r>
          </w:p>
        </w:tc>
        <w:tc>
          <w:tcPr>
            <w:cnfStyle w:evenVBand="true" w:oddVBand="false" w:firstColumn="false"/>
            <w:tcW w:w="25.000000%" w:type="pct"/>
          </w:tcPr>
          <w:p>
            <w:pPr>
              <w:ind w:leftChars="0" w:left="0" w:right="0"/>
            </w:pPr>
            <w:r>
              <w:t>BULK</w:t>
            </w:r>
          </w:p>
        </w:tc>
        <w:tc>
          <w:tcPr>
            <w:cnfStyle w:evenVBand="false" w:oddVBand="true" w:firstColumn="false"/>
            <w:tcW w:w="25.000000%" w:type="pct"/>
          </w:tcPr>
          <w:p>
            <w:pPr>
              <w:ind w:leftChars="0" w:left="0" w:right="0"/>
            </w:pPr>
            <w:r>
              <w:t>NASDAQ COMMODITIES - BULK COMMODITY</w:t>
            </w:r>
          </w:p>
        </w:tc>
        <w:tc>
          <w:tcPr>
            <w:cnfStyle w:evenVBand="true" w:oddVBand="false" w:firstColumn="false"/>
            <w:tcW w:w="25.000000%" w:type="pct"/>
          </w:tcPr>
          <w:p>
            <w:pPr>
              <w:ind w:leftChars="0" w:left="0" w:right="0"/>
            </w:pPr>
            <w:r>
              <w:t>298</w:t>
            </w:r>
          </w:p>
        </w:tc>
      </w:tr>
      <w:tr>
        <w:trPr>
          <w:cnfStyle w:evenHBand="true" w:oddHBand="false" w:firstRow="false"/>
        </w:trPr>
        <w:tc>
          <w:tcPr>
            <w:cnfStyle w:evenVBand="false" w:oddVBand="true" w:firstColumn="false"/>
            <w:tcW w:w="25.000000%" w:type="pct"/>
          </w:tcPr>
          <w:p>
            <w:pPr>
              <w:ind w:leftChars="0" w:left="0" w:right="0"/>
            </w:pPr>
            <w:r>
              <w:t>BURG</w:t>
            </w:r>
          </w:p>
        </w:tc>
        <w:tc>
          <w:tcPr>
            <w:cnfStyle w:evenVBand="true" w:oddVBand="false" w:firstColumn="false"/>
            <w:tcW w:w="25.000000%" w:type="pct"/>
          </w:tcPr>
          <w:p>
            <w:pPr>
              <w:ind w:leftChars="0" w:left="0" w:right="0"/>
            </w:pPr>
            <w:r>
              <w:t>BURG</w:t>
            </w:r>
          </w:p>
        </w:tc>
        <w:tc>
          <w:tcPr>
            <w:cnfStyle w:evenVBand="false" w:oddVBand="true" w:firstColumn="false"/>
            <w:tcW w:w="25.000000%" w:type="pct"/>
          </w:tcPr>
          <w:p>
            <w:pPr>
              <w:ind w:leftChars="0" w:left="0" w:right="0"/>
            </w:pPr>
            <w:r>
              <w:t>BURGUNDY NORDIC MTF</w:t>
            </w:r>
          </w:p>
        </w:tc>
        <w:tc>
          <w:tcPr>
            <w:cnfStyle w:evenVBand="true" w:oddVBand="false" w:firstColumn="false"/>
            <w:tcW w:w="25.000000%" w:type="pct"/>
          </w:tcPr>
          <w:p>
            <w:pPr>
              <w:ind w:leftChars="0" w:left="0" w:right="0"/>
            </w:pPr>
            <w:r>
              <w:t>299</w:t>
            </w:r>
          </w:p>
        </w:tc>
      </w:tr>
      <w:tr>
        <w:trPr>
          <w:cnfStyle w:evenHBand="false" w:oddHBand="true" w:firstRow="false"/>
        </w:trPr>
        <w:tc>
          <w:tcPr>
            <w:cnfStyle w:evenVBand="false" w:oddVBand="true" w:firstColumn="false"/>
            <w:tcW w:w="25.000000%" w:type="pct"/>
          </w:tcPr>
          <w:p>
            <w:pPr>
              <w:ind w:leftChars="0" w:left="0" w:right="0"/>
            </w:pPr>
            <w:r>
              <w:t>BURM</w:t>
            </w:r>
          </w:p>
        </w:tc>
        <w:tc>
          <w:tcPr>
            <w:cnfStyle w:evenVBand="true" w:oddVBand="false" w:firstColumn="false"/>
            <w:tcW w:w="25.000000%" w:type="pct"/>
          </w:tcPr>
          <w:p>
            <w:pPr>
              <w:ind w:leftChars="0" w:left="0" w:right="0"/>
            </w:pPr>
            <w:r>
              <w:t>BURM</w:t>
            </w:r>
          </w:p>
        </w:tc>
        <w:tc>
          <w:tcPr>
            <w:cnfStyle w:evenVBand="false" w:oddVBand="true" w:firstColumn="false"/>
            <w:tcW w:w="25.000000%" w:type="pct"/>
          </w:tcPr>
          <w:p>
            <w:pPr>
              <w:ind w:leftChars="0" w:left="0" w:right="0"/>
            </w:pPr>
            <w:r>
              <w:t>BURGUNDY REGULATED MARKET</w:t>
            </w:r>
          </w:p>
        </w:tc>
        <w:tc>
          <w:tcPr>
            <w:cnfStyle w:evenVBand="true" w:oddVBand="false" w:firstColumn="false"/>
            <w:tcW w:w="25.000000%" w:type="pct"/>
          </w:tcPr>
          <w:p>
            <w:pPr>
              <w:ind w:leftChars="0" w:left="0" w:right="0"/>
            </w:pPr>
            <w:r>
              <w:t>300</w:t>
            </w:r>
          </w:p>
        </w:tc>
      </w:tr>
      <w:tr>
        <w:trPr>
          <w:cnfStyle w:evenHBand="true" w:oddHBand="false" w:firstRow="false"/>
        </w:trPr>
        <w:tc>
          <w:tcPr>
            <w:cnfStyle w:evenVBand="false" w:oddVBand="true" w:firstColumn="false"/>
            <w:tcW w:w="25.000000%" w:type="pct"/>
          </w:tcPr>
          <w:p>
            <w:pPr>
              <w:ind w:leftChars="0" w:left="0" w:right="0"/>
            </w:pPr>
            <w:r>
              <w:t>BUYN</w:t>
            </w:r>
          </w:p>
        </w:tc>
        <w:tc>
          <w:tcPr>
            <w:cnfStyle w:evenVBand="true" w:oddVBand="false" w:firstColumn="false"/>
            <w:tcW w:w="25.000000%" w:type="pct"/>
          </w:tcPr>
          <w:p>
            <w:pPr>
              <w:ind w:leftChars="0" w:left="0" w:right="0"/>
            </w:pPr>
            <w:r>
              <w:t>BUYN</w:t>
            </w:r>
          </w:p>
        </w:tc>
        <w:tc>
          <w:tcPr>
            <w:cnfStyle w:evenVBand="false" w:oddVBand="true" w:firstColumn="false"/>
            <w:tcW w:w="25.000000%" w:type="pct"/>
          </w:tcPr>
          <w:p>
            <w:pPr>
              <w:ind w:leftChars="0" w:left="0" w:right="0"/>
            </w:pPr>
            <w:r>
              <w:t>LCH LTD - BUY IN</w:t>
            </w:r>
          </w:p>
        </w:tc>
        <w:tc>
          <w:tcPr>
            <w:cnfStyle w:evenVBand="true" w:oddVBand="false" w:firstColumn="false"/>
            <w:tcW w:w="25.000000%" w:type="pct"/>
          </w:tcPr>
          <w:p>
            <w:pPr>
              <w:ind w:leftChars="0" w:left="0" w:right="0"/>
            </w:pPr>
            <w:r>
              <w:t>301</w:t>
            </w:r>
          </w:p>
        </w:tc>
      </w:tr>
      <w:tr>
        <w:trPr>
          <w:cnfStyle w:evenHBand="false" w:oddHBand="true" w:firstRow="false"/>
        </w:trPr>
        <w:tc>
          <w:tcPr>
            <w:cnfStyle w:evenVBand="false" w:oddVBand="true" w:firstColumn="false"/>
            <w:tcW w:w="25.000000%" w:type="pct"/>
          </w:tcPr>
          <w:p>
            <w:pPr>
              <w:ind w:leftChars="0" w:left="0" w:right="0"/>
            </w:pPr>
            <w:r>
              <w:t>BVCA</w:t>
            </w:r>
          </w:p>
        </w:tc>
        <w:tc>
          <w:tcPr>
            <w:cnfStyle w:evenVBand="true" w:oddVBand="false" w:firstColumn="false"/>
            <w:tcW w:w="25.000000%" w:type="pct"/>
          </w:tcPr>
          <w:p>
            <w:pPr>
              <w:ind w:leftChars="0" w:left="0" w:right="0"/>
            </w:pPr>
            <w:r>
              <w:t>BVCA</w:t>
            </w:r>
          </w:p>
        </w:tc>
        <w:tc>
          <w:tcPr>
            <w:cnfStyle w:evenVBand="false" w:oddVBand="true" w:firstColumn="false"/>
            <w:tcW w:w="25.000000%" w:type="pct"/>
          </w:tcPr>
          <w:p>
            <w:pPr>
              <w:ind w:leftChars="0" w:left="0" w:right="0"/>
            </w:pPr>
            <w:r>
              <w:t>CARACAS STOCK EXCHANGE</w:t>
            </w:r>
          </w:p>
        </w:tc>
        <w:tc>
          <w:tcPr>
            <w:cnfStyle w:evenVBand="true" w:oddVBand="false" w:firstColumn="false"/>
            <w:tcW w:w="25.000000%" w:type="pct"/>
          </w:tcPr>
          <w:p>
            <w:pPr>
              <w:ind w:leftChars="0" w:left="0" w:right="0"/>
            </w:pPr>
            <w:r>
              <w:t>302</w:t>
            </w:r>
          </w:p>
        </w:tc>
      </w:tr>
      <w:tr>
        <w:trPr>
          <w:cnfStyle w:evenHBand="true" w:oddHBand="false" w:firstRow="false"/>
        </w:trPr>
        <w:tc>
          <w:tcPr>
            <w:cnfStyle w:evenVBand="false" w:oddVBand="true" w:firstColumn="false"/>
            <w:tcW w:w="25.000000%" w:type="pct"/>
          </w:tcPr>
          <w:p>
            <w:pPr>
              <w:ind w:leftChars="0" w:left="0" w:right="0"/>
            </w:pPr>
            <w:r>
              <w:t>BVMF</w:t>
            </w:r>
          </w:p>
        </w:tc>
        <w:tc>
          <w:tcPr>
            <w:cnfStyle w:evenVBand="true" w:oddVBand="false" w:firstColumn="false"/>
            <w:tcW w:w="25.000000%" w:type="pct"/>
          </w:tcPr>
          <w:p>
            <w:pPr>
              <w:ind w:leftChars="0" w:left="0" w:right="0"/>
            </w:pPr>
            <w:r>
              <w:t>BVMF</w:t>
            </w:r>
          </w:p>
        </w:tc>
        <w:tc>
          <w:tcPr>
            <w:cnfStyle w:evenVBand="false" w:oddVBand="true" w:firstColumn="false"/>
            <w:tcW w:w="25.000000%" w:type="pct"/>
          </w:tcPr>
          <w:p>
            <w:pPr>
              <w:ind w:leftChars="0" w:left="0" w:right="0"/>
            </w:pPr>
            <w:r>
              <w:t>B3 S.A. - BRASIL BOLSA BALCAO</w:t>
            </w:r>
          </w:p>
        </w:tc>
        <w:tc>
          <w:tcPr>
            <w:cnfStyle w:evenVBand="true" w:oddVBand="false" w:firstColumn="false"/>
            <w:tcW w:w="25.000000%" w:type="pct"/>
          </w:tcPr>
          <w:p>
            <w:pPr>
              <w:ind w:leftChars="0" w:left="0" w:right="0"/>
            </w:pPr>
            <w:r>
              <w:t>303</w:t>
            </w:r>
          </w:p>
        </w:tc>
      </w:tr>
      <w:tr>
        <w:trPr>
          <w:cnfStyle w:evenHBand="false" w:oddHBand="true" w:firstRow="false"/>
        </w:trPr>
        <w:tc>
          <w:tcPr>
            <w:cnfStyle w:evenVBand="false" w:oddVBand="true" w:firstColumn="false"/>
            <w:tcW w:w="25.000000%" w:type="pct"/>
          </w:tcPr>
          <w:p>
            <w:pPr>
              <w:ind w:leftChars="0" w:left="0" w:right="0"/>
            </w:pPr>
            <w:r>
              <w:t>BVUK</w:t>
            </w:r>
          </w:p>
        </w:tc>
        <w:tc>
          <w:tcPr>
            <w:cnfStyle w:evenVBand="true" w:oddVBand="false" w:firstColumn="false"/>
            <w:tcW w:w="25.000000%" w:type="pct"/>
          </w:tcPr>
          <w:p>
            <w:pPr>
              <w:ind w:leftChars="0" w:left="0" w:right="0"/>
            </w:pPr>
            <w:r>
              <w:t>BVUK</w:t>
            </w:r>
          </w:p>
        </w:tc>
        <w:tc>
          <w:tcPr>
            <w:cnfStyle w:evenVBand="false" w:oddVBand="true" w:firstColumn="false"/>
            <w:tcW w:w="25.000000%" w:type="pct"/>
          </w:tcPr>
          <w:p>
            <w:pPr>
              <w:ind w:leftChars="0" w:left="0" w:right="0"/>
            </w:pPr>
            <w:r>
              <w:t>BONDVISION UK</w:t>
            </w:r>
          </w:p>
        </w:tc>
        <w:tc>
          <w:tcPr>
            <w:cnfStyle w:evenVBand="true" w:oddVBand="false" w:firstColumn="false"/>
            <w:tcW w:w="25.000000%" w:type="pct"/>
          </w:tcPr>
          <w:p>
            <w:pPr>
              <w:ind w:leftChars="0" w:left="0" w:right="0"/>
            </w:pPr>
            <w:r>
              <w:t>304</w:t>
            </w:r>
          </w:p>
        </w:tc>
      </w:tr>
      <w:tr>
        <w:trPr>
          <w:cnfStyle w:evenHBand="true" w:oddHBand="false" w:firstRow="false"/>
        </w:trPr>
        <w:tc>
          <w:tcPr>
            <w:cnfStyle w:evenVBand="false" w:oddVBand="true" w:firstColumn="false"/>
            <w:tcW w:w="25.000000%" w:type="pct"/>
          </w:tcPr>
          <w:p>
            <w:pPr>
              <w:ind w:leftChars="0" w:left="0" w:right="0"/>
            </w:pPr>
            <w:r>
              <w:t>BVUR</w:t>
            </w:r>
          </w:p>
        </w:tc>
        <w:tc>
          <w:tcPr>
            <w:cnfStyle w:evenVBand="true" w:oddVBand="false" w:firstColumn="false"/>
            <w:tcW w:w="25.000000%" w:type="pct"/>
          </w:tcPr>
          <w:p>
            <w:pPr>
              <w:ind w:leftChars="0" w:left="0" w:right="0"/>
            </w:pPr>
            <w:r>
              <w:t>BVUR</w:t>
            </w:r>
          </w:p>
        </w:tc>
        <w:tc>
          <w:tcPr>
            <w:cnfStyle w:evenVBand="false" w:oddVBand="true" w:firstColumn="false"/>
            <w:tcW w:w="25.000000%" w:type="pct"/>
          </w:tcPr>
          <w:p>
            <w:pPr>
              <w:ind w:leftChars="0" w:left="0" w:right="0"/>
            </w:pPr>
            <w:r>
              <w:t>BOLSA ELECTRONICA DE VALORES DEL URUGUAY</w:t>
            </w:r>
          </w:p>
        </w:tc>
        <w:tc>
          <w:tcPr>
            <w:cnfStyle w:evenVBand="true" w:oddVBand="false" w:firstColumn="false"/>
            <w:tcW w:w="25.000000%" w:type="pct"/>
          </w:tcPr>
          <w:p>
            <w:pPr>
              <w:ind w:leftChars="0" w:left="0" w:right="0"/>
            </w:pPr>
            <w:r>
              <w:t>305</w:t>
            </w:r>
          </w:p>
        </w:tc>
      </w:tr>
      <w:tr>
        <w:trPr>
          <w:cnfStyle w:evenHBand="false" w:oddHBand="true" w:firstRow="false"/>
        </w:trPr>
        <w:tc>
          <w:tcPr>
            <w:cnfStyle w:evenVBand="false" w:oddVBand="true" w:firstColumn="false"/>
            <w:tcW w:w="25.000000%" w:type="pct"/>
          </w:tcPr>
          <w:p>
            <w:pPr>
              <w:ind w:leftChars="0" w:left="0" w:right="0"/>
            </w:pPr>
            <w:r>
              <w:t>BVUS</w:t>
            </w:r>
          </w:p>
        </w:tc>
        <w:tc>
          <w:tcPr>
            <w:cnfStyle w:evenVBand="true" w:oddVBand="false" w:firstColumn="false"/>
            <w:tcW w:w="25.000000%" w:type="pct"/>
          </w:tcPr>
          <w:p>
            <w:pPr>
              <w:ind w:leftChars="0" w:left="0" w:right="0"/>
            </w:pPr>
            <w:r>
              <w:t>BVUS</w:t>
            </w:r>
          </w:p>
        </w:tc>
        <w:tc>
          <w:tcPr>
            <w:cnfStyle w:evenVBand="false" w:oddVBand="true" w:firstColumn="false"/>
            <w:tcW w:w="25.000000%" w:type="pct"/>
          </w:tcPr>
          <w:p>
            <w:pPr>
              <w:ind w:leftChars="0" w:left="0" w:right="0"/>
            </w:pPr>
            <w:r>
              <w:t>BONDVISION US</w:t>
            </w:r>
          </w:p>
        </w:tc>
        <w:tc>
          <w:tcPr>
            <w:cnfStyle w:evenVBand="true" w:oddVBand="false" w:firstColumn="false"/>
            <w:tcW w:w="25.000000%" w:type="pct"/>
          </w:tcPr>
          <w:p>
            <w:pPr>
              <w:ind w:leftChars="0" w:left="0" w:right="0"/>
            </w:pPr>
            <w:r>
              <w:t>306</w:t>
            </w:r>
          </w:p>
        </w:tc>
      </w:tr>
      <w:tr>
        <w:trPr>
          <w:cnfStyle w:evenHBand="true" w:oddHBand="false" w:firstRow="false"/>
        </w:trPr>
        <w:tc>
          <w:tcPr>
            <w:cnfStyle w:evenVBand="false" w:oddVBand="true" w:firstColumn="false"/>
            <w:tcW w:w="25.000000%" w:type="pct"/>
          </w:tcPr>
          <w:p>
            <w:pPr>
              <w:ind w:leftChars="0" w:left="0" w:right="0"/>
            </w:pPr>
            <w:r>
              <w:t>BYXD</w:t>
            </w:r>
          </w:p>
        </w:tc>
        <w:tc>
          <w:tcPr>
            <w:cnfStyle w:evenVBand="true" w:oddVBand="false" w:firstColumn="false"/>
            <w:tcW w:w="25.000000%" w:type="pct"/>
          </w:tcPr>
          <w:p>
            <w:pPr>
              <w:ind w:leftChars="0" w:left="0" w:right="0"/>
            </w:pPr>
            <w:r>
              <w:t>BYXD</w:t>
            </w:r>
          </w:p>
        </w:tc>
        <w:tc>
          <w:tcPr>
            <w:cnfStyle w:evenVBand="false" w:oddVBand="true" w:firstColumn="false"/>
            <w:tcW w:w="25.000000%" w:type="pct"/>
          </w:tcPr>
          <w:p>
            <w:pPr>
              <w:ind w:leftChars="0" w:left="0" w:right="0"/>
            </w:pPr>
            <w:r>
              <w:t>CBOE BYX U.S. EQUITIES EXCHANGE DARK</w:t>
            </w:r>
          </w:p>
        </w:tc>
        <w:tc>
          <w:tcPr>
            <w:cnfStyle w:evenVBand="true" w:oddVBand="false" w:firstColumn="false"/>
            <w:tcW w:w="25.000000%" w:type="pct"/>
          </w:tcPr>
          <w:p>
            <w:pPr>
              <w:ind w:leftChars="0" w:left="0" w:right="0"/>
            </w:pPr>
            <w:r>
              <w:t>307</w:t>
            </w:r>
          </w:p>
        </w:tc>
      </w:tr>
      <w:tr>
        <w:trPr>
          <w:cnfStyle w:evenHBand="false" w:oddHBand="true" w:firstRow="false"/>
        </w:trPr>
        <w:tc>
          <w:tcPr>
            <w:cnfStyle w:evenVBand="false" w:oddVBand="true" w:firstColumn="false"/>
            <w:tcW w:w="25.000000%" w:type="pct"/>
          </w:tcPr>
          <w:p>
            <w:pPr>
              <w:ind w:leftChars="0" w:left="0" w:right="0"/>
            </w:pPr>
            <w:r>
              <w:t>BZXD</w:t>
            </w:r>
          </w:p>
        </w:tc>
        <w:tc>
          <w:tcPr>
            <w:cnfStyle w:evenVBand="true" w:oddVBand="false" w:firstColumn="false"/>
            <w:tcW w:w="25.000000%" w:type="pct"/>
          </w:tcPr>
          <w:p>
            <w:pPr>
              <w:ind w:leftChars="0" w:left="0" w:right="0"/>
            </w:pPr>
            <w:r>
              <w:t>BZXD</w:t>
            </w:r>
          </w:p>
        </w:tc>
        <w:tc>
          <w:tcPr>
            <w:cnfStyle w:evenVBand="false" w:oddVBand="true" w:firstColumn="false"/>
            <w:tcW w:w="25.000000%" w:type="pct"/>
          </w:tcPr>
          <w:p>
            <w:pPr>
              <w:ind w:leftChars="0" w:left="0" w:right="0"/>
            </w:pPr>
            <w:r>
              <w:t>CBOE BZX U.S. EQUITIES EXCHANGE DARK</w:t>
            </w:r>
          </w:p>
        </w:tc>
        <w:tc>
          <w:tcPr>
            <w:cnfStyle w:evenVBand="true" w:oddVBand="false" w:firstColumn="false"/>
            <w:tcW w:w="25.000000%" w:type="pct"/>
          </w:tcPr>
          <w:p>
            <w:pPr>
              <w:ind w:leftChars="0" w:left="0" w:right="0"/>
            </w:pPr>
            <w:r>
              <w:t>308</w:t>
            </w:r>
          </w:p>
        </w:tc>
      </w:tr>
      <w:tr>
        <w:trPr>
          <w:cnfStyle w:evenHBand="true" w:oddHBand="false" w:firstRow="false"/>
        </w:trPr>
        <w:tc>
          <w:tcPr>
            <w:cnfStyle w:evenVBand="false" w:oddVBand="true" w:firstColumn="false"/>
            <w:tcW w:w="25.000000%" w:type="pct"/>
          </w:tcPr>
          <w:p>
            <w:pPr>
              <w:ind w:leftChars="0" w:left="0" w:right="0"/>
            </w:pPr>
            <w:r>
              <w:t>C2OX</w:t>
            </w:r>
          </w:p>
        </w:tc>
        <w:tc>
          <w:tcPr>
            <w:cnfStyle w:evenVBand="true" w:oddVBand="false" w:firstColumn="false"/>
            <w:tcW w:w="25.000000%" w:type="pct"/>
          </w:tcPr>
          <w:p>
            <w:pPr>
              <w:ind w:leftChars="0" w:left="0" w:right="0"/>
            </w:pPr>
            <w:r>
              <w:t>C2OX</w:t>
            </w:r>
          </w:p>
        </w:tc>
        <w:tc>
          <w:tcPr>
            <w:cnfStyle w:evenVBand="false" w:oddVBand="true" w:firstColumn="false"/>
            <w:tcW w:w="25.000000%" w:type="pct"/>
          </w:tcPr>
          <w:p>
            <w:pPr>
              <w:ind w:leftChars="0" w:left="0" w:right="0"/>
            </w:pPr>
            <w:r>
              <w:t>CBOE C2 OPTIONS EXCHANGE</w:t>
            </w:r>
          </w:p>
        </w:tc>
        <w:tc>
          <w:tcPr>
            <w:cnfStyle w:evenVBand="true" w:oddVBand="false" w:firstColumn="false"/>
            <w:tcW w:w="25.000000%" w:type="pct"/>
          </w:tcPr>
          <w:p>
            <w:pPr>
              <w:ind w:leftChars="0" w:left="0" w:right="0"/>
            </w:pPr>
            <w:r>
              <w:t>309</w:t>
            </w:r>
          </w:p>
        </w:tc>
      </w:tr>
      <w:tr>
        <w:trPr>
          <w:cnfStyle w:evenHBand="false" w:oddHBand="true" w:firstRow="false"/>
        </w:trPr>
        <w:tc>
          <w:tcPr>
            <w:cnfStyle w:evenVBand="false" w:oddVBand="true" w:firstColumn="false"/>
            <w:tcW w:w="25.000000%" w:type="pct"/>
          </w:tcPr>
          <w:p>
            <w:pPr>
              <w:ind w:leftChars="0" w:left="0" w:right="0"/>
            </w:pPr>
            <w:r>
              <w:t>CABK</w:t>
            </w:r>
          </w:p>
        </w:tc>
        <w:tc>
          <w:tcPr>
            <w:cnfStyle w:evenVBand="true" w:oddVBand="false" w:firstColumn="false"/>
            <w:tcW w:w="25.000000%" w:type="pct"/>
          </w:tcPr>
          <w:p>
            <w:pPr>
              <w:ind w:leftChars="0" w:left="0" w:right="0"/>
            </w:pPr>
            <w:r>
              <w:t>CABK</w:t>
            </w:r>
          </w:p>
        </w:tc>
        <w:tc>
          <w:tcPr>
            <w:cnfStyle w:evenVBand="false" w:oddVBand="true" w:firstColumn="false"/>
            <w:tcW w:w="25.000000%" w:type="pct"/>
          </w:tcPr>
          <w:p>
            <w:pPr>
              <w:ind w:leftChars="0" w:left="0" w:right="0"/>
            </w:pPr>
            <w:r>
              <w:t>CAIXABANK - SYSTEMATIC INTERNALISER</w:t>
            </w:r>
          </w:p>
        </w:tc>
        <w:tc>
          <w:tcPr>
            <w:cnfStyle w:evenVBand="true" w:oddVBand="false" w:firstColumn="false"/>
            <w:tcW w:w="25.000000%" w:type="pct"/>
          </w:tcPr>
          <w:p>
            <w:pPr>
              <w:ind w:leftChars="0" w:left="0" w:right="0"/>
            </w:pPr>
            <w:r>
              <w:t>310</w:t>
            </w:r>
          </w:p>
        </w:tc>
      </w:tr>
      <w:tr>
        <w:trPr>
          <w:cnfStyle w:evenHBand="true" w:oddHBand="false" w:firstRow="false"/>
        </w:trPr>
        <w:tc>
          <w:tcPr>
            <w:cnfStyle w:evenVBand="false" w:oddVBand="true" w:firstColumn="false"/>
            <w:tcW w:w="25.000000%" w:type="pct"/>
          </w:tcPr>
          <w:p>
            <w:pPr>
              <w:ind w:leftChars="0" w:left="0" w:right="0"/>
            </w:pPr>
            <w:r>
              <w:t>CABV</w:t>
            </w:r>
          </w:p>
        </w:tc>
        <w:tc>
          <w:tcPr>
            <w:cnfStyle w:evenVBand="true" w:oddVBand="false" w:firstColumn="false"/>
            <w:tcW w:w="25.000000%" w:type="pct"/>
          </w:tcPr>
          <w:p>
            <w:pPr>
              <w:ind w:leftChars="0" w:left="0" w:right="0"/>
            </w:pPr>
            <w:r>
              <w:t>CABV</w:t>
            </w:r>
          </w:p>
        </w:tc>
        <w:tc>
          <w:tcPr>
            <w:cnfStyle w:evenVBand="false" w:oddVBand="true" w:firstColumn="false"/>
            <w:tcW w:w="25.000000%" w:type="pct"/>
          </w:tcPr>
          <w:p>
            <w:pPr>
              <w:ind w:leftChars="0" w:left="0" w:right="0"/>
            </w:pPr>
            <w:r>
              <w:t>CME AMSTERDAM B.V. - APA</w:t>
            </w:r>
          </w:p>
        </w:tc>
        <w:tc>
          <w:tcPr>
            <w:cnfStyle w:evenVBand="true" w:oddVBand="false" w:firstColumn="false"/>
            <w:tcW w:w="25.000000%" w:type="pct"/>
          </w:tcPr>
          <w:p>
            <w:pPr>
              <w:ind w:leftChars="0" w:left="0" w:right="0"/>
            </w:pPr>
            <w:r>
              <w:t>311</w:t>
            </w:r>
          </w:p>
        </w:tc>
      </w:tr>
      <w:tr>
        <w:trPr>
          <w:cnfStyle w:evenHBand="false" w:oddHBand="true" w:firstRow="false"/>
        </w:trPr>
        <w:tc>
          <w:tcPr>
            <w:cnfStyle w:evenVBand="false" w:oddVBand="true" w:firstColumn="false"/>
            <w:tcW w:w="25.000000%" w:type="pct"/>
          </w:tcPr>
          <w:p>
            <w:pPr>
              <w:ind w:leftChars="0" w:left="0" w:right="0"/>
            </w:pPr>
            <w:r>
              <w:t>CAES</w:t>
            </w:r>
          </w:p>
        </w:tc>
        <w:tc>
          <w:tcPr>
            <w:cnfStyle w:evenVBand="true" w:oddVBand="false" w:firstColumn="false"/>
            <w:tcW w:w="25.000000%" w:type="pct"/>
          </w:tcPr>
          <w:p>
            <w:pPr>
              <w:ind w:leftChars="0" w:left="0" w:right="0"/>
            </w:pPr>
            <w:r>
              <w:t>CAES</w:t>
            </w:r>
          </w:p>
        </w:tc>
        <w:tc>
          <w:tcPr>
            <w:cnfStyle w:evenVBand="false" w:oddVBand="true" w:firstColumn="false"/>
            <w:tcW w:w="25.000000%" w:type="pct"/>
          </w:tcPr>
          <w:p>
            <w:pPr>
              <w:ind w:leftChars="0" w:left="0" w:right="0"/>
            </w:pPr>
            <w:r>
              <w:t>CREDIT SUISSE AES CROSSFINDER</w:t>
            </w:r>
          </w:p>
        </w:tc>
        <w:tc>
          <w:tcPr>
            <w:cnfStyle w:evenVBand="true" w:oddVBand="false" w:firstColumn="false"/>
            <w:tcW w:w="25.000000%" w:type="pct"/>
          </w:tcPr>
          <w:p>
            <w:pPr>
              <w:ind w:leftChars="0" w:left="0" w:right="0"/>
            </w:pPr>
            <w:r>
              <w:t>312</w:t>
            </w:r>
          </w:p>
        </w:tc>
      </w:tr>
      <w:tr>
        <w:trPr>
          <w:cnfStyle w:evenHBand="true" w:oddHBand="false" w:firstRow="false"/>
        </w:trPr>
        <w:tc>
          <w:tcPr>
            <w:cnfStyle w:evenVBand="false" w:oddVBand="true" w:firstColumn="false"/>
            <w:tcW w:w="25.000000%" w:type="pct"/>
          </w:tcPr>
          <w:p>
            <w:pPr>
              <w:ind w:leftChars="0" w:left="0" w:right="0"/>
            </w:pPr>
            <w:r>
              <w:t>CALH</w:t>
            </w:r>
          </w:p>
        </w:tc>
        <w:tc>
          <w:tcPr>
            <w:cnfStyle w:evenVBand="true" w:oddVBand="false" w:firstColumn="false"/>
            <w:tcW w:w="25.000000%" w:type="pct"/>
          </w:tcPr>
          <w:p>
            <w:pPr>
              <w:ind w:leftChars="0" w:left="0" w:right="0"/>
            </w:pPr>
            <w:r>
              <w:t>CALH</w:t>
            </w:r>
          </w:p>
        </w:tc>
        <w:tc>
          <w:tcPr>
            <w:cnfStyle w:evenVBand="false" w:oddVBand="true" w:firstColumn="false"/>
            <w:tcW w:w="25.000000%" w:type="pct"/>
          </w:tcPr>
          <w:p>
            <w:pPr>
              <w:ind w:leftChars="0" w:left="0" w:right="0"/>
            </w:pPr>
            <w:r>
              <w:t>CLSA AMERICAS - LIQUIDITY HUB</w:t>
            </w:r>
          </w:p>
        </w:tc>
        <w:tc>
          <w:tcPr>
            <w:cnfStyle w:evenVBand="true" w:oddVBand="false" w:firstColumn="false"/>
            <w:tcW w:w="25.000000%" w:type="pct"/>
          </w:tcPr>
          <w:p>
            <w:pPr>
              <w:ind w:leftChars="0" w:left="0" w:right="0"/>
            </w:pPr>
            <w:r>
              <w:t>313</w:t>
            </w:r>
          </w:p>
        </w:tc>
      </w:tr>
      <w:tr>
        <w:trPr>
          <w:cnfStyle w:evenHBand="false" w:oddHBand="true" w:firstRow="false"/>
        </w:trPr>
        <w:tc>
          <w:tcPr>
            <w:cnfStyle w:evenVBand="false" w:oddVBand="true" w:firstColumn="false"/>
            <w:tcW w:w="25.000000%" w:type="pct"/>
          </w:tcPr>
          <w:p>
            <w:pPr>
              <w:ind w:leftChars="0" w:left="0" w:right="0"/>
            </w:pPr>
            <w:r>
              <w:t>CAND</w:t>
            </w:r>
          </w:p>
        </w:tc>
        <w:tc>
          <w:tcPr>
            <w:cnfStyle w:evenVBand="true" w:oddVBand="false" w:firstColumn="false"/>
            <w:tcW w:w="25.000000%" w:type="pct"/>
          </w:tcPr>
          <w:p>
            <w:pPr>
              <w:ind w:leftChars="0" w:left="0" w:right="0"/>
            </w:pPr>
            <w:r>
              <w:t>CAND</w:t>
            </w:r>
          </w:p>
        </w:tc>
        <w:tc>
          <w:tcPr>
            <w:cnfStyle w:evenVBand="false" w:oddVBand="true" w:firstColumn="false"/>
            <w:tcW w:w="25.000000%" w:type="pct"/>
          </w:tcPr>
          <w:p>
            <w:pPr>
              <w:ind w:leftChars="0" w:left="0" w:right="0"/>
            </w:pPr>
            <w:r>
              <w:t>CANDEAL.CA INC</w:t>
            </w:r>
          </w:p>
        </w:tc>
        <w:tc>
          <w:tcPr>
            <w:cnfStyle w:evenVBand="true" w:oddVBand="false" w:firstColumn="false"/>
            <w:tcW w:w="25.000000%" w:type="pct"/>
          </w:tcPr>
          <w:p>
            <w:pPr>
              <w:ind w:leftChars="0" w:left="0" w:right="0"/>
            </w:pPr>
            <w:r>
              <w:t>314</w:t>
            </w:r>
          </w:p>
        </w:tc>
      </w:tr>
      <w:tr>
        <w:trPr>
          <w:cnfStyle w:evenHBand="true" w:oddHBand="false" w:firstRow="false"/>
        </w:trPr>
        <w:tc>
          <w:tcPr>
            <w:cnfStyle w:evenVBand="false" w:oddVBand="true" w:firstColumn="false"/>
            <w:tcW w:w="25.000000%" w:type="pct"/>
          </w:tcPr>
          <w:p>
            <w:pPr>
              <w:ind w:leftChars="0" w:left="0" w:right="0"/>
            </w:pPr>
            <w:r>
              <w:t>CANX</w:t>
            </w:r>
          </w:p>
        </w:tc>
        <w:tc>
          <w:tcPr>
            <w:cnfStyle w:evenVBand="true" w:oddVBand="false" w:firstColumn="false"/>
            <w:tcW w:w="25.000000%" w:type="pct"/>
          </w:tcPr>
          <w:p>
            <w:pPr>
              <w:ind w:leftChars="0" w:left="0" w:right="0"/>
            </w:pPr>
            <w:r>
              <w:t>CANX</w:t>
            </w:r>
          </w:p>
        </w:tc>
        <w:tc>
          <w:tcPr>
            <w:cnfStyle w:evenVBand="false" w:oddVBand="true" w:firstColumn="false"/>
            <w:tcW w:w="25.000000%" w:type="pct"/>
          </w:tcPr>
          <w:p>
            <w:pPr>
              <w:ind w:leftChars="0" w:left="0" w:right="0"/>
            </w:pPr>
            <w:r>
              <w:t>CANNEX FINANCIAL EXCHANGE LTS</w:t>
            </w:r>
          </w:p>
        </w:tc>
        <w:tc>
          <w:tcPr>
            <w:cnfStyle w:evenVBand="true" w:oddVBand="false" w:firstColumn="false"/>
            <w:tcW w:w="25.000000%" w:type="pct"/>
          </w:tcPr>
          <w:p>
            <w:pPr>
              <w:ind w:leftChars="0" w:left="0" w:right="0"/>
            </w:pPr>
            <w:r>
              <w:t>315</w:t>
            </w:r>
          </w:p>
        </w:tc>
      </w:tr>
      <w:tr>
        <w:trPr>
          <w:cnfStyle w:evenHBand="false" w:oddHBand="true" w:firstRow="false"/>
        </w:trPr>
        <w:tc>
          <w:tcPr>
            <w:cnfStyle w:evenVBand="false" w:oddVBand="true" w:firstColumn="false"/>
            <w:tcW w:w="25.000000%" w:type="pct"/>
          </w:tcPr>
          <w:p>
            <w:pPr>
              <w:ind w:leftChars="0" w:left="0" w:right="0"/>
            </w:pPr>
            <w:r>
              <w:t>CAPA</w:t>
            </w:r>
          </w:p>
        </w:tc>
        <w:tc>
          <w:tcPr>
            <w:cnfStyle w:evenVBand="true" w:oddVBand="false" w:firstColumn="false"/>
            <w:tcW w:w="25.000000%" w:type="pct"/>
          </w:tcPr>
          <w:p>
            <w:pPr>
              <w:ind w:leftChars="0" w:left="0" w:right="0"/>
            </w:pPr>
            <w:r>
              <w:t>CAPA</w:t>
            </w:r>
          </w:p>
        </w:tc>
        <w:tc>
          <w:tcPr>
            <w:cnfStyle w:evenVBand="false" w:oddVBand="true" w:firstColumn="false"/>
            <w:tcW w:w="25.000000%" w:type="pct"/>
          </w:tcPr>
          <w:p>
            <w:pPr>
              <w:ind w:leftChars="0" w:left="0" w:right="0"/>
            </w:pPr>
            <w:r>
              <w:t>CBOE EUROPE - APA (NL)</w:t>
            </w:r>
          </w:p>
        </w:tc>
        <w:tc>
          <w:tcPr>
            <w:cnfStyle w:evenVBand="true" w:oddVBand="false" w:firstColumn="false"/>
            <w:tcW w:w="25.000000%" w:type="pct"/>
          </w:tcPr>
          <w:p>
            <w:pPr>
              <w:ind w:leftChars="0" w:left="0" w:right="0"/>
            </w:pPr>
            <w:r>
              <w:t>316</w:t>
            </w:r>
          </w:p>
        </w:tc>
      </w:tr>
      <w:tr>
        <w:trPr>
          <w:cnfStyle w:evenHBand="true" w:oddHBand="false" w:firstRow="false"/>
        </w:trPr>
        <w:tc>
          <w:tcPr>
            <w:cnfStyle w:evenVBand="false" w:oddVBand="true" w:firstColumn="false"/>
            <w:tcW w:w="25.000000%" w:type="pct"/>
          </w:tcPr>
          <w:p>
            <w:pPr>
              <w:ind w:leftChars="0" w:left="0" w:right="0"/>
            </w:pPr>
            <w:r>
              <w:t>CAPI</w:t>
            </w:r>
          </w:p>
        </w:tc>
        <w:tc>
          <w:tcPr>
            <w:cnfStyle w:evenVBand="true" w:oddVBand="false" w:firstColumn="false"/>
            <w:tcW w:w="25.000000%" w:type="pct"/>
          </w:tcPr>
          <w:p>
            <w:pPr>
              <w:ind w:leftChars="0" w:left="0" w:right="0"/>
            </w:pPr>
            <w:r>
              <w:t>CAPI</w:t>
            </w:r>
          </w:p>
        </w:tc>
        <w:tc>
          <w:tcPr>
            <w:cnfStyle w:evenVBand="false" w:oddVBand="true" w:firstColumn="false"/>
            <w:tcW w:w="25.000000%" w:type="pct"/>
          </w:tcPr>
          <w:p>
            <w:pPr>
              <w:ind w:leftChars="0" w:left="0" w:right="0"/>
            </w:pPr>
            <w:r>
              <w:t>CAPI - OTF</w:t>
            </w:r>
          </w:p>
        </w:tc>
        <w:tc>
          <w:tcPr>
            <w:cnfStyle w:evenVBand="true" w:oddVBand="false" w:firstColumn="false"/>
            <w:tcW w:w="25.000000%" w:type="pct"/>
          </w:tcPr>
          <w:p>
            <w:pPr>
              <w:ind w:leftChars="0" w:left="0" w:right="0"/>
            </w:pPr>
            <w:r>
              <w:t>317</w:t>
            </w:r>
          </w:p>
        </w:tc>
      </w:tr>
      <w:tr>
        <w:trPr>
          <w:cnfStyle w:evenHBand="false" w:oddHBand="true" w:firstRow="false"/>
        </w:trPr>
        <w:tc>
          <w:tcPr>
            <w:cnfStyle w:evenVBand="false" w:oddVBand="true" w:firstColumn="false"/>
            <w:tcW w:w="25.000000%" w:type="pct"/>
          </w:tcPr>
          <w:p>
            <w:pPr>
              <w:ind w:leftChars="0" w:left="0" w:right="0"/>
            </w:pPr>
            <w:r>
              <w:t>CAPL</w:t>
            </w:r>
          </w:p>
        </w:tc>
        <w:tc>
          <w:tcPr>
            <w:cnfStyle w:evenVBand="true" w:oddVBand="false" w:firstColumn="false"/>
            <w:tcW w:w="25.000000%" w:type="pct"/>
          </w:tcPr>
          <w:p>
            <w:pPr>
              <w:ind w:leftChars="0" w:left="0" w:right="0"/>
            </w:pPr>
            <w:r>
              <w:t>CAPL</w:t>
            </w:r>
          </w:p>
        </w:tc>
        <w:tc>
          <w:tcPr>
            <w:cnfStyle w:evenVBand="false" w:oddVBand="true" w:firstColumn="false"/>
            <w:tcW w:w="25.000000%" w:type="pct"/>
          </w:tcPr>
          <w:p>
            <w:pPr>
              <w:ind w:leftChars="0" w:left="0" w:right="0"/>
            </w:pPr>
            <w:r>
              <w:t>CREDIT AGRICOLE BANK POLSKA S.A. - SYSTEMATIC INTERNALISER</w:t>
            </w:r>
          </w:p>
        </w:tc>
        <w:tc>
          <w:tcPr>
            <w:cnfStyle w:evenVBand="true" w:oddVBand="false" w:firstColumn="false"/>
            <w:tcW w:w="25.000000%" w:type="pct"/>
          </w:tcPr>
          <w:p>
            <w:pPr>
              <w:ind w:leftChars="0" w:left="0" w:right="0"/>
            </w:pPr>
            <w:r>
              <w:t>318</w:t>
            </w:r>
          </w:p>
        </w:tc>
      </w:tr>
      <w:tr>
        <w:trPr>
          <w:cnfStyle w:evenHBand="true" w:oddHBand="false" w:firstRow="false"/>
        </w:trPr>
        <w:tc>
          <w:tcPr>
            <w:cnfStyle w:evenVBand="false" w:oddVBand="true" w:firstColumn="false"/>
            <w:tcW w:w="25.000000%" w:type="pct"/>
          </w:tcPr>
          <w:p>
            <w:pPr>
              <w:ind w:leftChars="0" w:left="0" w:right="0"/>
            </w:pPr>
            <w:r>
              <w:t>CASI</w:t>
            </w:r>
          </w:p>
        </w:tc>
        <w:tc>
          <w:tcPr>
            <w:cnfStyle w:evenVBand="true" w:oddVBand="false" w:firstColumn="false"/>
            <w:tcW w:w="25.000000%" w:type="pct"/>
          </w:tcPr>
          <w:p>
            <w:pPr>
              <w:ind w:leftChars="0" w:left="0" w:right="0"/>
            </w:pPr>
            <w:r>
              <w:t>CASI</w:t>
            </w:r>
          </w:p>
        </w:tc>
        <w:tc>
          <w:tcPr>
            <w:cnfStyle w:evenVBand="false" w:oddVBand="true" w:firstColumn="false"/>
            <w:tcW w:w="25.000000%" w:type="pct"/>
          </w:tcPr>
          <w:p>
            <w:pPr>
              <w:ind w:leftChars="0" w:left="0" w:right="0"/>
            </w:pPr>
            <w:r>
              <w:t>CARNEGIE INVESTMENT BANK AB - SYSTEMATIC INTERNALISER</w:t>
            </w:r>
          </w:p>
        </w:tc>
        <w:tc>
          <w:tcPr>
            <w:cnfStyle w:evenVBand="true" w:oddVBand="false" w:firstColumn="false"/>
            <w:tcW w:w="25.000000%" w:type="pct"/>
          </w:tcPr>
          <w:p>
            <w:pPr>
              <w:ind w:leftChars="0" w:left="0" w:right="0"/>
            </w:pPr>
            <w:r>
              <w:t>319</w:t>
            </w:r>
          </w:p>
        </w:tc>
      </w:tr>
      <w:tr>
        <w:trPr>
          <w:cnfStyle w:evenHBand="false" w:oddHBand="true" w:firstRow="false"/>
        </w:trPr>
        <w:tc>
          <w:tcPr>
            <w:cnfStyle w:evenVBand="false" w:oddVBand="true" w:firstColumn="false"/>
            <w:tcW w:w="25.000000%" w:type="pct"/>
          </w:tcPr>
          <w:p>
            <w:pPr>
              <w:ind w:leftChars="0" w:left="0" w:right="0"/>
            </w:pPr>
            <w:r>
              <w:t>CATS</w:t>
            </w:r>
          </w:p>
        </w:tc>
        <w:tc>
          <w:tcPr>
            <w:cnfStyle w:evenVBand="true" w:oddVBand="false" w:firstColumn="false"/>
            <w:tcW w:w="25.000000%" w:type="pct"/>
          </w:tcPr>
          <w:p>
            <w:pPr>
              <w:ind w:leftChars="0" w:left="0" w:right="0"/>
            </w:pPr>
            <w:r>
              <w:t>CATS</w:t>
            </w:r>
          </w:p>
        </w:tc>
        <w:tc>
          <w:tcPr>
            <w:cnfStyle w:evenVBand="false" w:oddVBand="true" w:firstColumn="false"/>
            <w:tcW w:w="25.000000%" w:type="pct"/>
          </w:tcPr>
          <w:p>
            <w:pPr>
              <w:ind w:leftChars="0" w:left="0" w:right="0"/>
            </w:pPr>
            <w:r>
              <w:t>CATS</w:t>
            </w:r>
          </w:p>
        </w:tc>
        <w:tc>
          <w:tcPr>
            <w:cnfStyle w:evenVBand="true" w:oddVBand="false" w:firstColumn="false"/>
            <w:tcW w:w="25.000000%" w:type="pct"/>
          </w:tcPr>
          <w:p>
            <w:pPr>
              <w:ind w:leftChars="0" w:left="0" w:right="0"/>
            </w:pPr>
            <w:r>
              <w:t>320</w:t>
            </w:r>
          </w:p>
        </w:tc>
      </w:tr>
      <w:tr>
        <w:trPr>
          <w:cnfStyle w:evenHBand="true" w:oddHBand="false" w:firstRow="false"/>
        </w:trPr>
        <w:tc>
          <w:tcPr>
            <w:cnfStyle w:evenVBand="false" w:oddVBand="true" w:firstColumn="false"/>
            <w:tcW w:w="25.000000%" w:type="pct"/>
          </w:tcPr>
          <w:p>
            <w:pPr>
              <w:ind w:leftChars="0" w:left="0" w:right="0"/>
            </w:pPr>
            <w:r>
              <w:t>CAVD</w:t>
            </w:r>
          </w:p>
        </w:tc>
        <w:tc>
          <w:tcPr>
            <w:cnfStyle w:evenVBand="true" w:oddVBand="false" w:firstColumn="false"/>
            <w:tcW w:w="25.000000%" w:type="pct"/>
          </w:tcPr>
          <w:p>
            <w:pPr>
              <w:ind w:leftChars="0" w:left="0" w:right="0"/>
            </w:pPr>
            <w:r>
              <w:t>CAVD</w:t>
            </w:r>
          </w:p>
        </w:tc>
        <w:tc>
          <w:tcPr>
            <w:cnfStyle w:evenVBand="false" w:oddVBand="true" w:firstColumn="false"/>
            <w:tcW w:w="25.000000%" w:type="pct"/>
          </w:tcPr>
          <w:p>
            <w:pPr>
              <w:ind w:leftChars="0" w:left="0" w:right="0"/>
            </w:pPr>
            <w:r>
              <w:t>CAVENDISH MARKETS B.V.</w:t>
            </w:r>
          </w:p>
        </w:tc>
        <w:tc>
          <w:tcPr>
            <w:cnfStyle w:evenVBand="true" w:oddVBand="false" w:firstColumn="false"/>
            <w:tcW w:w="25.000000%" w:type="pct"/>
          </w:tcPr>
          <w:p>
            <w:pPr>
              <w:ind w:leftChars="0" w:left="0" w:right="0"/>
            </w:pPr>
            <w:r>
              <w:t>321</w:t>
            </w:r>
          </w:p>
        </w:tc>
      </w:tr>
      <w:tr>
        <w:trPr>
          <w:cnfStyle w:evenHBand="false" w:oddHBand="true" w:firstRow="false"/>
        </w:trPr>
        <w:tc>
          <w:tcPr>
            <w:cnfStyle w:evenVBand="false" w:oddVBand="true" w:firstColumn="false"/>
            <w:tcW w:w="25.000000%" w:type="pct"/>
          </w:tcPr>
          <w:p>
            <w:pPr>
              <w:ind w:leftChars="0" w:left="0" w:right="0"/>
            </w:pPr>
            <w:r>
              <w:t>CAVE</w:t>
            </w:r>
          </w:p>
        </w:tc>
        <w:tc>
          <w:tcPr>
            <w:cnfStyle w:evenVBand="true" w:oddVBand="false" w:firstColumn="false"/>
            <w:tcW w:w="25.000000%" w:type="pct"/>
          </w:tcPr>
          <w:p>
            <w:pPr>
              <w:ind w:leftChars="0" w:left="0" w:right="0"/>
            </w:pPr>
            <w:r>
              <w:t>CAVE</w:t>
            </w:r>
          </w:p>
        </w:tc>
        <w:tc>
          <w:tcPr>
            <w:cnfStyle w:evenVBand="false" w:oddVBand="true" w:firstColumn="false"/>
            <w:tcW w:w="25.000000%" w:type="pct"/>
          </w:tcPr>
          <w:p>
            <w:pPr>
              <w:ind w:leftChars="0" w:left="0" w:right="0"/>
            </w:pPr>
            <w:r>
              <w:t>CAVEAT EMPTOR</w:t>
            </w:r>
          </w:p>
        </w:tc>
        <w:tc>
          <w:tcPr>
            <w:cnfStyle w:evenVBand="true" w:oddVBand="false" w:firstColumn="false"/>
            <w:tcW w:w="25.000000%" w:type="pct"/>
          </w:tcPr>
          <w:p>
            <w:pPr>
              <w:ind w:leftChars="0" w:left="0" w:right="0"/>
            </w:pPr>
            <w:r>
              <w:t>322</w:t>
            </w:r>
          </w:p>
        </w:tc>
      </w:tr>
      <w:tr>
        <w:trPr>
          <w:cnfStyle w:evenHBand="true" w:oddHBand="false" w:firstRow="false"/>
        </w:trPr>
        <w:tc>
          <w:tcPr>
            <w:cnfStyle w:evenVBand="false" w:oddVBand="true" w:firstColumn="false"/>
            <w:tcW w:w="25.000000%" w:type="pct"/>
          </w:tcPr>
          <w:p>
            <w:pPr>
              <w:ind w:leftChars="0" w:left="0" w:right="0"/>
            </w:pPr>
            <w:r>
              <w:t>CAZE</w:t>
            </w:r>
          </w:p>
        </w:tc>
        <w:tc>
          <w:tcPr>
            <w:cnfStyle w:evenVBand="true" w:oddVBand="false" w:firstColumn="false"/>
            <w:tcW w:w="25.000000%" w:type="pct"/>
          </w:tcPr>
          <w:p>
            <w:pPr>
              <w:ind w:leftChars="0" w:left="0" w:right="0"/>
            </w:pPr>
            <w:r>
              <w:t>CAZE</w:t>
            </w:r>
          </w:p>
        </w:tc>
        <w:tc>
          <w:tcPr>
            <w:cnfStyle w:evenVBand="false" w:oddVBand="true" w:firstColumn="false"/>
            <w:tcW w:w="25.000000%" w:type="pct"/>
          </w:tcPr>
          <w:p>
            <w:pPr>
              <w:ind w:leftChars="0" w:left="0" w:right="0"/>
            </w:pPr>
            <w:r>
              <w:t>THE CAZENOVE MTF</w:t>
            </w:r>
          </w:p>
        </w:tc>
        <w:tc>
          <w:tcPr>
            <w:cnfStyle w:evenVBand="true" w:oddVBand="false" w:firstColumn="false"/>
            <w:tcW w:w="25.000000%" w:type="pct"/>
          </w:tcPr>
          <w:p>
            <w:pPr>
              <w:ind w:leftChars="0" w:left="0" w:right="0"/>
            </w:pPr>
            <w:r>
              <w:t>323</w:t>
            </w:r>
          </w:p>
        </w:tc>
      </w:tr>
      <w:tr>
        <w:trPr>
          <w:cnfStyle w:evenHBand="false" w:oddHBand="true" w:firstRow="false"/>
        </w:trPr>
        <w:tc>
          <w:tcPr>
            <w:cnfStyle w:evenVBand="false" w:oddVBand="true" w:firstColumn="false"/>
            <w:tcW w:w="25.000000%" w:type="pct"/>
          </w:tcPr>
          <w:p>
            <w:pPr>
              <w:ind w:leftChars="0" w:left="0" w:right="0"/>
            </w:pPr>
            <w:r>
              <w:t>CBAE</w:t>
            </w:r>
          </w:p>
        </w:tc>
        <w:tc>
          <w:tcPr>
            <w:cnfStyle w:evenVBand="true" w:oddVBand="false" w:firstColumn="false"/>
            <w:tcW w:w="25.000000%" w:type="pct"/>
          </w:tcPr>
          <w:p>
            <w:pPr>
              <w:ind w:leftChars="0" w:left="0" w:right="0"/>
            </w:pPr>
            <w:r>
              <w:t>CBAE</w:t>
            </w:r>
          </w:p>
        </w:tc>
        <w:tc>
          <w:tcPr>
            <w:cnfStyle w:evenVBand="false" w:oddVBand="true" w:firstColumn="false"/>
            <w:tcW w:w="25.000000%" w:type="pct"/>
          </w:tcPr>
          <w:p>
            <w:pPr>
              <w:ind w:leftChars="0" w:left="0" w:right="0"/>
            </w:pPr>
            <w:r>
              <w:t>COMMONWEALTH BANK OF AUSTRALIA (EUROPE) N.V. - SYSTEMATIC INTERNALISER</w:t>
            </w:r>
          </w:p>
        </w:tc>
        <w:tc>
          <w:tcPr>
            <w:cnfStyle w:evenVBand="true" w:oddVBand="false" w:firstColumn="false"/>
            <w:tcW w:w="25.000000%" w:type="pct"/>
          </w:tcPr>
          <w:p>
            <w:pPr>
              <w:ind w:leftChars="0" w:left="0" w:right="0"/>
            </w:pPr>
            <w:r>
              <w:t>324</w:t>
            </w:r>
          </w:p>
        </w:tc>
      </w:tr>
      <w:tr>
        <w:trPr>
          <w:cnfStyle w:evenHBand="true" w:oddHBand="false" w:firstRow="false"/>
        </w:trPr>
        <w:tc>
          <w:tcPr>
            <w:cnfStyle w:evenVBand="false" w:oddVBand="true" w:firstColumn="false"/>
            <w:tcW w:w="25.000000%" w:type="pct"/>
          </w:tcPr>
          <w:p>
            <w:pPr>
              <w:ind w:leftChars="0" w:left="0" w:right="0"/>
            </w:pPr>
            <w:r>
              <w:t>CBAL</w:t>
            </w:r>
          </w:p>
        </w:tc>
        <w:tc>
          <w:tcPr>
            <w:cnfStyle w:evenVBand="true" w:oddVBand="false" w:firstColumn="false"/>
            <w:tcW w:w="25.000000%" w:type="pct"/>
          </w:tcPr>
          <w:p>
            <w:pPr>
              <w:ind w:leftChars="0" w:left="0" w:right="0"/>
            </w:pPr>
            <w:r>
              <w:t>CBAL</w:t>
            </w:r>
          </w:p>
        </w:tc>
        <w:tc>
          <w:tcPr>
            <w:cnfStyle w:evenVBand="false" w:oddVBand="true" w:firstColumn="false"/>
            <w:tcW w:w="25.000000%" w:type="pct"/>
          </w:tcPr>
          <w:p>
            <w:pPr>
              <w:ind w:leftChars="0" w:left="0" w:right="0"/>
            </w:pPr>
            <w:r>
              <w:t>COMMONWEALTH BANK OF AUSTRALIA - LONDON BRANCH - SYSTEMATIC INTERNALISER</w:t>
            </w:r>
          </w:p>
        </w:tc>
        <w:tc>
          <w:tcPr>
            <w:cnfStyle w:evenVBand="true" w:oddVBand="false" w:firstColumn="false"/>
            <w:tcW w:w="25.000000%" w:type="pct"/>
          </w:tcPr>
          <w:p>
            <w:pPr>
              <w:ind w:leftChars="0" w:left="0" w:right="0"/>
            </w:pPr>
            <w:r>
              <w:t>325</w:t>
            </w:r>
          </w:p>
        </w:tc>
      </w:tr>
      <w:tr>
        <w:trPr>
          <w:cnfStyle w:evenHBand="false" w:oddHBand="true" w:firstRow="false"/>
        </w:trPr>
        <w:tc>
          <w:tcPr>
            <w:cnfStyle w:evenVBand="false" w:oddVBand="true" w:firstColumn="false"/>
            <w:tcW w:w="25.000000%" w:type="pct"/>
          </w:tcPr>
          <w:p>
            <w:pPr>
              <w:ind w:leftChars="0" w:left="0" w:right="0"/>
            </w:pPr>
            <w:r>
              <w:t>CBKA</w:t>
            </w:r>
          </w:p>
        </w:tc>
        <w:tc>
          <w:tcPr>
            <w:cnfStyle w:evenVBand="true" w:oddVBand="false" w:firstColumn="false"/>
            <w:tcW w:w="25.000000%" w:type="pct"/>
          </w:tcPr>
          <w:p>
            <w:pPr>
              <w:ind w:leftChars="0" w:left="0" w:right="0"/>
            </w:pPr>
            <w:r>
              <w:t>CBKA</w:t>
            </w:r>
          </w:p>
        </w:tc>
        <w:tc>
          <w:tcPr>
            <w:cnfStyle w:evenVBand="false" w:oddVBand="true" w:firstColumn="false"/>
            <w:tcW w:w="25.000000%" w:type="pct"/>
          </w:tcPr>
          <w:p>
            <w:pPr>
              <w:ind w:leftChars="0" w:left="0" w:right="0"/>
            </w:pPr>
            <w:r>
              <w:t>COMMERZBANK AG</w:t>
            </w:r>
          </w:p>
        </w:tc>
        <w:tc>
          <w:tcPr>
            <w:cnfStyle w:evenVBand="true" w:oddVBand="false" w:firstColumn="false"/>
            <w:tcW w:w="25.000000%" w:type="pct"/>
          </w:tcPr>
          <w:p>
            <w:pPr>
              <w:ind w:leftChars="0" w:left="0" w:right="0"/>
            </w:pPr>
            <w:r>
              <w:t>326</w:t>
            </w:r>
          </w:p>
        </w:tc>
      </w:tr>
      <w:tr>
        <w:trPr>
          <w:cnfStyle w:evenHBand="true" w:oddHBand="false" w:firstRow="false"/>
        </w:trPr>
        <w:tc>
          <w:tcPr>
            <w:cnfStyle w:evenVBand="false" w:oddVBand="true" w:firstColumn="false"/>
            <w:tcW w:w="25.000000%" w:type="pct"/>
          </w:tcPr>
          <w:p>
            <w:pPr>
              <w:ind w:leftChars="0" w:left="0" w:right="0"/>
            </w:pPr>
            <w:r>
              <w:t>CBKC</w:t>
            </w:r>
          </w:p>
        </w:tc>
        <w:tc>
          <w:tcPr>
            <w:cnfStyle w:evenVBand="true" w:oddVBand="false" w:firstColumn="false"/>
            <w:tcW w:w="25.000000%" w:type="pct"/>
          </w:tcPr>
          <w:p>
            <w:pPr>
              <w:ind w:leftChars="0" w:left="0" w:right="0"/>
            </w:pPr>
            <w:r>
              <w:t>CBKC</w:t>
            </w:r>
          </w:p>
        </w:tc>
        <w:tc>
          <w:tcPr>
            <w:cnfStyle w:evenVBand="false" w:oddVBand="true" w:firstColumn="false"/>
            <w:tcW w:w="25.000000%" w:type="pct"/>
          </w:tcPr>
          <w:p>
            <w:pPr>
              <w:ind w:leftChars="0" w:left="0" w:right="0"/>
            </w:pPr>
            <w:r>
              <w:t>COMMERZBANK  COMMODITY DERIVATIVES - SYSTEMATIC INTERNALISER</w:t>
            </w:r>
          </w:p>
        </w:tc>
        <w:tc>
          <w:tcPr>
            <w:cnfStyle w:evenVBand="true" w:oddVBand="false" w:firstColumn="false"/>
            <w:tcW w:w="25.000000%" w:type="pct"/>
          </w:tcPr>
          <w:p>
            <w:pPr>
              <w:ind w:leftChars="0" w:left="0" w:right="0"/>
            </w:pPr>
            <w:r>
              <w:t>327</w:t>
            </w:r>
          </w:p>
        </w:tc>
      </w:tr>
      <w:tr>
        <w:trPr>
          <w:cnfStyle w:evenHBand="false" w:oddHBand="true" w:firstRow="false"/>
        </w:trPr>
        <w:tc>
          <w:tcPr>
            <w:cnfStyle w:evenVBand="false" w:oddVBand="true" w:firstColumn="false"/>
            <w:tcW w:w="25.000000%" w:type="pct"/>
          </w:tcPr>
          <w:p>
            <w:pPr>
              <w:ind w:leftChars="0" w:left="0" w:right="0"/>
            </w:pPr>
            <w:r>
              <w:t>CBKD</w:t>
            </w:r>
          </w:p>
        </w:tc>
        <w:tc>
          <w:tcPr>
            <w:cnfStyle w:evenVBand="true" w:oddVBand="false" w:firstColumn="false"/>
            <w:tcW w:w="25.000000%" w:type="pct"/>
          </w:tcPr>
          <w:p>
            <w:pPr>
              <w:ind w:leftChars="0" w:left="0" w:right="0"/>
            </w:pPr>
            <w:r>
              <w:t>CBKD</w:t>
            </w:r>
          </w:p>
        </w:tc>
        <w:tc>
          <w:tcPr>
            <w:cnfStyle w:evenVBand="false" w:oddVBand="true" w:firstColumn="false"/>
            <w:tcW w:w="25.000000%" w:type="pct"/>
          </w:tcPr>
          <w:p>
            <w:pPr>
              <w:ind w:leftChars="0" w:left="0" w:right="0"/>
            </w:pPr>
            <w:r>
              <w:t>COMMERZBANK EQUITY DERIVATIVES - SYSTEMATIC INTERNALISER</w:t>
            </w:r>
          </w:p>
        </w:tc>
        <w:tc>
          <w:tcPr>
            <w:cnfStyle w:evenVBand="true" w:oddVBand="false" w:firstColumn="false"/>
            <w:tcW w:w="25.000000%" w:type="pct"/>
          </w:tcPr>
          <w:p>
            <w:pPr>
              <w:ind w:leftChars="0" w:left="0" w:right="0"/>
            </w:pPr>
            <w:r>
              <w:t>328</w:t>
            </w:r>
          </w:p>
        </w:tc>
      </w:tr>
      <w:tr>
        <w:trPr>
          <w:cnfStyle w:evenHBand="true" w:oddHBand="false" w:firstRow="false"/>
        </w:trPr>
        <w:tc>
          <w:tcPr>
            <w:cnfStyle w:evenVBand="false" w:oddVBand="true" w:firstColumn="false"/>
            <w:tcW w:w="25.000000%" w:type="pct"/>
          </w:tcPr>
          <w:p>
            <w:pPr>
              <w:ind w:leftChars="0" w:left="0" w:right="0"/>
            </w:pPr>
            <w:r>
              <w:t>CBKE</w:t>
            </w:r>
          </w:p>
        </w:tc>
        <w:tc>
          <w:tcPr>
            <w:cnfStyle w:evenVBand="true" w:oddVBand="false" w:firstColumn="false"/>
            <w:tcW w:w="25.000000%" w:type="pct"/>
          </w:tcPr>
          <w:p>
            <w:pPr>
              <w:ind w:leftChars="0" w:left="0" w:right="0"/>
            </w:pPr>
            <w:r>
              <w:t>CBKE</w:t>
            </w:r>
          </w:p>
        </w:tc>
        <w:tc>
          <w:tcPr>
            <w:cnfStyle w:evenVBand="false" w:oddVBand="true" w:firstColumn="false"/>
            <w:tcW w:w="25.000000%" w:type="pct"/>
          </w:tcPr>
          <w:p>
            <w:pPr>
              <w:ind w:leftChars="0" w:left="0" w:right="0"/>
            </w:pPr>
            <w:r>
              <w:t>COMMERZBANK EQUITY - SYSTEMATIC INTERNALISER</w:t>
            </w:r>
          </w:p>
        </w:tc>
        <w:tc>
          <w:tcPr>
            <w:cnfStyle w:evenVBand="true" w:oddVBand="false" w:firstColumn="false"/>
            <w:tcW w:w="25.000000%" w:type="pct"/>
          </w:tcPr>
          <w:p>
            <w:pPr>
              <w:ind w:leftChars="0" w:left="0" w:right="0"/>
            </w:pPr>
            <w:r>
              <w:t>329</w:t>
            </w:r>
          </w:p>
        </w:tc>
      </w:tr>
      <w:tr>
        <w:trPr>
          <w:cnfStyle w:evenHBand="false" w:oddHBand="true" w:firstRow="false"/>
        </w:trPr>
        <w:tc>
          <w:tcPr>
            <w:cnfStyle w:evenVBand="false" w:oddVBand="true" w:firstColumn="false"/>
            <w:tcW w:w="25.000000%" w:type="pct"/>
          </w:tcPr>
          <w:p>
            <w:pPr>
              <w:ind w:leftChars="0" w:left="0" w:right="0"/>
            </w:pPr>
            <w:r>
              <w:t>CBKF</w:t>
            </w:r>
          </w:p>
        </w:tc>
        <w:tc>
          <w:tcPr>
            <w:cnfStyle w:evenVBand="true" w:oddVBand="false" w:firstColumn="false"/>
            <w:tcW w:w="25.000000%" w:type="pct"/>
          </w:tcPr>
          <w:p>
            <w:pPr>
              <w:ind w:leftChars="0" w:left="0" w:right="0"/>
            </w:pPr>
            <w:r>
              <w:t>CBKF</w:t>
            </w:r>
          </w:p>
        </w:tc>
        <w:tc>
          <w:tcPr>
            <w:cnfStyle w:evenVBand="false" w:oddVBand="true" w:firstColumn="false"/>
            <w:tcW w:w="25.000000%" w:type="pct"/>
          </w:tcPr>
          <w:p>
            <w:pPr>
              <w:ind w:leftChars="0" w:left="0" w:right="0"/>
            </w:pPr>
            <w:r>
              <w:t>COMMERZBANK COMMANDER - SYSTEMATIC INTERNALISER</w:t>
            </w:r>
          </w:p>
        </w:tc>
        <w:tc>
          <w:tcPr>
            <w:cnfStyle w:evenVBand="true" w:oddVBand="false" w:firstColumn="false"/>
            <w:tcW w:w="25.000000%" w:type="pct"/>
          </w:tcPr>
          <w:p>
            <w:pPr>
              <w:ind w:leftChars="0" w:left="0" w:right="0"/>
            </w:pPr>
            <w:r>
              <w:t>330</w:t>
            </w:r>
          </w:p>
        </w:tc>
      </w:tr>
      <w:tr>
        <w:trPr>
          <w:cnfStyle w:evenHBand="true" w:oddHBand="false" w:firstRow="false"/>
        </w:trPr>
        <w:tc>
          <w:tcPr>
            <w:cnfStyle w:evenVBand="false" w:oddVBand="true" w:firstColumn="false"/>
            <w:tcW w:w="25.000000%" w:type="pct"/>
          </w:tcPr>
          <w:p>
            <w:pPr>
              <w:ind w:leftChars="0" w:left="0" w:right="0"/>
            </w:pPr>
            <w:r>
              <w:t>CBKG</w:t>
            </w:r>
          </w:p>
        </w:tc>
        <w:tc>
          <w:tcPr>
            <w:cnfStyle w:evenVBand="true" w:oddVBand="false" w:firstColumn="false"/>
            <w:tcW w:w="25.000000%" w:type="pct"/>
          </w:tcPr>
          <w:p>
            <w:pPr>
              <w:ind w:leftChars="0" w:left="0" w:right="0"/>
            </w:pPr>
            <w:r>
              <w:t>CBKG</w:t>
            </w:r>
          </w:p>
        </w:tc>
        <w:tc>
          <w:tcPr>
            <w:cnfStyle w:evenVBand="false" w:oddVBand="true" w:firstColumn="false"/>
            <w:tcW w:w="25.000000%" w:type="pct"/>
          </w:tcPr>
          <w:p>
            <w:pPr>
              <w:ind w:leftChars="0" w:left="0" w:right="0"/>
            </w:pPr>
            <w:r>
              <w:t>COMMERZBANK FIXED INCOME - SYSTEMATIC INTERNALISER</w:t>
            </w:r>
          </w:p>
        </w:tc>
        <w:tc>
          <w:tcPr>
            <w:cnfStyle w:evenVBand="true" w:oddVBand="false" w:firstColumn="false"/>
            <w:tcW w:w="25.000000%" w:type="pct"/>
          </w:tcPr>
          <w:p>
            <w:pPr>
              <w:ind w:leftChars="0" w:left="0" w:right="0"/>
            </w:pPr>
            <w:r>
              <w:t>331</w:t>
            </w:r>
          </w:p>
        </w:tc>
      </w:tr>
      <w:tr>
        <w:trPr>
          <w:cnfStyle w:evenHBand="false" w:oddHBand="true" w:firstRow="false"/>
        </w:trPr>
        <w:tc>
          <w:tcPr>
            <w:cnfStyle w:evenVBand="false" w:oddVBand="true" w:firstColumn="false"/>
            <w:tcW w:w="25.000000%" w:type="pct"/>
          </w:tcPr>
          <w:p>
            <w:pPr>
              <w:ind w:leftChars="0" w:left="0" w:right="0"/>
            </w:pPr>
            <w:r>
              <w:t>CBKS</w:t>
            </w:r>
          </w:p>
        </w:tc>
        <w:tc>
          <w:tcPr>
            <w:cnfStyle w:evenVBand="true" w:oddVBand="false" w:firstColumn="false"/>
            <w:tcW w:w="25.000000%" w:type="pct"/>
          </w:tcPr>
          <w:p>
            <w:pPr>
              <w:ind w:leftChars="0" w:left="0" w:right="0"/>
            </w:pPr>
            <w:r>
              <w:t>CBKS</w:t>
            </w:r>
          </w:p>
        </w:tc>
        <w:tc>
          <w:tcPr>
            <w:cnfStyle w:evenVBand="false" w:oddVBand="true" w:firstColumn="false"/>
            <w:tcW w:w="25.000000%" w:type="pct"/>
          </w:tcPr>
          <w:p>
            <w:pPr>
              <w:ind w:leftChars="0" w:left="0" w:right="0"/>
            </w:pPr>
            <w:r>
              <w:t>COMMERZBANK INTEREST RATE SWAPS - SYSTEMATIC INTERNALISER</w:t>
            </w:r>
          </w:p>
        </w:tc>
        <w:tc>
          <w:tcPr>
            <w:cnfStyle w:evenVBand="true" w:oddVBand="false" w:firstColumn="false"/>
            <w:tcW w:w="25.000000%" w:type="pct"/>
          </w:tcPr>
          <w:p>
            <w:pPr>
              <w:ind w:leftChars="0" w:left="0" w:right="0"/>
            </w:pPr>
            <w:r>
              <w:t>332</w:t>
            </w:r>
          </w:p>
        </w:tc>
      </w:tr>
      <w:tr>
        <w:trPr>
          <w:cnfStyle w:evenHBand="true" w:oddHBand="false" w:firstRow="false"/>
        </w:trPr>
        <w:tc>
          <w:tcPr>
            <w:cnfStyle w:evenVBand="false" w:oddVBand="true" w:firstColumn="false"/>
            <w:tcW w:w="25.000000%" w:type="pct"/>
          </w:tcPr>
          <w:p>
            <w:pPr>
              <w:ind w:leftChars="0" w:left="0" w:right="0"/>
            </w:pPr>
            <w:r>
              <w:t>CBLC</w:t>
            </w:r>
          </w:p>
        </w:tc>
        <w:tc>
          <w:tcPr>
            <w:cnfStyle w:evenVBand="true" w:oddVBand="false" w:firstColumn="false"/>
            <w:tcW w:w="25.000000%" w:type="pct"/>
          </w:tcPr>
          <w:p>
            <w:pPr>
              <w:ind w:leftChars="0" w:left="0" w:right="0"/>
            </w:pPr>
            <w:r>
              <w:t>CBLC</w:t>
            </w:r>
          </w:p>
        </w:tc>
        <w:tc>
          <w:tcPr>
            <w:cnfStyle w:evenVBand="false" w:oddVBand="true" w:firstColumn="false"/>
            <w:tcW w:w="25.000000%" w:type="pct"/>
          </w:tcPr>
          <w:p>
            <w:pPr>
              <w:ind w:leftChars="0" w:left="0" w:right="0"/>
            </w:pPr>
            <w:r>
              <w:t>CITIBLOC</w:t>
            </w:r>
          </w:p>
        </w:tc>
        <w:tc>
          <w:tcPr>
            <w:cnfStyle w:evenVBand="true" w:oddVBand="false" w:firstColumn="false"/>
            <w:tcW w:w="25.000000%" w:type="pct"/>
          </w:tcPr>
          <w:p>
            <w:pPr>
              <w:ind w:leftChars="0" w:left="0" w:right="0"/>
            </w:pPr>
            <w:r>
              <w:t>333</w:t>
            </w:r>
          </w:p>
        </w:tc>
      </w:tr>
      <w:tr>
        <w:trPr>
          <w:cnfStyle w:evenHBand="false" w:oddHBand="true" w:firstRow="false"/>
        </w:trPr>
        <w:tc>
          <w:tcPr>
            <w:cnfStyle w:evenVBand="false" w:oddVBand="true" w:firstColumn="false"/>
            <w:tcW w:w="25.000000%" w:type="pct"/>
          </w:tcPr>
          <w:p>
            <w:pPr>
              <w:ind w:leftChars="0" w:left="0" w:right="0"/>
            </w:pPr>
            <w:r>
              <w:t>CBNL</w:t>
            </w:r>
          </w:p>
        </w:tc>
        <w:tc>
          <w:tcPr>
            <w:cnfStyle w:evenVBand="true" w:oddVBand="false" w:firstColumn="false"/>
            <w:tcW w:w="25.000000%" w:type="pct"/>
          </w:tcPr>
          <w:p>
            <w:pPr>
              <w:ind w:leftChars="0" w:left="0" w:right="0"/>
            </w:pPr>
            <w:r>
              <w:t>CBNL</w:t>
            </w:r>
          </w:p>
        </w:tc>
        <w:tc>
          <w:tcPr>
            <w:cnfStyle w:evenVBand="false" w:oddVBand="true" w:firstColumn="false"/>
            <w:tcW w:w="25.000000%" w:type="pct"/>
          </w:tcPr>
          <w:p>
            <w:pPr>
              <w:ind w:leftChars="0" w:left="0" w:right="0"/>
            </w:pPr>
            <w:r>
              <w:t>CITIBANK N.A. LONDON</w:t>
            </w:r>
          </w:p>
        </w:tc>
        <w:tc>
          <w:tcPr>
            <w:cnfStyle w:evenVBand="true" w:oddVBand="false" w:firstColumn="false"/>
            <w:tcW w:w="25.000000%" w:type="pct"/>
          </w:tcPr>
          <w:p>
            <w:pPr>
              <w:ind w:leftChars="0" w:left="0" w:right="0"/>
            </w:pPr>
            <w:r>
              <w:t>334</w:t>
            </w:r>
          </w:p>
        </w:tc>
      </w:tr>
      <w:tr>
        <w:trPr>
          <w:cnfStyle w:evenHBand="true" w:oddHBand="false" w:firstRow="false"/>
        </w:trPr>
        <w:tc>
          <w:tcPr>
            <w:cnfStyle w:evenVBand="false" w:oddVBand="true" w:firstColumn="false"/>
            <w:tcW w:w="25.000000%" w:type="pct"/>
          </w:tcPr>
          <w:p>
            <w:pPr>
              <w:ind w:leftChars="0" w:left="0" w:right="0"/>
            </w:pPr>
            <w:r>
              <w:t>CBOE</w:t>
            </w:r>
          </w:p>
        </w:tc>
        <w:tc>
          <w:tcPr>
            <w:cnfStyle w:evenVBand="true" w:oddVBand="false" w:firstColumn="false"/>
            <w:tcW w:w="25.000000%" w:type="pct"/>
          </w:tcPr>
          <w:p>
            <w:pPr>
              <w:ind w:leftChars="0" w:left="0" w:right="0"/>
            </w:pPr>
            <w:r>
              <w:t>CBOE</w:t>
            </w:r>
          </w:p>
        </w:tc>
        <w:tc>
          <w:tcPr>
            <w:cnfStyle w:evenVBand="false" w:oddVBand="true" w:firstColumn="false"/>
            <w:tcW w:w="25.000000%" w:type="pct"/>
          </w:tcPr>
          <w:p>
            <w:pPr>
              <w:ind w:leftChars="0" w:left="0" w:right="0"/>
            </w:pPr>
            <w:r>
              <w:t>CBOE FX NDFS</w:t>
            </w:r>
          </w:p>
        </w:tc>
        <w:tc>
          <w:tcPr>
            <w:cnfStyle w:evenVBand="true" w:oddVBand="false" w:firstColumn="false"/>
            <w:tcW w:w="25.000000%" w:type="pct"/>
          </w:tcPr>
          <w:p>
            <w:pPr>
              <w:ind w:leftChars="0" w:left="0" w:right="0"/>
            </w:pPr>
            <w:r>
              <w:t>335</w:t>
            </w:r>
          </w:p>
        </w:tc>
      </w:tr>
      <w:tr>
        <w:trPr>
          <w:cnfStyle w:evenHBand="false" w:oddHBand="true" w:firstRow="false"/>
        </w:trPr>
        <w:tc>
          <w:tcPr>
            <w:cnfStyle w:evenVBand="false" w:oddVBand="true" w:firstColumn="false"/>
            <w:tcW w:w="25.000000%" w:type="pct"/>
          </w:tcPr>
          <w:p>
            <w:pPr>
              <w:ind w:leftChars="0" w:left="0" w:right="0"/>
            </w:pPr>
            <w:r>
              <w:t>CBSK</w:t>
            </w:r>
          </w:p>
        </w:tc>
        <w:tc>
          <w:tcPr>
            <w:cnfStyle w:evenVBand="true" w:oddVBand="false" w:firstColumn="false"/>
            <w:tcW w:w="25.000000%" w:type="pct"/>
          </w:tcPr>
          <w:p>
            <w:pPr>
              <w:ind w:leftChars="0" w:left="0" w:right="0"/>
            </w:pPr>
            <w:r>
              <w:t>CBSK</w:t>
            </w:r>
          </w:p>
        </w:tc>
        <w:tc>
          <w:tcPr>
            <w:cnfStyle w:evenVBand="false" w:oddVBand="true" w:firstColumn="false"/>
            <w:tcW w:w="25.000000%" w:type="pct"/>
          </w:tcPr>
          <w:p>
            <w:pPr>
              <w:ind w:leftChars="0" w:left="0" w:right="0"/>
            </w:pPr>
            <w:r>
              <w:t>CESKOSLOVENSKA OBCHODNA BANKA, A.S. - SYSTEMATIC INTERNALISER</w:t>
            </w:r>
          </w:p>
        </w:tc>
        <w:tc>
          <w:tcPr>
            <w:cnfStyle w:evenVBand="true" w:oddVBand="false" w:firstColumn="false"/>
            <w:tcW w:w="25.000000%" w:type="pct"/>
          </w:tcPr>
          <w:p>
            <w:pPr>
              <w:ind w:leftChars="0" w:left="0" w:right="0"/>
            </w:pPr>
            <w:r>
              <w:t>336</w:t>
            </w:r>
          </w:p>
        </w:tc>
      </w:tr>
      <w:tr>
        <w:trPr>
          <w:cnfStyle w:evenHBand="true" w:oddHBand="false" w:firstRow="false"/>
        </w:trPr>
        <w:tc>
          <w:tcPr>
            <w:cnfStyle w:evenVBand="false" w:oddVBand="true" w:firstColumn="false"/>
            <w:tcW w:w="25.000000%" w:type="pct"/>
          </w:tcPr>
          <w:p>
            <w:pPr>
              <w:ind w:leftChars="0" w:left="0" w:right="0"/>
            </w:pPr>
            <w:r>
              <w:t>CBSX</w:t>
            </w:r>
          </w:p>
        </w:tc>
        <w:tc>
          <w:tcPr>
            <w:cnfStyle w:evenVBand="true" w:oddVBand="false" w:firstColumn="false"/>
            <w:tcW w:w="25.000000%" w:type="pct"/>
          </w:tcPr>
          <w:p>
            <w:pPr>
              <w:ind w:leftChars="0" w:left="0" w:right="0"/>
            </w:pPr>
            <w:r>
              <w:t>CBSX</w:t>
            </w:r>
          </w:p>
        </w:tc>
        <w:tc>
          <w:tcPr>
            <w:cnfStyle w:evenVBand="false" w:oddVBand="true" w:firstColumn="false"/>
            <w:tcW w:w="25.000000%" w:type="pct"/>
          </w:tcPr>
          <w:p>
            <w:pPr>
              <w:ind w:leftChars="0" w:left="0" w:right="0"/>
            </w:pPr>
            <w:r>
              <w:t>CBOE STOCK EXCHANGE</w:t>
            </w:r>
          </w:p>
        </w:tc>
        <w:tc>
          <w:tcPr>
            <w:cnfStyle w:evenVBand="true" w:oddVBand="false" w:firstColumn="false"/>
            <w:tcW w:w="25.000000%" w:type="pct"/>
          </w:tcPr>
          <w:p>
            <w:pPr>
              <w:ind w:leftChars="0" w:left="0" w:right="0"/>
            </w:pPr>
            <w:r>
              <w:t>337</w:t>
            </w:r>
          </w:p>
        </w:tc>
      </w:tr>
      <w:tr>
        <w:trPr>
          <w:cnfStyle w:evenHBand="false" w:oddHBand="true" w:firstRow="false"/>
        </w:trPr>
        <w:tc>
          <w:tcPr>
            <w:cnfStyle w:evenVBand="false" w:oddVBand="true" w:firstColumn="false"/>
            <w:tcW w:w="25.000000%" w:type="pct"/>
          </w:tcPr>
          <w:p>
            <w:pPr>
              <w:ind w:leftChars="0" w:left="0" w:right="0"/>
            </w:pPr>
            <w:r>
              <w:t>CBTS</w:t>
            </w:r>
          </w:p>
        </w:tc>
        <w:tc>
          <w:tcPr>
            <w:cnfStyle w:evenVBand="true" w:oddVBand="false" w:firstColumn="false"/>
            <w:tcW w:w="25.000000%" w:type="pct"/>
          </w:tcPr>
          <w:p>
            <w:pPr>
              <w:ind w:leftChars="0" w:left="0" w:right="0"/>
            </w:pPr>
            <w:r>
              <w:t>CBTS</w:t>
            </w:r>
          </w:p>
        </w:tc>
        <w:tc>
          <w:tcPr>
            <w:cnfStyle w:evenVBand="false" w:oddVBand="true" w:firstColumn="false"/>
            <w:tcW w:w="25.000000%" w:type="pct"/>
          </w:tcPr>
          <w:p>
            <w:pPr>
              <w:ind w:leftChars="0" w:left="0" w:right="0"/>
            </w:pPr>
            <w:r>
              <w:t>CME SWAPS MARKETS (CBOT)</w:t>
            </w:r>
          </w:p>
        </w:tc>
        <w:tc>
          <w:tcPr>
            <w:cnfStyle w:evenVBand="true" w:oddVBand="false" w:firstColumn="false"/>
            <w:tcW w:w="25.000000%" w:type="pct"/>
          </w:tcPr>
          <w:p>
            <w:pPr>
              <w:ind w:leftChars="0" w:left="0" w:right="0"/>
            </w:pPr>
            <w:r>
              <w:t>338</w:t>
            </w:r>
          </w:p>
        </w:tc>
      </w:tr>
      <w:tr>
        <w:trPr>
          <w:cnfStyle w:evenHBand="true" w:oddHBand="false" w:firstRow="false"/>
        </w:trPr>
        <w:tc>
          <w:tcPr>
            <w:cnfStyle w:evenVBand="false" w:oddVBand="true" w:firstColumn="false"/>
            <w:tcW w:w="25.000000%" w:type="pct"/>
          </w:tcPr>
          <w:p>
            <w:pPr>
              <w:ind w:leftChars="0" w:left="0" w:right="0"/>
            </w:pPr>
            <w:r>
              <w:t>CCEU</w:t>
            </w:r>
          </w:p>
        </w:tc>
        <w:tc>
          <w:tcPr>
            <w:cnfStyle w:evenVBand="true" w:oddVBand="false" w:firstColumn="false"/>
            <w:tcW w:w="25.000000%" w:type="pct"/>
          </w:tcPr>
          <w:p>
            <w:pPr>
              <w:ind w:leftChars="0" w:left="0" w:right="0"/>
            </w:pPr>
            <w:r>
              <w:t>CCEU</w:t>
            </w:r>
          </w:p>
        </w:tc>
        <w:tc>
          <w:tcPr>
            <w:cnfStyle w:evenVBand="false" w:oddVBand="true" w:firstColumn="false"/>
            <w:tcW w:w="25.000000%" w:type="pct"/>
          </w:tcPr>
          <w:p>
            <w:pPr>
              <w:ind w:leftChars="0" w:left="0" w:right="0"/>
            </w:pPr>
            <w:r>
              <w:t>CITADEL CONNECT EUROPE - SYSTEMATIC INTERNALISER</w:t>
            </w:r>
          </w:p>
        </w:tc>
        <w:tc>
          <w:tcPr>
            <w:cnfStyle w:evenVBand="true" w:oddVBand="false" w:firstColumn="false"/>
            <w:tcW w:w="25.000000%" w:type="pct"/>
          </w:tcPr>
          <w:p>
            <w:pPr>
              <w:ind w:leftChars="0" w:left="0" w:right="0"/>
            </w:pPr>
            <w:r>
              <w:t>339</w:t>
            </w:r>
          </w:p>
        </w:tc>
      </w:tr>
      <w:tr>
        <w:trPr>
          <w:cnfStyle w:evenHBand="false" w:oddHBand="true" w:firstRow="false"/>
        </w:trPr>
        <w:tc>
          <w:tcPr>
            <w:cnfStyle w:evenVBand="false" w:oddVBand="true" w:firstColumn="false"/>
            <w:tcW w:w="25.000000%" w:type="pct"/>
          </w:tcPr>
          <w:p>
            <w:pPr>
              <w:ind w:leftChars="0" w:left="0" w:right="0"/>
            </w:pPr>
            <w:r>
              <w:t>CCEX</w:t>
            </w:r>
          </w:p>
        </w:tc>
        <w:tc>
          <w:tcPr>
            <w:cnfStyle w:evenVBand="true" w:oddVBand="false" w:firstColumn="false"/>
            <w:tcW w:w="25.000000%" w:type="pct"/>
          </w:tcPr>
          <w:p>
            <w:pPr>
              <w:ind w:leftChars="0" w:left="0" w:right="0"/>
            </w:pPr>
            <w:r>
              <w:t>CCEX</w:t>
            </w:r>
          </w:p>
        </w:tc>
        <w:tc>
          <w:tcPr>
            <w:cnfStyle w:evenVBand="false" w:oddVBand="true" w:firstColumn="false"/>
            <w:tcW w:w="25.000000%" w:type="pct"/>
          </w:tcPr>
          <w:p>
            <w:pPr>
              <w:ind w:leftChars="0" w:left="0" w:right="0"/>
            </w:pPr>
            <w:r>
              <w:t>CASPY COMMODITY EXCHANGE</w:t>
            </w:r>
          </w:p>
        </w:tc>
        <w:tc>
          <w:tcPr>
            <w:cnfStyle w:evenVBand="true" w:oddVBand="false" w:firstColumn="false"/>
            <w:tcW w:w="25.000000%" w:type="pct"/>
          </w:tcPr>
          <w:p>
            <w:pPr>
              <w:ind w:leftChars="0" w:left="0" w:right="0"/>
            </w:pPr>
            <w:r>
              <w:t>340</w:t>
            </w:r>
          </w:p>
        </w:tc>
      </w:tr>
      <w:tr>
        <w:trPr>
          <w:cnfStyle w:evenHBand="true" w:oddHBand="false" w:firstRow="false"/>
        </w:trPr>
        <w:tc>
          <w:tcPr>
            <w:cnfStyle w:evenVBand="false" w:oddVBand="true" w:firstColumn="false"/>
            <w:tcW w:w="25.000000%" w:type="pct"/>
          </w:tcPr>
          <w:p>
            <w:pPr>
              <w:ind w:leftChars="0" w:left="0" w:right="0"/>
            </w:pPr>
            <w:r>
              <w:t>CCFE</w:t>
            </w:r>
          </w:p>
        </w:tc>
        <w:tc>
          <w:tcPr>
            <w:cnfStyle w:evenVBand="true" w:oddVBand="false" w:firstColumn="false"/>
            <w:tcW w:w="25.000000%" w:type="pct"/>
          </w:tcPr>
          <w:p>
            <w:pPr>
              <w:ind w:leftChars="0" w:left="0" w:right="0"/>
            </w:pPr>
            <w:r>
              <w:t>CCFE</w:t>
            </w:r>
          </w:p>
        </w:tc>
        <w:tc>
          <w:tcPr>
            <w:cnfStyle w:evenVBand="false" w:oddVBand="true" w:firstColumn="false"/>
            <w:tcW w:w="25.000000%" w:type="pct"/>
          </w:tcPr>
          <w:p>
            <w:pPr>
              <w:ind w:leftChars="0" w:left="0" w:right="0"/>
            </w:pPr>
            <w:r>
              <w:t>CHICAGO CLIMATE FUTURES EXCHANGE</w:t>
            </w:r>
          </w:p>
        </w:tc>
        <w:tc>
          <w:tcPr>
            <w:cnfStyle w:evenVBand="true" w:oddVBand="false" w:firstColumn="false"/>
            <w:tcW w:w="25.000000%" w:type="pct"/>
          </w:tcPr>
          <w:p>
            <w:pPr>
              <w:ind w:leftChars="0" w:left="0" w:right="0"/>
            </w:pPr>
            <w:r>
              <w:t>341</w:t>
            </w:r>
          </w:p>
        </w:tc>
      </w:tr>
      <w:tr>
        <w:trPr>
          <w:cnfStyle w:evenHBand="false" w:oddHBand="true" w:firstRow="false"/>
        </w:trPr>
        <w:tc>
          <w:tcPr>
            <w:cnfStyle w:evenVBand="false" w:oddVBand="true" w:firstColumn="false"/>
            <w:tcW w:w="25.000000%" w:type="pct"/>
          </w:tcPr>
          <w:p>
            <w:pPr>
              <w:ind w:leftChars="0" w:left="0" w:right="0"/>
            </w:pPr>
            <w:r>
              <w:t>CCFX</w:t>
            </w:r>
          </w:p>
        </w:tc>
        <w:tc>
          <w:tcPr>
            <w:cnfStyle w:evenVBand="true" w:oddVBand="false" w:firstColumn="false"/>
            <w:tcW w:w="25.000000%" w:type="pct"/>
          </w:tcPr>
          <w:p>
            <w:pPr>
              <w:ind w:leftChars="0" w:left="0" w:right="0"/>
            </w:pPr>
            <w:r>
              <w:t>CCFX</w:t>
            </w:r>
          </w:p>
        </w:tc>
        <w:tc>
          <w:tcPr>
            <w:cnfStyle w:evenVBand="false" w:oddVBand="true" w:firstColumn="false"/>
            <w:tcW w:w="25.000000%" w:type="pct"/>
          </w:tcPr>
          <w:p>
            <w:pPr>
              <w:ind w:leftChars="0" w:left="0" w:right="0"/>
            </w:pPr>
            <w:r>
              <w:t>CHINA FINANCIAL FUTURES EXCHANGE</w:t>
            </w:r>
          </w:p>
        </w:tc>
        <w:tc>
          <w:tcPr>
            <w:cnfStyle w:evenVBand="true" w:oddVBand="false" w:firstColumn="false"/>
            <w:tcW w:w="25.000000%" w:type="pct"/>
          </w:tcPr>
          <w:p>
            <w:pPr>
              <w:ind w:leftChars="0" w:left="0" w:right="0"/>
            </w:pPr>
            <w:r>
              <w:t>342</w:t>
            </w:r>
          </w:p>
        </w:tc>
      </w:tr>
      <w:tr>
        <w:trPr>
          <w:cnfStyle w:evenHBand="true" w:oddHBand="false" w:firstRow="false"/>
        </w:trPr>
        <w:tc>
          <w:tcPr>
            <w:cnfStyle w:evenVBand="false" w:oddVBand="true" w:firstColumn="false"/>
            <w:tcW w:w="25.000000%" w:type="pct"/>
          </w:tcPr>
          <w:p>
            <w:pPr>
              <w:ind w:leftChars="0" w:left="0" w:right="0"/>
            </w:pPr>
            <w:r>
              <w:t>CCLX</w:t>
            </w:r>
          </w:p>
        </w:tc>
        <w:tc>
          <w:tcPr>
            <w:cnfStyle w:evenVBand="true" w:oddVBand="false" w:firstColumn="false"/>
            <w:tcW w:w="25.000000%" w:type="pct"/>
          </w:tcPr>
          <w:p>
            <w:pPr>
              <w:ind w:leftChars="0" w:left="0" w:right="0"/>
            </w:pPr>
            <w:r>
              <w:t>CCLX</w:t>
            </w:r>
          </w:p>
        </w:tc>
        <w:tc>
          <w:tcPr>
            <w:cnfStyle w:evenVBand="false" w:oddVBand="true" w:firstColumn="false"/>
            <w:tcW w:w="25.000000%" w:type="pct"/>
          </w:tcPr>
          <w:p>
            <w:pPr>
              <w:ind w:leftChars="0" w:left="0" w:right="0"/>
            </w:pPr>
            <w:r>
              <w:t>FINESTI S.A.</w:t>
            </w:r>
          </w:p>
        </w:tc>
        <w:tc>
          <w:tcPr>
            <w:cnfStyle w:evenVBand="true" w:oddVBand="false" w:firstColumn="false"/>
            <w:tcW w:w="25.000000%" w:type="pct"/>
          </w:tcPr>
          <w:p>
            <w:pPr>
              <w:ind w:leftChars="0" w:left="0" w:right="0"/>
            </w:pPr>
            <w:r>
              <w:t>343</w:t>
            </w:r>
          </w:p>
        </w:tc>
      </w:tr>
      <w:tr>
        <w:trPr>
          <w:cnfStyle w:evenHBand="false" w:oddHBand="true" w:firstRow="false"/>
        </w:trPr>
        <w:tc>
          <w:tcPr>
            <w:cnfStyle w:evenVBand="false" w:oddVBand="true" w:firstColumn="false"/>
            <w:tcW w:w="25.000000%" w:type="pct"/>
          </w:tcPr>
          <w:p>
            <w:pPr>
              <w:ind w:leftChars="0" w:left="0" w:right="0"/>
            </w:pPr>
            <w:r>
              <w:t>CCML</w:t>
            </w:r>
          </w:p>
        </w:tc>
        <w:tc>
          <w:tcPr>
            <w:cnfStyle w:evenVBand="true" w:oddVBand="false" w:firstColumn="false"/>
            <w:tcW w:w="25.000000%" w:type="pct"/>
          </w:tcPr>
          <w:p>
            <w:pPr>
              <w:ind w:leftChars="0" w:left="0" w:right="0"/>
            </w:pPr>
            <w:r>
              <w:t>CCML</w:t>
            </w:r>
          </w:p>
        </w:tc>
        <w:tc>
          <w:tcPr>
            <w:cnfStyle w:evenVBand="false" w:oddVBand="true" w:firstColumn="false"/>
            <w:tcW w:w="25.000000%" w:type="pct"/>
          </w:tcPr>
          <w:p>
            <w:pPr>
              <w:ind w:leftChars="0" w:left="0" w:right="0"/>
            </w:pPr>
            <w:r>
              <w:t>CONTINENTAL CAPITAL MARKETS LIMITED - OTF</w:t>
            </w:r>
          </w:p>
        </w:tc>
        <w:tc>
          <w:tcPr>
            <w:cnfStyle w:evenVBand="true" w:oddVBand="false" w:firstColumn="false"/>
            <w:tcW w:w="25.000000%" w:type="pct"/>
          </w:tcPr>
          <w:p>
            <w:pPr>
              <w:ind w:leftChars="0" w:left="0" w:right="0"/>
            </w:pPr>
            <w:r>
              <w:t>344</w:t>
            </w:r>
          </w:p>
        </w:tc>
      </w:tr>
      <w:tr>
        <w:trPr>
          <w:cnfStyle w:evenHBand="true" w:oddHBand="false" w:firstRow="false"/>
        </w:trPr>
        <w:tc>
          <w:tcPr>
            <w:cnfStyle w:evenVBand="false" w:oddVBand="true" w:firstColumn="false"/>
            <w:tcW w:w="25.000000%" w:type="pct"/>
          </w:tcPr>
          <w:p>
            <w:pPr>
              <w:ind w:leftChars="0" w:left="0" w:right="0"/>
            </w:pPr>
            <w:r>
              <w:t>CCMS</w:t>
            </w:r>
          </w:p>
        </w:tc>
        <w:tc>
          <w:tcPr>
            <w:cnfStyle w:evenVBand="true" w:oddVBand="false" w:firstColumn="false"/>
            <w:tcW w:w="25.000000%" w:type="pct"/>
          </w:tcPr>
          <w:p>
            <w:pPr>
              <w:ind w:leftChars="0" w:left="0" w:right="0"/>
            </w:pPr>
            <w:r>
              <w:t>CCMS</w:t>
            </w:r>
          </w:p>
        </w:tc>
        <w:tc>
          <w:tcPr>
            <w:cnfStyle w:evenVBand="false" w:oddVBand="true" w:firstColumn="false"/>
            <w:tcW w:w="25.000000%" w:type="pct"/>
          </w:tcPr>
          <w:p>
            <w:pPr>
              <w:ind w:leftChars="0" w:left="0" w:right="0"/>
            </w:pPr>
            <w:r>
              <w:t>CONTINENTAL CAPITAL MARKETS S.A.</w:t>
            </w:r>
          </w:p>
        </w:tc>
        <w:tc>
          <w:tcPr>
            <w:cnfStyle w:evenVBand="true" w:oddVBand="false" w:firstColumn="false"/>
            <w:tcW w:w="25.000000%" w:type="pct"/>
          </w:tcPr>
          <w:p>
            <w:pPr>
              <w:ind w:leftChars="0" w:left="0" w:right="0"/>
            </w:pPr>
            <w:r>
              <w:t>345</w:t>
            </w:r>
          </w:p>
        </w:tc>
      </w:tr>
      <w:tr>
        <w:trPr>
          <w:cnfStyle w:evenHBand="false" w:oddHBand="true" w:firstRow="false"/>
        </w:trPr>
        <w:tc>
          <w:tcPr>
            <w:cnfStyle w:evenVBand="false" w:oddVBand="true" w:firstColumn="false"/>
            <w:tcW w:w="25.000000%" w:type="pct"/>
          </w:tcPr>
          <w:p>
            <w:pPr>
              <w:ind w:leftChars="0" w:left="0" w:right="0"/>
            </w:pPr>
            <w:r>
              <w:t>CCMX</w:t>
            </w:r>
          </w:p>
        </w:tc>
        <w:tc>
          <w:tcPr>
            <w:cnfStyle w:evenVBand="true" w:oddVBand="false" w:firstColumn="false"/>
            <w:tcW w:w="25.000000%" w:type="pct"/>
          </w:tcPr>
          <w:p>
            <w:pPr>
              <w:ind w:leftChars="0" w:left="0" w:right="0"/>
            </w:pPr>
            <w:r>
              <w:t>CCMX</w:t>
            </w:r>
          </w:p>
        </w:tc>
        <w:tc>
          <w:tcPr>
            <w:cnfStyle w:evenVBand="false" w:oddVBand="true" w:firstColumn="false"/>
            <w:tcW w:w="25.000000%" w:type="pct"/>
          </w:tcPr>
          <w:p>
            <w:pPr>
              <w:ind w:leftChars="0" w:left="0" w:right="0"/>
            </w:pPr>
            <w:r>
              <w:t>CARTAX</w:t>
            </w:r>
          </w:p>
        </w:tc>
        <w:tc>
          <w:tcPr>
            <w:cnfStyle w:evenVBand="true" w:oddVBand="false" w:firstColumn="false"/>
            <w:tcW w:w="25.000000%" w:type="pct"/>
          </w:tcPr>
          <w:p>
            <w:pPr>
              <w:ind w:leftChars="0" w:left="0" w:right="0"/>
            </w:pPr>
            <w:r>
              <w:t>346</w:t>
            </w:r>
          </w:p>
        </w:tc>
      </w:tr>
      <w:tr>
        <w:trPr>
          <w:cnfStyle w:evenHBand="true" w:oddHBand="false" w:firstRow="false"/>
        </w:trPr>
        <w:tc>
          <w:tcPr>
            <w:cnfStyle w:evenVBand="false" w:oddVBand="true" w:firstColumn="false"/>
            <w:tcW w:w="25.000000%" w:type="pct"/>
          </w:tcPr>
          <w:p>
            <w:pPr>
              <w:ind w:leftChars="0" w:left="0" w:right="0"/>
            </w:pPr>
            <w:r>
              <w:t>CCO2</w:t>
            </w:r>
          </w:p>
        </w:tc>
        <w:tc>
          <w:tcPr>
            <w:cnfStyle w:evenVBand="true" w:oddVBand="false" w:firstColumn="false"/>
            <w:tcW w:w="25.000000%" w:type="pct"/>
          </w:tcPr>
          <w:p>
            <w:pPr>
              <w:ind w:leftChars="0" w:left="0" w:right="0"/>
            </w:pPr>
            <w:r>
              <w:t>CCO2</w:t>
            </w:r>
          </w:p>
        </w:tc>
        <w:tc>
          <w:tcPr>
            <w:cnfStyle w:evenVBand="false" w:oddVBand="true" w:firstColumn="false"/>
            <w:tcW w:w="25.000000%" w:type="pct"/>
          </w:tcPr>
          <w:p>
            <w:pPr>
              <w:ind w:leftChars="0" w:left="0" w:right="0"/>
            </w:pPr>
            <w:r>
              <w:t>CANTORCO2E.COM LIMITED</w:t>
            </w:r>
          </w:p>
        </w:tc>
        <w:tc>
          <w:tcPr>
            <w:cnfStyle w:evenVBand="true" w:oddVBand="false" w:firstColumn="false"/>
            <w:tcW w:w="25.000000%" w:type="pct"/>
          </w:tcPr>
          <w:p>
            <w:pPr>
              <w:ind w:leftChars="0" w:left="0" w:right="0"/>
            </w:pPr>
            <w:r>
              <w:t>347</w:t>
            </w:r>
          </w:p>
        </w:tc>
      </w:tr>
      <w:tr>
        <w:trPr>
          <w:cnfStyle w:evenHBand="false" w:oddHBand="true" w:firstRow="false"/>
        </w:trPr>
        <w:tc>
          <w:tcPr>
            <w:cnfStyle w:evenVBand="false" w:oddVBand="true" w:firstColumn="false"/>
            <w:tcW w:w="25.000000%" w:type="pct"/>
          </w:tcPr>
          <w:p>
            <w:pPr>
              <w:ind w:leftChars="0" w:left="0" w:right="0"/>
            </w:pPr>
            <w:r>
              <w:t>CCRM</w:t>
            </w:r>
          </w:p>
        </w:tc>
        <w:tc>
          <w:tcPr>
            <w:cnfStyle w:evenVBand="true" w:oddVBand="false" w:firstColumn="false"/>
            <w:tcW w:w="25.000000%" w:type="pct"/>
          </w:tcPr>
          <w:p>
            <w:pPr>
              <w:ind w:leftChars="0" w:left="0" w:right="0"/>
            </w:pPr>
            <w:r>
              <w:t>CCRM</w:t>
            </w:r>
          </w:p>
        </w:tc>
        <w:tc>
          <w:tcPr>
            <w:cnfStyle w:evenVBand="false" w:oddVBand="true" w:firstColumn="false"/>
            <w:tcW w:w="25.000000%" w:type="pct"/>
          </w:tcPr>
          <w:p>
            <w:pPr>
              <w:ind w:leftChars="0" w:left="0" w:right="0"/>
            </w:pPr>
            <w:r>
              <w:t>CBOE EUROPE REGULATED MARKETS (NL)</w:t>
            </w:r>
          </w:p>
        </w:tc>
        <w:tc>
          <w:tcPr>
            <w:cnfStyle w:evenVBand="true" w:oddVBand="false" w:firstColumn="false"/>
            <w:tcW w:w="25.000000%" w:type="pct"/>
          </w:tcPr>
          <w:p>
            <w:pPr>
              <w:ind w:leftChars="0" w:left="0" w:right="0"/>
            </w:pPr>
            <w:r>
              <w:t>348</w:t>
            </w:r>
          </w:p>
        </w:tc>
      </w:tr>
      <w:tr>
        <w:trPr>
          <w:cnfStyle w:evenHBand="true" w:oddHBand="false" w:firstRow="false"/>
        </w:trPr>
        <w:tc>
          <w:tcPr>
            <w:cnfStyle w:evenVBand="false" w:oddVBand="true" w:firstColumn="false"/>
            <w:tcW w:w="25.000000%" w:type="pct"/>
          </w:tcPr>
          <w:p>
            <w:pPr>
              <w:ind w:leftChars="0" w:left="0" w:right="0"/>
            </w:pPr>
            <w:r>
              <w:t>CCXE</w:t>
            </w:r>
          </w:p>
        </w:tc>
        <w:tc>
          <w:tcPr>
            <w:cnfStyle w:evenVBand="true" w:oddVBand="false" w:firstColumn="false"/>
            <w:tcW w:w="25.000000%" w:type="pct"/>
          </w:tcPr>
          <w:p>
            <w:pPr>
              <w:ind w:leftChars="0" w:left="0" w:right="0"/>
            </w:pPr>
            <w:r>
              <w:t>CCXE</w:t>
            </w:r>
          </w:p>
        </w:tc>
        <w:tc>
          <w:tcPr>
            <w:cnfStyle w:evenVBand="false" w:oddVBand="true" w:firstColumn="false"/>
            <w:tcW w:w="25.000000%" w:type="pct"/>
          </w:tcPr>
          <w:p>
            <w:pPr>
              <w:ind w:leftChars="0" w:left="0" w:right="0"/>
            </w:pPr>
            <w:r>
              <w:t>CBOE EUROPE EQUITIES - EUROPEAN EQUITIES (NL)</w:t>
            </w:r>
          </w:p>
        </w:tc>
        <w:tc>
          <w:tcPr>
            <w:cnfStyle w:evenVBand="true" w:oddVBand="false" w:firstColumn="false"/>
            <w:tcW w:w="25.000000%" w:type="pct"/>
          </w:tcPr>
          <w:p>
            <w:pPr>
              <w:ind w:leftChars="0" w:left="0" w:right="0"/>
            </w:pPr>
            <w:r>
              <w:t>349</w:t>
            </w:r>
          </w:p>
        </w:tc>
      </w:tr>
      <w:tr>
        <w:trPr>
          <w:cnfStyle w:evenHBand="false" w:oddHBand="true" w:firstRow="false"/>
        </w:trPr>
        <w:tc>
          <w:tcPr>
            <w:cnfStyle w:evenVBand="false" w:oddVBand="true" w:firstColumn="false"/>
            <w:tcW w:w="25.000000%" w:type="pct"/>
          </w:tcPr>
          <w:p>
            <w:pPr>
              <w:ind w:leftChars="0" w:left="0" w:right="0"/>
            </w:pPr>
            <w:r>
              <w:t>CDED</w:t>
            </w:r>
          </w:p>
        </w:tc>
        <w:tc>
          <w:tcPr>
            <w:cnfStyle w:evenVBand="true" w:oddVBand="false" w:firstColumn="false"/>
            <w:tcW w:w="25.000000%" w:type="pct"/>
          </w:tcPr>
          <w:p>
            <w:pPr>
              <w:ind w:leftChars="0" w:left="0" w:right="0"/>
            </w:pPr>
            <w:r>
              <w:t>CDED</w:t>
            </w:r>
          </w:p>
        </w:tc>
        <w:tc>
          <w:tcPr>
            <w:cnfStyle w:evenVBand="false" w:oddVBand="true" w:firstColumn="false"/>
            <w:tcW w:w="25.000000%" w:type="pct"/>
          </w:tcPr>
          <w:p>
            <w:pPr>
              <w:ind w:leftChars="0" w:left="0" w:right="0"/>
            </w:pPr>
            <w:r>
              <w:t>CITADEL SECURITIES</w:t>
            </w:r>
          </w:p>
        </w:tc>
        <w:tc>
          <w:tcPr>
            <w:cnfStyle w:evenVBand="true" w:oddVBand="false" w:firstColumn="false"/>
            <w:tcW w:w="25.000000%" w:type="pct"/>
          </w:tcPr>
          <w:p>
            <w:pPr>
              <w:ind w:leftChars="0" w:left="0" w:right="0"/>
            </w:pPr>
            <w:r>
              <w:t>350</w:t>
            </w:r>
          </w:p>
        </w:tc>
      </w:tr>
      <w:tr>
        <w:trPr>
          <w:cnfStyle w:evenHBand="true" w:oddHBand="false" w:firstRow="false"/>
        </w:trPr>
        <w:tc>
          <w:tcPr>
            <w:cnfStyle w:evenVBand="false" w:oddVBand="true" w:firstColumn="false"/>
            <w:tcW w:w="25.000000%" w:type="pct"/>
          </w:tcPr>
          <w:p>
            <w:pPr>
              <w:ind w:leftChars="0" w:left="0" w:right="0"/>
            </w:pPr>
            <w:r>
              <w:t>CDEL</w:t>
            </w:r>
          </w:p>
        </w:tc>
        <w:tc>
          <w:tcPr>
            <w:cnfStyle w:evenVBand="true" w:oddVBand="false" w:firstColumn="false"/>
            <w:tcW w:w="25.000000%" w:type="pct"/>
          </w:tcPr>
          <w:p>
            <w:pPr>
              <w:ind w:leftChars="0" w:left="0" w:right="0"/>
            </w:pPr>
            <w:r>
              <w:t>CDEL</w:t>
            </w:r>
          </w:p>
        </w:tc>
        <w:tc>
          <w:tcPr>
            <w:cnfStyle w:evenVBand="false" w:oddVBand="true" w:firstColumn="false"/>
            <w:tcW w:w="25.000000%" w:type="pct"/>
          </w:tcPr>
          <w:p>
            <w:pPr>
              <w:ind w:leftChars="0" w:left="0" w:right="0"/>
            </w:pPr>
            <w:r>
              <w:t>CITADEL SECURITIES ATS</w:t>
            </w:r>
          </w:p>
        </w:tc>
        <w:tc>
          <w:tcPr>
            <w:cnfStyle w:evenVBand="true" w:oddVBand="false" w:firstColumn="false"/>
            <w:tcW w:w="25.000000%" w:type="pct"/>
          </w:tcPr>
          <w:p>
            <w:pPr>
              <w:ind w:leftChars="0" w:left="0" w:right="0"/>
            </w:pPr>
            <w:r>
              <w:t>351</w:t>
            </w:r>
          </w:p>
        </w:tc>
      </w:tr>
      <w:tr>
        <w:trPr>
          <w:cnfStyle w:evenHBand="false" w:oddHBand="true" w:firstRow="false"/>
        </w:trPr>
        <w:tc>
          <w:tcPr>
            <w:cnfStyle w:evenVBand="false" w:oddVBand="true" w:firstColumn="false"/>
            <w:tcW w:w="25.000000%" w:type="pct"/>
          </w:tcPr>
          <w:p>
            <w:pPr>
              <w:ind w:leftChars="0" w:left="0" w:right="0"/>
            </w:pPr>
            <w:r>
              <w:t>CDSI</w:t>
            </w:r>
          </w:p>
        </w:tc>
        <w:tc>
          <w:tcPr>
            <w:cnfStyle w:evenVBand="true" w:oddVBand="false" w:firstColumn="false"/>
            <w:tcW w:w="25.000000%" w:type="pct"/>
          </w:tcPr>
          <w:p>
            <w:pPr>
              <w:ind w:leftChars="0" w:left="0" w:right="0"/>
            </w:pPr>
            <w:r>
              <w:t>CDSI</w:t>
            </w:r>
          </w:p>
        </w:tc>
        <w:tc>
          <w:tcPr>
            <w:cnfStyle w:evenVBand="false" w:oddVBand="true" w:firstColumn="false"/>
            <w:tcW w:w="25.000000%" w:type="pct"/>
          </w:tcPr>
          <w:p>
            <w:pPr>
              <w:ind w:leftChars="0" w:left="0" w:right="0"/>
            </w:pPr>
            <w:r>
              <w:t>CREDIT SUISSE (DEUTSCHLAND) AG - SYSTEMATIC INTERNALISER</w:t>
            </w:r>
          </w:p>
        </w:tc>
        <w:tc>
          <w:tcPr>
            <w:cnfStyle w:evenVBand="true" w:oddVBand="false" w:firstColumn="false"/>
            <w:tcW w:w="25.000000%" w:type="pct"/>
          </w:tcPr>
          <w:p>
            <w:pPr>
              <w:ind w:leftChars="0" w:left="0" w:right="0"/>
            </w:pPr>
            <w:r>
              <w:t>352</w:t>
            </w:r>
          </w:p>
        </w:tc>
      </w:tr>
      <w:tr>
        <w:trPr>
          <w:cnfStyle w:evenHBand="true" w:oddHBand="false" w:firstRow="false"/>
        </w:trPr>
        <w:tc>
          <w:tcPr>
            <w:cnfStyle w:evenVBand="false" w:oddVBand="true" w:firstColumn="false"/>
            <w:tcW w:w="25.000000%" w:type="pct"/>
          </w:tcPr>
          <w:p>
            <w:pPr>
              <w:ind w:leftChars="0" w:left="0" w:right="0"/>
            </w:pPr>
            <w:r>
              <w:t>CDSL</w:t>
            </w:r>
          </w:p>
        </w:tc>
        <w:tc>
          <w:tcPr>
            <w:cnfStyle w:evenVBand="true" w:oddVBand="false" w:firstColumn="false"/>
            <w:tcW w:w="25.000000%" w:type="pct"/>
          </w:tcPr>
          <w:p>
            <w:pPr>
              <w:ind w:leftChars="0" w:left="0" w:right="0"/>
            </w:pPr>
            <w:r>
              <w:t>CDSL</w:t>
            </w:r>
          </w:p>
        </w:tc>
        <w:tc>
          <w:tcPr>
            <w:cnfStyle w:evenVBand="false" w:oddVBand="true" w:firstColumn="false"/>
            <w:tcW w:w="25.000000%" w:type="pct"/>
          </w:tcPr>
          <w:p>
            <w:pPr>
              <w:ind w:leftChars="0" w:left="0" w:right="0"/>
            </w:pPr>
            <w:r>
              <w:t>CLEARCORP DEALING SYSTEMS (INDIA) LTD.</w:t>
            </w:r>
          </w:p>
        </w:tc>
        <w:tc>
          <w:tcPr>
            <w:cnfStyle w:evenVBand="true" w:oddVBand="false" w:firstColumn="false"/>
            <w:tcW w:w="25.000000%" w:type="pct"/>
          </w:tcPr>
          <w:p>
            <w:pPr>
              <w:ind w:leftChars="0" w:left="0" w:right="0"/>
            </w:pPr>
            <w:r>
              <w:t>353</w:t>
            </w:r>
          </w:p>
        </w:tc>
      </w:tr>
      <w:tr>
        <w:trPr>
          <w:cnfStyle w:evenHBand="false" w:oddHBand="true" w:firstRow="false"/>
        </w:trPr>
        <w:tc>
          <w:tcPr>
            <w:cnfStyle w:evenVBand="false" w:oddVBand="true" w:firstColumn="false"/>
            <w:tcW w:w="25.000000%" w:type="pct"/>
          </w:tcPr>
          <w:p>
            <w:pPr>
              <w:ind w:leftChars="0" w:left="0" w:right="0"/>
            </w:pPr>
            <w:r>
              <w:t>CECA</w:t>
            </w:r>
          </w:p>
        </w:tc>
        <w:tc>
          <w:tcPr>
            <w:cnfStyle w:evenVBand="true" w:oddVBand="false" w:firstColumn="false"/>
            <w:tcW w:w="25.000000%" w:type="pct"/>
          </w:tcPr>
          <w:p>
            <w:pPr>
              <w:ind w:leftChars="0" w:left="0" w:right="0"/>
            </w:pPr>
            <w:r>
              <w:t>CECA</w:t>
            </w:r>
          </w:p>
        </w:tc>
        <w:tc>
          <w:tcPr>
            <w:cnfStyle w:evenVBand="false" w:oddVBand="true" w:firstColumn="false"/>
            <w:tcW w:w="25.000000%" w:type="pct"/>
          </w:tcPr>
          <w:p>
            <w:pPr>
              <w:ind w:leftChars="0" w:left="0" w:right="0"/>
            </w:pPr>
            <w:r>
              <w:t>CECABANK - SYSTEMATIC INTERNALISER</w:t>
            </w:r>
          </w:p>
        </w:tc>
        <w:tc>
          <w:tcPr>
            <w:cnfStyle w:evenVBand="true" w:oddVBand="false" w:firstColumn="false"/>
            <w:tcW w:w="25.000000%" w:type="pct"/>
          </w:tcPr>
          <w:p>
            <w:pPr>
              <w:ind w:leftChars="0" w:left="0" w:right="0"/>
            </w:pPr>
            <w:r>
              <w:t>354</w:t>
            </w:r>
          </w:p>
        </w:tc>
      </w:tr>
      <w:tr>
        <w:trPr>
          <w:cnfStyle w:evenHBand="true" w:oddHBand="false" w:firstRow="false"/>
        </w:trPr>
        <w:tc>
          <w:tcPr>
            <w:cnfStyle w:evenVBand="false" w:oddVBand="true" w:firstColumn="false"/>
            <w:tcW w:w="25.000000%" w:type="pct"/>
          </w:tcPr>
          <w:p>
            <w:pPr>
              <w:ind w:leftChars="0" w:left="0" w:right="0"/>
            </w:pPr>
            <w:r>
              <w:t>CECS</w:t>
            </w:r>
          </w:p>
        </w:tc>
        <w:tc>
          <w:tcPr>
            <w:cnfStyle w:evenVBand="true" w:oddVBand="false" w:firstColumn="false"/>
            <w:tcW w:w="25.000000%" w:type="pct"/>
          </w:tcPr>
          <w:p>
            <w:pPr>
              <w:ind w:leftChars="0" w:left="0" w:right="0"/>
            </w:pPr>
            <w:r>
              <w:t>CECS</w:t>
            </w:r>
          </w:p>
        </w:tc>
        <w:tc>
          <w:tcPr>
            <w:cnfStyle w:evenVBand="false" w:oddVBand="true" w:firstColumn="false"/>
            <w:tcW w:w="25.000000%" w:type="pct"/>
          </w:tcPr>
          <w:p>
            <w:pPr>
              <w:ind w:leftChars="0" w:left="0" w:right="0"/>
            </w:pPr>
            <w:r>
              <w:t>CME SWAPS MARKETS (COMEX)</w:t>
            </w:r>
          </w:p>
        </w:tc>
        <w:tc>
          <w:tcPr>
            <w:cnfStyle w:evenVBand="true" w:oddVBand="false" w:firstColumn="false"/>
            <w:tcW w:w="25.000000%" w:type="pct"/>
          </w:tcPr>
          <w:p>
            <w:pPr>
              <w:ind w:leftChars="0" w:left="0" w:right="0"/>
            </w:pPr>
            <w:r>
              <w:t>355</w:t>
            </w:r>
          </w:p>
        </w:tc>
      </w:tr>
      <w:tr>
        <w:trPr>
          <w:cnfStyle w:evenHBand="false" w:oddHBand="true" w:firstRow="false"/>
        </w:trPr>
        <w:tc>
          <w:tcPr>
            <w:cnfStyle w:evenVBand="false" w:oddVBand="true" w:firstColumn="false"/>
            <w:tcW w:w="25.000000%" w:type="pct"/>
          </w:tcPr>
          <w:p>
            <w:pPr>
              <w:ind w:leftChars="0" w:left="0" w:right="0"/>
            </w:pPr>
            <w:r>
              <w:t>CEDX</w:t>
            </w:r>
          </w:p>
        </w:tc>
        <w:tc>
          <w:tcPr>
            <w:cnfStyle w:evenVBand="true" w:oddVBand="false" w:firstColumn="false"/>
            <w:tcW w:w="25.000000%" w:type="pct"/>
          </w:tcPr>
          <w:p>
            <w:pPr>
              <w:ind w:leftChars="0" w:left="0" w:right="0"/>
            </w:pPr>
            <w:r>
              <w:t>CEDX</w:t>
            </w:r>
          </w:p>
        </w:tc>
        <w:tc>
          <w:tcPr>
            <w:cnfStyle w:evenVBand="false" w:oddVBand="true" w:firstColumn="false"/>
            <w:tcW w:w="25.000000%" w:type="pct"/>
          </w:tcPr>
          <w:p>
            <w:pPr>
              <w:ind w:leftChars="0" w:left="0" w:right="0"/>
            </w:pPr>
            <w:r>
              <w:t>CBOE EUROPE DERIVATIVES</w:t>
            </w:r>
          </w:p>
        </w:tc>
        <w:tc>
          <w:tcPr>
            <w:cnfStyle w:evenVBand="true" w:oddVBand="false" w:firstColumn="false"/>
            <w:tcW w:w="25.000000%" w:type="pct"/>
          </w:tcPr>
          <w:p>
            <w:pPr>
              <w:ind w:leftChars="0" w:left="0" w:right="0"/>
            </w:pPr>
            <w:r>
              <w:t>356</w:t>
            </w:r>
          </w:p>
        </w:tc>
      </w:tr>
      <w:tr>
        <w:trPr>
          <w:cnfStyle w:evenHBand="true" w:oddHBand="false" w:firstRow="false"/>
        </w:trPr>
        <w:tc>
          <w:tcPr>
            <w:cnfStyle w:evenVBand="false" w:oddVBand="true" w:firstColumn="false"/>
            <w:tcW w:w="25.000000%" w:type="pct"/>
          </w:tcPr>
          <w:p>
            <w:pPr>
              <w:ind w:leftChars="0" w:left="0" w:right="0"/>
            </w:pPr>
            <w:r>
              <w:t>CELP</w:t>
            </w:r>
          </w:p>
        </w:tc>
        <w:tc>
          <w:tcPr>
            <w:cnfStyle w:evenVBand="true" w:oddVBand="false" w:firstColumn="false"/>
            <w:tcW w:w="25.000000%" w:type="pct"/>
          </w:tcPr>
          <w:p>
            <w:pPr>
              <w:ind w:leftChars="0" w:left="0" w:right="0"/>
            </w:pPr>
            <w:r>
              <w:t>CELP</w:t>
            </w:r>
          </w:p>
        </w:tc>
        <w:tc>
          <w:tcPr>
            <w:cnfStyle w:evenVBand="false" w:oddVBand="true" w:firstColumn="false"/>
            <w:tcW w:w="25.000000%" w:type="pct"/>
          </w:tcPr>
          <w:p>
            <w:pPr>
              <w:ind w:leftChars="0" w:left="0" w:right="0"/>
            </w:pPr>
            <w:r>
              <w:t>ČESKOSLOVENSKÁ OBCHODNÍ BANKA, A.S. - OTHER LIQUIDITY PROVIDER (OLP)</w:t>
            </w:r>
          </w:p>
        </w:tc>
        <w:tc>
          <w:tcPr>
            <w:cnfStyle w:evenVBand="true" w:oddVBand="false" w:firstColumn="false"/>
            <w:tcW w:w="25.000000%" w:type="pct"/>
          </w:tcPr>
          <w:p>
            <w:pPr>
              <w:ind w:leftChars="0" w:left="0" w:right="0"/>
            </w:pPr>
            <w:r>
              <w:t>357</w:t>
            </w:r>
          </w:p>
        </w:tc>
      </w:tr>
      <w:tr>
        <w:trPr>
          <w:cnfStyle w:evenHBand="false" w:oddHBand="true" w:firstRow="false"/>
        </w:trPr>
        <w:tc>
          <w:tcPr>
            <w:cnfStyle w:evenVBand="false" w:oddVBand="true" w:firstColumn="false"/>
            <w:tcW w:w="25.000000%" w:type="pct"/>
          </w:tcPr>
          <w:p>
            <w:pPr>
              <w:ind w:leftChars="0" w:left="0" w:right="0"/>
            </w:pPr>
            <w:r>
              <w:t>CEPL</w:t>
            </w:r>
          </w:p>
        </w:tc>
        <w:tc>
          <w:tcPr>
            <w:cnfStyle w:evenVBand="true" w:oddVBand="false" w:firstColumn="false"/>
            <w:tcW w:w="25.000000%" w:type="pct"/>
          </w:tcPr>
          <w:p>
            <w:pPr>
              <w:ind w:leftChars="0" w:left="0" w:right="0"/>
            </w:pPr>
            <w:r>
              <w:t>CEPL</w:t>
            </w:r>
          </w:p>
        </w:tc>
        <w:tc>
          <w:tcPr>
            <w:cnfStyle w:evenVBand="false" w:oddVBand="true" w:firstColumn="false"/>
            <w:tcW w:w="25.000000%" w:type="pct"/>
          </w:tcPr>
          <w:p>
            <w:pPr>
              <w:ind w:leftChars="0" w:left="0" w:right="0"/>
            </w:pPr>
            <w:r>
              <w:t>CITIBANK EUROPE PLC - SYSTEMATIC INTERNALISER</w:t>
            </w:r>
          </w:p>
        </w:tc>
        <w:tc>
          <w:tcPr>
            <w:cnfStyle w:evenVBand="true" w:oddVBand="false" w:firstColumn="false"/>
            <w:tcW w:w="25.000000%" w:type="pct"/>
          </w:tcPr>
          <w:p>
            <w:pPr>
              <w:ind w:leftChars="0" w:left="0" w:right="0"/>
            </w:pPr>
            <w:r>
              <w:t>358</w:t>
            </w:r>
          </w:p>
        </w:tc>
      </w:tr>
      <w:tr>
        <w:trPr>
          <w:cnfStyle w:evenHBand="true" w:oddHBand="false" w:firstRow="false"/>
        </w:trPr>
        <w:tc>
          <w:tcPr>
            <w:cnfStyle w:evenVBand="false" w:oddVBand="true" w:firstColumn="false"/>
            <w:tcW w:w="25.000000%" w:type="pct"/>
          </w:tcPr>
          <w:p>
            <w:pPr>
              <w:ind w:leftChars="0" w:left="0" w:right="0"/>
            </w:pPr>
            <w:r>
              <w:t>CEPU</w:t>
            </w:r>
          </w:p>
        </w:tc>
        <w:tc>
          <w:tcPr>
            <w:cnfStyle w:evenVBand="true" w:oddVBand="false" w:firstColumn="false"/>
            <w:tcW w:w="25.000000%" w:type="pct"/>
          </w:tcPr>
          <w:p>
            <w:pPr>
              <w:ind w:leftChars="0" w:left="0" w:right="0"/>
            </w:pPr>
            <w:r>
              <w:t>CEPU</w:t>
            </w:r>
          </w:p>
        </w:tc>
        <w:tc>
          <w:tcPr>
            <w:cnfStyle w:evenVBand="false" w:oddVBand="true" w:firstColumn="false"/>
            <w:tcW w:w="25.000000%" w:type="pct"/>
          </w:tcPr>
          <w:p>
            <w:pPr>
              <w:ind w:leftChars="0" w:left="0" w:right="0"/>
            </w:pPr>
            <w:r>
              <w:t>CITIBANK EUROPE PLC - LONDON BRANCH</w:t>
            </w:r>
          </w:p>
        </w:tc>
        <w:tc>
          <w:tcPr>
            <w:cnfStyle w:evenVBand="true" w:oddVBand="false" w:firstColumn="false"/>
            <w:tcW w:w="25.000000%" w:type="pct"/>
          </w:tcPr>
          <w:p>
            <w:pPr>
              <w:ind w:leftChars="0" w:left="0" w:right="0"/>
            </w:pPr>
            <w:r>
              <w:t>359</w:t>
            </w:r>
          </w:p>
        </w:tc>
      </w:tr>
      <w:tr>
        <w:trPr>
          <w:cnfStyle w:evenHBand="false" w:oddHBand="true" w:firstRow="false"/>
        </w:trPr>
        <w:tc>
          <w:tcPr>
            <w:cnfStyle w:evenVBand="false" w:oddVBand="true" w:firstColumn="false"/>
            <w:tcW w:w="25.000000%" w:type="pct"/>
          </w:tcPr>
          <w:p>
            <w:pPr>
              <w:ind w:leftChars="0" w:left="0" w:right="0"/>
            </w:pPr>
            <w:r>
              <w:t>CESI</w:t>
            </w:r>
          </w:p>
        </w:tc>
        <w:tc>
          <w:tcPr>
            <w:cnfStyle w:evenVBand="true" w:oddVBand="false" w:firstColumn="false"/>
            <w:tcW w:w="25.000000%" w:type="pct"/>
          </w:tcPr>
          <w:p>
            <w:pPr>
              <w:ind w:leftChars="0" w:left="0" w:right="0"/>
            </w:pPr>
            <w:r>
              <w:t>CESI</w:t>
            </w:r>
          </w:p>
        </w:tc>
        <w:tc>
          <w:tcPr>
            <w:cnfStyle w:evenVBand="false" w:oddVBand="true" w:firstColumn="false"/>
            <w:tcW w:w="25.000000%" w:type="pct"/>
          </w:tcPr>
          <w:p>
            <w:pPr>
              <w:ind w:leftChars="0" w:left="0" w:right="0"/>
            </w:pPr>
            <w:r>
              <w:t>ČESKOSLOVENSKÁ OBCHODNÍ BANKA, A.S. - SYSTEMATIC INTERNALISER</w:t>
            </w:r>
          </w:p>
        </w:tc>
        <w:tc>
          <w:tcPr>
            <w:cnfStyle w:evenVBand="true" w:oddVBand="false" w:firstColumn="false"/>
            <w:tcW w:w="25.000000%" w:type="pct"/>
          </w:tcPr>
          <w:p>
            <w:pPr>
              <w:ind w:leftChars="0" w:left="0" w:right="0"/>
            </w:pPr>
            <w:r>
              <w:t>360</w:t>
            </w:r>
          </w:p>
        </w:tc>
      </w:tr>
      <w:tr>
        <w:trPr>
          <w:cnfStyle w:evenHBand="true" w:oddHBand="false" w:firstRow="false"/>
        </w:trPr>
        <w:tc>
          <w:tcPr>
            <w:cnfStyle w:evenVBand="false" w:oddVBand="true" w:firstColumn="false"/>
            <w:tcW w:w="25.000000%" w:type="pct"/>
          </w:tcPr>
          <w:p>
            <w:pPr>
              <w:ind w:leftChars="0" w:left="0" w:right="0"/>
            </w:pPr>
            <w:r>
              <w:t>CETI</w:t>
            </w:r>
          </w:p>
        </w:tc>
        <w:tc>
          <w:tcPr>
            <w:cnfStyle w:evenVBand="true" w:oddVBand="false" w:firstColumn="false"/>
            <w:tcW w:w="25.000000%" w:type="pct"/>
          </w:tcPr>
          <w:p>
            <w:pPr>
              <w:ind w:leftChars="0" w:left="0" w:right="0"/>
            </w:pPr>
            <w:r>
              <w:t>CETI</w:t>
            </w:r>
          </w:p>
        </w:tc>
        <w:tc>
          <w:tcPr>
            <w:cnfStyle w:evenVBand="false" w:oddVBand="true" w:firstColumn="false"/>
            <w:tcW w:w="25.000000%" w:type="pct"/>
          </w:tcPr>
          <w:p>
            <w:pPr>
              <w:ind w:leftChars="0" w:left="0" w:right="0"/>
            </w:pPr>
            <w:r>
              <w:t>CETIP S.A. - MERCADOS ORGANIZADOS</w:t>
            </w:r>
          </w:p>
        </w:tc>
        <w:tc>
          <w:tcPr>
            <w:cnfStyle w:evenVBand="true" w:oddVBand="false" w:firstColumn="false"/>
            <w:tcW w:w="25.000000%" w:type="pct"/>
          </w:tcPr>
          <w:p>
            <w:pPr>
              <w:ind w:leftChars="0" w:left="0" w:right="0"/>
            </w:pPr>
            <w:r>
              <w:t>361</w:t>
            </w:r>
          </w:p>
        </w:tc>
      </w:tr>
      <w:tr>
        <w:trPr>
          <w:cnfStyle w:evenHBand="false" w:oddHBand="true" w:firstRow="false"/>
        </w:trPr>
        <w:tc>
          <w:tcPr>
            <w:cnfStyle w:evenVBand="false" w:oddVBand="true" w:firstColumn="false"/>
            <w:tcW w:w="25.000000%" w:type="pct"/>
          </w:tcPr>
          <w:p>
            <w:pPr>
              <w:ind w:leftChars="0" w:left="0" w:right="0"/>
            </w:pPr>
            <w:r>
              <w:t>CETO</w:t>
            </w:r>
          </w:p>
        </w:tc>
        <w:tc>
          <w:tcPr>
            <w:cnfStyle w:evenVBand="true" w:oddVBand="false" w:firstColumn="false"/>
            <w:tcW w:w="25.000000%" w:type="pct"/>
          </w:tcPr>
          <w:p>
            <w:pPr>
              <w:ind w:leftChars="0" w:left="0" w:right="0"/>
            </w:pPr>
            <w:r>
              <w:t>CETO</w:t>
            </w:r>
          </w:p>
        </w:tc>
        <w:tc>
          <w:tcPr>
            <w:cnfStyle w:evenVBand="false" w:oddVBand="true" w:firstColumn="false"/>
            <w:tcW w:w="25.000000%" w:type="pct"/>
          </w:tcPr>
          <w:p>
            <w:pPr>
              <w:ind w:leftChars="0" w:left="0" w:right="0"/>
            </w:pPr>
            <w:r>
              <w:t>BONDSPOT S.A.</w:t>
            </w:r>
          </w:p>
        </w:tc>
        <w:tc>
          <w:tcPr>
            <w:cnfStyle w:evenVBand="true" w:oddVBand="false" w:firstColumn="false"/>
            <w:tcW w:w="25.000000%" w:type="pct"/>
          </w:tcPr>
          <w:p>
            <w:pPr>
              <w:ind w:leftChars="0" w:left="0" w:right="0"/>
            </w:pPr>
            <w:r>
              <w:t>362</w:t>
            </w:r>
          </w:p>
        </w:tc>
      </w:tr>
      <w:tr>
        <w:trPr>
          <w:cnfStyle w:evenHBand="true" w:oddHBand="false" w:firstRow="false"/>
        </w:trPr>
        <w:tc>
          <w:tcPr>
            <w:cnfStyle w:evenVBand="false" w:oddVBand="true" w:firstColumn="false"/>
            <w:tcW w:w="25.000000%" w:type="pct"/>
          </w:tcPr>
          <w:p>
            <w:pPr>
              <w:ind w:leftChars="0" w:left="0" w:right="0"/>
            </w:pPr>
            <w:r>
              <w:t>CEUD</w:t>
            </w:r>
          </w:p>
        </w:tc>
        <w:tc>
          <w:tcPr>
            <w:cnfStyle w:evenVBand="true" w:oddVBand="false" w:firstColumn="false"/>
            <w:tcW w:w="25.000000%" w:type="pct"/>
          </w:tcPr>
          <w:p>
            <w:pPr>
              <w:ind w:leftChars="0" w:left="0" w:right="0"/>
            </w:pPr>
            <w:r>
              <w:t>CEUD</w:t>
            </w:r>
          </w:p>
        </w:tc>
        <w:tc>
          <w:tcPr>
            <w:cnfStyle w:evenVBand="false" w:oddVBand="true" w:firstColumn="false"/>
            <w:tcW w:w="25.000000%" w:type="pct"/>
          </w:tcPr>
          <w:p>
            <w:pPr>
              <w:ind w:leftChars="0" w:left="0" w:right="0"/>
            </w:pPr>
            <w:r>
              <w:t>CBOE EUROPE - DXE DARK ORDER BOOK (NL)</w:t>
            </w:r>
          </w:p>
        </w:tc>
        <w:tc>
          <w:tcPr>
            <w:cnfStyle w:evenVBand="true" w:oddVBand="false" w:firstColumn="false"/>
            <w:tcW w:w="25.000000%" w:type="pct"/>
          </w:tcPr>
          <w:p>
            <w:pPr>
              <w:ind w:leftChars="0" w:left="0" w:right="0"/>
            </w:pPr>
            <w:r>
              <w:t>363</w:t>
            </w:r>
          </w:p>
        </w:tc>
      </w:tr>
      <w:tr>
        <w:trPr>
          <w:cnfStyle w:evenHBand="false" w:oddHBand="true" w:firstRow="false"/>
        </w:trPr>
        <w:tc>
          <w:tcPr>
            <w:cnfStyle w:evenVBand="false" w:oddVBand="true" w:firstColumn="false"/>
            <w:tcW w:w="25.000000%" w:type="pct"/>
          </w:tcPr>
          <w:p>
            <w:pPr>
              <w:ind w:leftChars="0" w:left="0" w:right="0"/>
            </w:pPr>
            <w:r>
              <w:t>CEUE</w:t>
            </w:r>
          </w:p>
        </w:tc>
        <w:tc>
          <w:tcPr>
            <w:cnfStyle w:evenVBand="true" w:oddVBand="false" w:firstColumn="false"/>
            <w:tcW w:w="25.000000%" w:type="pct"/>
          </w:tcPr>
          <w:p>
            <w:pPr>
              <w:ind w:leftChars="0" w:left="0" w:right="0"/>
            </w:pPr>
            <w:r>
              <w:t>CEUE</w:t>
            </w:r>
          </w:p>
        </w:tc>
        <w:tc>
          <w:tcPr>
            <w:cnfStyle w:evenVBand="false" w:oddVBand="true" w:firstColumn="false"/>
            <w:tcW w:w="25.000000%" w:type="pct"/>
          </w:tcPr>
          <w:p>
            <w:pPr>
              <w:ind w:leftChars="0" w:left="0" w:right="0"/>
            </w:pPr>
            <w:r>
              <w:t>CBOE EUROPE - CXE ORDER BOOKS (NL)</w:t>
            </w:r>
          </w:p>
        </w:tc>
        <w:tc>
          <w:tcPr>
            <w:cnfStyle w:evenVBand="true" w:oddVBand="false" w:firstColumn="false"/>
            <w:tcW w:w="25.000000%" w:type="pct"/>
          </w:tcPr>
          <w:p>
            <w:pPr>
              <w:ind w:leftChars="0" w:left="0" w:right="0"/>
            </w:pPr>
            <w:r>
              <w:t>364</w:t>
            </w:r>
          </w:p>
        </w:tc>
      </w:tr>
      <w:tr>
        <w:trPr>
          <w:cnfStyle w:evenHBand="true" w:oddHBand="false" w:firstRow="false"/>
        </w:trPr>
        <w:tc>
          <w:tcPr>
            <w:cnfStyle w:evenVBand="false" w:oddVBand="true" w:firstColumn="false"/>
            <w:tcW w:w="25.000000%" w:type="pct"/>
          </w:tcPr>
          <w:p>
            <w:pPr>
              <w:ind w:leftChars="0" w:left="0" w:right="0"/>
            </w:pPr>
            <w:r>
              <w:t>CEUO</w:t>
            </w:r>
          </w:p>
        </w:tc>
        <w:tc>
          <w:tcPr>
            <w:cnfStyle w:evenVBand="true" w:oddVBand="false" w:firstColumn="false"/>
            <w:tcW w:w="25.000000%" w:type="pct"/>
          </w:tcPr>
          <w:p>
            <w:pPr>
              <w:ind w:leftChars="0" w:left="0" w:right="0"/>
            </w:pPr>
            <w:r>
              <w:t>CEUO</w:t>
            </w:r>
          </w:p>
        </w:tc>
        <w:tc>
          <w:tcPr>
            <w:cnfStyle w:evenVBand="false" w:oddVBand="true" w:firstColumn="false"/>
            <w:tcW w:w="25.000000%" w:type="pct"/>
          </w:tcPr>
          <w:p>
            <w:pPr>
              <w:ind w:leftChars="0" w:left="0" w:right="0"/>
            </w:pPr>
            <w:r>
              <w:t>CBOE EUROPE - DXE OFF-BOOK (NL)</w:t>
            </w:r>
          </w:p>
        </w:tc>
        <w:tc>
          <w:tcPr>
            <w:cnfStyle w:evenVBand="true" w:oddVBand="false" w:firstColumn="false"/>
            <w:tcW w:w="25.000000%" w:type="pct"/>
          </w:tcPr>
          <w:p>
            <w:pPr>
              <w:ind w:leftChars="0" w:left="0" w:right="0"/>
            </w:pPr>
            <w:r>
              <w:t>365</w:t>
            </w:r>
          </w:p>
        </w:tc>
      </w:tr>
      <w:tr>
        <w:trPr>
          <w:cnfStyle w:evenHBand="false" w:oddHBand="true" w:firstRow="false"/>
        </w:trPr>
        <w:tc>
          <w:tcPr>
            <w:cnfStyle w:evenVBand="false" w:oddVBand="true" w:firstColumn="false"/>
            <w:tcW w:w="25.000000%" w:type="pct"/>
          </w:tcPr>
          <w:p>
            <w:pPr>
              <w:ind w:leftChars="0" w:left="0" w:right="0"/>
            </w:pPr>
            <w:r>
              <w:t>CEUX</w:t>
            </w:r>
          </w:p>
        </w:tc>
        <w:tc>
          <w:tcPr>
            <w:cnfStyle w:evenVBand="true" w:oddVBand="false" w:firstColumn="false"/>
            <w:tcW w:w="25.000000%" w:type="pct"/>
          </w:tcPr>
          <w:p>
            <w:pPr>
              <w:ind w:leftChars="0" w:left="0" w:right="0"/>
            </w:pPr>
            <w:r>
              <w:t>CEUX</w:t>
            </w:r>
          </w:p>
        </w:tc>
        <w:tc>
          <w:tcPr>
            <w:cnfStyle w:evenVBand="false" w:oddVBand="true" w:firstColumn="false"/>
            <w:tcW w:w="25.000000%" w:type="pct"/>
          </w:tcPr>
          <w:p>
            <w:pPr>
              <w:ind w:leftChars="0" w:left="0" w:right="0"/>
            </w:pPr>
            <w:r>
              <w:t>CBOE EUROPE - DXE ORDER BOOKS (NL)</w:t>
            </w:r>
          </w:p>
        </w:tc>
        <w:tc>
          <w:tcPr>
            <w:cnfStyle w:evenVBand="true" w:oddVBand="false" w:firstColumn="false"/>
            <w:tcW w:w="25.000000%" w:type="pct"/>
          </w:tcPr>
          <w:p>
            <w:pPr>
              <w:ind w:leftChars="0" w:left="0" w:right="0"/>
            </w:pPr>
            <w:r>
              <w:t>366</w:t>
            </w:r>
          </w:p>
        </w:tc>
      </w:tr>
      <w:tr>
        <w:trPr>
          <w:cnfStyle w:evenHBand="true" w:oddHBand="false" w:firstRow="false"/>
        </w:trPr>
        <w:tc>
          <w:tcPr>
            <w:cnfStyle w:evenVBand="false" w:oddVBand="true" w:firstColumn="false"/>
            <w:tcW w:w="25.000000%" w:type="pct"/>
          </w:tcPr>
          <w:p>
            <w:pPr>
              <w:ind w:leftChars="0" w:left="0" w:right="0"/>
            </w:pPr>
            <w:r>
              <w:t>CFAU</w:t>
            </w:r>
          </w:p>
        </w:tc>
        <w:tc>
          <w:tcPr>
            <w:cnfStyle w:evenVBand="true" w:oddVBand="false" w:firstColumn="false"/>
            <w:tcW w:w="25.000000%" w:type="pct"/>
          </w:tcPr>
          <w:p>
            <w:pPr>
              <w:ind w:leftChars="0" w:left="0" w:right="0"/>
            </w:pPr>
            <w:r>
              <w:t>CFAU</w:t>
            </w:r>
          </w:p>
        </w:tc>
        <w:tc>
          <w:tcPr>
            <w:cnfStyle w:evenVBand="false" w:oddVBand="true" w:firstColumn="false"/>
            <w:tcW w:w="25.000000%" w:type="pct"/>
          </w:tcPr>
          <w:p>
            <w:pPr>
              <w:ind w:leftChars="0" w:left="0" w:right="0"/>
            </w:pPr>
            <w:r>
              <w:t>CROSSFINDER AUSTRALIA</w:t>
            </w:r>
          </w:p>
        </w:tc>
        <w:tc>
          <w:tcPr>
            <w:cnfStyle w:evenVBand="true" w:oddVBand="false" w:firstColumn="false"/>
            <w:tcW w:w="25.000000%" w:type="pct"/>
          </w:tcPr>
          <w:p>
            <w:pPr>
              <w:ind w:leftChars="0" w:left="0" w:right="0"/>
            </w:pPr>
            <w:r>
              <w:t>367</w:t>
            </w:r>
          </w:p>
        </w:tc>
      </w:tr>
      <w:tr>
        <w:trPr>
          <w:cnfStyle w:evenHBand="false" w:oddHBand="true" w:firstRow="false"/>
        </w:trPr>
        <w:tc>
          <w:tcPr>
            <w:cnfStyle w:evenVBand="false" w:oddVBand="true" w:firstColumn="false"/>
            <w:tcW w:w="25.000000%" w:type="pct"/>
          </w:tcPr>
          <w:p>
            <w:pPr>
              <w:ind w:leftChars="0" w:left="0" w:right="0"/>
            </w:pPr>
            <w:r>
              <w:t>CFBC</w:t>
            </w:r>
          </w:p>
        </w:tc>
        <w:tc>
          <w:tcPr>
            <w:cnfStyle w:evenVBand="true" w:oddVBand="false" w:firstColumn="false"/>
            <w:tcW w:w="25.000000%" w:type="pct"/>
          </w:tcPr>
          <w:p>
            <w:pPr>
              <w:ind w:leftChars="0" w:left="0" w:right="0"/>
            </w:pPr>
            <w:r>
              <w:t>CFBC</w:t>
            </w:r>
          </w:p>
        </w:tc>
        <w:tc>
          <w:tcPr>
            <w:cnfStyle w:evenVBand="false" w:oddVBand="true" w:firstColumn="false"/>
            <w:tcW w:w="25.000000%" w:type="pct"/>
          </w:tcPr>
          <w:p>
            <w:pPr>
              <w:ind w:leftChars="0" w:left="0" w:right="0"/>
            </w:pPr>
            <w:r>
              <w:t>CHINA FOREIGN EXCHANGE TRADE SYSTEM - SHANGHAI - HONG KONG BOND CONNECT</w:t>
            </w:r>
          </w:p>
        </w:tc>
        <w:tc>
          <w:tcPr>
            <w:cnfStyle w:evenVBand="true" w:oddVBand="false" w:firstColumn="false"/>
            <w:tcW w:w="25.000000%" w:type="pct"/>
          </w:tcPr>
          <w:p>
            <w:pPr>
              <w:ind w:leftChars="0" w:left="0" w:right="0"/>
            </w:pPr>
            <w:r>
              <w:t>368</w:t>
            </w:r>
          </w:p>
        </w:tc>
      </w:tr>
      <w:tr>
        <w:trPr>
          <w:cnfStyle w:evenHBand="true" w:oddHBand="false" w:firstRow="false"/>
        </w:trPr>
        <w:tc>
          <w:tcPr>
            <w:cnfStyle w:evenVBand="false" w:oddVBand="true" w:firstColumn="false"/>
            <w:tcW w:w="25.000000%" w:type="pct"/>
          </w:tcPr>
          <w:p>
            <w:pPr>
              <w:ind w:leftChars="0" w:left="0" w:right="0"/>
            </w:pPr>
            <w:r>
              <w:t>CFHK</w:t>
            </w:r>
          </w:p>
        </w:tc>
        <w:tc>
          <w:tcPr>
            <w:cnfStyle w:evenVBand="true" w:oddVBand="false" w:firstColumn="false"/>
            <w:tcW w:w="25.000000%" w:type="pct"/>
          </w:tcPr>
          <w:p>
            <w:pPr>
              <w:ind w:leftChars="0" w:left="0" w:right="0"/>
            </w:pPr>
            <w:r>
              <w:t>CFHK</w:t>
            </w:r>
          </w:p>
        </w:tc>
        <w:tc>
          <w:tcPr>
            <w:cnfStyle w:evenVBand="false" w:oddVBand="true" w:firstColumn="false"/>
            <w:tcW w:w="25.000000%" w:type="pct"/>
          </w:tcPr>
          <w:p>
            <w:pPr>
              <w:ind w:leftChars="0" w:left="0" w:right="0"/>
            </w:pPr>
            <w:r>
              <w:t>CROSSFINDER HONG KONG</w:t>
            </w:r>
          </w:p>
        </w:tc>
        <w:tc>
          <w:tcPr>
            <w:cnfStyle w:evenVBand="true" w:oddVBand="false" w:firstColumn="false"/>
            <w:tcW w:w="25.000000%" w:type="pct"/>
          </w:tcPr>
          <w:p>
            <w:pPr>
              <w:ind w:leftChars="0" w:left="0" w:right="0"/>
            </w:pPr>
            <w:r>
              <w:t>369</w:t>
            </w:r>
          </w:p>
        </w:tc>
      </w:tr>
      <w:tr>
        <w:trPr>
          <w:cnfStyle w:evenHBand="false" w:oddHBand="true" w:firstRow="false"/>
        </w:trPr>
        <w:tc>
          <w:tcPr>
            <w:cnfStyle w:evenVBand="false" w:oddVBand="true" w:firstColumn="false"/>
            <w:tcW w:w="25.000000%" w:type="pct"/>
          </w:tcPr>
          <w:p>
            <w:pPr>
              <w:ind w:leftChars="0" w:left="0" w:right="0"/>
            </w:pPr>
            <w:r>
              <w:t>CFIC</w:t>
            </w:r>
          </w:p>
        </w:tc>
        <w:tc>
          <w:tcPr>
            <w:cnfStyle w:evenVBand="true" w:oddVBand="false" w:firstColumn="false"/>
            <w:tcW w:w="25.000000%" w:type="pct"/>
          </w:tcPr>
          <w:p>
            <w:pPr>
              <w:ind w:leftChars="0" w:left="0" w:right="0"/>
            </w:pPr>
            <w:r>
              <w:t>CFIC</w:t>
            </w:r>
          </w:p>
        </w:tc>
        <w:tc>
          <w:tcPr>
            <w:cnfStyle w:evenVBand="false" w:oddVBand="true" w:firstColumn="false"/>
            <w:tcW w:w="25.000000%" w:type="pct"/>
          </w:tcPr>
          <w:p>
            <w:pPr>
              <w:ind w:leftChars="0" w:left="0" w:right="0"/>
            </w:pPr>
            <w:r>
              <w:t>CHINAFICC</w:t>
            </w:r>
          </w:p>
        </w:tc>
        <w:tc>
          <w:tcPr>
            <w:cnfStyle w:evenVBand="true" w:oddVBand="false" w:firstColumn="false"/>
            <w:tcW w:w="25.000000%" w:type="pct"/>
          </w:tcPr>
          <w:p>
            <w:pPr>
              <w:ind w:leftChars="0" w:left="0" w:right="0"/>
            </w:pPr>
            <w:r>
              <w:t>370</w:t>
            </w:r>
          </w:p>
        </w:tc>
      </w:tr>
      <w:tr>
        <w:trPr>
          <w:cnfStyle w:evenHBand="true" w:oddHBand="false" w:firstRow="false"/>
        </w:trPr>
        <w:tc>
          <w:tcPr>
            <w:cnfStyle w:evenVBand="false" w:oddVBand="true" w:firstColumn="false"/>
            <w:tcW w:w="25.000000%" w:type="pct"/>
          </w:tcPr>
          <w:p>
            <w:pPr>
              <w:ind w:leftChars="0" w:left="0" w:right="0"/>
            </w:pPr>
            <w:r>
              <w:t>CFIF</w:t>
            </w:r>
          </w:p>
        </w:tc>
        <w:tc>
          <w:tcPr>
            <w:cnfStyle w:evenVBand="true" w:oddVBand="false" w:firstColumn="false"/>
            <w:tcW w:w="25.000000%" w:type="pct"/>
          </w:tcPr>
          <w:p>
            <w:pPr>
              <w:ind w:leftChars="0" w:left="0" w:right="0"/>
            </w:pPr>
            <w:r>
              <w:t>CFIF</w:t>
            </w:r>
          </w:p>
        </w:tc>
        <w:tc>
          <w:tcPr>
            <w:cnfStyle w:evenVBand="false" w:oddVBand="true" w:firstColumn="false"/>
            <w:tcW w:w="25.000000%" w:type="pct"/>
          </w:tcPr>
          <w:p>
            <w:pPr>
              <w:ind w:leftChars="0" w:left="0" w:right="0"/>
            </w:pPr>
            <w:r>
              <w:t>CREDIT FINANCIER INVEST (CFI) LTD</w:t>
            </w:r>
          </w:p>
        </w:tc>
        <w:tc>
          <w:tcPr>
            <w:cnfStyle w:evenVBand="true" w:oddVBand="false" w:firstColumn="false"/>
            <w:tcW w:w="25.000000%" w:type="pct"/>
          </w:tcPr>
          <w:p>
            <w:pPr>
              <w:ind w:leftChars="0" w:left="0" w:right="0"/>
            </w:pPr>
            <w:r>
              <w:t>371</w:t>
            </w:r>
          </w:p>
        </w:tc>
      </w:tr>
      <w:tr>
        <w:trPr>
          <w:cnfStyle w:evenHBand="false" w:oddHBand="true" w:firstRow="false"/>
        </w:trPr>
        <w:tc>
          <w:tcPr>
            <w:cnfStyle w:evenVBand="false" w:oddVBand="true" w:firstColumn="false"/>
            <w:tcW w:w="25.000000%" w:type="pct"/>
          </w:tcPr>
          <w:p>
            <w:pPr>
              <w:ind w:leftChars="0" w:left="0" w:right="0"/>
            </w:pPr>
            <w:r>
              <w:t>CFIL</w:t>
            </w:r>
          </w:p>
        </w:tc>
        <w:tc>
          <w:tcPr>
            <w:cnfStyle w:evenVBand="true" w:oddVBand="false" w:firstColumn="false"/>
            <w:tcW w:w="25.000000%" w:type="pct"/>
          </w:tcPr>
          <w:p>
            <w:pPr>
              <w:ind w:leftChars="0" w:left="0" w:right="0"/>
            </w:pPr>
            <w:r>
              <w:t>CFIL</w:t>
            </w:r>
          </w:p>
        </w:tc>
        <w:tc>
          <w:tcPr>
            <w:cnfStyle w:evenVBand="false" w:oddVBand="true" w:firstColumn="false"/>
            <w:tcW w:w="25.000000%" w:type="pct"/>
          </w:tcPr>
          <w:p>
            <w:pPr>
              <w:ind w:leftChars="0" w:left="0" w:right="0"/>
            </w:pPr>
            <w:r>
              <w:t>CANTOR FITZGERALD IRELAND LIMITED</w:t>
            </w:r>
          </w:p>
        </w:tc>
        <w:tc>
          <w:tcPr>
            <w:cnfStyle w:evenVBand="true" w:oddVBand="false" w:firstColumn="false"/>
            <w:tcW w:w="25.000000%" w:type="pct"/>
          </w:tcPr>
          <w:p>
            <w:pPr>
              <w:ind w:leftChars="0" w:left="0" w:right="0"/>
            </w:pPr>
            <w:r>
              <w:t>372</w:t>
            </w:r>
          </w:p>
        </w:tc>
      </w:tr>
      <w:tr>
        <w:trPr>
          <w:cnfStyle w:evenHBand="true" w:oddHBand="false" w:firstRow="false"/>
        </w:trPr>
        <w:tc>
          <w:tcPr>
            <w:cnfStyle w:evenVBand="false" w:oddVBand="true" w:firstColumn="false"/>
            <w:tcW w:w="25.000000%" w:type="pct"/>
          </w:tcPr>
          <w:p>
            <w:pPr>
              <w:ind w:leftChars="0" w:left="0" w:right="0"/>
            </w:pPr>
            <w:r>
              <w:t>CFJP</w:t>
            </w:r>
          </w:p>
        </w:tc>
        <w:tc>
          <w:tcPr>
            <w:cnfStyle w:evenVBand="true" w:oddVBand="false" w:firstColumn="false"/>
            <w:tcW w:w="25.000000%" w:type="pct"/>
          </w:tcPr>
          <w:p>
            <w:pPr>
              <w:ind w:leftChars="0" w:left="0" w:right="0"/>
            </w:pPr>
            <w:r>
              <w:t>CFJP</w:t>
            </w:r>
          </w:p>
        </w:tc>
        <w:tc>
          <w:tcPr>
            <w:cnfStyle w:evenVBand="false" w:oddVBand="true" w:firstColumn="false"/>
            <w:tcW w:w="25.000000%" w:type="pct"/>
          </w:tcPr>
          <w:p>
            <w:pPr>
              <w:ind w:leftChars="0" w:left="0" w:right="0"/>
            </w:pPr>
            <w:r>
              <w:t>CROSSFINDER JAPAN</w:t>
            </w:r>
          </w:p>
        </w:tc>
        <w:tc>
          <w:tcPr>
            <w:cnfStyle w:evenVBand="true" w:oddVBand="false" w:firstColumn="false"/>
            <w:tcW w:w="25.000000%" w:type="pct"/>
          </w:tcPr>
          <w:p>
            <w:pPr>
              <w:ind w:leftChars="0" w:left="0" w:right="0"/>
            </w:pPr>
            <w:r>
              <w:t>373</w:t>
            </w:r>
          </w:p>
        </w:tc>
      </w:tr>
      <w:tr>
        <w:trPr>
          <w:cnfStyle w:evenHBand="false" w:oddHBand="true" w:firstRow="false"/>
        </w:trPr>
        <w:tc>
          <w:tcPr>
            <w:cnfStyle w:evenVBand="false" w:oddVBand="true" w:firstColumn="false"/>
            <w:tcW w:w="25.000000%" w:type="pct"/>
          </w:tcPr>
          <w:p>
            <w:pPr>
              <w:ind w:leftChars="0" w:left="0" w:right="0"/>
            </w:pPr>
            <w:r>
              <w:t>CFTW</w:t>
            </w:r>
          </w:p>
        </w:tc>
        <w:tc>
          <w:tcPr>
            <w:cnfStyle w:evenVBand="true" w:oddVBand="false" w:firstColumn="false"/>
            <w:tcW w:w="25.000000%" w:type="pct"/>
          </w:tcPr>
          <w:p>
            <w:pPr>
              <w:ind w:leftChars="0" w:left="0" w:right="0"/>
            </w:pPr>
            <w:r>
              <w:t>CFTW</w:t>
            </w:r>
          </w:p>
        </w:tc>
        <w:tc>
          <w:tcPr>
            <w:cnfStyle w:evenVBand="false" w:oddVBand="true" w:firstColumn="false"/>
            <w:tcW w:w="25.000000%" w:type="pct"/>
          </w:tcPr>
          <w:p>
            <w:pPr>
              <w:ind w:leftChars="0" w:left="0" w:right="0"/>
            </w:pPr>
            <w:r>
              <w:t>CROSSFINDER TAIWAN</w:t>
            </w:r>
          </w:p>
        </w:tc>
        <w:tc>
          <w:tcPr>
            <w:cnfStyle w:evenVBand="true" w:oddVBand="false" w:firstColumn="false"/>
            <w:tcW w:w="25.000000%" w:type="pct"/>
          </w:tcPr>
          <w:p>
            <w:pPr>
              <w:ind w:leftChars="0" w:left="0" w:right="0"/>
            </w:pPr>
            <w:r>
              <w:t>374</w:t>
            </w:r>
          </w:p>
        </w:tc>
      </w:tr>
      <w:tr>
        <w:trPr>
          <w:cnfStyle w:evenHBand="true" w:oddHBand="false" w:firstRow="false"/>
        </w:trPr>
        <w:tc>
          <w:tcPr>
            <w:cnfStyle w:evenVBand="false" w:oddVBand="true" w:firstColumn="false"/>
            <w:tcW w:w="25.000000%" w:type="pct"/>
          </w:tcPr>
          <w:p>
            <w:pPr>
              <w:ind w:leftChars="0" w:left="0" w:right="0"/>
            </w:pPr>
            <w:r>
              <w:t>CGCM</w:t>
            </w:r>
          </w:p>
        </w:tc>
        <w:tc>
          <w:tcPr>
            <w:cnfStyle w:evenVBand="true" w:oddVBand="false" w:firstColumn="false"/>
            <w:tcW w:w="25.000000%" w:type="pct"/>
          </w:tcPr>
          <w:p>
            <w:pPr>
              <w:ind w:leftChars="0" w:left="0" w:right="0"/>
            </w:pPr>
            <w:r>
              <w:t>CGCM</w:t>
            </w:r>
          </w:p>
        </w:tc>
        <w:tc>
          <w:tcPr>
            <w:cnfStyle w:evenVBand="false" w:oddVBand="true" w:firstColumn="false"/>
            <w:tcW w:w="25.000000%" w:type="pct"/>
          </w:tcPr>
          <w:p>
            <w:pPr>
              <w:ind w:leftChars="0" w:left="0" w:right="0"/>
            </w:pPr>
            <w:r>
              <w:t>CASSA DI COMPENSAZIONE E GARANZIA SPA - COLLATERALIZED MONEY MARKET GUARANTEE SERVICE</w:t>
            </w:r>
          </w:p>
        </w:tc>
        <w:tc>
          <w:tcPr>
            <w:cnfStyle w:evenVBand="true" w:oddVBand="false" w:firstColumn="false"/>
            <w:tcW w:w="25.000000%" w:type="pct"/>
          </w:tcPr>
          <w:p>
            <w:pPr>
              <w:ind w:leftChars="0" w:left="0" w:right="0"/>
            </w:pPr>
            <w:r>
              <w:t>375</w:t>
            </w:r>
          </w:p>
        </w:tc>
      </w:tr>
      <w:tr>
        <w:trPr>
          <w:cnfStyle w:evenHBand="false" w:oddHBand="true" w:firstRow="false"/>
        </w:trPr>
        <w:tc>
          <w:tcPr>
            <w:cnfStyle w:evenVBand="false" w:oddVBand="true" w:firstColumn="false"/>
            <w:tcW w:w="25.000000%" w:type="pct"/>
          </w:tcPr>
          <w:p>
            <w:pPr>
              <w:ind w:leftChars="0" w:left="0" w:right="0"/>
            </w:pPr>
            <w:r>
              <w:t>CGDB</w:t>
            </w:r>
          </w:p>
        </w:tc>
        <w:tc>
          <w:tcPr>
            <w:cnfStyle w:evenVBand="true" w:oddVBand="false" w:firstColumn="false"/>
            <w:tcW w:w="25.000000%" w:type="pct"/>
          </w:tcPr>
          <w:p>
            <w:pPr>
              <w:ind w:leftChars="0" w:left="0" w:right="0"/>
            </w:pPr>
            <w:r>
              <w:t>CGDB</w:t>
            </w:r>
          </w:p>
        </w:tc>
        <w:tc>
          <w:tcPr>
            <w:cnfStyle w:evenVBand="false" w:oddVBand="true" w:firstColumn="false"/>
            <w:tcW w:w="25.000000%" w:type="pct"/>
          </w:tcPr>
          <w:p>
            <w:pPr>
              <w:ind w:leftChars="0" w:left="0" w:right="0"/>
            </w:pPr>
            <w:r>
              <w:t>CASSA DI COMPENSAZIONE E GARANZIA SPA - BONDS CCP SERVICE</w:t>
            </w:r>
          </w:p>
        </w:tc>
        <w:tc>
          <w:tcPr>
            <w:cnfStyle w:evenVBand="true" w:oddVBand="false" w:firstColumn="false"/>
            <w:tcW w:w="25.000000%" w:type="pct"/>
          </w:tcPr>
          <w:p>
            <w:pPr>
              <w:ind w:leftChars="0" w:left="0" w:right="0"/>
            </w:pPr>
            <w:r>
              <w:t>376</w:t>
            </w:r>
          </w:p>
        </w:tc>
      </w:tr>
      <w:tr>
        <w:trPr>
          <w:cnfStyle w:evenHBand="true" w:oddHBand="false" w:firstRow="false"/>
        </w:trPr>
        <w:tc>
          <w:tcPr>
            <w:cnfStyle w:evenVBand="false" w:oddVBand="true" w:firstColumn="false"/>
            <w:tcW w:w="25.000000%" w:type="pct"/>
          </w:tcPr>
          <w:p>
            <w:pPr>
              <w:ind w:leftChars="0" w:left="0" w:right="0"/>
            </w:pPr>
            <w:r>
              <w:t>CGEB</w:t>
            </w:r>
          </w:p>
        </w:tc>
        <w:tc>
          <w:tcPr>
            <w:cnfStyle w:evenVBand="true" w:oddVBand="false" w:firstColumn="false"/>
            <w:tcW w:w="25.000000%" w:type="pct"/>
          </w:tcPr>
          <w:p>
            <w:pPr>
              <w:ind w:leftChars="0" w:left="0" w:right="0"/>
            </w:pPr>
            <w:r>
              <w:t>CGEB</w:t>
            </w:r>
          </w:p>
        </w:tc>
        <w:tc>
          <w:tcPr>
            <w:cnfStyle w:evenVBand="false" w:oddVBand="true" w:firstColumn="false"/>
            <w:tcW w:w="25.000000%" w:type="pct"/>
          </w:tcPr>
          <w:p>
            <w:pPr>
              <w:ind w:leftChars="0" w:left="0" w:right="0"/>
            </w:pPr>
            <w:r>
              <w:t>CASSA DI COMPENSAZIONE E GARANZIA SPA - EURO BONDS CCP SERVICE</w:t>
            </w:r>
          </w:p>
        </w:tc>
        <w:tc>
          <w:tcPr>
            <w:cnfStyle w:evenVBand="true" w:oddVBand="false" w:firstColumn="false"/>
            <w:tcW w:w="25.000000%" w:type="pct"/>
          </w:tcPr>
          <w:p>
            <w:pPr>
              <w:ind w:leftChars="0" w:left="0" w:right="0"/>
            </w:pPr>
            <w:r>
              <w:t>377</w:t>
            </w:r>
          </w:p>
        </w:tc>
      </w:tr>
      <w:tr>
        <w:trPr>
          <w:cnfStyle w:evenHBand="false" w:oddHBand="true" w:firstRow="false"/>
        </w:trPr>
        <w:tc>
          <w:tcPr>
            <w:cnfStyle w:evenVBand="false" w:oddVBand="true" w:firstColumn="false"/>
            <w:tcW w:w="25.000000%" w:type="pct"/>
          </w:tcPr>
          <w:p>
            <w:pPr>
              <w:ind w:leftChars="0" w:left="0" w:right="0"/>
            </w:pPr>
            <w:r>
              <w:t>CGEC</w:t>
            </w:r>
          </w:p>
        </w:tc>
        <w:tc>
          <w:tcPr>
            <w:cnfStyle w:evenVBand="true" w:oddVBand="false" w:firstColumn="false"/>
            <w:tcW w:w="25.000000%" w:type="pct"/>
          </w:tcPr>
          <w:p>
            <w:pPr>
              <w:ind w:leftChars="0" w:left="0" w:right="0"/>
            </w:pPr>
            <w:r>
              <w:t>CGEC</w:t>
            </w:r>
          </w:p>
        </w:tc>
        <w:tc>
          <w:tcPr>
            <w:cnfStyle w:evenVBand="false" w:oddVBand="true" w:firstColumn="false"/>
            <w:tcW w:w="25.000000%" w:type="pct"/>
          </w:tcPr>
          <w:p>
            <w:pPr>
              <w:ind w:leftChars="0" w:left="0" w:right="0"/>
            </w:pPr>
            <w:r>
              <w:t>CITIGROUP GLOBAL MARKETS  EUROPE AG - EMEA LIQUIDITY HUB</w:t>
            </w:r>
          </w:p>
        </w:tc>
        <w:tc>
          <w:tcPr>
            <w:cnfStyle w:evenVBand="true" w:oddVBand="false" w:firstColumn="false"/>
            <w:tcW w:w="25.000000%" w:type="pct"/>
          </w:tcPr>
          <w:p>
            <w:pPr>
              <w:ind w:leftChars="0" w:left="0" w:right="0"/>
            </w:pPr>
            <w:r>
              <w:t>378</w:t>
            </w:r>
          </w:p>
        </w:tc>
      </w:tr>
      <w:tr>
        <w:trPr>
          <w:cnfStyle w:evenHBand="true" w:oddHBand="false" w:firstRow="false"/>
        </w:trPr>
        <w:tc>
          <w:tcPr>
            <w:cnfStyle w:evenVBand="false" w:oddVBand="true" w:firstColumn="false"/>
            <w:tcW w:w="25.000000%" w:type="pct"/>
          </w:tcPr>
          <w:p>
            <w:pPr>
              <w:ind w:leftChars="0" w:left="0" w:right="0"/>
            </w:pPr>
            <w:r>
              <w:t>CGEE</w:t>
            </w:r>
          </w:p>
        </w:tc>
        <w:tc>
          <w:tcPr>
            <w:cnfStyle w:evenVBand="true" w:oddVBand="false" w:firstColumn="false"/>
            <w:tcW w:w="25.000000%" w:type="pct"/>
          </w:tcPr>
          <w:p>
            <w:pPr>
              <w:ind w:leftChars="0" w:left="0" w:right="0"/>
            </w:pPr>
            <w:r>
              <w:t>CGEE</w:t>
            </w:r>
          </w:p>
        </w:tc>
        <w:tc>
          <w:tcPr>
            <w:cnfStyle w:evenVBand="false" w:oddVBand="true" w:firstColumn="false"/>
            <w:tcW w:w="25.000000%" w:type="pct"/>
          </w:tcPr>
          <w:p>
            <w:pPr>
              <w:ind w:leftChars="0" w:left="0" w:right="0"/>
            </w:pPr>
            <w:r>
              <w:t>CITI MATCH DE CONTRA LIQUIDITY</w:t>
            </w:r>
          </w:p>
        </w:tc>
        <w:tc>
          <w:tcPr>
            <w:cnfStyle w:evenVBand="true" w:oddVBand="false" w:firstColumn="false"/>
            <w:tcW w:w="25.000000%" w:type="pct"/>
          </w:tcPr>
          <w:p>
            <w:pPr>
              <w:ind w:leftChars="0" w:left="0" w:right="0"/>
            </w:pPr>
            <w:r>
              <w:t>379</w:t>
            </w:r>
          </w:p>
        </w:tc>
      </w:tr>
      <w:tr>
        <w:trPr>
          <w:cnfStyle w:evenHBand="false" w:oddHBand="true" w:firstRow="false"/>
        </w:trPr>
        <w:tc>
          <w:tcPr>
            <w:cnfStyle w:evenVBand="false" w:oddVBand="true" w:firstColumn="false"/>
            <w:tcW w:w="25.000000%" w:type="pct"/>
          </w:tcPr>
          <w:p>
            <w:pPr>
              <w:ind w:leftChars="0" w:left="0" w:right="0"/>
            </w:pPr>
            <w:r>
              <w:t>CGET</w:t>
            </w:r>
          </w:p>
        </w:tc>
        <w:tc>
          <w:tcPr>
            <w:cnfStyle w:evenVBand="true" w:oddVBand="false" w:firstColumn="false"/>
            <w:tcW w:w="25.000000%" w:type="pct"/>
          </w:tcPr>
          <w:p>
            <w:pPr>
              <w:ind w:leftChars="0" w:left="0" w:right="0"/>
            </w:pPr>
            <w:r>
              <w:t>CGET</w:t>
            </w:r>
          </w:p>
        </w:tc>
        <w:tc>
          <w:tcPr>
            <w:cnfStyle w:evenVBand="false" w:oddVBand="true" w:firstColumn="false"/>
            <w:tcW w:w="25.000000%" w:type="pct"/>
          </w:tcPr>
          <w:p>
            <w:pPr>
              <w:ind w:leftChars="0" w:left="0" w:right="0"/>
            </w:pPr>
            <w:r>
              <w:t>CITIGROUP GLOBAL MARKETS  EUROPE AG - EMEA TRADING</w:t>
            </w:r>
          </w:p>
        </w:tc>
        <w:tc>
          <w:tcPr>
            <w:cnfStyle w:evenVBand="true" w:oddVBand="false" w:firstColumn="false"/>
            <w:tcW w:w="25.000000%" w:type="pct"/>
          </w:tcPr>
          <w:p>
            <w:pPr>
              <w:ind w:leftChars="0" w:left="0" w:right="0"/>
            </w:pPr>
            <w:r>
              <w:t>380</w:t>
            </w:r>
          </w:p>
        </w:tc>
      </w:tr>
      <w:tr>
        <w:trPr>
          <w:cnfStyle w:evenHBand="true" w:oddHBand="false" w:firstRow="false"/>
        </w:trPr>
        <w:tc>
          <w:tcPr>
            <w:cnfStyle w:evenVBand="false" w:oddVBand="true" w:firstColumn="false"/>
            <w:tcW w:w="25.000000%" w:type="pct"/>
          </w:tcPr>
          <w:p>
            <w:pPr>
              <w:ind w:leftChars="0" w:left="0" w:right="0"/>
            </w:pPr>
            <w:r>
              <w:t>CGGD</w:t>
            </w:r>
          </w:p>
        </w:tc>
        <w:tc>
          <w:tcPr>
            <w:cnfStyle w:evenVBand="true" w:oddVBand="false" w:firstColumn="false"/>
            <w:tcW w:w="25.000000%" w:type="pct"/>
          </w:tcPr>
          <w:p>
            <w:pPr>
              <w:ind w:leftChars="0" w:left="0" w:right="0"/>
            </w:pPr>
            <w:r>
              <w:t>CGGD</w:t>
            </w:r>
          </w:p>
        </w:tc>
        <w:tc>
          <w:tcPr>
            <w:cnfStyle w:evenVBand="false" w:oddVBand="true" w:firstColumn="false"/>
            <w:tcW w:w="25.000000%" w:type="pct"/>
          </w:tcPr>
          <w:p>
            <w:pPr>
              <w:ind w:leftChars="0" w:left="0" w:right="0"/>
            </w:pPr>
            <w:r>
              <w:t>CASSA DI COMPENSAZIONE E GARANZIA SPA - CCP AGRICULTURAL COMMODITY DERIVATIVES</w:t>
            </w:r>
          </w:p>
        </w:tc>
        <w:tc>
          <w:tcPr>
            <w:cnfStyle w:evenVBand="true" w:oddVBand="false" w:firstColumn="false"/>
            <w:tcW w:w="25.000000%" w:type="pct"/>
          </w:tcPr>
          <w:p>
            <w:pPr>
              <w:ind w:leftChars="0" w:left="0" w:right="0"/>
            </w:pPr>
            <w:r>
              <w:t>381</w:t>
            </w:r>
          </w:p>
        </w:tc>
      </w:tr>
      <w:tr>
        <w:trPr>
          <w:cnfStyle w:evenHBand="false" w:oddHBand="true" w:firstRow="false"/>
        </w:trPr>
        <w:tc>
          <w:tcPr>
            <w:cnfStyle w:evenVBand="false" w:oddVBand="true" w:firstColumn="false"/>
            <w:tcW w:w="25.000000%" w:type="pct"/>
          </w:tcPr>
          <w:p>
            <w:pPr>
              <w:ind w:leftChars="0" w:left="0" w:right="0"/>
            </w:pPr>
            <w:r>
              <w:t>CGIT</w:t>
            </w:r>
          </w:p>
        </w:tc>
        <w:tc>
          <w:tcPr>
            <w:cnfStyle w:evenVBand="true" w:oddVBand="false" w:firstColumn="false"/>
            <w:tcW w:w="25.000000%" w:type="pct"/>
          </w:tcPr>
          <w:p>
            <w:pPr>
              <w:ind w:leftChars="0" w:left="0" w:right="0"/>
            </w:pPr>
            <w:r>
              <w:t>CGIT</w:t>
            </w:r>
          </w:p>
        </w:tc>
        <w:tc>
          <w:tcPr>
            <w:cnfStyle w:evenVBand="false" w:oddVBand="true" w:firstColumn="false"/>
            <w:tcW w:w="25.000000%" w:type="pct"/>
          </w:tcPr>
          <w:p>
            <w:pPr>
              <w:ind w:leftChars="0" w:left="0" w:right="0"/>
            </w:pPr>
            <w:r>
              <w:t>CASSA DI COMPENSAZIONE E GARANZIA SPA</w:t>
            </w:r>
          </w:p>
        </w:tc>
        <w:tc>
          <w:tcPr>
            <w:cnfStyle w:evenVBand="true" w:oddVBand="false" w:firstColumn="false"/>
            <w:tcW w:w="25.000000%" w:type="pct"/>
          </w:tcPr>
          <w:p>
            <w:pPr>
              <w:ind w:leftChars="0" w:left="0" w:right="0"/>
            </w:pPr>
            <w:r>
              <w:t>382</w:t>
            </w:r>
          </w:p>
        </w:tc>
      </w:tr>
      <w:tr>
        <w:trPr>
          <w:cnfStyle w:evenHBand="true" w:oddHBand="false" w:firstRow="false"/>
        </w:trPr>
        <w:tc>
          <w:tcPr>
            <w:cnfStyle w:evenVBand="false" w:oddVBand="true" w:firstColumn="false"/>
            <w:tcW w:w="25.000000%" w:type="pct"/>
          </w:tcPr>
          <w:p>
            <w:pPr>
              <w:ind w:leftChars="0" w:left="0" w:right="0"/>
            </w:pPr>
            <w:r>
              <w:t>CGMA</w:t>
            </w:r>
          </w:p>
        </w:tc>
        <w:tc>
          <w:tcPr>
            <w:cnfStyle w:evenVBand="true" w:oddVBand="false" w:firstColumn="false"/>
            <w:tcW w:w="25.000000%" w:type="pct"/>
          </w:tcPr>
          <w:p>
            <w:pPr>
              <w:ind w:leftChars="0" w:left="0" w:right="0"/>
            </w:pPr>
            <w:r>
              <w:t>CGMA</w:t>
            </w:r>
          </w:p>
        </w:tc>
        <w:tc>
          <w:tcPr>
            <w:cnfStyle w:evenVBand="false" w:oddVBand="true" w:firstColumn="false"/>
            <w:tcW w:w="25.000000%" w:type="pct"/>
          </w:tcPr>
          <w:p>
            <w:pPr>
              <w:ind w:leftChars="0" w:left="0" w:right="0"/>
            </w:pPr>
            <w:r>
              <w:t>CITI MATCH AUSTRALIA</w:t>
            </w:r>
          </w:p>
        </w:tc>
        <w:tc>
          <w:tcPr>
            <w:cnfStyle w:evenVBand="true" w:oddVBand="false" w:firstColumn="false"/>
            <w:tcW w:w="25.000000%" w:type="pct"/>
          </w:tcPr>
          <w:p>
            <w:pPr>
              <w:ind w:leftChars="0" w:left="0" w:right="0"/>
            </w:pPr>
            <w:r>
              <w:t>383</w:t>
            </w:r>
          </w:p>
        </w:tc>
      </w:tr>
      <w:tr>
        <w:trPr>
          <w:cnfStyle w:evenHBand="false" w:oddHBand="true" w:firstRow="false"/>
        </w:trPr>
        <w:tc>
          <w:tcPr>
            <w:cnfStyle w:evenVBand="false" w:oddVBand="true" w:firstColumn="false"/>
            <w:tcW w:w="25.000000%" w:type="pct"/>
          </w:tcPr>
          <w:p>
            <w:pPr>
              <w:ind w:leftChars="0" w:left="0" w:right="0"/>
            </w:pPr>
            <w:r>
              <w:t>CGMC</w:t>
            </w:r>
          </w:p>
        </w:tc>
        <w:tc>
          <w:tcPr>
            <w:cnfStyle w:evenVBand="true" w:oddVBand="false" w:firstColumn="false"/>
            <w:tcW w:w="25.000000%" w:type="pct"/>
          </w:tcPr>
          <w:p>
            <w:pPr>
              <w:ind w:leftChars="0" w:left="0" w:right="0"/>
            </w:pPr>
            <w:r>
              <w:t>CGMC</w:t>
            </w:r>
          </w:p>
        </w:tc>
        <w:tc>
          <w:tcPr>
            <w:cnfStyle w:evenVBand="false" w:oddVBand="true" w:firstColumn="false"/>
            <w:tcW w:w="25.000000%" w:type="pct"/>
          </w:tcPr>
          <w:p>
            <w:pPr>
              <w:ind w:leftChars="0" w:left="0" w:right="0"/>
            </w:pPr>
            <w:r>
              <w:t>CITIGROUP GLOBAL MARKETS  LIMITED - EMEA LIQUIDITY HUB</w:t>
            </w:r>
          </w:p>
        </w:tc>
        <w:tc>
          <w:tcPr>
            <w:cnfStyle w:evenVBand="true" w:oddVBand="false" w:firstColumn="false"/>
            <w:tcW w:w="25.000000%" w:type="pct"/>
          </w:tcPr>
          <w:p>
            <w:pPr>
              <w:ind w:leftChars="0" w:left="0" w:right="0"/>
            </w:pPr>
            <w:r>
              <w:t>384</w:t>
            </w:r>
          </w:p>
        </w:tc>
      </w:tr>
      <w:tr>
        <w:trPr>
          <w:cnfStyle w:evenHBand="true" w:oddHBand="false" w:firstRow="false"/>
        </w:trPr>
        <w:tc>
          <w:tcPr>
            <w:cnfStyle w:evenVBand="false" w:oddVBand="true" w:firstColumn="false"/>
            <w:tcW w:w="25.000000%" w:type="pct"/>
          </w:tcPr>
          <w:p>
            <w:pPr>
              <w:ind w:leftChars="0" w:left="0" w:right="0"/>
            </w:pPr>
            <w:r>
              <w:t>CGMD</w:t>
            </w:r>
          </w:p>
        </w:tc>
        <w:tc>
          <w:tcPr>
            <w:cnfStyle w:evenVBand="true" w:oddVBand="false" w:firstColumn="false"/>
            <w:tcW w:w="25.000000%" w:type="pct"/>
          </w:tcPr>
          <w:p>
            <w:pPr>
              <w:ind w:leftChars="0" w:left="0" w:right="0"/>
            </w:pPr>
            <w:r>
              <w:t>CGMD</w:t>
            </w:r>
          </w:p>
        </w:tc>
        <w:tc>
          <w:tcPr>
            <w:cnfStyle w:evenVBand="false" w:oddVBand="true" w:firstColumn="false"/>
            <w:tcW w:w="25.000000%" w:type="pct"/>
          </w:tcPr>
          <w:p>
            <w:pPr>
              <w:ind w:leftChars="0" w:left="0" w:right="0"/>
            </w:pPr>
            <w:r>
              <w:t>CITIGROUP GLOBAL MARKETS EUROPE AG - SYSTEMATIC INTERNALISER</w:t>
            </w:r>
          </w:p>
        </w:tc>
        <w:tc>
          <w:tcPr>
            <w:cnfStyle w:evenVBand="true" w:oddVBand="false" w:firstColumn="false"/>
            <w:tcW w:w="25.000000%" w:type="pct"/>
          </w:tcPr>
          <w:p>
            <w:pPr>
              <w:ind w:leftChars="0" w:left="0" w:right="0"/>
            </w:pPr>
            <w:r>
              <w:t>385</w:t>
            </w:r>
          </w:p>
        </w:tc>
      </w:tr>
      <w:tr>
        <w:trPr>
          <w:cnfStyle w:evenHBand="false" w:oddHBand="true" w:firstRow="false"/>
        </w:trPr>
        <w:tc>
          <w:tcPr>
            <w:cnfStyle w:evenVBand="false" w:oddVBand="true" w:firstColumn="false"/>
            <w:tcW w:w="25.000000%" w:type="pct"/>
          </w:tcPr>
          <w:p>
            <w:pPr>
              <w:ind w:leftChars="0" w:left="0" w:right="0"/>
            </w:pPr>
            <w:r>
              <w:t>CGME</w:t>
            </w:r>
          </w:p>
        </w:tc>
        <w:tc>
          <w:tcPr>
            <w:cnfStyle w:evenVBand="true" w:oddVBand="false" w:firstColumn="false"/>
            <w:tcW w:w="25.000000%" w:type="pct"/>
          </w:tcPr>
          <w:p>
            <w:pPr>
              <w:ind w:leftChars="0" w:left="0" w:right="0"/>
            </w:pPr>
            <w:r>
              <w:t>CGME</w:t>
            </w:r>
          </w:p>
        </w:tc>
        <w:tc>
          <w:tcPr>
            <w:cnfStyle w:evenVBand="false" w:oddVBand="true" w:firstColumn="false"/>
            <w:tcW w:w="25.000000%" w:type="pct"/>
          </w:tcPr>
          <w:p>
            <w:pPr>
              <w:ind w:leftChars="0" w:left="0" w:right="0"/>
            </w:pPr>
            <w:r>
              <w:t>CITI MATCH - GB</w:t>
            </w:r>
          </w:p>
        </w:tc>
        <w:tc>
          <w:tcPr>
            <w:cnfStyle w:evenVBand="true" w:oddVBand="false" w:firstColumn="false"/>
            <w:tcW w:w="25.000000%" w:type="pct"/>
          </w:tcPr>
          <w:p>
            <w:pPr>
              <w:ind w:leftChars="0" w:left="0" w:right="0"/>
            </w:pPr>
            <w:r>
              <w:t>386</w:t>
            </w:r>
          </w:p>
        </w:tc>
      </w:tr>
      <w:tr>
        <w:trPr>
          <w:cnfStyle w:evenHBand="true" w:oddHBand="false" w:firstRow="false"/>
        </w:trPr>
        <w:tc>
          <w:tcPr>
            <w:cnfStyle w:evenVBand="false" w:oddVBand="true" w:firstColumn="false"/>
            <w:tcW w:w="25.000000%" w:type="pct"/>
          </w:tcPr>
          <w:p>
            <w:pPr>
              <w:ind w:leftChars="0" w:left="0" w:right="0"/>
            </w:pPr>
            <w:r>
              <w:t>CGMG</w:t>
            </w:r>
          </w:p>
        </w:tc>
        <w:tc>
          <w:tcPr>
            <w:cnfStyle w:evenVBand="true" w:oddVBand="false" w:firstColumn="false"/>
            <w:tcW w:w="25.000000%" w:type="pct"/>
          </w:tcPr>
          <w:p>
            <w:pPr>
              <w:ind w:leftChars="0" w:left="0" w:right="0"/>
            </w:pPr>
            <w:r>
              <w:t>CGMG</w:t>
            </w:r>
          </w:p>
        </w:tc>
        <w:tc>
          <w:tcPr>
            <w:cnfStyle w:evenVBand="false" w:oddVBand="true" w:firstColumn="false"/>
            <w:tcW w:w="25.000000%" w:type="pct"/>
          </w:tcPr>
          <w:p>
            <w:pPr>
              <w:ind w:leftChars="0" w:left="0" w:right="0"/>
            </w:pPr>
            <w:r>
              <w:t>CITIGROUP GLOBAL MARKETS EUROPE AG - LONDON BRANCH - SYSTEMATIC INTERNALISER</w:t>
            </w:r>
          </w:p>
        </w:tc>
        <w:tc>
          <w:tcPr>
            <w:cnfStyle w:evenVBand="true" w:oddVBand="false" w:firstColumn="false"/>
            <w:tcW w:w="25.000000%" w:type="pct"/>
          </w:tcPr>
          <w:p>
            <w:pPr>
              <w:ind w:leftChars="0" w:left="0" w:right="0"/>
            </w:pPr>
            <w:r>
              <w:t>387</w:t>
            </w:r>
          </w:p>
        </w:tc>
      </w:tr>
      <w:tr>
        <w:trPr>
          <w:cnfStyle w:evenHBand="false" w:oddHBand="true" w:firstRow="false"/>
        </w:trPr>
        <w:tc>
          <w:tcPr>
            <w:cnfStyle w:evenVBand="false" w:oddVBand="true" w:firstColumn="false"/>
            <w:tcW w:w="25.000000%" w:type="pct"/>
          </w:tcPr>
          <w:p>
            <w:pPr>
              <w:ind w:leftChars="0" w:left="0" w:right="0"/>
            </w:pPr>
            <w:r>
              <w:t>CGMH</w:t>
            </w:r>
          </w:p>
        </w:tc>
        <w:tc>
          <w:tcPr>
            <w:cnfStyle w:evenVBand="true" w:oddVBand="false" w:firstColumn="false"/>
            <w:tcW w:w="25.000000%" w:type="pct"/>
          </w:tcPr>
          <w:p>
            <w:pPr>
              <w:ind w:leftChars="0" w:left="0" w:right="0"/>
            </w:pPr>
            <w:r>
              <w:t>CGMH</w:t>
            </w:r>
          </w:p>
        </w:tc>
        <w:tc>
          <w:tcPr>
            <w:cnfStyle w:evenVBand="false" w:oddVBand="true" w:firstColumn="false"/>
            <w:tcW w:w="25.000000%" w:type="pct"/>
          </w:tcPr>
          <w:p>
            <w:pPr>
              <w:ind w:leftChars="0" w:left="0" w:right="0"/>
            </w:pPr>
            <w:r>
              <w:t>CITI MATCH - HK</w:t>
            </w:r>
          </w:p>
        </w:tc>
        <w:tc>
          <w:tcPr>
            <w:cnfStyle w:evenVBand="true" w:oddVBand="false" w:firstColumn="false"/>
            <w:tcW w:w="25.000000%" w:type="pct"/>
          </w:tcPr>
          <w:p>
            <w:pPr>
              <w:ind w:leftChars="0" w:left="0" w:right="0"/>
            </w:pPr>
            <w:r>
              <w:t>388</w:t>
            </w:r>
          </w:p>
        </w:tc>
      </w:tr>
      <w:tr>
        <w:trPr>
          <w:cnfStyle w:evenHBand="true" w:oddHBand="false" w:firstRow="false"/>
        </w:trPr>
        <w:tc>
          <w:tcPr>
            <w:cnfStyle w:evenVBand="false" w:oddVBand="true" w:firstColumn="false"/>
            <w:tcW w:w="25.000000%" w:type="pct"/>
          </w:tcPr>
          <w:p>
            <w:pPr>
              <w:ind w:leftChars="0" w:left="0" w:right="0"/>
            </w:pPr>
            <w:r>
              <w:t>CGMI</w:t>
            </w:r>
          </w:p>
        </w:tc>
        <w:tc>
          <w:tcPr>
            <w:cnfStyle w:evenVBand="true" w:oddVBand="false" w:firstColumn="false"/>
            <w:tcW w:w="25.000000%" w:type="pct"/>
          </w:tcPr>
          <w:p>
            <w:pPr>
              <w:ind w:leftChars="0" w:left="0" w:right="0"/>
            </w:pPr>
            <w:r>
              <w:t>CGMI</w:t>
            </w:r>
          </w:p>
        </w:tc>
        <w:tc>
          <w:tcPr>
            <w:cnfStyle w:evenVBand="false" w:oddVBand="true" w:firstColumn="false"/>
            <w:tcW w:w="25.000000%" w:type="pct"/>
          </w:tcPr>
          <w:p>
            <w:pPr>
              <w:ind w:leftChars="0" w:left="0" w:right="0"/>
            </w:pPr>
            <w:r>
              <w:t>CITIGROUP GLOBAL MARKETS</w:t>
            </w:r>
          </w:p>
        </w:tc>
        <w:tc>
          <w:tcPr>
            <w:cnfStyle w:evenVBand="true" w:oddVBand="false" w:firstColumn="false"/>
            <w:tcW w:w="25.000000%" w:type="pct"/>
          </w:tcPr>
          <w:p>
            <w:pPr>
              <w:ind w:leftChars="0" w:left="0" w:right="0"/>
            </w:pPr>
            <w:r>
              <w:t>389</w:t>
            </w:r>
          </w:p>
        </w:tc>
      </w:tr>
      <w:tr>
        <w:trPr>
          <w:cnfStyle w:evenHBand="false" w:oddHBand="true" w:firstRow="false"/>
        </w:trPr>
        <w:tc>
          <w:tcPr>
            <w:cnfStyle w:evenVBand="false" w:oddVBand="true" w:firstColumn="false"/>
            <w:tcW w:w="25.000000%" w:type="pct"/>
          </w:tcPr>
          <w:p>
            <w:pPr>
              <w:ind w:leftChars="0" w:left="0" w:right="0"/>
            </w:pPr>
            <w:r>
              <w:t>CGML</w:t>
            </w:r>
          </w:p>
        </w:tc>
        <w:tc>
          <w:tcPr>
            <w:cnfStyle w:evenVBand="true" w:oddVBand="false" w:firstColumn="false"/>
            <w:tcW w:w="25.000000%" w:type="pct"/>
          </w:tcPr>
          <w:p>
            <w:pPr>
              <w:ind w:leftChars="0" w:left="0" w:right="0"/>
            </w:pPr>
            <w:r>
              <w:t>CGML</w:t>
            </w:r>
          </w:p>
        </w:tc>
        <w:tc>
          <w:tcPr>
            <w:cnfStyle w:evenVBand="false" w:oddVBand="true" w:firstColumn="false"/>
            <w:tcW w:w="25.000000%" w:type="pct"/>
          </w:tcPr>
          <w:p>
            <w:pPr>
              <w:ind w:leftChars="0" w:left="0" w:right="0"/>
            </w:pPr>
            <w:r>
              <w:t>CITIGROUP GLOBAL MARKETS LIMITED</w:t>
            </w:r>
          </w:p>
        </w:tc>
        <w:tc>
          <w:tcPr>
            <w:cnfStyle w:evenVBand="true" w:oddVBand="false" w:firstColumn="false"/>
            <w:tcW w:w="25.000000%" w:type="pct"/>
          </w:tcPr>
          <w:p>
            <w:pPr>
              <w:ind w:leftChars="0" w:left="0" w:right="0"/>
            </w:pPr>
            <w:r>
              <w:t>390</w:t>
            </w:r>
          </w:p>
        </w:tc>
      </w:tr>
      <w:tr>
        <w:trPr>
          <w:cnfStyle w:evenHBand="true" w:oddHBand="false" w:firstRow="false"/>
        </w:trPr>
        <w:tc>
          <w:tcPr>
            <w:cnfStyle w:evenVBand="false" w:oddVBand="true" w:firstColumn="false"/>
            <w:tcW w:w="25.000000%" w:type="pct"/>
          </w:tcPr>
          <w:p>
            <w:pPr>
              <w:ind w:leftChars="0" w:left="0" w:right="0"/>
            </w:pPr>
            <w:r>
              <w:t>CGMT</w:t>
            </w:r>
          </w:p>
        </w:tc>
        <w:tc>
          <w:tcPr>
            <w:cnfStyle w:evenVBand="true" w:oddVBand="false" w:firstColumn="false"/>
            <w:tcW w:w="25.000000%" w:type="pct"/>
          </w:tcPr>
          <w:p>
            <w:pPr>
              <w:ind w:leftChars="0" w:left="0" w:right="0"/>
            </w:pPr>
            <w:r>
              <w:t>CGMT</w:t>
            </w:r>
          </w:p>
        </w:tc>
        <w:tc>
          <w:tcPr>
            <w:cnfStyle w:evenVBand="false" w:oddVBand="true" w:firstColumn="false"/>
            <w:tcW w:w="25.000000%" w:type="pct"/>
          </w:tcPr>
          <w:p>
            <w:pPr>
              <w:ind w:leftChars="0" w:left="0" w:right="0"/>
            </w:pPr>
            <w:r>
              <w:t>CITIGROUP GLOBAL MARKETS  LIMITED - EMEA TRADING</w:t>
            </w:r>
          </w:p>
        </w:tc>
        <w:tc>
          <w:tcPr>
            <w:cnfStyle w:evenVBand="true" w:oddVBand="false" w:firstColumn="false"/>
            <w:tcW w:w="25.000000%" w:type="pct"/>
          </w:tcPr>
          <w:p>
            <w:pPr>
              <w:ind w:leftChars="0" w:left="0" w:right="0"/>
            </w:pPr>
            <w:r>
              <w:t>391</w:t>
            </w:r>
          </w:p>
        </w:tc>
      </w:tr>
      <w:tr>
        <w:trPr>
          <w:cnfStyle w:evenHBand="false" w:oddHBand="true" w:firstRow="false"/>
        </w:trPr>
        <w:tc>
          <w:tcPr>
            <w:cnfStyle w:evenVBand="false" w:oddVBand="true" w:firstColumn="false"/>
            <w:tcW w:w="25.000000%" w:type="pct"/>
          </w:tcPr>
          <w:p>
            <w:pPr>
              <w:ind w:leftChars="0" w:left="0" w:right="0"/>
            </w:pPr>
            <w:r>
              <w:t>CGMU</w:t>
            </w:r>
          </w:p>
        </w:tc>
        <w:tc>
          <w:tcPr>
            <w:cnfStyle w:evenVBand="true" w:oddVBand="false" w:firstColumn="false"/>
            <w:tcW w:w="25.000000%" w:type="pct"/>
          </w:tcPr>
          <w:p>
            <w:pPr>
              <w:ind w:leftChars="0" w:left="0" w:right="0"/>
            </w:pPr>
            <w:r>
              <w:t>CGMU</w:t>
            </w:r>
          </w:p>
        </w:tc>
        <w:tc>
          <w:tcPr>
            <w:cnfStyle w:evenVBand="false" w:oddVBand="true" w:firstColumn="false"/>
            <w:tcW w:w="25.000000%" w:type="pct"/>
          </w:tcPr>
          <w:p>
            <w:pPr>
              <w:ind w:leftChars="0" w:left="0" w:right="0"/>
            </w:pPr>
            <w:r>
              <w:t>CITI MATCH GB CONTRA LIQUIDITY</w:t>
            </w:r>
          </w:p>
        </w:tc>
        <w:tc>
          <w:tcPr>
            <w:cnfStyle w:evenVBand="true" w:oddVBand="false" w:firstColumn="false"/>
            <w:tcW w:w="25.000000%" w:type="pct"/>
          </w:tcPr>
          <w:p>
            <w:pPr>
              <w:ind w:leftChars="0" w:left="0" w:right="0"/>
            </w:pPr>
            <w:r>
              <w:t>392</w:t>
            </w:r>
          </w:p>
        </w:tc>
      </w:tr>
      <w:tr>
        <w:trPr>
          <w:cnfStyle w:evenHBand="true" w:oddHBand="false" w:firstRow="false"/>
        </w:trPr>
        <w:tc>
          <w:tcPr>
            <w:cnfStyle w:evenVBand="false" w:oddVBand="true" w:firstColumn="false"/>
            <w:tcW w:w="25.000000%" w:type="pct"/>
          </w:tcPr>
          <w:p>
            <w:pPr>
              <w:ind w:leftChars="0" w:left="0" w:right="0"/>
            </w:pPr>
            <w:r>
              <w:t>CGMX</w:t>
            </w:r>
          </w:p>
        </w:tc>
        <w:tc>
          <w:tcPr>
            <w:cnfStyle w:evenVBand="true" w:oddVBand="false" w:firstColumn="false"/>
            <w:tcW w:w="25.000000%" w:type="pct"/>
          </w:tcPr>
          <w:p>
            <w:pPr>
              <w:ind w:leftChars="0" w:left="0" w:right="0"/>
            </w:pPr>
            <w:r>
              <w:t>CGMX</w:t>
            </w:r>
          </w:p>
        </w:tc>
        <w:tc>
          <w:tcPr>
            <w:cnfStyle w:evenVBand="false" w:oddVBand="true" w:firstColumn="false"/>
            <w:tcW w:w="25.000000%" w:type="pct"/>
          </w:tcPr>
          <w:p>
            <w:pPr>
              <w:ind w:leftChars="0" w:left="0" w:right="0"/>
            </w:pPr>
            <w:r>
              <w:t>CITI MEXICO RPI (RETAIL PRICE IMPROVEMENT)</w:t>
            </w:r>
          </w:p>
        </w:tc>
        <w:tc>
          <w:tcPr>
            <w:cnfStyle w:evenVBand="true" w:oddVBand="false" w:firstColumn="false"/>
            <w:tcW w:w="25.000000%" w:type="pct"/>
          </w:tcPr>
          <w:p>
            <w:pPr>
              <w:ind w:leftChars="0" w:left="0" w:right="0"/>
            </w:pPr>
            <w:r>
              <w:t>393</w:t>
            </w:r>
          </w:p>
        </w:tc>
      </w:tr>
      <w:tr>
        <w:trPr>
          <w:cnfStyle w:evenHBand="false" w:oddHBand="true" w:firstRow="false"/>
        </w:trPr>
        <w:tc>
          <w:tcPr>
            <w:cnfStyle w:evenVBand="false" w:oddVBand="true" w:firstColumn="false"/>
            <w:tcW w:w="25.000000%" w:type="pct"/>
          </w:tcPr>
          <w:p>
            <w:pPr>
              <w:ind w:leftChars="0" w:left="0" w:right="0"/>
            </w:pPr>
            <w:r>
              <w:t>CGND</w:t>
            </w:r>
          </w:p>
        </w:tc>
        <w:tc>
          <w:tcPr>
            <w:cnfStyle w:evenVBand="true" w:oddVBand="false" w:firstColumn="false"/>
            <w:tcW w:w="25.000000%" w:type="pct"/>
          </w:tcPr>
          <w:p>
            <w:pPr>
              <w:ind w:leftChars="0" w:left="0" w:right="0"/>
            </w:pPr>
            <w:r>
              <w:t>CGND</w:t>
            </w:r>
          </w:p>
        </w:tc>
        <w:tc>
          <w:tcPr>
            <w:cnfStyle w:evenVBand="false" w:oddVBand="true" w:firstColumn="false"/>
            <w:tcW w:w="25.000000%" w:type="pct"/>
          </w:tcPr>
          <w:p>
            <w:pPr>
              <w:ind w:leftChars="0" w:left="0" w:right="0"/>
            </w:pPr>
            <w:r>
              <w:t>CASSA DI COMPENSAZIONE E GARANZIA SPA - CCP ENERGY DERIVATIVES</w:t>
            </w:r>
          </w:p>
        </w:tc>
        <w:tc>
          <w:tcPr>
            <w:cnfStyle w:evenVBand="true" w:oddVBand="false" w:firstColumn="false"/>
            <w:tcW w:w="25.000000%" w:type="pct"/>
          </w:tcPr>
          <w:p>
            <w:pPr>
              <w:ind w:leftChars="0" w:left="0" w:right="0"/>
            </w:pPr>
            <w:r>
              <w:t>394</w:t>
            </w:r>
          </w:p>
        </w:tc>
      </w:tr>
      <w:tr>
        <w:trPr>
          <w:cnfStyle w:evenHBand="true" w:oddHBand="false" w:firstRow="false"/>
        </w:trPr>
        <w:tc>
          <w:tcPr>
            <w:cnfStyle w:evenVBand="false" w:oddVBand="true" w:firstColumn="false"/>
            <w:tcW w:w="25.000000%" w:type="pct"/>
          </w:tcPr>
          <w:p>
            <w:pPr>
              <w:ind w:leftChars="0" w:left="0" w:right="0"/>
            </w:pPr>
            <w:r>
              <w:t>CGQD</w:t>
            </w:r>
          </w:p>
        </w:tc>
        <w:tc>
          <w:tcPr>
            <w:cnfStyle w:evenVBand="true" w:oddVBand="false" w:firstColumn="false"/>
            <w:tcW w:w="25.000000%" w:type="pct"/>
          </w:tcPr>
          <w:p>
            <w:pPr>
              <w:ind w:leftChars="0" w:left="0" w:right="0"/>
            </w:pPr>
            <w:r>
              <w:t>CGQD</w:t>
            </w:r>
          </w:p>
        </w:tc>
        <w:tc>
          <w:tcPr>
            <w:cnfStyle w:evenVBand="false" w:oddVBand="true" w:firstColumn="false"/>
            <w:tcW w:w="25.000000%" w:type="pct"/>
          </w:tcPr>
          <w:p>
            <w:pPr>
              <w:ind w:leftChars="0" w:left="0" w:right="0"/>
            </w:pPr>
            <w:r>
              <w:t>CASSA DI COMPENSAZIONE E GARANZIA SPA - CCP EQUITY DERIVATIVES</w:t>
            </w:r>
          </w:p>
        </w:tc>
        <w:tc>
          <w:tcPr>
            <w:cnfStyle w:evenVBand="true" w:oddVBand="false" w:firstColumn="false"/>
            <w:tcW w:w="25.000000%" w:type="pct"/>
          </w:tcPr>
          <w:p>
            <w:pPr>
              <w:ind w:leftChars="0" w:left="0" w:right="0"/>
            </w:pPr>
            <w:r>
              <w:t>395</w:t>
            </w:r>
          </w:p>
        </w:tc>
      </w:tr>
      <w:tr>
        <w:trPr>
          <w:cnfStyle w:evenHBand="false" w:oddHBand="true" w:firstRow="false"/>
        </w:trPr>
        <w:tc>
          <w:tcPr>
            <w:cnfStyle w:evenVBand="false" w:oddVBand="true" w:firstColumn="false"/>
            <w:tcW w:w="25.000000%" w:type="pct"/>
          </w:tcPr>
          <w:p>
            <w:pPr>
              <w:ind w:leftChars="0" w:left="0" w:right="0"/>
            </w:pPr>
            <w:r>
              <w:t>CGQT</w:t>
            </w:r>
          </w:p>
        </w:tc>
        <w:tc>
          <w:tcPr>
            <w:cnfStyle w:evenVBand="true" w:oddVBand="false" w:firstColumn="false"/>
            <w:tcW w:w="25.000000%" w:type="pct"/>
          </w:tcPr>
          <w:p>
            <w:pPr>
              <w:ind w:leftChars="0" w:left="0" w:right="0"/>
            </w:pPr>
            <w:r>
              <w:t>CGQT</w:t>
            </w:r>
          </w:p>
        </w:tc>
        <w:tc>
          <w:tcPr>
            <w:cnfStyle w:evenVBand="false" w:oddVBand="true" w:firstColumn="false"/>
            <w:tcW w:w="25.000000%" w:type="pct"/>
          </w:tcPr>
          <w:p>
            <w:pPr>
              <w:ind w:leftChars="0" w:left="0" w:right="0"/>
            </w:pPr>
            <w:r>
              <w:t>CASSA DI COMPENSAZIONE E GARANZIA SPA - EQUITY CCP SERVICE</w:t>
            </w:r>
          </w:p>
        </w:tc>
        <w:tc>
          <w:tcPr>
            <w:cnfStyle w:evenVBand="true" w:oddVBand="false" w:firstColumn="false"/>
            <w:tcW w:w="25.000000%" w:type="pct"/>
          </w:tcPr>
          <w:p>
            <w:pPr>
              <w:ind w:leftChars="0" w:left="0" w:right="0"/>
            </w:pPr>
            <w:r>
              <w:t>396</w:t>
            </w:r>
          </w:p>
        </w:tc>
      </w:tr>
      <w:tr>
        <w:trPr>
          <w:cnfStyle w:evenHBand="true" w:oddHBand="false" w:firstRow="false"/>
        </w:trPr>
        <w:tc>
          <w:tcPr>
            <w:cnfStyle w:evenVBand="false" w:oddVBand="true" w:firstColumn="false"/>
            <w:tcW w:w="25.000000%" w:type="pct"/>
          </w:tcPr>
          <w:p>
            <w:pPr>
              <w:ind w:leftChars="0" w:left="0" w:right="0"/>
            </w:pPr>
            <w:r>
              <w:t>CGTR</w:t>
            </w:r>
          </w:p>
        </w:tc>
        <w:tc>
          <w:tcPr>
            <w:cnfStyle w:evenVBand="true" w:oddVBand="false" w:firstColumn="false"/>
            <w:tcW w:w="25.000000%" w:type="pct"/>
          </w:tcPr>
          <w:p>
            <w:pPr>
              <w:ind w:leftChars="0" w:left="0" w:right="0"/>
            </w:pPr>
            <w:r>
              <w:t>CGTR</w:t>
            </w:r>
          </w:p>
        </w:tc>
        <w:tc>
          <w:tcPr>
            <w:cnfStyle w:evenVBand="false" w:oddVBand="true" w:firstColumn="false"/>
            <w:tcW w:w="25.000000%" w:type="pct"/>
          </w:tcPr>
          <w:p>
            <w:pPr>
              <w:ind w:leftChars="0" w:left="0" w:right="0"/>
            </w:pPr>
            <w:r>
              <w:t>CASSA DI COMPENSAZIONE E GARANZIA SPA - TRIPARTY REPO CCP SERVICE</w:t>
            </w:r>
          </w:p>
        </w:tc>
        <w:tc>
          <w:tcPr>
            <w:cnfStyle w:evenVBand="true" w:oddVBand="false" w:firstColumn="false"/>
            <w:tcW w:w="25.000000%" w:type="pct"/>
          </w:tcPr>
          <w:p>
            <w:pPr>
              <w:ind w:leftChars="0" w:left="0" w:right="0"/>
            </w:pPr>
            <w:r>
              <w:t>397</w:t>
            </w:r>
          </w:p>
        </w:tc>
      </w:tr>
      <w:tr>
        <w:trPr>
          <w:cnfStyle w:evenHBand="false" w:oddHBand="true" w:firstRow="false"/>
        </w:trPr>
        <w:tc>
          <w:tcPr>
            <w:cnfStyle w:evenVBand="false" w:oddVBand="true" w:firstColumn="false"/>
            <w:tcW w:w="25.000000%" w:type="pct"/>
          </w:tcPr>
          <w:p>
            <w:pPr>
              <w:ind w:leftChars="0" w:left="0" w:right="0"/>
            </w:pPr>
            <w:r>
              <w:t>CGXS</w:t>
            </w:r>
          </w:p>
        </w:tc>
        <w:tc>
          <w:tcPr>
            <w:cnfStyle w:evenVBand="true" w:oddVBand="false" w:firstColumn="false"/>
            <w:tcW w:w="25.000000%" w:type="pct"/>
          </w:tcPr>
          <w:p>
            <w:pPr>
              <w:ind w:leftChars="0" w:left="0" w:right="0"/>
            </w:pPr>
            <w:r>
              <w:t>CGXS</w:t>
            </w:r>
          </w:p>
        </w:tc>
        <w:tc>
          <w:tcPr>
            <w:cnfStyle w:evenVBand="false" w:oddVBand="true" w:firstColumn="false"/>
            <w:tcW w:w="25.000000%" w:type="pct"/>
          </w:tcPr>
          <w:p>
            <w:pPr>
              <w:ind w:leftChars="0" w:left="0" w:right="0"/>
            </w:pPr>
            <w:r>
              <w:t>ONECHRONOS</w:t>
            </w:r>
          </w:p>
        </w:tc>
        <w:tc>
          <w:tcPr>
            <w:cnfStyle w:evenVBand="true" w:oddVBand="false" w:firstColumn="false"/>
            <w:tcW w:w="25.000000%" w:type="pct"/>
          </w:tcPr>
          <w:p>
            <w:pPr>
              <w:ind w:leftChars="0" w:left="0" w:right="0"/>
            </w:pPr>
            <w:r>
              <w:t>398</w:t>
            </w:r>
          </w:p>
        </w:tc>
      </w:tr>
      <w:tr>
        <w:trPr>
          <w:cnfStyle w:evenHBand="true" w:oddHBand="false" w:firstRow="false"/>
        </w:trPr>
        <w:tc>
          <w:tcPr>
            <w:cnfStyle w:evenVBand="false" w:oddVBand="true" w:firstColumn="false"/>
            <w:tcW w:w="25.000000%" w:type="pct"/>
          </w:tcPr>
          <w:p>
            <w:pPr>
              <w:ind w:leftChars="0" w:left="0" w:right="0"/>
            </w:pPr>
            <w:r>
              <w:t>CHEV</w:t>
            </w:r>
          </w:p>
        </w:tc>
        <w:tc>
          <w:tcPr>
            <w:cnfStyle w:evenVBand="true" w:oddVBand="false" w:firstColumn="false"/>
            <w:tcW w:w="25.000000%" w:type="pct"/>
          </w:tcPr>
          <w:p>
            <w:pPr>
              <w:ind w:leftChars="0" w:left="0" w:right="0"/>
            </w:pPr>
            <w:r>
              <w:t>CHEV</w:t>
            </w:r>
          </w:p>
        </w:tc>
        <w:tc>
          <w:tcPr>
            <w:cnfStyle w:evenVBand="false" w:oddVBand="true" w:firstColumn="false"/>
            <w:tcW w:w="25.000000%" w:type="pct"/>
          </w:tcPr>
          <w:p>
            <w:pPr>
              <w:ind w:leftChars="0" w:left="0" w:right="0"/>
            </w:pPr>
            <w:r>
              <w:t>CA CHEUVREUX</w:t>
            </w:r>
          </w:p>
        </w:tc>
        <w:tc>
          <w:tcPr>
            <w:cnfStyle w:evenVBand="true" w:oddVBand="false" w:firstColumn="false"/>
            <w:tcW w:w="25.000000%" w:type="pct"/>
          </w:tcPr>
          <w:p>
            <w:pPr>
              <w:ind w:leftChars="0" w:left="0" w:right="0"/>
            </w:pPr>
            <w:r>
              <w:t>399</w:t>
            </w:r>
          </w:p>
        </w:tc>
      </w:tr>
      <w:tr>
        <w:trPr>
          <w:cnfStyle w:evenHBand="false" w:oddHBand="true" w:firstRow="false"/>
        </w:trPr>
        <w:tc>
          <w:tcPr>
            <w:cnfStyle w:evenVBand="false" w:oddVBand="true" w:firstColumn="false"/>
            <w:tcW w:w="25.000000%" w:type="pct"/>
          </w:tcPr>
          <w:p>
            <w:pPr>
              <w:ind w:leftChars="0" w:left="0" w:right="0"/>
            </w:pPr>
            <w:r>
              <w:t>CHIA</w:t>
            </w:r>
          </w:p>
        </w:tc>
        <w:tc>
          <w:tcPr>
            <w:cnfStyle w:evenVBand="true" w:oddVBand="false" w:firstColumn="false"/>
            <w:tcW w:w="25.000000%" w:type="pct"/>
          </w:tcPr>
          <w:p>
            <w:pPr>
              <w:ind w:leftChars="0" w:left="0" w:right="0"/>
            </w:pPr>
            <w:r>
              <w:t>CHIA</w:t>
            </w:r>
          </w:p>
        </w:tc>
        <w:tc>
          <w:tcPr>
            <w:cnfStyle w:evenVBand="false" w:oddVBand="true" w:firstColumn="false"/>
            <w:tcW w:w="25.000000%" w:type="pct"/>
          </w:tcPr>
          <w:p>
            <w:pPr>
              <w:ind w:leftChars="0" w:left="0" w:right="0"/>
            </w:pPr>
            <w:r>
              <w:t>CBOE AUSTRALIA</w:t>
            </w:r>
          </w:p>
        </w:tc>
        <w:tc>
          <w:tcPr>
            <w:cnfStyle w:evenVBand="true" w:oddVBand="false" w:firstColumn="false"/>
            <w:tcW w:w="25.000000%" w:type="pct"/>
          </w:tcPr>
          <w:p>
            <w:pPr>
              <w:ind w:leftChars="0" w:left="0" w:right="0"/>
            </w:pPr>
            <w:r>
              <w:t>400</w:t>
            </w:r>
          </w:p>
        </w:tc>
      </w:tr>
      <w:tr>
        <w:trPr>
          <w:cnfStyle w:evenHBand="true" w:oddHBand="false" w:firstRow="false"/>
        </w:trPr>
        <w:tc>
          <w:tcPr>
            <w:cnfStyle w:evenVBand="false" w:oddVBand="true" w:firstColumn="false"/>
            <w:tcW w:w="25.000000%" w:type="pct"/>
          </w:tcPr>
          <w:p>
            <w:pPr>
              <w:ind w:leftChars="0" w:left="0" w:right="0"/>
            </w:pPr>
            <w:r>
              <w:t>CHIC</w:t>
            </w:r>
          </w:p>
        </w:tc>
        <w:tc>
          <w:tcPr>
            <w:cnfStyle w:evenVBand="true" w:oddVBand="false" w:firstColumn="false"/>
            <w:tcW w:w="25.000000%" w:type="pct"/>
          </w:tcPr>
          <w:p>
            <w:pPr>
              <w:ind w:leftChars="0" w:left="0" w:right="0"/>
            </w:pPr>
            <w:r>
              <w:t>CHIC</w:t>
            </w:r>
          </w:p>
        </w:tc>
        <w:tc>
          <w:tcPr>
            <w:cnfStyle w:evenVBand="false" w:oddVBand="true" w:firstColumn="false"/>
            <w:tcW w:w="25.000000%" w:type="pct"/>
          </w:tcPr>
          <w:p>
            <w:pPr>
              <w:ind w:leftChars="0" w:left="0" w:right="0"/>
            </w:pPr>
            <w:r>
              <w:t>CHI-X CANADA ATS</w:t>
            </w:r>
          </w:p>
        </w:tc>
        <w:tc>
          <w:tcPr>
            <w:cnfStyle w:evenVBand="true" w:oddVBand="false" w:firstColumn="false"/>
            <w:tcW w:w="25.000000%" w:type="pct"/>
          </w:tcPr>
          <w:p>
            <w:pPr>
              <w:ind w:leftChars="0" w:left="0" w:right="0"/>
            </w:pPr>
            <w:r>
              <w:t>401</w:t>
            </w:r>
          </w:p>
        </w:tc>
      </w:tr>
      <w:tr>
        <w:trPr>
          <w:cnfStyle w:evenHBand="false" w:oddHBand="true" w:firstRow="false"/>
        </w:trPr>
        <w:tc>
          <w:tcPr>
            <w:cnfStyle w:evenVBand="false" w:oddVBand="true" w:firstColumn="false"/>
            <w:tcW w:w="25.000000%" w:type="pct"/>
          </w:tcPr>
          <w:p>
            <w:pPr>
              <w:ind w:leftChars="0" w:left="0" w:right="0"/>
            </w:pPr>
            <w:r>
              <w:t>CHID</w:t>
            </w:r>
          </w:p>
        </w:tc>
        <w:tc>
          <w:tcPr>
            <w:cnfStyle w:evenVBand="true" w:oddVBand="false" w:firstColumn="false"/>
            <w:tcW w:w="25.000000%" w:type="pct"/>
          </w:tcPr>
          <w:p>
            <w:pPr>
              <w:ind w:leftChars="0" w:left="0" w:right="0"/>
            </w:pPr>
            <w:r>
              <w:t>CHID</w:t>
            </w:r>
          </w:p>
        </w:tc>
        <w:tc>
          <w:tcPr>
            <w:cnfStyle w:evenVBand="false" w:oddVBand="true" w:firstColumn="false"/>
            <w:tcW w:w="25.000000%" w:type="pct"/>
          </w:tcPr>
          <w:p>
            <w:pPr>
              <w:ind w:leftChars="0" w:left="0" w:right="0"/>
            </w:pPr>
            <w:r>
              <w:t>CBOE EUROPE - CXE DARK ORDER BOOK</w:t>
            </w:r>
          </w:p>
        </w:tc>
        <w:tc>
          <w:tcPr>
            <w:cnfStyle w:evenVBand="true" w:oddVBand="false" w:firstColumn="false"/>
            <w:tcW w:w="25.000000%" w:type="pct"/>
          </w:tcPr>
          <w:p>
            <w:pPr>
              <w:ind w:leftChars="0" w:left="0" w:right="0"/>
            </w:pPr>
            <w:r>
              <w:t>402</w:t>
            </w:r>
          </w:p>
        </w:tc>
      </w:tr>
      <w:tr>
        <w:trPr>
          <w:cnfStyle w:evenHBand="true" w:oddHBand="false" w:firstRow="false"/>
        </w:trPr>
        <w:tc>
          <w:tcPr>
            <w:cnfStyle w:evenVBand="false" w:oddVBand="true" w:firstColumn="false"/>
            <w:tcW w:w="25.000000%" w:type="pct"/>
          </w:tcPr>
          <w:p>
            <w:pPr>
              <w:ind w:leftChars="0" w:left="0" w:right="0"/>
            </w:pPr>
            <w:r>
              <w:t>CHIE</w:t>
            </w:r>
          </w:p>
        </w:tc>
        <w:tc>
          <w:tcPr>
            <w:cnfStyle w:evenVBand="true" w:oddVBand="false" w:firstColumn="false"/>
            <w:tcW w:w="25.000000%" w:type="pct"/>
          </w:tcPr>
          <w:p>
            <w:pPr>
              <w:ind w:leftChars="0" w:left="0" w:right="0"/>
            </w:pPr>
            <w:r>
              <w:t>CHIE</w:t>
            </w:r>
          </w:p>
        </w:tc>
        <w:tc>
          <w:tcPr>
            <w:cnfStyle w:evenVBand="false" w:oddVBand="true" w:firstColumn="false"/>
            <w:tcW w:w="25.000000%" w:type="pct"/>
          </w:tcPr>
          <w:p>
            <w:pPr>
              <w:ind w:leftChars="0" w:left="0" w:right="0"/>
            </w:pPr>
            <w:r>
              <w:t>CHI-EAST</w:t>
            </w:r>
          </w:p>
        </w:tc>
        <w:tc>
          <w:tcPr>
            <w:cnfStyle w:evenVBand="true" w:oddVBand="false" w:firstColumn="false"/>
            <w:tcW w:w="25.000000%" w:type="pct"/>
          </w:tcPr>
          <w:p>
            <w:pPr>
              <w:ind w:leftChars="0" w:left="0" w:right="0"/>
            </w:pPr>
            <w:r>
              <w:t>403</w:t>
            </w:r>
          </w:p>
        </w:tc>
      </w:tr>
      <w:tr>
        <w:trPr>
          <w:cnfStyle w:evenHBand="false" w:oddHBand="true" w:firstRow="false"/>
        </w:trPr>
        <w:tc>
          <w:tcPr>
            <w:cnfStyle w:evenVBand="false" w:oddVBand="true" w:firstColumn="false"/>
            <w:tcW w:w="25.000000%" w:type="pct"/>
          </w:tcPr>
          <w:p>
            <w:pPr>
              <w:ind w:leftChars="0" w:left="0" w:right="0"/>
            </w:pPr>
            <w:r>
              <w:t>CHIJ</w:t>
            </w:r>
          </w:p>
        </w:tc>
        <w:tc>
          <w:tcPr>
            <w:cnfStyle w:evenVBand="true" w:oddVBand="false" w:firstColumn="false"/>
            <w:tcW w:w="25.000000%" w:type="pct"/>
          </w:tcPr>
          <w:p>
            <w:pPr>
              <w:ind w:leftChars="0" w:left="0" w:right="0"/>
            </w:pPr>
            <w:r>
              <w:t>CHIJ</w:t>
            </w:r>
          </w:p>
        </w:tc>
        <w:tc>
          <w:tcPr>
            <w:cnfStyle w:evenVBand="false" w:oddVBand="true" w:firstColumn="false"/>
            <w:tcW w:w="25.000000%" w:type="pct"/>
          </w:tcPr>
          <w:p>
            <w:pPr>
              <w:ind w:leftChars="0" w:left="0" w:right="0"/>
            </w:pPr>
            <w:r>
              <w:t>CHI-X JAPAN</w:t>
            </w:r>
          </w:p>
        </w:tc>
        <w:tc>
          <w:tcPr>
            <w:cnfStyle w:evenVBand="true" w:oddVBand="false" w:firstColumn="false"/>
            <w:tcW w:w="25.000000%" w:type="pct"/>
          </w:tcPr>
          <w:p>
            <w:pPr>
              <w:ind w:leftChars="0" w:left="0" w:right="0"/>
            </w:pPr>
            <w:r>
              <w:t>404</w:t>
            </w:r>
          </w:p>
        </w:tc>
      </w:tr>
      <w:tr>
        <w:trPr>
          <w:cnfStyle w:evenHBand="true" w:oddHBand="false" w:firstRow="false"/>
        </w:trPr>
        <w:tc>
          <w:tcPr>
            <w:cnfStyle w:evenVBand="false" w:oddVBand="true" w:firstColumn="false"/>
            <w:tcW w:w="25.000000%" w:type="pct"/>
          </w:tcPr>
          <w:p>
            <w:pPr>
              <w:ind w:leftChars="0" w:left="0" w:right="0"/>
            </w:pPr>
            <w:r>
              <w:t>CHIO</w:t>
            </w:r>
          </w:p>
        </w:tc>
        <w:tc>
          <w:tcPr>
            <w:cnfStyle w:evenVBand="true" w:oddVBand="false" w:firstColumn="false"/>
            <w:tcW w:w="25.000000%" w:type="pct"/>
          </w:tcPr>
          <w:p>
            <w:pPr>
              <w:ind w:leftChars="0" w:left="0" w:right="0"/>
            </w:pPr>
            <w:r>
              <w:t>CHIO</w:t>
            </w:r>
          </w:p>
        </w:tc>
        <w:tc>
          <w:tcPr>
            <w:cnfStyle w:evenVBand="false" w:oddVBand="true" w:firstColumn="false"/>
            <w:tcW w:w="25.000000%" w:type="pct"/>
          </w:tcPr>
          <w:p>
            <w:pPr>
              <w:ind w:leftChars="0" w:left="0" w:right="0"/>
            </w:pPr>
            <w:r>
              <w:t>CBOE EUROPE - CXE OFF-BOOK</w:t>
            </w:r>
          </w:p>
        </w:tc>
        <w:tc>
          <w:tcPr>
            <w:cnfStyle w:evenVBand="true" w:oddVBand="false" w:firstColumn="false"/>
            <w:tcW w:w="25.000000%" w:type="pct"/>
          </w:tcPr>
          <w:p>
            <w:pPr>
              <w:ind w:leftChars="0" w:left="0" w:right="0"/>
            </w:pPr>
            <w:r>
              <w:t>405</w:t>
            </w:r>
          </w:p>
        </w:tc>
      </w:tr>
      <w:tr>
        <w:trPr>
          <w:cnfStyle w:evenHBand="false" w:oddHBand="true" w:firstRow="false"/>
        </w:trPr>
        <w:tc>
          <w:tcPr>
            <w:cnfStyle w:evenVBand="false" w:oddVBand="true" w:firstColumn="false"/>
            <w:tcW w:w="25.000000%" w:type="pct"/>
          </w:tcPr>
          <w:p>
            <w:pPr>
              <w:ind w:leftChars="0" w:left="0" w:right="0"/>
            </w:pPr>
            <w:r>
              <w:t>CHIS</w:t>
            </w:r>
          </w:p>
        </w:tc>
        <w:tc>
          <w:tcPr>
            <w:cnfStyle w:evenVBand="true" w:oddVBand="false" w:firstColumn="false"/>
            <w:tcW w:w="25.000000%" w:type="pct"/>
          </w:tcPr>
          <w:p>
            <w:pPr>
              <w:ind w:leftChars="0" w:left="0" w:right="0"/>
            </w:pPr>
            <w:r>
              <w:t>CHIS</w:t>
            </w:r>
          </w:p>
        </w:tc>
        <w:tc>
          <w:tcPr>
            <w:cnfStyle w:evenVBand="false" w:oddVBand="true" w:firstColumn="false"/>
            <w:tcW w:w="25.000000%" w:type="pct"/>
          </w:tcPr>
          <w:p>
            <w:pPr>
              <w:ind w:leftChars="0" w:left="0" w:right="0"/>
            </w:pPr>
            <w:r>
              <w:t>CHI-X JAPAN SELECT</w:t>
            </w:r>
          </w:p>
        </w:tc>
        <w:tc>
          <w:tcPr>
            <w:cnfStyle w:evenVBand="true" w:oddVBand="false" w:firstColumn="false"/>
            <w:tcW w:w="25.000000%" w:type="pct"/>
          </w:tcPr>
          <w:p>
            <w:pPr>
              <w:ind w:leftChars="0" w:left="0" w:right="0"/>
            </w:pPr>
            <w:r>
              <w:t>406</w:t>
            </w:r>
          </w:p>
        </w:tc>
      </w:tr>
      <w:tr>
        <w:trPr>
          <w:cnfStyle w:evenHBand="true" w:oddHBand="false" w:firstRow="false"/>
        </w:trPr>
        <w:tc>
          <w:tcPr>
            <w:cnfStyle w:evenVBand="false" w:oddVBand="true" w:firstColumn="false"/>
            <w:tcW w:w="25.000000%" w:type="pct"/>
          </w:tcPr>
          <w:p>
            <w:pPr>
              <w:ind w:leftChars="0" w:left="0" w:right="0"/>
            </w:pPr>
            <w:r>
              <w:t>CHIV</w:t>
            </w:r>
          </w:p>
        </w:tc>
        <w:tc>
          <w:tcPr>
            <w:cnfStyle w:evenVBand="true" w:oddVBand="false" w:firstColumn="false"/>
            <w:tcW w:w="25.000000%" w:type="pct"/>
          </w:tcPr>
          <w:p>
            <w:pPr>
              <w:ind w:leftChars="0" w:left="0" w:right="0"/>
            </w:pPr>
            <w:r>
              <w:t>CHIV</w:t>
            </w:r>
          </w:p>
        </w:tc>
        <w:tc>
          <w:tcPr>
            <w:cnfStyle w:evenVBand="false" w:oddVBand="true" w:firstColumn="false"/>
            <w:tcW w:w="25.000000%" w:type="pct"/>
          </w:tcPr>
          <w:p>
            <w:pPr>
              <w:ind w:leftChars="0" w:left="0" w:right="0"/>
            </w:pPr>
            <w:r>
              <w:t>CHI-X JAPAN VWAP CROSSING</w:t>
            </w:r>
          </w:p>
        </w:tc>
        <w:tc>
          <w:tcPr>
            <w:cnfStyle w:evenVBand="true" w:oddVBand="false" w:firstColumn="false"/>
            <w:tcW w:w="25.000000%" w:type="pct"/>
          </w:tcPr>
          <w:p>
            <w:pPr>
              <w:ind w:leftChars="0" w:left="0" w:right="0"/>
            </w:pPr>
            <w:r>
              <w:t>407</w:t>
            </w:r>
          </w:p>
        </w:tc>
      </w:tr>
      <w:tr>
        <w:trPr>
          <w:cnfStyle w:evenHBand="false" w:oddHBand="true" w:firstRow="false"/>
        </w:trPr>
        <w:tc>
          <w:tcPr>
            <w:cnfStyle w:evenVBand="false" w:oddVBand="true" w:firstColumn="false"/>
            <w:tcW w:w="25.000000%" w:type="pct"/>
          </w:tcPr>
          <w:p>
            <w:pPr>
              <w:ind w:leftChars="0" w:left="0" w:right="0"/>
            </w:pPr>
            <w:r>
              <w:t>CHIX</w:t>
            </w:r>
          </w:p>
        </w:tc>
        <w:tc>
          <w:tcPr>
            <w:cnfStyle w:evenVBand="true" w:oddVBand="false" w:firstColumn="false"/>
            <w:tcW w:w="25.000000%" w:type="pct"/>
          </w:tcPr>
          <w:p>
            <w:pPr>
              <w:ind w:leftChars="0" w:left="0" w:right="0"/>
            </w:pPr>
            <w:r>
              <w:t>CHIX</w:t>
            </w:r>
          </w:p>
        </w:tc>
        <w:tc>
          <w:tcPr>
            <w:cnfStyle w:evenVBand="false" w:oddVBand="true" w:firstColumn="false"/>
            <w:tcW w:w="25.000000%" w:type="pct"/>
          </w:tcPr>
          <w:p>
            <w:pPr>
              <w:ind w:leftChars="0" w:left="0" w:right="0"/>
            </w:pPr>
            <w:r>
              <w:t>CBOE EUROPE - CXE ORDER BOOKS</w:t>
            </w:r>
          </w:p>
        </w:tc>
        <w:tc>
          <w:tcPr>
            <w:cnfStyle w:evenVBand="true" w:oddVBand="false" w:firstColumn="false"/>
            <w:tcW w:w="25.000000%" w:type="pct"/>
          </w:tcPr>
          <w:p>
            <w:pPr>
              <w:ind w:leftChars="0" w:left="0" w:right="0"/>
            </w:pPr>
            <w:r>
              <w:t>408</w:t>
            </w:r>
          </w:p>
        </w:tc>
      </w:tr>
      <w:tr>
        <w:trPr>
          <w:cnfStyle w:evenHBand="true" w:oddHBand="false" w:firstRow="false"/>
        </w:trPr>
        <w:tc>
          <w:tcPr>
            <w:cnfStyle w:evenVBand="false" w:oddVBand="true" w:firstColumn="false"/>
            <w:tcW w:w="25.000000%" w:type="pct"/>
          </w:tcPr>
          <w:p>
            <w:pPr>
              <w:ind w:leftChars="0" w:left="0" w:right="0"/>
            </w:pPr>
            <w:r>
              <w:t>CHIY</w:t>
            </w:r>
          </w:p>
        </w:tc>
        <w:tc>
          <w:tcPr>
            <w:cnfStyle w:evenVBand="true" w:oddVBand="false" w:firstColumn="false"/>
            <w:tcW w:w="25.000000%" w:type="pct"/>
          </w:tcPr>
          <w:p>
            <w:pPr>
              <w:ind w:leftChars="0" w:left="0" w:right="0"/>
            </w:pPr>
            <w:r>
              <w:t>CHIY</w:t>
            </w:r>
          </w:p>
        </w:tc>
        <w:tc>
          <w:tcPr>
            <w:cnfStyle w:evenVBand="false" w:oddVBand="true" w:firstColumn="false"/>
            <w:tcW w:w="25.000000%" w:type="pct"/>
          </w:tcPr>
          <w:p>
            <w:pPr>
              <w:ind w:leftChars="0" w:left="0" w:right="0"/>
            </w:pPr>
            <w:r>
              <w:t>BATS CHI-X EUROPE LIMITED - CHI-CLEAR</w:t>
            </w:r>
          </w:p>
        </w:tc>
        <w:tc>
          <w:tcPr>
            <w:cnfStyle w:evenVBand="true" w:oddVBand="false" w:firstColumn="false"/>
            <w:tcW w:w="25.000000%" w:type="pct"/>
          </w:tcPr>
          <w:p>
            <w:pPr>
              <w:ind w:leftChars="0" w:left="0" w:right="0"/>
            </w:pPr>
            <w:r>
              <w:t>409</w:t>
            </w:r>
          </w:p>
        </w:tc>
      </w:tr>
      <w:tr>
        <w:trPr>
          <w:cnfStyle w:evenHBand="false" w:oddHBand="true" w:firstRow="false"/>
        </w:trPr>
        <w:tc>
          <w:tcPr>
            <w:cnfStyle w:evenVBand="false" w:oddVBand="true" w:firstColumn="false"/>
            <w:tcW w:w="25.000000%" w:type="pct"/>
          </w:tcPr>
          <w:p>
            <w:pPr>
              <w:ind w:leftChars="0" w:left="0" w:right="0"/>
            </w:pPr>
            <w:r>
              <w:t>CIBC</w:t>
            </w:r>
          </w:p>
        </w:tc>
        <w:tc>
          <w:tcPr>
            <w:cnfStyle w:evenVBand="true" w:oddVBand="false" w:firstColumn="false"/>
            <w:tcW w:w="25.000000%" w:type="pct"/>
          </w:tcPr>
          <w:p>
            <w:pPr>
              <w:ind w:leftChars="0" w:left="0" w:right="0"/>
            </w:pPr>
            <w:r>
              <w:t>CIBC</w:t>
            </w:r>
          </w:p>
        </w:tc>
        <w:tc>
          <w:tcPr>
            <w:cnfStyle w:evenVBand="false" w:oddVBand="true" w:firstColumn="false"/>
            <w:tcW w:w="25.000000%" w:type="pct"/>
          </w:tcPr>
          <w:p>
            <w:pPr>
              <w:ind w:leftChars="0" w:left="0" w:right="0"/>
            </w:pPr>
            <w:r>
              <w:t>CANADIAN IMPERIAL BANK OF COMMERCE - SYSTEMATIC INTERNALISER</w:t>
            </w:r>
          </w:p>
        </w:tc>
        <w:tc>
          <w:tcPr>
            <w:cnfStyle w:evenVBand="true" w:oddVBand="false" w:firstColumn="false"/>
            <w:tcW w:w="25.000000%" w:type="pct"/>
          </w:tcPr>
          <w:p>
            <w:pPr>
              <w:ind w:leftChars="0" w:left="0" w:right="0"/>
            </w:pPr>
            <w:r>
              <w:t>410</w:t>
            </w:r>
          </w:p>
        </w:tc>
      </w:tr>
      <w:tr>
        <w:trPr>
          <w:cnfStyle w:evenHBand="true" w:oddHBand="false" w:firstRow="false"/>
        </w:trPr>
        <w:tc>
          <w:tcPr>
            <w:cnfStyle w:evenVBand="false" w:oddVBand="true" w:firstColumn="false"/>
            <w:tcW w:w="25.000000%" w:type="pct"/>
          </w:tcPr>
          <w:p>
            <w:pPr>
              <w:ind w:leftChars="0" w:left="0" w:right="0"/>
            </w:pPr>
            <w:r>
              <w:t>CIBH</w:t>
            </w:r>
          </w:p>
        </w:tc>
        <w:tc>
          <w:tcPr>
            <w:cnfStyle w:evenVBand="true" w:oddVBand="false" w:firstColumn="false"/>
            <w:tcW w:w="25.000000%" w:type="pct"/>
          </w:tcPr>
          <w:p>
            <w:pPr>
              <w:ind w:leftChars="0" w:left="0" w:right="0"/>
            </w:pPr>
            <w:r>
              <w:t>CIBH</w:t>
            </w:r>
          </w:p>
        </w:tc>
        <w:tc>
          <w:tcPr>
            <w:cnfStyle w:evenVBand="false" w:oddVBand="true" w:firstColumn="false"/>
            <w:tcW w:w="25.000000%" w:type="pct"/>
          </w:tcPr>
          <w:p>
            <w:pPr>
              <w:ind w:leftChars="0" w:left="0" w:right="0"/>
            </w:pPr>
            <w:r>
              <w:t>CIB BANK - SYSTEMATIC INTERNALISER</w:t>
            </w:r>
          </w:p>
        </w:tc>
        <w:tc>
          <w:tcPr>
            <w:cnfStyle w:evenVBand="true" w:oddVBand="false" w:firstColumn="false"/>
            <w:tcW w:w="25.000000%" w:type="pct"/>
          </w:tcPr>
          <w:p>
            <w:pPr>
              <w:ind w:leftChars="0" w:left="0" w:right="0"/>
            </w:pPr>
            <w:r>
              <w:t>411</w:t>
            </w:r>
          </w:p>
        </w:tc>
      </w:tr>
      <w:tr>
        <w:trPr>
          <w:cnfStyle w:evenHBand="false" w:oddHBand="true" w:firstRow="false"/>
        </w:trPr>
        <w:tc>
          <w:tcPr>
            <w:cnfStyle w:evenVBand="false" w:oddVBand="true" w:firstColumn="false"/>
            <w:tcW w:w="25.000000%" w:type="pct"/>
          </w:tcPr>
          <w:p>
            <w:pPr>
              <w:ind w:leftChars="0" w:left="0" w:right="0"/>
            </w:pPr>
            <w:r>
              <w:t>CIBP</w:t>
            </w:r>
          </w:p>
        </w:tc>
        <w:tc>
          <w:tcPr>
            <w:cnfStyle w:evenVBand="true" w:oddVBand="false" w:firstColumn="false"/>
            <w:tcW w:w="25.000000%" w:type="pct"/>
          </w:tcPr>
          <w:p>
            <w:pPr>
              <w:ind w:leftChars="0" w:left="0" w:right="0"/>
            </w:pPr>
            <w:r>
              <w:t>CIBP</w:t>
            </w:r>
          </w:p>
        </w:tc>
        <w:tc>
          <w:tcPr>
            <w:cnfStyle w:evenVBand="false" w:oddVBand="true" w:firstColumn="false"/>
            <w:tcW w:w="25.000000%" w:type="pct"/>
          </w:tcPr>
          <w:p>
            <w:pPr>
              <w:ind w:leftChars="0" w:left="0" w:right="0"/>
            </w:pPr>
            <w:r>
              <w:t>CIBC WORLD MARKETS PLC - SYSTEMATIC INTERNALISER</w:t>
            </w:r>
          </w:p>
        </w:tc>
        <w:tc>
          <w:tcPr>
            <w:cnfStyle w:evenVBand="true" w:oddVBand="false" w:firstColumn="false"/>
            <w:tcW w:w="25.000000%" w:type="pct"/>
          </w:tcPr>
          <w:p>
            <w:pPr>
              <w:ind w:leftChars="0" w:left="0" w:right="0"/>
            </w:pPr>
            <w:r>
              <w:t>412</w:t>
            </w:r>
          </w:p>
        </w:tc>
      </w:tr>
      <w:tr>
        <w:trPr>
          <w:cnfStyle w:evenHBand="true" w:oddHBand="false" w:firstRow="false"/>
        </w:trPr>
        <w:tc>
          <w:tcPr>
            <w:cnfStyle w:evenVBand="false" w:oddVBand="true" w:firstColumn="false"/>
            <w:tcW w:w="25.000000%" w:type="pct"/>
          </w:tcPr>
          <w:p>
            <w:pPr>
              <w:ind w:leftChars="0" w:left="0" w:right="0"/>
            </w:pPr>
            <w:r>
              <w:t>CICX</w:t>
            </w:r>
          </w:p>
        </w:tc>
        <w:tc>
          <w:tcPr>
            <w:cnfStyle w:evenVBand="true" w:oddVBand="false" w:firstColumn="false"/>
            <w:tcW w:w="25.000000%" w:type="pct"/>
          </w:tcPr>
          <w:p>
            <w:pPr>
              <w:ind w:leftChars="0" w:left="0" w:right="0"/>
            </w:pPr>
            <w:r>
              <w:t>CICX</w:t>
            </w:r>
          </w:p>
        </w:tc>
        <w:tc>
          <w:tcPr>
            <w:cnfStyle w:evenVBand="false" w:oddVBand="true" w:firstColumn="false"/>
            <w:tcW w:w="25.000000%" w:type="pct"/>
          </w:tcPr>
          <w:p>
            <w:pPr>
              <w:ind w:leftChars="0" w:left="0" w:right="0"/>
            </w:pPr>
            <w:r>
              <w:t>CITI CROSS</w:t>
            </w:r>
          </w:p>
        </w:tc>
        <w:tc>
          <w:tcPr>
            <w:cnfStyle w:evenVBand="true" w:oddVBand="false" w:firstColumn="false"/>
            <w:tcW w:w="25.000000%" w:type="pct"/>
          </w:tcPr>
          <w:p>
            <w:pPr>
              <w:ind w:leftChars="0" w:left="0" w:right="0"/>
            </w:pPr>
            <w:r>
              <w:t>413</w:t>
            </w:r>
          </w:p>
        </w:tc>
      </w:tr>
      <w:tr>
        <w:trPr>
          <w:cnfStyle w:evenHBand="false" w:oddHBand="true" w:firstRow="false"/>
        </w:trPr>
        <w:tc>
          <w:tcPr>
            <w:cnfStyle w:evenVBand="false" w:oddVBand="true" w:firstColumn="false"/>
            <w:tcW w:w="25.000000%" w:type="pct"/>
          </w:tcPr>
          <w:p>
            <w:pPr>
              <w:ind w:leftChars="0" w:left="0" w:right="0"/>
            </w:pPr>
            <w:r>
              <w:t>CILH</w:t>
            </w:r>
          </w:p>
        </w:tc>
        <w:tc>
          <w:tcPr>
            <w:cnfStyle w:evenVBand="true" w:oddVBand="false" w:firstColumn="false"/>
            <w:tcW w:w="25.000000%" w:type="pct"/>
          </w:tcPr>
          <w:p>
            <w:pPr>
              <w:ind w:leftChars="0" w:left="0" w:right="0"/>
            </w:pPr>
            <w:r>
              <w:t>CILH</w:t>
            </w:r>
          </w:p>
        </w:tc>
        <w:tc>
          <w:tcPr>
            <w:cnfStyle w:evenVBand="false" w:oddVBand="true" w:firstColumn="false"/>
            <w:tcW w:w="25.000000%" w:type="pct"/>
          </w:tcPr>
          <w:p>
            <w:pPr>
              <w:ind w:leftChars="0" w:left="0" w:right="0"/>
            </w:pPr>
            <w:r>
              <w:t>LIQUIDITY HUB JAPAN</w:t>
            </w:r>
          </w:p>
        </w:tc>
        <w:tc>
          <w:tcPr>
            <w:cnfStyle w:evenVBand="true" w:oddVBand="false" w:firstColumn="false"/>
            <w:tcW w:w="25.000000%" w:type="pct"/>
          </w:tcPr>
          <w:p>
            <w:pPr>
              <w:ind w:leftChars="0" w:left="0" w:right="0"/>
            </w:pPr>
            <w:r>
              <w:t>414</w:t>
            </w:r>
          </w:p>
        </w:tc>
      </w:tr>
      <w:tr>
        <w:trPr>
          <w:cnfStyle w:evenHBand="true" w:oddHBand="false" w:firstRow="false"/>
        </w:trPr>
        <w:tc>
          <w:tcPr>
            <w:cnfStyle w:evenVBand="false" w:oddVBand="true" w:firstColumn="false"/>
            <w:tcW w:w="25.000000%" w:type="pct"/>
          </w:tcPr>
          <w:p>
            <w:pPr>
              <w:ind w:leftChars="0" w:left="0" w:right="0"/>
            </w:pPr>
            <w:r>
              <w:t>CIMA</w:t>
            </w:r>
          </w:p>
        </w:tc>
        <w:tc>
          <w:tcPr>
            <w:cnfStyle w:evenVBand="true" w:oddVBand="false" w:firstColumn="false"/>
            <w:tcW w:w="25.000000%" w:type="pct"/>
          </w:tcPr>
          <w:p>
            <w:pPr>
              <w:ind w:leftChars="0" w:left="0" w:right="0"/>
            </w:pPr>
            <w:r>
              <w:t>CIMA</w:t>
            </w:r>
          </w:p>
        </w:tc>
        <w:tc>
          <w:tcPr>
            <w:cnfStyle w:evenVBand="false" w:oddVBand="true" w:firstColumn="false"/>
            <w:tcW w:w="25.000000%" w:type="pct"/>
          </w:tcPr>
          <w:p>
            <w:pPr>
              <w:ind w:leftChars="0" w:left="0" w:right="0"/>
            </w:pPr>
            <w:r>
              <w:t>CIMD S.V. S.A. - APPROVED PUBLICATION ARRANGEMENT</w:t>
            </w:r>
          </w:p>
        </w:tc>
        <w:tc>
          <w:tcPr>
            <w:cnfStyle w:evenVBand="true" w:oddVBand="false" w:firstColumn="false"/>
            <w:tcW w:w="25.000000%" w:type="pct"/>
          </w:tcPr>
          <w:p>
            <w:pPr>
              <w:ind w:leftChars="0" w:left="0" w:right="0"/>
            </w:pPr>
            <w:r>
              <w:t>415</w:t>
            </w:r>
          </w:p>
        </w:tc>
      </w:tr>
      <w:tr>
        <w:trPr>
          <w:cnfStyle w:evenHBand="false" w:oddHBand="true" w:firstRow="false"/>
        </w:trPr>
        <w:tc>
          <w:tcPr>
            <w:cnfStyle w:evenVBand="false" w:oddVBand="true" w:firstColumn="false"/>
            <w:tcW w:w="25.000000%" w:type="pct"/>
          </w:tcPr>
          <w:p>
            <w:pPr>
              <w:ind w:leftChars="0" w:left="0" w:right="0"/>
            </w:pPr>
            <w:r>
              <w:t>CIMB</w:t>
            </w:r>
          </w:p>
        </w:tc>
        <w:tc>
          <w:tcPr>
            <w:cnfStyle w:evenVBand="true" w:oddVBand="false" w:firstColumn="false"/>
            <w:tcW w:w="25.000000%" w:type="pct"/>
          </w:tcPr>
          <w:p>
            <w:pPr>
              <w:ind w:leftChars="0" w:left="0" w:right="0"/>
            </w:pPr>
            <w:r>
              <w:t>CIMB</w:t>
            </w:r>
          </w:p>
        </w:tc>
        <w:tc>
          <w:tcPr>
            <w:cnfStyle w:evenVBand="false" w:oddVBand="true" w:firstColumn="false"/>
            <w:tcW w:w="25.000000%" w:type="pct"/>
          </w:tcPr>
          <w:p>
            <w:pPr>
              <w:ind w:leftChars="0" w:left="0" w:right="0"/>
            </w:pPr>
            <w:r>
              <w:t>CIMD S.V. S.A. - OTF FOR BONDS</w:t>
            </w:r>
          </w:p>
        </w:tc>
        <w:tc>
          <w:tcPr>
            <w:cnfStyle w:evenVBand="true" w:oddVBand="false" w:firstColumn="false"/>
            <w:tcW w:w="25.000000%" w:type="pct"/>
          </w:tcPr>
          <w:p>
            <w:pPr>
              <w:ind w:leftChars="0" w:left="0" w:right="0"/>
            </w:pPr>
            <w:r>
              <w:t>416</w:t>
            </w:r>
          </w:p>
        </w:tc>
      </w:tr>
      <w:tr>
        <w:trPr>
          <w:cnfStyle w:evenHBand="true" w:oddHBand="false" w:firstRow="false"/>
        </w:trPr>
        <w:tc>
          <w:tcPr>
            <w:cnfStyle w:evenVBand="false" w:oddVBand="true" w:firstColumn="false"/>
            <w:tcW w:w="25.000000%" w:type="pct"/>
          </w:tcPr>
          <w:p>
            <w:pPr>
              <w:ind w:leftChars="0" w:left="0" w:right="0"/>
            </w:pPr>
            <w:r>
              <w:t>CIMD</w:t>
            </w:r>
          </w:p>
        </w:tc>
        <w:tc>
          <w:tcPr>
            <w:cnfStyle w:evenVBand="true" w:oddVBand="false" w:firstColumn="false"/>
            <w:tcW w:w="25.000000%" w:type="pct"/>
          </w:tcPr>
          <w:p>
            <w:pPr>
              <w:ind w:leftChars="0" w:left="0" w:right="0"/>
            </w:pPr>
            <w:r>
              <w:t>CIMD</w:t>
            </w:r>
          </w:p>
        </w:tc>
        <w:tc>
          <w:tcPr>
            <w:cnfStyle w:evenVBand="false" w:oddVBand="true" w:firstColumn="false"/>
            <w:tcW w:w="25.000000%" w:type="pct"/>
          </w:tcPr>
          <w:p>
            <w:pPr>
              <w:ind w:leftChars="0" w:left="0" w:right="0"/>
            </w:pPr>
            <w:r>
              <w:t>CIMD S.V. S.A. - OTF</w:t>
            </w:r>
          </w:p>
        </w:tc>
        <w:tc>
          <w:tcPr>
            <w:cnfStyle w:evenVBand="true" w:oddVBand="false" w:firstColumn="false"/>
            <w:tcW w:w="25.000000%" w:type="pct"/>
          </w:tcPr>
          <w:p>
            <w:pPr>
              <w:ind w:leftChars="0" w:left="0" w:right="0"/>
            </w:pPr>
            <w:r>
              <w:t>417</w:t>
            </w:r>
          </w:p>
        </w:tc>
      </w:tr>
      <w:tr>
        <w:trPr>
          <w:cnfStyle w:evenHBand="false" w:oddHBand="true" w:firstRow="false"/>
        </w:trPr>
        <w:tc>
          <w:tcPr>
            <w:cnfStyle w:evenVBand="false" w:oddVBand="true" w:firstColumn="false"/>
            <w:tcW w:w="25.000000%" w:type="pct"/>
          </w:tcPr>
          <w:p>
            <w:pPr>
              <w:ind w:leftChars="0" w:left="0" w:right="0"/>
            </w:pPr>
            <w:r>
              <w:t>CIME</w:t>
            </w:r>
          </w:p>
        </w:tc>
        <w:tc>
          <w:tcPr>
            <w:cnfStyle w:evenVBand="true" w:oddVBand="false" w:firstColumn="false"/>
            <w:tcW w:w="25.000000%" w:type="pct"/>
          </w:tcPr>
          <w:p>
            <w:pPr>
              <w:ind w:leftChars="0" w:left="0" w:right="0"/>
            </w:pPr>
            <w:r>
              <w:t>CIME</w:t>
            </w:r>
          </w:p>
        </w:tc>
        <w:tc>
          <w:tcPr>
            <w:cnfStyle w:evenVBand="false" w:oddVBand="true" w:firstColumn="false"/>
            <w:tcW w:w="25.000000%" w:type="pct"/>
          </w:tcPr>
          <w:p>
            <w:pPr>
              <w:ind w:leftChars="0" w:left="0" w:right="0"/>
            </w:pPr>
            <w:r>
              <w:t>CIMD S.V. S.A. - OTF FOR ENERGY DERIVATIVES</w:t>
            </w:r>
          </w:p>
        </w:tc>
        <w:tc>
          <w:tcPr>
            <w:cnfStyle w:evenVBand="true" w:oddVBand="false" w:firstColumn="false"/>
            <w:tcW w:w="25.000000%" w:type="pct"/>
          </w:tcPr>
          <w:p>
            <w:pPr>
              <w:ind w:leftChars="0" w:left="0" w:right="0"/>
            </w:pPr>
            <w:r>
              <w:t>418</w:t>
            </w:r>
          </w:p>
        </w:tc>
      </w:tr>
      <w:tr>
        <w:trPr>
          <w:cnfStyle w:evenHBand="true" w:oddHBand="false" w:firstRow="false"/>
        </w:trPr>
        <w:tc>
          <w:tcPr>
            <w:cnfStyle w:evenVBand="false" w:oddVBand="true" w:firstColumn="false"/>
            <w:tcW w:w="25.000000%" w:type="pct"/>
          </w:tcPr>
          <w:p>
            <w:pPr>
              <w:ind w:leftChars="0" w:left="0" w:right="0"/>
            </w:pPr>
            <w:r>
              <w:t>CIMV</w:t>
            </w:r>
          </w:p>
        </w:tc>
        <w:tc>
          <w:tcPr>
            <w:cnfStyle w:evenVBand="true" w:oddVBand="false" w:firstColumn="false"/>
            <w:tcW w:w="25.000000%" w:type="pct"/>
          </w:tcPr>
          <w:p>
            <w:pPr>
              <w:ind w:leftChars="0" w:left="0" w:right="0"/>
            </w:pPr>
            <w:r>
              <w:t>CIMV</w:t>
            </w:r>
          </w:p>
        </w:tc>
        <w:tc>
          <w:tcPr>
            <w:cnfStyle w:evenVBand="false" w:oddVBand="true" w:firstColumn="false"/>
            <w:tcW w:w="25.000000%" w:type="pct"/>
          </w:tcPr>
          <w:p>
            <w:pPr>
              <w:ind w:leftChars="0" w:left="0" w:right="0"/>
            </w:pPr>
            <w:r>
              <w:t>CIMD S.V. S.A. - OTF FOR DERIVATIVES</w:t>
            </w:r>
          </w:p>
        </w:tc>
        <w:tc>
          <w:tcPr>
            <w:cnfStyle w:evenVBand="true" w:oddVBand="false" w:firstColumn="false"/>
            <w:tcW w:w="25.000000%" w:type="pct"/>
          </w:tcPr>
          <w:p>
            <w:pPr>
              <w:ind w:leftChars="0" w:left="0" w:right="0"/>
            </w:pPr>
            <w:r>
              <w:t>419</w:t>
            </w:r>
          </w:p>
        </w:tc>
      </w:tr>
      <w:tr>
        <w:trPr>
          <w:cnfStyle w:evenHBand="false" w:oddHBand="true" w:firstRow="false"/>
        </w:trPr>
        <w:tc>
          <w:tcPr>
            <w:cnfStyle w:evenVBand="false" w:oddVBand="true" w:firstColumn="false"/>
            <w:tcW w:w="25.000000%" w:type="pct"/>
          </w:tcPr>
          <w:p>
            <w:pPr>
              <w:ind w:leftChars="0" w:left="0" w:right="0"/>
            </w:pPr>
            <w:r>
              <w:t>CIOI</w:t>
            </w:r>
          </w:p>
        </w:tc>
        <w:tc>
          <w:tcPr>
            <w:cnfStyle w:evenVBand="true" w:oddVBand="false" w:firstColumn="false"/>
            <w:tcW w:w="25.000000%" w:type="pct"/>
          </w:tcPr>
          <w:p>
            <w:pPr>
              <w:ind w:leftChars="0" w:left="0" w:right="0"/>
            </w:pPr>
            <w:r>
              <w:t>CIOI</w:t>
            </w:r>
          </w:p>
        </w:tc>
        <w:tc>
          <w:tcPr>
            <w:cnfStyle w:evenVBand="false" w:oddVBand="true" w:firstColumn="false"/>
            <w:tcW w:w="25.000000%" w:type="pct"/>
          </w:tcPr>
          <w:p>
            <w:pPr>
              <w:ind w:leftChars="0" w:left="0" w:right="0"/>
            </w:pPr>
            <w:r>
              <w:t>CIOI</w:t>
            </w:r>
          </w:p>
        </w:tc>
        <w:tc>
          <w:tcPr>
            <w:cnfStyle w:evenVBand="true" w:oddVBand="false" w:firstColumn="false"/>
            <w:tcW w:w="25.000000%" w:type="pct"/>
          </w:tcPr>
          <w:p>
            <w:pPr>
              <w:ind w:leftChars="0" w:left="0" w:right="0"/>
            </w:pPr>
            <w:r>
              <w:t>420</w:t>
            </w:r>
          </w:p>
        </w:tc>
      </w:tr>
      <w:tr>
        <w:trPr>
          <w:cnfStyle w:evenHBand="true" w:oddHBand="false" w:firstRow="false"/>
        </w:trPr>
        <w:tc>
          <w:tcPr>
            <w:cnfStyle w:evenVBand="false" w:oddVBand="true" w:firstColumn="false"/>
            <w:tcW w:w="25.000000%" w:type="pct"/>
          </w:tcPr>
          <w:p>
            <w:pPr>
              <w:ind w:leftChars="0" w:left="0" w:right="0"/>
            </w:pPr>
            <w:r>
              <w:t>CISD</w:t>
            </w:r>
          </w:p>
        </w:tc>
        <w:tc>
          <w:tcPr>
            <w:cnfStyle w:evenVBand="true" w:oddVBand="false" w:firstColumn="false"/>
            <w:tcW w:w="25.000000%" w:type="pct"/>
          </w:tcPr>
          <w:p>
            <w:pPr>
              <w:ind w:leftChars="0" w:left="0" w:right="0"/>
            </w:pPr>
            <w:r>
              <w:t>CISD</w:t>
            </w:r>
          </w:p>
        </w:tc>
        <w:tc>
          <w:tcPr>
            <w:cnfStyle w:evenVBand="false" w:oddVBand="true" w:firstColumn="false"/>
            <w:tcW w:w="25.000000%" w:type="pct"/>
          </w:tcPr>
          <w:p>
            <w:pPr>
              <w:ind w:leftChars="0" w:left="0" w:right="0"/>
            </w:pPr>
            <w:r>
              <w:t>NYSE NATIONAL, INC. - DARK</w:t>
            </w:r>
          </w:p>
        </w:tc>
        <w:tc>
          <w:tcPr>
            <w:cnfStyle w:evenVBand="true" w:oddVBand="false" w:firstColumn="false"/>
            <w:tcW w:w="25.000000%" w:type="pct"/>
          </w:tcPr>
          <w:p>
            <w:pPr>
              <w:ind w:leftChars="0" w:left="0" w:right="0"/>
            </w:pPr>
            <w:r>
              <w:t>421</w:t>
            </w:r>
          </w:p>
        </w:tc>
      </w:tr>
      <w:tr>
        <w:trPr>
          <w:cnfStyle w:evenHBand="false" w:oddHBand="true" w:firstRow="false"/>
        </w:trPr>
        <w:tc>
          <w:tcPr>
            <w:cnfStyle w:evenVBand="false" w:oddVBand="true" w:firstColumn="false"/>
            <w:tcW w:w="25.000000%" w:type="pct"/>
          </w:tcPr>
          <w:p>
            <w:pPr>
              <w:ind w:leftChars="0" w:left="0" w:right="0"/>
            </w:pPr>
            <w:r>
              <w:t>CITD</w:t>
            </w:r>
          </w:p>
        </w:tc>
        <w:tc>
          <w:tcPr>
            <w:cnfStyle w:evenVBand="true" w:oddVBand="false" w:firstColumn="false"/>
            <w:tcW w:w="25.000000%" w:type="pct"/>
          </w:tcPr>
          <w:p>
            <w:pPr>
              <w:ind w:leftChars="0" w:left="0" w:right="0"/>
            </w:pPr>
            <w:r>
              <w:t>CITD</w:t>
            </w:r>
          </w:p>
        </w:tc>
        <w:tc>
          <w:tcPr>
            <w:cnfStyle w:evenVBand="false" w:oddVBand="true" w:firstColumn="false"/>
            <w:tcW w:w="25.000000%" w:type="pct"/>
          </w:tcPr>
          <w:p>
            <w:pPr>
              <w:ind w:leftChars="0" w:left="0" w:right="0"/>
            </w:pPr>
            <w:r>
              <w:t>CITI DARK</w:t>
            </w:r>
          </w:p>
        </w:tc>
        <w:tc>
          <w:tcPr>
            <w:cnfStyle w:evenVBand="true" w:oddVBand="false" w:firstColumn="false"/>
            <w:tcW w:w="25.000000%" w:type="pct"/>
          </w:tcPr>
          <w:p>
            <w:pPr>
              <w:ind w:leftChars="0" w:left="0" w:right="0"/>
            </w:pPr>
            <w:r>
              <w:t>422</w:t>
            </w:r>
          </w:p>
        </w:tc>
      </w:tr>
      <w:tr>
        <w:trPr>
          <w:cnfStyle w:evenHBand="true" w:oddHBand="false" w:firstRow="false"/>
        </w:trPr>
        <w:tc>
          <w:tcPr>
            <w:cnfStyle w:evenVBand="false" w:oddVBand="true" w:firstColumn="false"/>
            <w:tcW w:w="25.000000%" w:type="pct"/>
          </w:tcPr>
          <w:p>
            <w:pPr>
              <w:ind w:leftChars="0" w:left="0" w:right="0"/>
            </w:pPr>
            <w:r>
              <w:t>CITX</w:t>
            </w:r>
          </w:p>
        </w:tc>
        <w:tc>
          <w:tcPr>
            <w:cnfStyle w:evenVBand="true" w:oddVBand="false" w:firstColumn="false"/>
            <w:tcW w:w="25.000000%" w:type="pct"/>
          </w:tcPr>
          <w:p>
            <w:pPr>
              <w:ind w:leftChars="0" w:left="0" w:right="0"/>
            </w:pPr>
            <w:r>
              <w:t>CITX</w:t>
            </w:r>
          </w:p>
        </w:tc>
        <w:tc>
          <w:tcPr>
            <w:cnfStyle w:evenVBand="false" w:oddVBand="true" w:firstColumn="false"/>
            <w:tcW w:w="25.000000%" w:type="pct"/>
          </w:tcPr>
          <w:p>
            <w:pPr>
              <w:ind w:leftChars="0" w:left="0" w:right="0"/>
            </w:pPr>
            <w:r>
              <w:t>CITI MATCH - JP</w:t>
            </w:r>
          </w:p>
        </w:tc>
        <w:tc>
          <w:tcPr>
            <w:cnfStyle w:evenVBand="true" w:oddVBand="false" w:firstColumn="false"/>
            <w:tcW w:w="25.000000%" w:type="pct"/>
          </w:tcPr>
          <w:p>
            <w:pPr>
              <w:ind w:leftChars="0" w:left="0" w:right="0"/>
            </w:pPr>
            <w:r>
              <w:t>423</w:t>
            </w:r>
          </w:p>
        </w:tc>
      </w:tr>
      <w:tr>
        <w:trPr>
          <w:cnfStyle w:evenHBand="false" w:oddHBand="true" w:firstRow="false"/>
        </w:trPr>
        <w:tc>
          <w:tcPr>
            <w:cnfStyle w:evenVBand="false" w:oddVBand="true" w:firstColumn="false"/>
            <w:tcW w:w="25.000000%" w:type="pct"/>
          </w:tcPr>
          <w:p>
            <w:pPr>
              <w:ind w:leftChars="0" w:left="0" w:right="0"/>
            </w:pPr>
            <w:r>
              <w:t>CLAU</w:t>
            </w:r>
          </w:p>
        </w:tc>
        <w:tc>
          <w:tcPr>
            <w:cnfStyle w:evenVBand="true" w:oddVBand="false" w:firstColumn="false"/>
            <w:tcW w:w="25.000000%" w:type="pct"/>
          </w:tcPr>
          <w:p>
            <w:pPr>
              <w:ind w:leftChars="0" w:left="0" w:right="0"/>
            </w:pPr>
            <w:r>
              <w:t>CLAU</w:t>
            </w:r>
          </w:p>
        </w:tc>
        <w:tc>
          <w:tcPr>
            <w:cnfStyle w:evenVBand="false" w:oddVBand="true" w:firstColumn="false"/>
            <w:tcW w:w="25.000000%" w:type="pct"/>
          </w:tcPr>
          <w:p>
            <w:pPr>
              <w:ind w:leftChars="0" w:left="0" w:right="0"/>
            </w:pPr>
            <w:r>
              <w:t>CLSA AUSTRALIA - DARK</w:t>
            </w:r>
          </w:p>
        </w:tc>
        <w:tc>
          <w:tcPr>
            <w:cnfStyle w:evenVBand="true" w:oddVBand="false" w:firstColumn="false"/>
            <w:tcW w:w="25.000000%" w:type="pct"/>
          </w:tcPr>
          <w:p>
            <w:pPr>
              <w:ind w:leftChars="0" w:left="0" w:right="0"/>
            </w:pPr>
            <w:r>
              <w:t>424</w:t>
            </w:r>
          </w:p>
        </w:tc>
      </w:tr>
      <w:tr>
        <w:trPr>
          <w:cnfStyle w:evenHBand="true" w:oddHBand="false" w:firstRow="false"/>
        </w:trPr>
        <w:tc>
          <w:tcPr>
            <w:cnfStyle w:evenVBand="false" w:oddVBand="true" w:firstColumn="false"/>
            <w:tcW w:w="25.000000%" w:type="pct"/>
          </w:tcPr>
          <w:p>
            <w:pPr>
              <w:ind w:leftChars="0" w:left="0" w:right="0"/>
            </w:pPr>
            <w:r>
              <w:t>CLCH</w:t>
            </w:r>
          </w:p>
        </w:tc>
        <w:tc>
          <w:tcPr>
            <w:cnfStyle w:evenVBand="true" w:oddVBand="false" w:firstColumn="false"/>
            <w:tcW w:w="25.000000%" w:type="pct"/>
          </w:tcPr>
          <w:p>
            <w:pPr>
              <w:ind w:leftChars="0" w:left="0" w:right="0"/>
            </w:pPr>
            <w:r>
              <w:t>CLCH</w:t>
            </w:r>
          </w:p>
        </w:tc>
        <w:tc>
          <w:tcPr>
            <w:cnfStyle w:evenVBand="false" w:oddVBand="true" w:firstColumn="false"/>
            <w:tcW w:w="25.000000%" w:type="pct"/>
          </w:tcPr>
          <w:p>
            <w:pPr>
              <w:ind w:leftChars="0" w:left="0" w:right="0"/>
            </w:pPr>
            <w:r>
              <w:t>LCH LTD - CROSS NETTING</w:t>
            </w:r>
          </w:p>
        </w:tc>
        <w:tc>
          <w:tcPr>
            <w:cnfStyle w:evenVBand="true" w:oddVBand="false" w:firstColumn="false"/>
            <w:tcW w:w="25.000000%" w:type="pct"/>
          </w:tcPr>
          <w:p>
            <w:pPr>
              <w:ind w:leftChars="0" w:left="0" w:right="0"/>
            </w:pPr>
            <w:r>
              <w:t>425</w:t>
            </w:r>
          </w:p>
        </w:tc>
      </w:tr>
      <w:tr>
        <w:trPr>
          <w:cnfStyle w:evenHBand="false" w:oddHBand="true" w:firstRow="false"/>
        </w:trPr>
        <w:tc>
          <w:tcPr>
            <w:cnfStyle w:evenVBand="false" w:oddVBand="true" w:firstColumn="false"/>
            <w:tcW w:w="25.000000%" w:type="pct"/>
          </w:tcPr>
          <w:p>
            <w:pPr>
              <w:ind w:leftChars="0" w:left="0" w:right="0"/>
            </w:pPr>
            <w:r>
              <w:t>CLHK</w:t>
            </w:r>
          </w:p>
        </w:tc>
        <w:tc>
          <w:tcPr>
            <w:cnfStyle w:evenVBand="true" w:oddVBand="false" w:firstColumn="false"/>
            <w:tcW w:w="25.000000%" w:type="pct"/>
          </w:tcPr>
          <w:p>
            <w:pPr>
              <w:ind w:leftChars="0" w:left="0" w:right="0"/>
            </w:pPr>
            <w:r>
              <w:t>CLHK</w:t>
            </w:r>
          </w:p>
        </w:tc>
        <w:tc>
          <w:tcPr>
            <w:cnfStyle w:evenVBand="false" w:oddVBand="true" w:firstColumn="false"/>
            <w:tcW w:w="25.000000%" w:type="pct"/>
          </w:tcPr>
          <w:p>
            <w:pPr>
              <w:ind w:leftChars="0" w:left="0" w:right="0"/>
            </w:pPr>
            <w:r>
              <w:t>CLSA HONG KONG - DARK</w:t>
            </w:r>
          </w:p>
        </w:tc>
        <w:tc>
          <w:tcPr>
            <w:cnfStyle w:evenVBand="true" w:oddVBand="false" w:firstColumn="false"/>
            <w:tcW w:w="25.000000%" w:type="pct"/>
          </w:tcPr>
          <w:p>
            <w:pPr>
              <w:ind w:leftChars="0" w:left="0" w:right="0"/>
            </w:pPr>
            <w:r>
              <w:t>426</w:t>
            </w:r>
          </w:p>
        </w:tc>
      </w:tr>
      <w:tr>
        <w:trPr>
          <w:cnfStyle w:evenHBand="true" w:oddHBand="false" w:firstRow="false"/>
        </w:trPr>
        <w:tc>
          <w:tcPr>
            <w:cnfStyle w:evenVBand="false" w:oddVBand="true" w:firstColumn="false"/>
            <w:tcW w:w="25.000000%" w:type="pct"/>
          </w:tcPr>
          <w:p>
            <w:pPr>
              <w:ind w:leftChars="0" w:left="0" w:right="0"/>
            </w:pPr>
            <w:r>
              <w:t>CLJP</w:t>
            </w:r>
          </w:p>
        </w:tc>
        <w:tc>
          <w:tcPr>
            <w:cnfStyle w:evenVBand="true" w:oddVBand="false" w:firstColumn="false"/>
            <w:tcW w:w="25.000000%" w:type="pct"/>
          </w:tcPr>
          <w:p>
            <w:pPr>
              <w:ind w:leftChars="0" w:left="0" w:right="0"/>
            </w:pPr>
            <w:r>
              <w:t>CLJP</w:t>
            </w:r>
          </w:p>
        </w:tc>
        <w:tc>
          <w:tcPr>
            <w:cnfStyle w:evenVBand="false" w:oddVBand="true" w:firstColumn="false"/>
            <w:tcW w:w="25.000000%" w:type="pct"/>
          </w:tcPr>
          <w:p>
            <w:pPr>
              <w:ind w:leftChars="0" w:left="0" w:right="0"/>
            </w:pPr>
            <w:r>
              <w:t>CLSA JAPAN - DARK</w:t>
            </w:r>
          </w:p>
        </w:tc>
        <w:tc>
          <w:tcPr>
            <w:cnfStyle w:evenVBand="true" w:oddVBand="false" w:firstColumn="false"/>
            <w:tcW w:w="25.000000%" w:type="pct"/>
          </w:tcPr>
          <w:p>
            <w:pPr>
              <w:ind w:leftChars="0" w:left="0" w:right="0"/>
            </w:pPr>
            <w:r>
              <w:t>427</w:t>
            </w:r>
          </w:p>
        </w:tc>
      </w:tr>
      <w:tr>
        <w:trPr>
          <w:cnfStyle w:evenHBand="false" w:oddHBand="true" w:firstRow="false"/>
        </w:trPr>
        <w:tc>
          <w:tcPr>
            <w:cnfStyle w:evenVBand="false" w:oddVBand="true" w:firstColumn="false"/>
            <w:tcW w:w="25.000000%" w:type="pct"/>
          </w:tcPr>
          <w:p>
            <w:pPr>
              <w:ind w:leftChars="0" w:left="0" w:right="0"/>
            </w:pPr>
            <w:r>
              <w:t>CLMX</w:t>
            </w:r>
          </w:p>
        </w:tc>
        <w:tc>
          <w:tcPr>
            <w:cnfStyle w:evenVBand="true" w:oddVBand="false" w:firstColumn="false"/>
            <w:tcW w:w="25.000000%" w:type="pct"/>
          </w:tcPr>
          <w:p>
            <w:pPr>
              <w:ind w:leftChars="0" w:left="0" w:right="0"/>
            </w:pPr>
            <w:r>
              <w:t>CLMX</w:t>
            </w:r>
          </w:p>
        </w:tc>
        <w:tc>
          <w:tcPr>
            <w:cnfStyle w:evenVBand="false" w:oddVBand="true" w:firstColumn="false"/>
            <w:tcW w:w="25.000000%" w:type="pct"/>
          </w:tcPr>
          <w:p>
            <w:pPr>
              <w:ind w:leftChars="0" w:left="0" w:right="0"/>
            </w:pPr>
            <w:r>
              <w:t>CLIMEX</w:t>
            </w:r>
          </w:p>
        </w:tc>
        <w:tc>
          <w:tcPr>
            <w:cnfStyle w:evenVBand="true" w:oddVBand="false" w:firstColumn="false"/>
            <w:tcW w:w="25.000000%" w:type="pct"/>
          </w:tcPr>
          <w:p>
            <w:pPr>
              <w:ind w:leftChars="0" w:left="0" w:right="0"/>
            </w:pPr>
            <w:r>
              <w:t>428</w:t>
            </w:r>
          </w:p>
        </w:tc>
      </w:tr>
      <w:tr>
        <w:trPr>
          <w:cnfStyle w:evenHBand="true" w:oddHBand="false" w:firstRow="false"/>
        </w:trPr>
        <w:tc>
          <w:tcPr>
            <w:cnfStyle w:evenVBand="false" w:oddVBand="true" w:firstColumn="false"/>
            <w:tcW w:w="25.000000%" w:type="pct"/>
          </w:tcPr>
          <w:p>
            <w:pPr>
              <w:ind w:leftChars="0" w:left="0" w:right="0"/>
            </w:pPr>
            <w:r>
              <w:t>CLPH</w:t>
            </w:r>
          </w:p>
        </w:tc>
        <w:tc>
          <w:tcPr>
            <w:cnfStyle w:evenVBand="true" w:oddVBand="false" w:firstColumn="false"/>
            <w:tcW w:w="25.000000%" w:type="pct"/>
          </w:tcPr>
          <w:p>
            <w:pPr>
              <w:ind w:leftChars="0" w:left="0" w:right="0"/>
            </w:pPr>
            <w:r>
              <w:t>CLPH</w:t>
            </w:r>
          </w:p>
        </w:tc>
        <w:tc>
          <w:tcPr>
            <w:cnfStyle w:evenVBand="false" w:oddVBand="true" w:firstColumn="false"/>
            <w:tcW w:w="25.000000%" w:type="pct"/>
          </w:tcPr>
          <w:p>
            <w:pPr>
              <w:ind w:leftChars="0" w:left="0" w:right="0"/>
            </w:pPr>
            <w:r>
              <w:t>CLSA PHILIPPINES - DARK</w:t>
            </w:r>
          </w:p>
        </w:tc>
        <w:tc>
          <w:tcPr>
            <w:cnfStyle w:evenVBand="true" w:oddVBand="false" w:firstColumn="false"/>
            <w:tcW w:w="25.000000%" w:type="pct"/>
          </w:tcPr>
          <w:p>
            <w:pPr>
              <w:ind w:leftChars="0" w:left="0" w:right="0"/>
            </w:pPr>
            <w:r>
              <w:t>429</w:t>
            </w:r>
          </w:p>
        </w:tc>
      </w:tr>
      <w:tr>
        <w:trPr>
          <w:cnfStyle w:evenHBand="false" w:oddHBand="true" w:firstRow="false"/>
        </w:trPr>
        <w:tc>
          <w:tcPr>
            <w:cnfStyle w:evenVBand="false" w:oddVBand="true" w:firstColumn="false"/>
            <w:tcW w:w="25.000000%" w:type="pct"/>
          </w:tcPr>
          <w:p>
            <w:pPr>
              <w:ind w:leftChars="0" w:left="0" w:right="0"/>
            </w:pPr>
            <w:r>
              <w:t>CLST</w:t>
            </w:r>
          </w:p>
        </w:tc>
        <w:tc>
          <w:tcPr>
            <w:cnfStyle w:evenVBand="true" w:oddVBand="false" w:firstColumn="false"/>
            <w:tcW w:w="25.000000%" w:type="pct"/>
          </w:tcPr>
          <w:p>
            <w:pPr>
              <w:ind w:leftChars="0" w:left="0" w:right="0"/>
            </w:pPr>
            <w:r>
              <w:t>CLST</w:t>
            </w:r>
          </w:p>
        </w:tc>
        <w:tc>
          <w:tcPr>
            <w:cnfStyle w:evenVBand="false" w:oddVBand="true" w:firstColumn="false"/>
            <w:tcW w:w="25.000000%" w:type="pct"/>
          </w:tcPr>
          <w:p>
            <w:pPr>
              <w:ind w:leftChars="0" w:left="0" w:right="0"/>
            </w:pPr>
            <w:r>
              <w:t>CLEAR STREET</w:t>
            </w:r>
          </w:p>
        </w:tc>
        <w:tc>
          <w:tcPr>
            <w:cnfStyle w:evenVBand="true" w:oddVBand="false" w:firstColumn="false"/>
            <w:tcW w:w="25.000000%" w:type="pct"/>
          </w:tcPr>
          <w:p>
            <w:pPr>
              <w:ind w:leftChars="0" w:left="0" w:right="0"/>
            </w:pPr>
            <w:r>
              <w:t>430</w:t>
            </w:r>
          </w:p>
        </w:tc>
      </w:tr>
      <w:tr>
        <w:trPr>
          <w:cnfStyle w:evenHBand="true" w:oddHBand="false" w:firstRow="false"/>
        </w:trPr>
        <w:tc>
          <w:tcPr>
            <w:cnfStyle w:evenVBand="false" w:oddVBand="true" w:firstColumn="false"/>
            <w:tcW w:w="25.000000%" w:type="pct"/>
          </w:tcPr>
          <w:p>
            <w:pPr>
              <w:ind w:leftChars="0" w:left="0" w:right="0"/>
            </w:pPr>
            <w:r>
              <w:t>CLTD</w:t>
            </w:r>
          </w:p>
        </w:tc>
        <w:tc>
          <w:tcPr>
            <w:cnfStyle w:evenVBand="true" w:oddVBand="false" w:firstColumn="false"/>
            <w:tcW w:w="25.000000%" w:type="pct"/>
          </w:tcPr>
          <w:p>
            <w:pPr>
              <w:ind w:leftChars="0" w:left="0" w:right="0"/>
            </w:pPr>
            <w:r>
              <w:t>CLTD</w:t>
            </w:r>
          </w:p>
        </w:tc>
        <w:tc>
          <w:tcPr>
            <w:cnfStyle w:evenVBand="false" w:oddVBand="true" w:firstColumn="false"/>
            <w:tcW w:w="25.000000%" w:type="pct"/>
          </w:tcPr>
          <w:p>
            <w:pPr>
              <w:ind w:leftChars="0" w:left="0" w:right="0"/>
            </w:pPr>
            <w:r>
              <w:t>CLEARTRADE EXCHANGE</w:t>
            </w:r>
          </w:p>
        </w:tc>
        <w:tc>
          <w:tcPr>
            <w:cnfStyle w:evenVBand="true" w:oddVBand="false" w:firstColumn="false"/>
            <w:tcW w:w="25.000000%" w:type="pct"/>
          </w:tcPr>
          <w:p>
            <w:pPr>
              <w:ind w:leftChars="0" w:left="0" w:right="0"/>
            </w:pPr>
            <w:r>
              <w:t>431</w:t>
            </w:r>
          </w:p>
        </w:tc>
      </w:tr>
      <w:tr>
        <w:trPr>
          <w:cnfStyle w:evenHBand="false" w:oddHBand="true" w:firstRow="false"/>
        </w:trPr>
        <w:tc>
          <w:tcPr>
            <w:cnfStyle w:evenVBand="false" w:oddVBand="true" w:firstColumn="false"/>
            <w:tcW w:w="25.000000%" w:type="pct"/>
          </w:tcPr>
          <w:p>
            <w:pPr>
              <w:ind w:leftChars="0" w:left="0" w:right="0"/>
            </w:pPr>
            <w:r>
              <w:t>CLVE</w:t>
            </w:r>
          </w:p>
        </w:tc>
        <w:tc>
          <w:tcPr>
            <w:cnfStyle w:evenVBand="true" w:oddVBand="false" w:firstColumn="false"/>
            <w:tcW w:w="25.000000%" w:type="pct"/>
          </w:tcPr>
          <w:p>
            <w:pPr>
              <w:ind w:leftChars="0" w:left="0" w:right="0"/>
            </w:pPr>
            <w:r>
              <w:t>CLVE</w:t>
            </w:r>
          </w:p>
        </w:tc>
        <w:tc>
          <w:tcPr>
            <w:cnfStyle w:evenVBand="false" w:oddVBand="true" w:firstColumn="false"/>
            <w:tcW w:w="25.000000%" w:type="pct"/>
          </w:tcPr>
          <w:p>
            <w:pPr>
              <w:ind w:leftChars="0" w:left="0" w:right="0"/>
            </w:pPr>
            <w:r>
              <w:t>VERTO MTF</w:t>
            </w:r>
          </w:p>
        </w:tc>
        <w:tc>
          <w:tcPr>
            <w:cnfStyle w:evenVBand="true" w:oddVBand="false" w:firstColumn="false"/>
            <w:tcW w:w="25.000000%" w:type="pct"/>
          </w:tcPr>
          <w:p>
            <w:pPr>
              <w:ind w:leftChars="0" w:left="0" w:right="0"/>
            </w:pPr>
            <w:r>
              <w:t>432</w:t>
            </w:r>
          </w:p>
        </w:tc>
      </w:tr>
      <w:tr>
        <w:trPr>
          <w:cnfStyle w:evenHBand="true" w:oddHBand="false" w:firstRow="false"/>
        </w:trPr>
        <w:tc>
          <w:tcPr>
            <w:cnfStyle w:evenVBand="false" w:oddVBand="true" w:firstColumn="false"/>
            <w:tcW w:w="25.000000%" w:type="pct"/>
          </w:tcPr>
          <w:p>
            <w:pPr>
              <w:ind w:leftChars="0" w:left="0" w:right="0"/>
            </w:pPr>
            <w:r>
              <w:t>CMAP</w:t>
            </w:r>
          </w:p>
        </w:tc>
        <w:tc>
          <w:tcPr>
            <w:cnfStyle w:evenVBand="true" w:oddVBand="false" w:firstColumn="false"/>
            <w:tcW w:w="25.000000%" w:type="pct"/>
          </w:tcPr>
          <w:p>
            <w:pPr>
              <w:ind w:leftChars="0" w:left="0" w:right="0"/>
            </w:pPr>
            <w:r>
              <w:t>CMAP</w:t>
            </w:r>
          </w:p>
        </w:tc>
        <w:tc>
          <w:tcPr>
            <w:cnfStyle w:evenVBand="false" w:oddVBand="true" w:firstColumn="false"/>
            <w:tcW w:w="25.000000%" w:type="pct"/>
          </w:tcPr>
          <w:p>
            <w:pPr>
              <w:ind w:leftChars="0" w:left="0" w:right="0"/>
            </w:pPr>
            <w:r>
              <w:t>CAPI - APPROVED PUBLICATION ARRANGEMENT</w:t>
            </w:r>
          </w:p>
        </w:tc>
        <w:tc>
          <w:tcPr>
            <w:cnfStyle w:evenVBand="true" w:oddVBand="false" w:firstColumn="false"/>
            <w:tcW w:w="25.000000%" w:type="pct"/>
          </w:tcPr>
          <w:p>
            <w:pPr>
              <w:ind w:leftChars="0" w:left="0" w:right="0"/>
            </w:pPr>
            <w:r>
              <w:t>433</w:t>
            </w:r>
          </w:p>
        </w:tc>
      </w:tr>
      <w:tr>
        <w:trPr>
          <w:cnfStyle w:evenHBand="false" w:oddHBand="true" w:firstRow="false"/>
        </w:trPr>
        <w:tc>
          <w:tcPr>
            <w:cnfStyle w:evenVBand="false" w:oddVBand="true" w:firstColumn="false"/>
            <w:tcW w:w="25.000000%" w:type="pct"/>
          </w:tcPr>
          <w:p>
            <w:pPr>
              <w:ind w:leftChars="0" w:left="0" w:right="0"/>
            </w:pPr>
            <w:r>
              <w:t>CMCI</w:t>
            </w:r>
          </w:p>
        </w:tc>
        <w:tc>
          <w:tcPr>
            <w:cnfStyle w:evenVBand="true" w:oddVBand="false" w:firstColumn="false"/>
            <w:tcW w:w="25.000000%" w:type="pct"/>
          </w:tcPr>
          <w:p>
            <w:pPr>
              <w:ind w:leftChars="0" w:left="0" w:right="0"/>
            </w:pPr>
            <w:r>
              <w:t>CMCI</w:t>
            </w:r>
          </w:p>
        </w:tc>
        <w:tc>
          <w:tcPr>
            <w:cnfStyle w:evenVBand="false" w:oddVBand="true" w:firstColumn="false"/>
            <w:tcW w:w="25.000000%" w:type="pct"/>
          </w:tcPr>
          <w:p>
            <w:pPr>
              <w:ind w:leftChars="0" w:left="0" w:right="0"/>
            </w:pPr>
            <w:r>
              <w:t>CREDIT INDUSTRIEL ET COMMERCIAL - SYSTEMATIC INTERNALISER</w:t>
            </w:r>
          </w:p>
        </w:tc>
        <w:tc>
          <w:tcPr>
            <w:cnfStyle w:evenVBand="true" w:oddVBand="false" w:firstColumn="false"/>
            <w:tcW w:w="25.000000%" w:type="pct"/>
          </w:tcPr>
          <w:p>
            <w:pPr>
              <w:ind w:leftChars="0" w:left="0" w:right="0"/>
            </w:pPr>
            <w:r>
              <w:t>434</w:t>
            </w:r>
          </w:p>
        </w:tc>
      </w:tr>
      <w:tr>
        <w:trPr>
          <w:cnfStyle w:evenHBand="true" w:oddHBand="false" w:firstRow="false"/>
        </w:trPr>
        <w:tc>
          <w:tcPr>
            <w:cnfStyle w:evenVBand="false" w:oddVBand="true" w:firstColumn="false"/>
            <w:tcW w:w="25.000000%" w:type="pct"/>
          </w:tcPr>
          <w:p>
            <w:pPr>
              <w:ind w:leftChars="0" w:left="0" w:right="0"/>
            </w:pPr>
            <w:r>
              <w:t>CMCM</w:t>
            </w:r>
          </w:p>
        </w:tc>
        <w:tc>
          <w:tcPr>
            <w:cnfStyle w:evenVBand="true" w:oddVBand="false" w:firstColumn="false"/>
            <w:tcW w:w="25.000000%" w:type="pct"/>
          </w:tcPr>
          <w:p>
            <w:pPr>
              <w:ind w:leftChars="0" w:left="0" w:right="0"/>
            </w:pPr>
            <w:r>
              <w:t>CMCM</w:t>
            </w:r>
          </w:p>
        </w:tc>
        <w:tc>
          <w:tcPr>
            <w:cnfStyle w:evenVBand="false" w:oddVBand="true" w:firstColumn="false"/>
            <w:tcW w:w="25.000000%" w:type="pct"/>
          </w:tcPr>
          <w:p>
            <w:pPr>
              <w:ind w:leftChars="0" w:left="0" w:right="0"/>
            </w:pPr>
            <w:r>
              <w:t>CMC MARKETS UK PLC - SYSTEMATIC INTERNALISER</w:t>
            </w:r>
          </w:p>
        </w:tc>
        <w:tc>
          <w:tcPr>
            <w:cnfStyle w:evenVBand="true" w:oddVBand="false" w:firstColumn="false"/>
            <w:tcW w:w="25.000000%" w:type="pct"/>
          </w:tcPr>
          <w:p>
            <w:pPr>
              <w:ind w:leftChars="0" w:left="0" w:right="0"/>
            </w:pPr>
            <w:r>
              <w:t>435</w:t>
            </w:r>
          </w:p>
        </w:tc>
      </w:tr>
      <w:tr>
        <w:trPr>
          <w:cnfStyle w:evenHBand="false" w:oddHBand="true" w:firstRow="false"/>
        </w:trPr>
        <w:tc>
          <w:tcPr>
            <w:cnfStyle w:evenVBand="false" w:oddVBand="true" w:firstColumn="false"/>
            <w:tcW w:w="25.000000%" w:type="pct"/>
          </w:tcPr>
          <w:p>
            <w:pPr>
              <w:ind w:leftChars="0" w:left="0" w:right="0"/>
            </w:pPr>
            <w:r>
              <w:t>CMEC</w:t>
            </w:r>
          </w:p>
        </w:tc>
        <w:tc>
          <w:tcPr>
            <w:cnfStyle w:evenVBand="true" w:oddVBand="false" w:firstColumn="false"/>
            <w:tcW w:w="25.000000%" w:type="pct"/>
          </w:tcPr>
          <w:p>
            <w:pPr>
              <w:ind w:leftChars="0" w:left="0" w:right="0"/>
            </w:pPr>
            <w:r>
              <w:t>CMEC</w:t>
            </w:r>
          </w:p>
        </w:tc>
        <w:tc>
          <w:tcPr>
            <w:cnfStyle w:evenVBand="false" w:oddVBand="true" w:firstColumn="false"/>
            <w:tcW w:w="25.000000%" w:type="pct"/>
          </w:tcPr>
          <w:p>
            <w:pPr>
              <w:ind w:leftChars="0" w:left="0" w:right="0"/>
            </w:pPr>
            <w:r>
              <w:t>CME CLEARING EUROPE</w:t>
            </w:r>
          </w:p>
        </w:tc>
        <w:tc>
          <w:tcPr>
            <w:cnfStyle w:evenVBand="true" w:oddVBand="false" w:firstColumn="false"/>
            <w:tcW w:w="25.000000%" w:type="pct"/>
          </w:tcPr>
          <w:p>
            <w:pPr>
              <w:ind w:leftChars="0" w:left="0" w:right="0"/>
            </w:pPr>
            <w:r>
              <w:t>436</w:t>
            </w:r>
          </w:p>
        </w:tc>
      </w:tr>
      <w:tr>
        <w:trPr>
          <w:cnfStyle w:evenHBand="true" w:oddHBand="false" w:firstRow="false"/>
        </w:trPr>
        <w:tc>
          <w:tcPr>
            <w:cnfStyle w:evenVBand="false" w:oddVBand="true" w:firstColumn="false"/>
            <w:tcW w:w="25.000000%" w:type="pct"/>
          </w:tcPr>
          <w:p>
            <w:pPr>
              <w:ind w:leftChars="0" w:left="0" w:right="0"/>
            </w:pPr>
            <w:r>
              <w:t>CMED</w:t>
            </w:r>
          </w:p>
        </w:tc>
        <w:tc>
          <w:tcPr>
            <w:cnfStyle w:evenVBand="true" w:oddVBand="false" w:firstColumn="false"/>
            <w:tcW w:w="25.000000%" w:type="pct"/>
          </w:tcPr>
          <w:p>
            <w:pPr>
              <w:ind w:leftChars="0" w:left="0" w:right="0"/>
            </w:pPr>
            <w:r>
              <w:t>CMED</w:t>
            </w:r>
          </w:p>
        </w:tc>
        <w:tc>
          <w:tcPr>
            <w:cnfStyle w:evenVBand="false" w:oddVBand="true" w:firstColumn="false"/>
            <w:tcW w:w="25.000000%" w:type="pct"/>
          </w:tcPr>
          <w:p>
            <w:pPr>
              <w:ind w:leftChars="0" w:left="0" w:right="0"/>
            </w:pPr>
            <w:r>
              <w:t>CME EUROPE - DERIVATIVES</w:t>
            </w:r>
          </w:p>
        </w:tc>
        <w:tc>
          <w:tcPr>
            <w:cnfStyle w:evenVBand="true" w:oddVBand="false" w:firstColumn="false"/>
            <w:tcW w:w="25.000000%" w:type="pct"/>
          </w:tcPr>
          <w:p>
            <w:pPr>
              <w:ind w:leftChars="0" w:left="0" w:right="0"/>
            </w:pPr>
            <w:r>
              <w:t>437</w:t>
            </w:r>
          </w:p>
        </w:tc>
      </w:tr>
      <w:tr>
        <w:trPr>
          <w:cnfStyle w:evenHBand="false" w:oddHBand="true" w:firstRow="false"/>
        </w:trPr>
        <w:tc>
          <w:tcPr>
            <w:cnfStyle w:evenVBand="false" w:oddVBand="true" w:firstColumn="false"/>
            <w:tcW w:w="25.000000%" w:type="pct"/>
          </w:tcPr>
          <w:p>
            <w:pPr>
              <w:ind w:leftChars="0" w:left="0" w:right="0"/>
            </w:pPr>
            <w:r>
              <w:t>CMEE</w:t>
            </w:r>
          </w:p>
        </w:tc>
        <w:tc>
          <w:tcPr>
            <w:cnfStyle w:evenVBand="true" w:oddVBand="false" w:firstColumn="false"/>
            <w:tcW w:w="25.000000%" w:type="pct"/>
          </w:tcPr>
          <w:p>
            <w:pPr>
              <w:ind w:leftChars="0" w:left="0" w:right="0"/>
            </w:pPr>
            <w:r>
              <w:t>CMEE</w:t>
            </w:r>
          </w:p>
        </w:tc>
        <w:tc>
          <w:tcPr>
            <w:cnfStyle w:evenVBand="false" w:oddVBand="true" w:firstColumn="false"/>
            <w:tcW w:w="25.000000%" w:type="pct"/>
          </w:tcPr>
          <w:p>
            <w:pPr>
              <w:ind w:leftChars="0" w:left="0" w:right="0"/>
            </w:pPr>
            <w:r>
              <w:t>CME  EUROPE</w:t>
            </w:r>
          </w:p>
        </w:tc>
        <w:tc>
          <w:tcPr>
            <w:cnfStyle w:evenVBand="true" w:oddVBand="false" w:firstColumn="false"/>
            <w:tcW w:w="25.000000%" w:type="pct"/>
          </w:tcPr>
          <w:p>
            <w:pPr>
              <w:ind w:leftChars="0" w:left="0" w:right="0"/>
            </w:pPr>
            <w:r>
              <w:t>438</w:t>
            </w:r>
          </w:p>
        </w:tc>
      </w:tr>
      <w:tr>
        <w:trPr>
          <w:cnfStyle w:evenHBand="true" w:oddHBand="false" w:firstRow="false"/>
        </w:trPr>
        <w:tc>
          <w:tcPr>
            <w:cnfStyle w:evenVBand="false" w:oddVBand="true" w:firstColumn="false"/>
            <w:tcW w:w="25.000000%" w:type="pct"/>
          </w:tcPr>
          <w:p>
            <w:pPr>
              <w:ind w:leftChars="0" w:left="0" w:right="0"/>
            </w:pPr>
            <w:r>
              <w:t>CMES</w:t>
            </w:r>
          </w:p>
        </w:tc>
        <w:tc>
          <w:tcPr>
            <w:cnfStyle w:evenVBand="true" w:oddVBand="false" w:firstColumn="false"/>
            <w:tcW w:w="25.000000%" w:type="pct"/>
          </w:tcPr>
          <w:p>
            <w:pPr>
              <w:ind w:leftChars="0" w:left="0" w:right="0"/>
            </w:pPr>
            <w:r>
              <w:t>CMES</w:t>
            </w:r>
          </w:p>
        </w:tc>
        <w:tc>
          <w:tcPr>
            <w:cnfStyle w:evenVBand="false" w:oddVBand="true" w:firstColumn="false"/>
            <w:tcW w:w="25.000000%" w:type="pct"/>
          </w:tcPr>
          <w:p>
            <w:pPr>
              <w:ind w:leftChars="0" w:left="0" w:right="0"/>
            </w:pPr>
            <w:r>
              <w:t>CME SWAPS MARKETS (CME)</w:t>
            </w:r>
          </w:p>
        </w:tc>
        <w:tc>
          <w:tcPr>
            <w:cnfStyle w:evenVBand="true" w:oddVBand="false" w:firstColumn="false"/>
            <w:tcW w:w="25.000000%" w:type="pct"/>
          </w:tcPr>
          <w:p>
            <w:pPr>
              <w:ind w:leftChars="0" w:left="0" w:right="0"/>
            </w:pPr>
            <w:r>
              <w:t>439</w:t>
            </w:r>
          </w:p>
        </w:tc>
      </w:tr>
      <w:tr>
        <w:trPr>
          <w:cnfStyle w:evenHBand="false" w:oddHBand="true" w:firstRow="false"/>
        </w:trPr>
        <w:tc>
          <w:tcPr>
            <w:cnfStyle w:evenVBand="false" w:oddVBand="true" w:firstColumn="false"/>
            <w:tcW w:w="25.000000%" w:type="pct"/>
          </w:tcPr>
          <w:p>
            <w:pPr>
              <w:ind w:leftChars="0" w:left="0" w:right="0"/>
            </w:pPr>
            <w:r>
              <w:t>CMET</w:t>
            </w:r>
          </w:p>
        </w:tc>
        <w:tc>
          <w:tcPr>
            <w:cnfStyle w:evenVBand="true" w:oddVBand="false" w:firstColumn="false"/>
            <w:tcW w:w="25.000000%" w:type="pct"/>
          </w:tcPr>
          <w:p>
            <w:pPr>
              <w:ind w:leftChars="0" w:left="0" w:right="0"/>
            </w:pPr>
            <w:r>
              <w:t>CMET</w:t>
            </w:r>
          </w:p>
        </w:tc>
        <w:tc>
          <w:tcPr>
            <w:cnfStyle w:evenVBand="false" w:oddVBand="true" w:firstColumn="false"/>
            <w:tcW w:w="25.000000%" w:type="pct"/>
          </w:tcPr>
          <w:p>
            <w:pPr>
              <w:ind w:leftChars="0" w:left="0" w:right="0"/>
            </w:pPr>
            <w:r>
              <w:t>CLEAR MARKETS JAPAN, INC.</w:t>
            </w:r>
          </w:p>
        </w:tc>
        <w:tc>
          <w:tcPr>
            <w:cnfStyle w:evenVBand="true" w:oddVBand="false" w:firstColumn="false"/>
            <w:tcW w:w="25.000000%" w:type="pct"/>
          </w:tcPr>
          <w:p>
            <w:pPr>
              <w:ind w:leftChars="0" w:left="0" w:right="0"/>
            </w:pPr>
            <w:r>
              <w:t>440</w:t>
            </w:r>
          </w:p>
        </w:tc>
      </w:tr>
      <w:tr>
        <w:trPr>
          <w:cnfStyle w:evenHBand="true" w:oddHBand="false" w:firstRow="false"/>
        </w:trPr>
        <w:tc>
          <w:tcPr>
            <w:cnfStyle w:evenVBand="false" w:oddVBand="true" w:firstColumn="false"/>
            <w:tcW w:w="25.000000%" w:type="pct"/>
          </w:tcPr>
          <w:p>
            <w:pPr>
              <w:ind w:leftChars="0" w:left="0" w:right="0"/>
            </w:pPr>
            <w:r>
              <w:t>CMMT</w:t>
            </w:r>
          </w:p>
        </w:tc>
        <w:tc>
          <w:tcPr>
            <w:cnfStyle w:evenVBand="true" w:oddVBand="false" w:firstColumn="false"/>
            <w:tcW w:w="25.000000%" w:type="pct"/>
          </w:tcPr>
          <w:p>
            <w:pPr>
              <w:ind w:leftChars="0" w:left="0" w:right="0"/>
            </w:pPr>
            <w:r>
              <w:t>CMMT</w:t>
            </w:r>
          </w:p>
        </w:tc>
        <w:tc>
          <w:tcPr>
            <w:cnfStyle w:evenVBand="false" w:oddVBand="true" w:firstColumn="false"/>
            <w:tcW w:w="25.000000%" w:type="pct"/>
          </w:tcPr>
          <w:p>
            <w:pPr>
              <w:ind w:leftChars="0" w:left="0" w:right="0"/>
            </w:pPr>
            <w:r>
              <w:t>CLEAR MARKETS EUROPE LIMITED</w:t>
            </w:r>
          </w:p>
        </w:tc>
        <w:tc>
          <w:tcPr>
            <w:cnfStyle w:evenVBand="true" w:oddVBand="false" w:firstColumn="false"/>
            <w:tcW w:w="25.000000%" w:type="pct"/>
          </w:tcPr>
          <w:p>
            <w:pPr>
              <w:ind w:leftChars="0" w:left="0" w:right="0"/>
            </w:pPr>
            <w:r>
              <w:t>441</w:t>
            </w:r>
          </w:p>
        </w:tc>
      </w:tr>
      <w:tr>
        <w:trPr>
          <w:cnfStyle w:evenHBand="false" w:oddHBand="true" w:firstRow="false"/>
        </w:trPr>
        <w:tc>
          <w:tcPr>
            <w:cnfStyle w:evenVBand="false" w:oddVBand="true" w:firstColumn="false"/>
            <w:tcW w:w="25.000000%" w:type="pct"/>
          </w:tcPr>
          <w:p>
            <w:pPr>
              <w:ind w:leftChars="0" w:left="0" w:right="0"/>
            </w:pPr>
            <w:r>
              <w:t>CMSF</w:t>
            </w:r>
          </w:p>
        </w:tc>
        <w:tc>
          <w:tcPr>
            <w:cnfStyle w:evenVBand="true" w:oddVBand="false" w:firstColumn="false"/>
            <w:tcW w:w="25.000000%" w:type="pct"/>
          </w:tcPr>
          <w:p>
            <w:pPr>
              <w:ind w:leftChars="0" w:left="0" w:right="0"/>
            </w:pPr>
            <w:r>
              <w:t>CMSF</w:t>
            </w:r>
          </w:p>
        </w:tc>
        <w:tc>
          <w:tcPr>
            <w:cnfStyle w:evenVBand="false" w:oddVBand="true" w:firstColumn="false"/>
            <w:tcW w:w="25.000000%" w:type="pct"/>
          </w:tcPr>
          <w:p>
            <w:pPr>
              <w:ind w:leftChars="0" w:left="0" w:right="0"/>
            </w:pPr>
            <w:r>
              <w:t>CLEAR MARKETS NORTH AMERICA, INC.</w:t>
            </w:r>
          </w:p>
        </w:tc>
        <w:tc>
          <w:tcPr>
            <w:cnfStyle w:evenVBand="true" w:oddVBand="false" w:firstColumn="false"/>
            <w:tcW w:w="25.000000%" w:type="pct"/>
          </w:tcPr>
          <w:p>
            <w:pPr>
              <w:ind w:leftChars="0" w:left="0" w:right="0"/>
            </w:pPr>
            <w:r>
              <w:t>442</w:t>
            </w:r>
          </w:p>
        </w:tc>
      </w:tr>
      <w:tr>
        <w:trPr>
          <w:cnfStyle w:evenHBand="true" w:oddHBand="false" w:firstRow="false"/>
        </w:trPr>
        <w:tc>
          <w:tcPr>
            <w:cnfStyle w:evenVBand="false" w:oddVBand="true" w:firstColumn="false"/>
            <w:tcW w:w="25.000000%" w:type="pct"/>
          </w:tcPr>
          <w:p>
            <w:pPr>
              <w:ind w:leftChars="0" w:left="0" w:right="0"/>
            </w:pPr>
            <w:r>
              <w:t>CMTS</w:t>
            </w:r>
          </w:p>
        </w:tc>
        <w:tc>
          <w:tcPr>
            <w:cnfStyle w:evenVBand="true" w:oddVBand="false" w:firstColumn="false"/>
            <w:tcW w:w="25.000000%" w:type="pct"/>
          </w:tcPr>
          <w:p>
            <w:pPr>
              <w:ind w:leftChars="0" w:left="0" w:right="0"/>
            </w:pPr>
            <w:r>
              <w:t>CMTS</w:t>
            </w:r>
          </w:p>
        </w:tc>
        <w:tc>
          <w:tcPr>
            <w:cnfStyle w:evenVBand="false" w:oddVBand="true" w:firstColumn="false"/>
            <w:tcW w:w="25.000000%" w:type="pct"/>
          </w:tcPr>
          <w:p>
            <w:pPr>
              <w:ind w:leftChars="0" w:left="0" w:right="0"/>
            </w:pPr>
            <w:r>
              <w:t>EUROCREDIT MTS</w:t>
            </w:r>
          </w:p>
        </w:tc>
        <w:tc>
          <w:tcPr>
            <w:cnfStyle w:evenVBand="true" w:oddVBand="false" w:firstColumn="false"/>
            <w:tcW w:w="25.000000%" w:type="pct"/>
          </w:tcPr>
          <w:p>
            <w:pPr>
              <w:ind w:leftChars="0" w:left="0" w:right="0"/>
            </w:pPr>
            <w:r>
              <w:t>443</w:t>
            </w:r>
          </w:p>
        </w:tc>
      </w:tr>
      <w:tr>
        <w:trPr>
          <w:cnfStyle w:evenHBand="false" w:oddHBand="true" w:firstRow="false"/>
        </w:trPr>
        <w:tc>
          <w:tcPr>
            <w:cnfStyle w:evenVBand="false" w:oddVBand="true" w:firstColumn="false"/>
            <w:tcW w:w="25.000000%" w:type="pct"/>
          </w:tcPr>
          <w:p>
            <w:pPr>
              <w:ind w:leftChars="0" w:left="0" w:right="0"/>
            </w:pPr>
            <w:r>
              <w:t>CNOD</w:t>
            </w:r>
          </w:p>
        </w:tc>
        <w:tc>
          <w:tcPr>
            <w:cnfStyle w:evenVBand="true" w:oddVBand="false" w:firstColumn="false"/>
            <w:tcW w:w="25.000000%" w:type="pct"/>
          </w:tcPr>
          <w:p>
            <w:pPr>
              <w:ind w:leftChars="0" w:left="0" w:right="0"/>
            </w:pPr>
            <w:r>
              <w:t>CNOD</w:t>
            </w:r>
          </w:p>
        </w:tc>
        <w:tc>
          <w:tcPr>
            <w:cnfStyle w:evenVBand="false" w:oddVBand="true" w:firstColumn="false"/>
            <w:tcW w:w="25.000000%" w:type="pct"/>
          </w:tcPr>
          <w:p>
            <w:pPr>
              <w:ind w:leftChars="0" w:left="0" w:right="0"/>
            </w:pPr>
            <w:r>
              <w:t>CNODE</w:t>
            </w:r>
          </w:p>
        </w:tc>
        <w:tc>
          <w:tcPr>
            <w:cnfStyle w:evenVBand="true" w:oddVBand="false" w:firstColumn="false"/>
            <w:tcW w:w="25.000000%" w:type="pct"/>
          </w:tcPr>
          <w:p>
            <w:pPr>
              <w:ind w:leftChars="0" w:left="0" w:right="0"/>
            </w:pPr>
            <w:r>
              <w:t>444</w:t>
            </w:r>
          </w:p>
        </w:tc>
      </w:tr>
      <w:tr>
        <w:trPr>
          <w:cnfStyle w:evenHBand="true" w:oddHBand="false" w:firstRow="false"/>
        </w:trPr>
        <w:tc>
          <w:tcPr>
            <w:cnfStyle w:evenVBand="false" w:oddVBand="true" w:firstColumn="false"/>
            <w:tcW w:w="25.000000%" w:type="pct"/>
          </w:tcPr>
          <w:p>
            <w:pPr>
              <w:ind w:leftChars="0" w:left="0" w:right="0"/>
            </w:pPr>
            <w:r>
              <w:t>CNSI</w:t>
            </w:r>
          </w:p>
        </w:tc>
        <w:tc>
          <w:tcPr>
            <w:cnfStyle w:evenVBand="true" w:oddVBand="false" w:firstColumn="false"/>
            <w:tcW w:w="25.000000%" w:type="pct"/>
          </w:tcPr>
          <w:p>
            <w:pPr>
              <w:ind w:leftChars="0" w:left="0" w:right="0"/>
            </w:pPr>
            <w:r>
              <w:t>CNSI</w:t>
            </w:r>
          </w:p>
        </w:tc>
        <w:tc>
          <w:tcPr>
            <w:cnfStyle w:evenVBand="false" w:oddVBand="true" w:firstColumn="false"/>
            <w:tcW w:w="25.000000%" w:type="pct"/>
          </w:tcPr>
          <w:p>
            <w:pPr>
              <w:ind w:leftChars="0" w:left="0" w:right="0"/>
            </w:pPr>
            <w:r>
              <w:t>CARNEGIE AS - SYSTEMATIC INTERNALISER</w:t>
            </w:r>
          </w:p>
        </w:tc>
        <w:tc>
          <w:tcPr>
            <w:cnfStyle w:evenVBand="true" w:oddVBand="false" w:firstColumn="false"/>
            <w:tcW w:w="25.000000%" w:type="pct"/>
          </w:tcPr>
          <w:p>
            <w:pPr>
              <w:ind w:leftChars="0" w:left="0" w:right="0"/>
            </w:pPr>
            <w:r>
              <w:t>445</w:t>
            </w:r>
          </w:p>
        </w:tc>
      </w:tr>
      <w:tr>
        <w:trPr>
          <w:cnfStyle w:evenHBand="false" w:oddHBand="true" w:firstRow="false"/>
        </w:trPr>
        <w:tc>
          <w:tcPr>
            <w:cnfStyle w:evenVBand="false" w:oddVBand="true" w:firstColumn="false"/>
            <w:tcW w:w="25.000000%" w:type="pct"/>
          </w:tcPr>
          <w:p>
            <w:pPr>
              <w:ind w:leftChars="0" w:left="0" w:right="0"/>
            </w:pPr>
            <w:r>
              <w:t>COAL</w:t>
            </w:r>
          </w:p>
        </w:tc>
        <w:tc>
          <w:tcPr>
            <w:cnfStyle w:evenVBand="true" w:oddVBand="false" w:firstColumn="false"/>
            <w:tcW w:w="25.000000%" w:type="pct"/>
          </w:tcPr>
          <w:p>
            <w:pPr>
              <w:ind w:leftChars="0" w:left="0" w:right="0"/>
            </w:pPr>
            <w:r>
              <w:t>COAL</w:t>
            </w:r>
          </w:p>
        </w:tc>
        <w:tc>
          <w:tcPr>
            <w:cnfStyle w:evenVBand="false" w:oddVBand="true" w:firstColumn="false"/>
            <w:tcW w:w="25.000000%" w:type="pct"/>
          </w:tcPr>
          <w:p>
            <w:pPr>
              <w:ind w:leftChars="0" w:left="0" w:right="0"/>
            </w:pPr>
            <w:r>
              <w:t>LA COTE ALPHA</w:t>
            </w:r>
          </w:p>
        </w:tc>
        <w:tc>
          <w:tcPr>
            <w:cnfStyle w:evenVBand="true" w:oddVBand="false" w:firstColumn="false"/>
            <w:tcW w:w="25.000000%" w:type="pct"/>
          </w:tcPr>
          <w:p>
            <w:pPr>
              <w:ind w:leftChars="0" w:left="0" w:right="0"/>
            </w:pPr>
            <w:r>
              <w:t>446</w:t>
            </w:r>
          </w:p>
        </w:tc>
      </w:tr>
      <w:tr>
        <w:trPr>
          <w:cnfStyle w:evenHBand="true" w:oddHBand="false" w:firstRow="false"/>
        </w:trPr>
        <w:tc>
          <w:tcPr>
            <w:cnfStyle w:evenVBand="false" w:oddVBand="true" w:firstColumn="false"/>
            <w:tcW w:w="25.000000%" w:type="pct"/>
          </w:tcPr>
          <w:p>
            <w:pPr>
              <w:ind w:leftChars="0" w:left="0" w:right="0"/>
            </w:pPr>
            <w:r>
              <w:t>CODA</w:t>
            </w:r>
          </w:p>
        </w:tc>
        <w:tc>
          <w:tcPr>
            <w:cnfStyle w:evenVBand="true" w:oddVBand="false" w:firstColumn="false"/>
            <w:tcW w:w="25.000000%" w:type="pct"/>
          </w:tcPr>
          <w:p>
            <w:pPr>
              <w:ind w:leftChars="0" w:left="0" w:right="0"/>
            </w:pPr>
            <w:r>
              <w:t>CODA</w:t>
            </w:r>
          </w:p>
        </w:tc>
        <w:tc>
          <w:tcPr>
            <w:cnfStyle w:evenVBand="false" w:oddVBand="true" w:firstColumn="false"/>
            <w:tcW w:w="25.000000%" w:type="pct"/>
          </w:tcPr>
          <w:p>
            <w:pPr>
              <w:ind w:leftChars="0" w:left="0" w:right="0"/>
            </w:pPr>
            <w:r>
              <w:t>CODA MARKETS - MICRO AND BLOCK</w:t>
            </w:r>
          </w:p>
        </w:tc>
        <w:tc>
          <w:tcPr>
            <w:cnfStyle w:evenVBand="true" w:oddVBand="false" w:firstColumn="false"/>
            <w:tcW w:w="25.000000%" w:type="pct"/>
          </w:tcPr>
          <w:p>
            <w:pPr>
              <w:ind w:leftChars="0" w:left="0" w:right="0"/>
            </w:pPr>
            <w:r>
              <w:t>447</w:t>
            </w:r>
          </w:p>
        </w:tc>
      </w:tr>
      <w:tr>
        <w:trPr>
          <w:cnfStyle w:evenHBand="false" w:oddHBand="true" w:firstRow="false"/>
        </w:trPr>
        <w:tc>
          <w:tcPr>
            <w:cnfStyle w:evenVBand="false" w:oddVBand="true" w:firstColumn="false"/>
            <w:tcW w:w="25.000000%" w:type="pct"/>
          </w:tcPr>
          <w:p>
            <w:pPr>
              <w:ind w:leftChars="0" w:left="0" w:right="0"/>
            </w:pPr>
            <w:r>
              <w:t>COHR</w:t>
            </w:r>
          </w:p>
        </w:tc>
        <w:tc>
          <w:tcPr>
            <w:cnfStyle w:evenVBand="true" w:oddVBand="false" w:firstColumn="false"/>
            <w:tcW w:w="25.000000%" w:type="pct"/>
          </w:tcPr>
          <w:p>
            <w:pPr>
              <w:ind w:leftChars="0" w:left="0" w:right="0"/>
            </w:pPr>
            <w:r>
              <w:t>COHR</w:t>
            </w:r>
          </w:p>
        </w:tc>
        <w:tc>
          <w:tcPr>
            <w:cnfStyle w:evenVBand="false" w:oddVBand="true" w:firstColumn="false"/>
            <w:tcW w:w="25.000000%" w:type="pct"/>
          </w:tcPr>
          <w:p>
            <w:pPr>
              <w:ind w:leftChars="0" w:left="0" w:right="0"/>
            </w:pPr>
            <w:r>
              <w:t>COMHAR CAPITAL MARKETS, LLC</w:t>
            </w:r>
          </w:p>
        </w:tc>
        <w:tc>
          <w:tcPr>
            <w:cnfStyle w:evenVBand="true" w:oddVBand="false" w:firstColumn="false"/>
            <w:tcW w:w="25.000000%" w:type="pct"/>
          </w:tcPr>
          <w:p>
            <w:pPr>
              <w:ind w:leftChars="0" w:left="0" w:right="0"/>
            </w:pPr>
            <w:r>
              <w:t>448</w:t>
            </w:r>
          </w:p>
        </w:tc>
      </w:tr>
      <w:tr>
        <w:trPr>
          <w:cnfStyle w:evenHBand="true" w:oddHBand="false" w:firstRow="false"/>
        </w:trPr>
        <w:tc>
          <w:tcPr>
            <w:cnfStyle w:evenVBand="false" w:oddVBand="true" w:firstColumn="false"/>
            <w:tcW w:w="25.000000%" w:type="pct"/>
          </w:tcPr>
          <w:p>
            <w:pPr>
              <w:ind w:leftChars="0" w:left="0" w:right="0"/>
            </w:pPr>
            <w:r>
              <w:t>COMG</w:t>
            </w:r>
          </w:p>
        </w:tc>
        <w:tc>
          <w:tcPr>
            <w:cnfStyle w:evenVBand="true" w:oddVBand="false" w:firstColumn="false"/>
            <w:tcW w:w="25.000000%" w:type="pct"/>
          </w:tcPr>
          <w:p>
            <w:pPr>
              <w:ind w:leftChars="0" w:left="0" w:right="0"/>
            </w:pPr>
            <w:r>
              <w:t>COMG</w:t>
            </w:r>
          </w:p>
        </w:tc>
        <w:tc>
          <w:tcPr>
            <w:cnfStyle w:evenVBand="false" w:oddVBand="true" w:firstColumn="false"/>
            <w:tcW w:w="25.000000%" w:type="pct"/>
          </w:tcPr>
          <w:p>
            <w:pPr>
              <w:ind w:leftChars="0" w:left="0" w:right="0"/>
            </w:pPr>
            <w:r>
              <w:t>COMMERG LTD.</w:t>
            </w:r>
          </w:p>
        </w:tc>
        <w:tc>
          <w:tcPr>
            <w:cnfStyle w:evenVBand="true" w:oddVBand="false" w:firstColumn="false"/>
            <w:tcW w:w="25.000000%" w:type="pct"/>
          </w:tcPr>
          <w:p>
            <w:pPr>
              <w:ind w:leftChars="0" w:left="0" w:right="0"/>
            </w:pPr>
            <w:r>
              <w:t>449</w:t>
            </w:r>
          </w:p>
        </w:tc>
      </w:tr>
      <w:tr>
        <w:trPr>
          <w:cnfStyle w:evenHBand="false" w:oddHBand="true" w:firstRow="false"/>
        </w:trPr>
        <w:tc>
          <w:tcPr>
            <w:cnfStyle w:evenVBand="false" w:oddVBand="true" w:firstColumn="false"/>
            <w:tcW w:w="25.000000%" w:type="pct"/>
          </w:tcPr>
          <w:p>
            <w:pPr>
              <w:ind w:leftChars="0" w:left="0" w:right="0"/>
            </w:pPr>
            <w:r>
              <w:t>COMM</w:t>
            </w:r>
          </w:p>
        </w:tc>
        <w:tc>
          <w:tcPr>
            <w:cnfStyle w:evenVBand="true" w:oddVBand="false" w:firstColumn="false"/>
            <w:tcW w:w="25.000000%" w:type="pct"/>
          </w:tcPr>
          <w:p>
            <w:pPr>
              <w:ind w:leftChars="0" w:left="0" w:right="0"/>
            </w:pPr>
            <w:r>
              <w:t>COMM</w:t>
            </w:r>
          </w:p>
        </w:tc>
        <w:tc>
          <w:tcPr>
            <w:cnfStyle w:evenVBand="false" w:oddVBand="true" w:firstColumn="false"/>
            <w:tcW w:w="25.000000%" w:type="pct"/>
          </w:tcPr>
          <w:p>
            <w:pPr>
              <w:ind w:leftChars="0" w:left="0" w:right="0"/>
            </w:pPr>
            <w:r>
              <w:t>COMMERG</w:t>
            </w:r>
          </w:p>
        </w:tc>
        <w:tc>
          <w:tcPr>
            <w:cnfStyle w:evenVBand="true" w:oddVBand="false" w:firstColumn="false"/>
            <w:tcW w:w="25.000000%" w:type="pct"/>
          </w:tcPr>
          <w:p>
            <w:pPr>
              <w:ind w:leftChars="0" w:left="0" w:right="0"/>
            </w:pPr>
            <w:r>
              <w:t>450</w:t>
            </w:r>
          </w:p>
        </w:tc>
      </w:tr>
      <w:tr>
        <w:trPr>
          <w:cnfStyle w:evenHBand="true" w:oddHBand="false" w:firstRow="false"/>
        </w:trPr>
        <w:tc>
          <w:tcPr>
            <w:cnfStyle w:evenVBand="false" w:oddVBand="true" w:firstColumn="false"/>
            <w:tcW w:w="25.000000%" w:type="pct"/>
          </w:tcPr>
          <w:p>
            <w:pPr>
              <w:ind w:leftChars="0" w:left="0" w:right="0"/>
            </w:pPr>
            <w:r>
              <w:t>CONC</w:t>
            </w:r>
          </w:p>
        </w:tc>
        <w:tc>
          <w:tcPr>
            <w:cnfStyle w:evenVBand="true" w:oddVBand="false" w:firstColumn="false"/>
            <w:tcW w:w="25.000000%" w:type="pct"/>
          </w:tcPr>
          <w:p>
            <w:pPr>
              <w:ind w:leftChars="0" w:left="0" w:right="0"/>
            </w:pPr>
            <w:r>
              <w:t>CONC</w:t>
            </w:r>
          </w:p>
        </w:tc>
        <w:tc>
          <w:tcPr>
            <w:cnfStyle w:evenVBand="false" w:oddVBand="true" w:firstColumn="false"/>
            <w:tcW w:w="25.000000%" w:type="pct"/>
          </w:tcPr>
          <w:p>
            <w:pPr>
              <w:ind w:leftChars="0" w:left="0" w:right="0"/>
            </w:pPr>
            <w:r>
              <w:t>CONCORDE SECURITIES LTD. - SYSTEMATIC INTERNALISER</w:t>
            </w:r>
          </w:p>
        </w:tc>
        <w:tc>
          <w:tcPr>
            <w:cnfStyle w:evenVBand="true" w:oddVBand="false" w:firstColumn="false"/>
            <w:tcW w:w="25.000000%" w:type="pct"/>
          </w:tcPr>
          <w:p>
            <w:pPr>
              <w:ind w:leftChars="0" w:left="0" w:right="0"/>
            </w:pPr>
            <w:r>
              <w:t>451</w:t>
            </w:r>
          </w:p>
        </w:tc>
      </w:tr>
      <w:tr>
        <w:trPr>
          <w:cnfStyle w:evenHBand="false" w:oddHBand="true" w:firstRow="false"/>
        </w:trPr>
        <w:tc>
          <w:tcPr>
            <w:cnfStyle w:evenVBand="false" w:oddVBand="true" w:firstColumn="false"/>
            <w:tcW w:w="25.000000%" w:type="pct"/>
          </w:tcPr>
          <w:p>
            <w:pPr>
              <w:ind w:leftChars="0" w:left="0" w:right="0"/>
            </w:pPr>
            <w:r>
              <w:t>CONE</w:t>
            </w:r>
          </w:p>
        </w:tc>
        <w:tc>
          <w:tcPr>
            <w:cnfStyle w:evenVBand="true" w:oddVBand="false" w:firstColumn="false"/>
            <w:tcW w:w="25.000000%" w:type="pct"/>
          </w:tcPr>
          <w:p>
            <w:pPr>
              <w:ind w:leftChars="0" w:left="0" w:right="0"/>
            </w:pPr>
            <w:r>
              <w:t>CONE</w:t>
            </w:r>
          </w:p>
        </w:tc>
        <w:tc>
          <w:tcPr>
            <w:cnfStyle w:evenVBand="false" w:oddVBand="true" w:firstColumn="false"/>
            <w:tcW w:w="25.000000%" w:type="pct"/>
          </w:tcPr>
          <w:p>
            <w:pPr>
              <w:ind w:leftChars="0" w:left="0" w:right="0"/>
            </w:pPr>
            <w:r>
              <w:t>CBOE OPTIONS EXCHANGE</w:t>
            </w:r>
          </w:p>
        </w:tc>
        <w:tc>
          <w:tcPr>
            <w:cnfStyle w:evenVBand="true" w:oddVBand="false" w:firstColumn="false"/>
            <w:tcW w:w="25.000000%" w:type="pct"/>
          </w:tcPr>
          <w:p>
            <w:pPr>
              <w:ind w:leftChars="0" w:left="0" w:right="0"/>
            </w:pPr>
            <w:r>
              <w:t>452</w:t>
            </w:r>
          </w:p>
        </w:tc>
      </w:tr>
      <w:tr>
        <w:trPr>
          <w:cnfStyle w:evenHBand="true" w:oddHBand="false" w:firstRow="false"/>
        </w:trPr>
        <w:tc>
          <w:tcPr>
            <w:cnfStyle w:evenVBand="false" w:oddVBand="true" w:firstColumn="false"/>
            <w:tcW w:w="25.000000%" w:type="pct"/>
          </w:tcPr>
          <w:p>
            <w:pPr>
              <w:ind w:leftChars="0" w:left="0" w:right="0"/>
            </w:pPr>
            <w:r>
              <w:t>CORE</w:t>
            </w:r>
          </w:p>
        </w:tc>
        <w:tc>
          <w:tcPr>
            <w:cnfStyle w:evenVBand="true" w:oddVBand="false" w:firstColumn="false"/>
            <w:tcW w:w="25.000000%" w:type="pct"/>
          </w:tcPr>
          <w:p>
            <w:pPr>
              <w:ind w:leftChars="0" w:left="0" w:right="0"/>
            </w:pPr>
            <w:r>
              <w:t>CORE</w:t>
            </w:r>
          </w:p>
        </w:tc>
        <w:tc>
          <w:tcPr>
            <w:cnfStyle w:evenVBand="false" w:oddVBand="true" w:firstColumn="false"/>
            <w:tcW w:w="25.000000%" w:type="pct"/>
          </w:tcPr>
          <w:p>
            <w:pPr>
              <w:ind w:leftChars="0" w:left="0" w:right="0"/>
            </w:pPr>
            <w:r>
              <w:t>CITIGROUP AGENCY OPTION AND EQUITIES ROUTING ENGINE</w:t>
            </w:r>
          </w:p>
        </w:tc>
        <w:tc>
          <w:tcPr>
            <w:cnfStyle w:evenVBand="true" w:oddVBand="false" w:firstColumn="false"/>
            <w:tcW w:w="25.000000%" w:type="pct"/>
          </w:tcPr>
          <w:p>
            <w:pPr>
              <w:ind w:leftChars="0" w:left="0" w:right="0"/>
            </w:pPr>
            <w:r>
              <w:t>453</w:t>
            </w:r>
          </w:p>
        </w:tc>
      </w:tr>
      <w:tr>
        <w:trPr>
          <w:cnfStyle w:evenHBand="false" w:oddHBand="true" w:firstRow="false"/>
        </w:trPr>
        <w:tc>
          <w:tcPr>
            <w:cnfStyle w:evenVBand="false" w:oddVBand="true" w:firstColumn="false"/>
            <w:tcW w:w="25.000000%" w:type="pct"/>
          </w:tcPr>
          <w:p>
            <w:pPr>
              <w:ind w:leftChars="0" w:left="0" w:right="0"/>
            </w:pPr>
            <w:r>
              <w:t>COTC</w:t>
            </w:r>
          </w:p>
        </w:tc>
        <w:tc>
          <w:tcPr>
            <w:cnfStyle w:evenVBand="true" w:oddVBand="false" w:firstColumn="false"/>
            <w:tcW w:w="25.000000%" w:type="pct"/>
          </w:tcPr>
          <w:p>
            <w:pPr>
              <w:ind w:leftChars="0" w:left="0" w:right="0"/>
            </w:pPr>
            <w:r>
              <w:t>COTC</w:t>
            </w:r>
          </w:p>
        </w:tc>
        <w:tc>
          <w:tcPr>
            <w:cnfStyle w:evenVBand="false" w:oddVBand="true" w:firstColumn="false"/>
            <w:tcW w:w="25.000000%" w:type="pct"/>
          </w:tcPr>
          <w:p>
            <w:pPr>
              <w:ind w:leftChars="0" w:left="0" w:right="0"/>
            </w:pPr>
            <w:r>
              <w:t>BMO CAPITAL MARKETS - CAD OTC TRADES</w:t>
            </w:r>
          </w:p>
        </w:tc>
        <w:tc>
          <w:tcPr>
            <w:cnfStyle w:evenVBand="true" w:oddVBand="false" w:firstColumn="false"/>
            <w:tcW w:w="25.000000%" w:type="pct"/>
          </w:tcPr>
          <w:p>
            <w:pPr>
              <w:ind w:leftChars="0" w:left="0" w:right="0"/>
            </w:pPr>
            <w:r>
              <w:t>454</w:t>
            </w:r>
          </w:p>
        </w:tc>
      </w:tr>
      <w:tr>
        <w:trPr>
          <w:cnfStyle w:evenHBand="true" w:oddHBand="false" w:firstRow="false"/>
        </w:trPr>
        <w:tc>
          <w:tcPr>
            <w:cnfStyle w:evenVBand="false" w:oddVBand="true" w:firstColumn="false"/>
            <w:tcW w:w="25.000000%" w:type="pct"/>
          </w:tcPr>
          <w:p>
            <w:pPr>
              <w:ind w:leftChars="0" w:left="0" w:right="0"/>
            </w:pPr>
            <w:r>
              <w:t>CPGX</w:t>
            </w:r>
          </w:p>
        </w:tc>
        <w:tc>
          <w:tcPr>
            <w:cnfStyle w:evenVBand="true" w:oddVBand="false" w:firstColumn="false"/>
            <w:tcW w:w="25.000000%" w:type="pct"/>
          </w:tcPr>
          <w:p>
            <w:pPr>
              <w:ind w:leftChars="0" w:left="0" w:right="0"/>
            </w:pPr>
            <w:r>
              <w:t>CPGX</w:t>
            </w:r>
          </w:p>
        </w:tc>
        <w:tc>
          <w:tcPr>
            <w:cnfStyle w:evenVBand="false" w:oddVBand="true" w:firstColumn="false"/>
            <w:tcW w:w="25.000000%" w:type="pct"/>
          </w:tcPr>
          <w:p>
            <w:pPr>
              <w:ind w:leftChars="0" w:left="0" w:right="0"/>
            </w:pPr>
            <w:r>
              <w:t>CLEARPOOL EXECUTION SERVICES, LLC</w:t>
            </w:r>
          </w:p>
        </w:tc>
        <w:tc>
          <w:tcPr>
            <w:cnfStyle w:evenVBand="true" w:oddVBand="false" w:firstColumn="false"/>
            <w:tcW w:w="25.000000%" w:type="pct"/>
          </w:tcPr>
          <w:p>
            <w:pPr>
              <w:ind w:leftChars="0" w:left="0" w:right="0"/>
            </w:pPr>
            <w:r>
              <w:t>455</w:t>
            </w:r>
          </w:p>
        </w:tc>
      </w:tr>
      <w:tr>
        <w:trPr>
          <w:cnfStyle w:evenHBand="false" w:oddHBand="true" w:firstRow="false"/>
        </w:trPr>
        <w:tc>
          <w:tcPr>
            <w:cnfStyle w:evenVBand="false" w:oddVBand="true" w:firstColumn="false"/>
            <w:tcW w:w="25.000000%" w:type="pct"/>
          </w:tcPr>
          <w:p>
            <w:pPr>
              <w:ind w:leftChars="0" w:left="0" w:right="0"/>
            </w:pPr>
            <w:r>
              <w:t>CPTX</w:t>
            </w:r>
          </w:p>
        </w:tc>
        <w:tc>
          <w:tcPr>
            <w:cnfStyle w:evenVBand="true" w:oddVBand="false" w:firstColumn="false"/>
            <w:tcW w:w="25.000000%" w:type="pct"/>
          </w:tcPr>
          <w:p>
            <w:pPr>
              <w:ind w:leftChars="0" w:left="0" w:right="0"/>
            </w:pPr>
            <w:r>
              <w:t>CPTX</w:t>
            </w:r>
          </w:p>
        </w:tc>
        <w:tc>
          <w:tcPr>
            <w:cnfStyle w:evenVBand="false" w:oddVBand="true" w:firstColumn="false"/>
            <w:tcW w:w="25.000000%" w:type="pct"/>
          </w:tcPr>
          <w:p>
            <w:pPr>
              <w:ind w:leftChars="0" w:left="0" w:right="0"/>
            </w:pPr>
            <w:r>
              <w:t>CAPTIN</w:t>
            </w:r>
          </w:p>
        </w:tc>
        <w:tc>
          <w:tcPr>
            <w:cnfStyle w:evenVBand="true" w:oddVBand="false" w:firstColumn="false"/>
            <w:tcW w:w="25.000000%" w:type="pct"/>
          </w:tcPr>
          <w:p>
            <w:pPr>
              <w:ind w:leftChars="0" w:left="0" w:right="0"/>
            </w:pPr>
            <w:r>
              <w:t>456</w:t>
            </w:r>
          </w:p>
        </w:tc>
      </w:tr>
      <w:tr>
        <w:trPr>
          <w:cnfStyle w:evenHBand="true" w:oddHBand="false" w:firstRow="false"/>
        </w:trPr>
        <w:tc>
          <w:tcPr>
            <w:cnfStyle w:evenVBand="false" w:oddVBand="true" w:firstColumn="false"/>
            <w:tcW w:w="25.000000%" w:type="pct"/>
          </w:tcPr>
          <w:p>
            <w:pPr>
              <w:ind w:leftChars="0" w:left="0" w:right="0"/>
            </w:pPr>
            <w:r>
              <w:t>CRDL</w:t>
            </w:r>
          </w:p>
        </w:tc>
        <w:tc>
          <w:tcPr>
            <w:cnfStyle w:evenVBand="true" w:oddVBand="false" w:firstColumn="false"/>
            <w:tcW w:w="25.000000%" w:type="pct"/>
          </w:tcPr>
          <w:p>
            <w:pPr>
              <w:ind w:leftChars="0" w:left="0" w:right="0"/>
            </w:pPr>
            <w:r>
              <w:t>CRDL</w:t>
            </w:r>
          </w:p>
        </w:tc>
        <w:tc>
          <w:tcPr>
            <w:cnfStyle w:evenVBand="false" w:oddVBand="true" w:firstColumn="false"/>
            <w:tcW w:w="25.000000%" w:type="pct"/>
          </w:tcPr>
          <w:p>
            <w:pPr>
              <w:ind w:leftChars="0" w:left="0" w:right="0"/>
            </w:pPr>
            <w:r>
              <w:t>COREDEAL MTS</w:t>
            </w:r>
          </w:p>
        </w:tc>
        <w:tc>
          <w:tcPr>
            <w:cnfStyle w:evenVBand="true" w:oddVBand="false" w:firstColumn="false"/>
            <w:tcW w:w="25.000000%" w:type="pct"/>
          </w:tcPr>
          <w:p>
            <w:pPr>
              <w:ind w:leftChars="0" w:left="0" w:right="0"/>
            </w:pPr>
            <w:r>
              <w:t>457</w:t>
            </w:r>
          </w:p>
        </w:tc>
      </w:tr>
      <w:tr>
        <w:trPr>
          <w:cnfStyle w:evenHBand="false" w:oddHBand="true" w:firstRow="false"/>
        </w:trPr>
        <w:tc>
          <w:tcPr>
            <w:cnfStyle w:evenVBand="false" w:oddVBand="true" w:firstColumn="false"/>
            <w:tcW w:w="25.000000%" w:type="pct"/>
          </w:tcPr>
          <w:p>
            <w:pPr>
              <w:ind w:leftChars="0" w:left="0" w:right="0"/>
            </w:pPr>
            <w:r>
              <w:t>CRED</w:t>
            </w:r>
          </w:p>
        </w:tc>
        <w:tc>
          <w:tcPr>
            <w:cnfStyle w:evenVBand="true" w:oddVBand="false" w:firstColumn="false"/>
            <w:tcW w:w="25.000000%" w:type="pct"/>
          </w:tcPr>
          <w:p>
            <w:pPr>
              <w:ind w:leftChars="0" w:left="0" w:right="0"/>
            </w:pPr>
            <w:r>
              <w:t>CRED</w:t>
            </w:r>
          </w:p>
        </w:tc>
        <w:tc>
          <w:tcPr>
            <w:cnfStyle w:evenVBand="false" w:oddVBand="true" w:firstColumn="false"/>
            <w:tcW w:w="25.000000%" w:type="pct"/>
          </w:tcPr>
          <w:p>
            <w:pPr>
              <w:ind w:leftChars="0" w:left="0" w:right="0"/>
            </w:pPr>
            <w:r>
              <w:t>CREDIT SUISSE (US)</w:t>
            </w:r>
          </w:p>
        </w:tc>
        <w:tc>
          <w:tcPr>
            <w:cnfStyle w:evenVBand="true" w:oddVBand="false" w:firstColumn="false"/>
            <w:tcW w:w="25.000000%" w:type="pct"/>
          </w:tcPr>
          <w:p>
            <w:pPr>
              <w:ind w:leftChars="0" w:left="0" w:right="0"/>
            </w:pPr>
            <w:r>
              <w:t>458</w:t>
            </w:r>
          </w:p>
        </w:tc>
      </w:tr>
      <w:tr>
        <w:trPr>
          <w:cnfStyle w:evenHBand="true" w:oddHBand="false" w:firstRow="false"/>
        </w:trPr>
        <w:tc>
          <w:tcPr>
            <w:cnfStyle w:evenVBand="false" w:oddVBand="true" w:firstColumn="false"/>
            <w:tcW w:w="25.000000%" w:type="pct"/>
          </w:tcPr>
          <w:p>
            <w:pPr>
              <w:ind w:leftChars="0" w:left="0" w:right="0"/>
            </w:pPr>
            <w:r>
              <w:t>CREM</w:t>
            </w:r>
          </w:p>
        </w:tc>
        <w:tc>
          <w:tcPr>
            <w:cnfStyle w:evenVBand="true" w:oddVBand="false" w:firstColumn="false"/>
            <w:tcW w:w="25.000000%" w:type="pct"/>
          </w:tcPr>
          <w:p>
            <w:pPr>
              <w:ind w:leftChars="0" w:left="0" w:right="0"/>
            </w:pPr>
            <w:r>
              <w:t>CREM</w:t>
            </w:r>
          </w:p>
        </w:tc>
        <w:tc>
          <w:tcPr>
            <w:cnfStyle w:evenVBand="false" w:oddVBand="true" w:firstColumn="false"/>
            <w:tcW w:w="25.000000%" w:type="pct"/>
          </w:tcPr>
          <w:p>
            <w:pPr>
              <w:ind w:leftChars="0" w:left="0" w:right="0"/>
            </w:pPr>
            <w:r>
              <w:t>CREDEM BANCA - SYSTEMATIC INTERNALISER</w:t>
            </w:r>
          </w:p>
        </w:tc>
        <w:tc>
          <w:tcPr>
            <w:cnfStyle w:evenVBand="true" w:oddVBand="false" w:firstColumn="false"/>
            <w:tcW w:w="25.000000%" w:type="pct"/>
          </w:tcPr>
          <w:p>
            <w:pPr>
              <w:ind w:leftChars="0" w:left="0" w:right="0"/>
            </w:pPr>
            <w:r>
              <w:t>459</w:t>
            </w:r>
          </w:p>
        </w:tc>
      </w:tr>
      <w:tr>
        <w:trPr>
          <w:cnfStyle w:evenHBand="false" w:oddHBand="true" w:firstRow="false"/>
        </w:trPr>
        <w:tc>
          <w:tcPr>
            <w:cnfStyle w:evenVBand="false" w:oddVBand="true" w:firstColumn="false"/>
            <w:tcW w:w="25.000000%" w:type="pct"/>
          </w:tcPr>
          <w:p>
            <w:pPr>
              <w:ind w:leftChars="0" w:left="0" w:right="0"/>
            </w:pPr>
            <w:r>
              <w:t>CRYD</w:t>
            </w:r>
          </w:p>
        </w:tc>
        <w:tc>
          <w:tcPr>
            <w:cnfStyle w:evenVBand="true" w:oddVBand="false" w:firstColumn="false"/>
            <w:tcW w:w="25.000000%" w:type="pct"/>
          </w:tcPr>
          <w:p>
            <w:pPr>
              <w:ind w:leftChars="0" w:left="0" w:right="0"/>
            </w:pPr>
            <w:r>
              <w:t>CRYD</w:t>
            </w:r>
          </w:p>
        </w:tc>
        <w:tc>
          <w:tcPr>
            <w:cnfStyle w:evenVBand="false" w:oddVBand="true" w:firstColumn="false"/>
            <w:tcW w:w="25.000000%" w:type="pct"/>
          </w:tcPr>
          <w:p>
            <w:pPr>
              <w:ind w:leftChars="0" w:left="0" w:right="0"/>
            </w:pPr>
            <w:r>
              <w:t>CRYEX - FX AND DIGITAL CURRENCIES</w:t>
            </w:r>
          </w:p>
        </w:tc>
        <w:tc>
          <w:tcPr>
            <w:cnfStyle w:evenVBand="true" w:oddVBand="false" w:firstColumn="false"/>
            <w:tcW w:w="25.000000%" w:type="pct"/>
          </w:tcPr>
          <w:p>
            <w:pPr>
              <w:ind w:leftChars="0" w:left="0" w:right="0"/>
            </w:pPr>
            <w:r>
              <w:t>460</w:t>
            </w:r>
          </w:p>
        </w:tc>
      </w:tr>
      <w:tr>
        <w:trPr>
          <w:cnfStyle w:evenHBand="true" w:oddHBand="false" w:firstRow="false"/>
        </w:trPr>
        <w:tc>
          <w:tcPr>
            <w:cnfStyle w:evenVBand="false" w:oddVBand="true" w:firstColumn="false"/>
            <w:tcW w:w="25.000000%" w:type="pct"/>
          </w:tcPr>
          <w:p>
            <w:pPr>
              <w:ind w:leftChars="0" w:left="0" w:right="0"/>
            </w:pPr>
            <w:r>
              <w:t>CRYP</w:t>
            </w:r>
          </w:p>
        </w:tc>
        <w:tc>
          <w:tcPr>
            <w:cnfStyle w:evenVBand="true" w:oddVBand="false" w:firstColumn="false"/>
            <w:tcW w:w="25.000000%" w:type="pct"/>
          </w:tcPr>
          <w:p>
            <w:pPr>
              <w:ind w:leftChars="0" w:left="0" w:right="0"/>
            </w:pPr>
            <w:r>
              <w:t>CRYP</w:t>
            </w:r>
          </w:p>
        </w:tc>
        <w:tc>
          <w:tcPr>
            <w:cnfStyle w:evenVBand="false" w:oddVBand="true" w:firstColumn="false"/>
            <w:tcW w:w="25.000000%" w:type="pct"/>
          </w:tcPr>
          <w:p>
            <w:pPr>
              <w:ind w:leftChars="0" w:left="0" w:right="0"/>
            </w:pPr>
            <w:r>
              <w:t>CRYPTO FACILITIES</w:t>
            </w:r>
          </w:p>
        </w:tc>
        <w:tc>
          <w:tcPr>
            <w:cnfStyle w:evenVBand="true" w:oddVBand="false" w:firstColumn="false"/>
            <w:tcW w:w="25.000000%" w:type="pct"/>
          </w:tcPr>
          <w:p>
            <w:pPr>
              <w:ind w:leftChars="0" w:left="0" w:right="0"/>
            </w:pPr>
            <w:r>
              <w:t>461</w:t>
            </w:r>
          </w:p>
        </w:tc>
      </w:tr>
      <w:tr>
        <w:trPr>
          <w:cnfStyle w:evenHBand="false" w:oddHBand="true" w:firstRow="false"/>
        </w:trPr>
        <w:tc>
          <w:tcPr>
            <w:cnfStyle w:evenVBand="false" w:oddVBand="true" w:firstColumn="false"/>
            <w:tcW w:w="25.000000%" w:type="pct"/>
          </w:tcPr>
          <w:p>
            <w:pPr>
              <w:ind w:leftChars="0" w:left="0" w:right="0"/>
            </w:pPr>
            <w:r>
              <w:t>CRYX</w:t>
            </w:r>
          </w:p>
        </w:tc>
        <w:tc>
          <w:tcPr>
            <w:cnfStyle w:evenVBand="true" w:oddVBand="false" w:firstColumn="false"/>
            <w:tcW w:w="25.000000%" w:type="pct"/>
          </w:tcPr>
          <w:p>
            <w:pPr>
              <w:ind w:leftChars="0" w:left="0" w:right="0"/>
            </w:pPr>
            <w:r>
              <w:t>CRYX</w:t>
            </w:r>
          </w:p>
        </w:tc>
        <w:tc>
          <w:tcPr>
            <w:cnfStyle w:evenVBand="false" w:oddVBand="true" w:firstColumn="false"/>
            <w:tcW w:w="25.000000%" w:type="pct"/>
          </w:tcPr>
          <w:p>
            <w:pPr>
              <w:ind w:leftChars="0" w:left="0" w:right="0"/>
            </w:pPr>
            <w:r>
              <w:t>CRYEX</w:t>
            </w:r>
          </w:p>
        </w:tc>
        <w:tc>
          <w:tcPr>
            <w:cnfStyle w:evenVBand="true" w:oddVBand="false" w:firstColumn="false"/>
            <w:tcW w:w="25.000000%" w:type="pct"/>
          </w:tcPr>
          <w:p>
            <w:pPr>
              <w:ind w:leftChars="0" w:left="0" w:right="0"/>
            </w:pPr>
            <w:r>
              <w:t>462</w:t>
            </w:r>
          </w:p>
        </w:tc>
      </w:tr>
      <w:tr>
        <w:trPr>
          <w:cnfStyle w:evenHBand="true" w:oddHBand="false" w:firstRow="false"/>
        </w:trPr>
        <w:tc>
          <w:tcPr>
            <w:cnfStyle w:evenVBand="false" w:oddVBand="true" w:firstColumn="false"/>
            <w:tcW w:w="25.000000%" w:type="pct"/>
          </w:tcPr>
          <w:p>
            <w:pPr>
              <w:ind w:leftChars="0" w:left="0" w:right="0"/>
            </w:pPr>
            <w:r>
              <w:t>CSAG</w:t>
            </w:r>
          </w:p>
        </w:tc>
        <w:tc>
          <w:tcPr>
            <w:cnfStyle w:evenVBand="true" w:oddVBand="false" w:firstColumn="false"/>
            <w:tcW w:w="25.000000%" w:type="pct"/>
          </w:tcPr>
          <w:p>
            <w:pPr>
              <w:ind w:leftChars="0" w:left="0" w:right="0"/>
            </w:pPr>
            <w:r>
              <w:t>CSAG</w:t>
            </w:r>
          </w:p>
        </w:tc>
        <w:tc>
          <w:tcPr>
            <w:cnfStyle w:evenVBand="false" w:oddVBand="true" w:firstColumn="false"/>
            <w:tcW w:w="25.000000%" w:type="pct"/>
          </w:tcPr>
          <w:p>
            <w:pPr>
              <w:ind w:leftChars="0" w:left="0" w:right="0"/>
            </w:pPr>
            <w:r>
              <w:t>CREDIT SUISSE AG</w:t>
            </w:r>
          </w:p>
        </w:tc>
        <w:tc>
          <w:tcPr>
            <w:cnfStyle w:evenVBand="true" w:oddVBand="false" w:firstColumn="false"/>
            <w:tcW w:w="25.000000%" w:type="pct"/>
          </w:tcPr>
          <w:p>
            <w:pPr>
              <w:ind w:leftChars="0" w:left="0" w:right="0"/>
            </w:pPr>
            <w:r>
              <w:t>463</w:t>
            </w:r>
          </w:p>
        </w:tc>
      </w:tr>
      <w:tr>
        <w:trPr>
          <w:cnfStyle w:evenHBand="false" w:oddHBand="true" w:firstRow="false"/>
        </w:trPr>
        <w:tc>
          <w:tcPr>
            <w:cnfStyle w:evenVBand="false" w:oddVBand="true" w:firstColumn="false"/>
            <w:tcW w:w="25.000000%" w:type="pct"/>
          </w:tcPr>
          <w:p>
            <w:pPr>
              <w:ind w:leftChars="0" w:left="0" w:right="0"/>
            </w:pPr>
            <w:r>
              <w:t>CSAS</w:t>
            </w:r>
          </w:p>
        </w:tc>
        <w:tc>
          <w:tcPr>
            <w:cnfStyle w:evenVBand="true" w:oddVBand="false" w:firstColumn="false"/>
            <w:tcW w:w="25.000000%" w:type="pct"/>
          </w:tcPr>
          <w:p>
            <w:pPr>
              <w:ind w:leftChars="0" w:left="0" w:right="0"/>
            </w:pPr>
            <w:r>
              <w:t>CSAS</w:t>
            </w:r>
          </w:p>
        </w:tc>
        <w:tc>
          <w:tcPr>
            <w:cnfStyle w:evenVBand="false" w:oddVBand="true" w:firstColumn="false"/>
            <w:tcW w:w="25.000000%" w:type="pct"/>
          </w:tcPr>
          <w:p>
            <w:pPr>
              <w:ind w:leftChars="0" w:left="0" w:right="0"/>
            </w:pPr>
            <w:r>
              <w:t>CESKA SPORITELNA, A.S. - SYSTEMATIC INTERNALISER</w:t>
            </w:r>
          </w:p>
        </w:tc>
        <w:tc>
          <w:tcPr>
            <w:cnfStyle w:evenVBand="true" w:oddVBand="false" w:firstColumn="false"/>
            <w:tcW w:w="25.000000%" w:type="pct"/>
          </w:tcPr>
          <w:p>
            <w:pPr>
              <w:ind w:leftChars="0" w:left="0" w:right="0"/>
            </w:pPr>
            <w:r>
              <w:t>464</w:t>
            </w:r>
          </w:p>
        </w:tc>
      </w:tr>
      <w:tr>
        <w:trPr>
          <w:cnfStyle w:evenHBand="true" w:oddHBand="false" w:firstRow="false"/>
        </w:trPr>
        <w:tc>
          <w:tcPr>
            <w:cnfStyle w:evenVBand="false" w:oddVBand="true" w:firstColumn="false"/>
            <w:tcW w:w="25.000000%" w:type="pct"/>
          </w:tcPr>
          <w:p>
            <w:pPr>
              <w:ind w:leftChars="0" w:left="0" w:right="0"/>
            </w:pPr>
            <w:r>
              <w:t>CSAU</w:t>
            </w:r>
          </w:p>
        </w:tc>
        <w:tc>
          <w:tcPr>
            <w:cnfStyle w:evenVBand="true" w:oddVBand="false" w:firstColumn="false"/>
            <w:tcW w:w="25.000000%" w:type="pct"/>
          </w:tcPr>
          <w:p>
            <w:pPr>
              <w:ind w:leftChars="0" w:left="0" w:right="0"/>
            </w:pPr>
            <w:r>
              <w:t>CSAU</w:t>
            </w:r>
          </w:p>
        </w:tc>
        <w:tc>
          <w:tcPr>
            <w:cnfStyle w:evenVBand="false" w:oddVBand="true" w:firstColumn="false"/>
            <w:tcW w:w="25.000000%" w:type="pct"/>
          </w:tcPr>
          <w:p>
            <w:pPr>
              <w:ind w:leftChars="0" w:left="0" w:right="0"/>
            </w:pPr>
            <w:r>
              <w:t>CREDIT SUISSE EQUITIES (AUSTRALIA) LIMITED</w:t>
            </w:r>
          </w:p>
        </w:tc>
        <w:tc>
          <w:tcPr>
            <w:cnfStyle w:evenVBand="true" w:oddVBand="false" w:firstColumn="false"/>
            <w:tcW w:w="25.000000%" w:type="pct"/>
          </w:tcPr>
          <w:p>
            <w:pPr>
              <w:ind w:leftChars="0" w:left="0" w:right="0"/>
            </w:pPr>
            <w:r>
              <w:t>465</w:t>
            </w:r>
          </w:p>
        </w:tc>
      </w:tr>
      <w:tr>
        <w:trPr>
          <w:cnfStyle w:evenHBand="false" w:oddHBand="true" w:firstRow="false"/>
        </w:trPr>
        <w:tc>
          <w:tcPr>
            <w:cnfStyle w:evenVBand="false" w:oddVBand="true" w:firstColumn="false"/>
            <w:tcW w:w="25.000000%" w:type="pct"/>
          </w:tcPr>
          <w:p>
            <w:pPr>
              <w:ind w:leftChars="0" w:left="0" w:right="0"/>
            </w:pPr>
            <w:r>
              <w:t>CSBX</w:t>
            </w:r>
          </w:p>
        </w:tc>
        <w:tc>
          <w:tcPr>
            <w:cnfStyle w:evenVBand="true" w:oddVBand="false" w:firstColumn="false"/>
            <w:tcW w:w="25.000000%" w:type="pct"/>
          </w:tcPr>
          <w:p>
            <w:pPr>
              <w:ind w:leftChars="0" w:left="0" w:right="0"/>
            </w:pPr>
            <w:r>
              <w:t>CSBX</w:t>
            </w:r>
          </w:p>
        </w:tc>
        <w:tc>
          <w:tcPr>
            <w:cnfStyle w:evenVBand="false" w:oddVBand="true" w:firstColumn="false"/>
            <w:tcW w:w="25.000000%" w:type="pct"/>
          </w:tcPr>
          <w:p>
            <w:pPr>
              <w:ind w:leftChars="0" w:left="0" w:right="0"/>
            </w:pPr>
            <w:r>
              <w:t>CREDIT SUISSE AES EUROPE BENCHMARK CROSS</w:t>
            </w:r>
          </w:p>
        </w:tc>
        <w:tc>
          <w:tcPr>
            <w:cnfStyle w:evenVBand="true" w:oddVBand="false" w:firstColumn="false"/>
            <w:tcW w:w="25.000000%" w:type="pct"/>
          </w:tcPr>
          <w:p>
            <w:pPr>
              <w:ind w:leftChars="0" w:left="0" w:right="0"/>
            </w:pPr>
            <w:r>
              <w:t>466</w:t>
            </w:r>
          </w:p>
        </w:tc>
      </w:tr>
      <w:tr>
        <w:trPr>
          <w:cnfStyle w:evenHBand="true" w:oddHBand="false" w:firstRow="false"/>
        </w:trPr>
        <w:tc>
          <w:tcPr>
            <w:cnfStyle w:evenVBand="false" w:oddVBand="true" w:firstColumn="false"/>
            <w:tcW w:w="25.000000%" w:type="pct"/>
          </w:tcPr>
          <w:p>
            <w:pPr>
              <w:ind w:leftChars="0" w:left="0" w:right="0"/>
            </w:pPr>
            <w:r>
              <w:t>CSCF</w:t>
            </w:r>
          </w:p>
        </w:tc>
        <w:tc>
          <w:tcPr>
            <w:cnfStyle w:evenVBand="true" w:oddVBand="false" w:firstColumn="false"/>
            <w:tcW w:w="25.000000%" w:type="pct"/>
          </w:tcPr>
          <w:p>
            <w:pPr>
              <w:ind w:leftChars="0" w:left="0" w:right="0"/>
            </w:pPr>
            <w:r>
              <w:t>CSCF</w:t>
            </w:r>
          </w:p>
        </w:tc>
        <w:tc>
          <w:tcPr>
            <w:cnfStyle w:evenVBand="false" w:oddVBand="true" w:firstColumn="false"/>
            <w:tcW w:w="25.000000%" w:type="pct"/>
          </w:tcPr>
          <w:p>
            <w:pPr>
              <w:ind w:leftChars="0" w:left="0" w:right="0"/>
            </w:pPr>
            <w:r>
              <w:t>CREDIT SUISSE AES CROSSFINDER EUROPE</w:t>
            </w:r>
          </w:p>
        </w:tc>
        <w:tc>
          <w:tcPr>
            <w:cnfStyle w:evenVBand="true" w:oddVBand="false" w:firstColumn="false"/>
            <w:tcW w:w="25.000000%" w:type="pct"/>
          </w:tcPr>
          <w:p>
            <w:pPr>
              <w:ind w:leftChars="0" w:left="0" w:right="0"/>
            </w:pPr>
            <w:r>
              <w:t>467</w:t>
            </w:r>
          </w:p>
        </w:tc>
      </w:tr>
      <w:tr>
        <w:trPr>
          <w:cnfStyle w:evenHBand="false" w:oddHBand="true" w:firstRow="false"/>
        </w:trPr>
        <w:tc>
          <w:tcPr>
            <w:cnfStyle w:evenVBand="false" w:oddVBand="true" w:firstColumn="false"/>
            <w:tcW w:w="25.000000%" w:type="pct"/>
          </w:tcPr>
          <w:p>
            <w:pPr>
              <w:ind w:leftChars="0" w:left="0" w:right="0"/>
            </w:pPr>
            <w:r>
              <w:t>CSCL</w:t>
            </w:r>
          </w:p>
        </w:tc>
        <w:tc>
          <w:tcPr>
            <w:cnfStyle w:evenVBand="true" w:oddVBand="false" w:firstColumn="false"/>
            <w:tcW w:w="25.000000%" w:type="pct"/>
          </w:tcPr>
          <w:p>
            <w:pPr>
              <w:ind w:leftChars="0" w:left="0" w:right="0"/>
            </w:pPr>
            <w:r>
              <w:t>CSCL</w:t>
            </w:r>
          </w:p>
        </w:tc>
        <w:tc>
          <w:tcPr>
            <w:cnfStyle w:evenVBand="false" w:oddVBand="true" w:firstColumn="false"/>
            <w:tcW w:w="25.000000%" w:type="pct"/>
          </w:tcPr>
          <w:p>
            <w:pPr>
              <w:ind w:leftChars="0" w:left="0" w:right="0"/>
            </w:pPr>
            <w:r>
              <w:t>CREDIT SUISSE CLOSEX</w:t>
            </w:r>
          </w:p>
        </w:tc>
        <w:tc>
          <w:tcPr>
            <w:cnfStyle w:evenVBand="true" w:oddVBand="false" w:firstColumn="false"/>
            <w:tcW w:w="25.000000%" w:type="pct"/>
          </w:tcPr>
          <w:p>
            <w:pPr>
              <w:ind w:leftChars="0" w:left="0" w:right="0"/>
            </w:pPr>
            <w:r>
              <w:t>468</w:t>
            </w:r>
          </w:p>
        </w:tc>
      </w:tr>
      <w:tr>
        <w:trPr>
          <w:cnfStyle w:evenHBand="true" w:oddHBand="false" w:firstRow="false"/>
        </w:trPr>
        <w:tc>
          <w:tcPr>
            <w:cnfStyle w:evenVBand="false" w:oddVBand="true" w:firstColumn="false"/>
            <w:tcW w:w="25.000000%" w:type="pct"/>
          </w:tcPr>
          <w:p>
            <w:pPr>
              <w:ind w:leftChars="0" w:left="0" w:right="0"/>
            </w:pPr>
            <w:r>
              <w:t>CSDA</w:t>
            </w:r>
          </w:p>
        </w:tc>
        <w:tc>
          <w:tcPr>
            <w:cnfStyle w:evenVBand="true" w:oddVBand="false" w:firstColumn="false"/>
            <w:tcW w:w="25.000000%" w:type="pct"/>
          </w:tcPr>
          <w:p>
            <w:pPr>
              <w:ind w:leftChars="0" w:left="0" w:right="0"/>
            </w:pPr>
            <w:r>
              <w:t>CSDA</w:t>
            </w:r>
          </w:p>
        </w:tc>
        <w:tc>
          <w:tcPr>
            <w:cnfStyle w:evenVBand="false" w:oddVBand="true" w:firstColumn="false"/>
            <w:tcW w:w="25.000000%" w:type="pct"/>
          </w:tcPr>
          <w:p>
            <w:pPr>
              <w:ind w:leftChars="0" w:left="0" w:right="0"/>
            </w:pPr>
            <w:r>
              <w:t>CREDIT SUISSE AKTIENGESELLSCHAFT</w:t>
            </w:r>
          </w:p>
        </w:tc>
        <w:tc>
          <w:tcPr>
            <w:cnfStyle w:evenVBand="true" w:oddVBand="false" w:firstColumn="false"/>
            <w:tcW w:w="25.000000%" w:type="pct"/>
          </w:tcPr>
          <w:p>
            <w:pPr>
              <w:ind w:leftChars="0" w:left="0" w:right="0"/>
            </w:pPr>
            <w:r>
              <w:t>469</w:t>
            </w:r>
          </w:p>
        </w:tc>
      </w:tr>
      <w:tr>
        <w:trPr>
          <w:cnfStyle w:evenHBand="false" w:oddHBand="true" w:firstRow="false"/>
        </w:trPr>
        <w:tc>
          <w:tcPr>
            <w:cnfStyle w:evenVBand="false" w:oddVBand="true" w:firstColumn="false"/>
            <w:tcW w:w="25.000000%" w:type="pct"/>
          </w:tcPr>
          <w:p>
            <w:pPr>
              <w:ind w:leftChars="0" w:left="0" w:right="0"/>
            </w:pPr>
            <w:r>
              <w:t>CSE2</w:t>
            </w:r>
          </w:p>
        </w:tc>
        <w:tc>
          <w:tcPr>
            <w:cnfStyle w:evenVBand="true" w:oddVBand="false" w:firstColumn="false"/>
            <w:tcW w:w="25.000000%" w:type="pct"/>
          </w:tcPr>
          <w:p>
            <w:pPr>
              <w:ind w:leftChars="0" w:left="0" w:right="0"/>
            </w:pPr>
            <w:r>
              <w:t>CSE2</w:t>
            </w:r>
          </w:p>
        </w:tc>
        <w:tc>
          <w:tcPr>
            <w:cnfStyle w:evenVBand="false" w:oddVBand="true" w:firstColumn="false"/>
            <w:tcW w:w="25.000000%" w:type="pct"/>
          </w:tcPr>
          <w:p>
            <w:pPr>
              <w:ind w:leftChars="0" w:left="0" w:right="0"/>
            </w:pPr>
            <w:r>
              <w:t>CANADIAN SECURITIES EXCHANGE - CSE2</w:t>
            </w:r>
          </w:p>
        </w:tc>
        <w:tc>
          <w:tcPr>
            <w:cnfStyle w:evenVBand="true" w:oddVBand="false" w:firstColumn="false"/>
            <w:tcW w:w="25.000000%" w:type="pct"/>
          </w:tcPr>
          <w:p>
            <w:pPr>
              <w:ind w:leftChars="0" w:left="0" w:right="0"/>
            </w:pPr>
            <w:r>
              <w:t>470</w:t>
            </w:r>
          </w:p>
        </w:tc>
      </w:tr>
      <w:tr>
        <w:trPr>
          <w:cnfStyle w:evenHBand="true" w:oddHBand="false" w:firstRow="false"/>
        </w:trPr>
        <w:tc>
          <w:tcPr>
            <w:cnfStyle w:evenVBand="false" w:oddVBand="true" w:firstColumn="false"/>
            <w:tcW w:w="25.000000%" w:type="pct"/>
          </w:tcPr>
          <w:p>
            <w:pPr>
              <w:ind w:leftChars="0" w:left="0" w:right="0"/>
            </w:pPr>
            <w:r>
              <w:t>CSEC</w:t>
            </w:r>
          </w:p>
        </w:tc>
        <w:tc>
          <w:tcPr>
            <w:cnfStyle w:evenVBand="true" w:oddVBand="false" w:firstColumn="false"/>
            <w:tcW w:w="25.000000%" w:type="pct"/>
          </w:tcPr>
          <w:p>
            <w:pPr>
              <w:ind w:leftChars="0" w:left="0" w:right="0"/>
            </w:pPr>
            <w:r>
              <w:t>CSEC</w:t>
            </w:r>
          </w:p>
        </w:tc>
        <w:tc>
          <w:tcPr>
            <w:cnfStyle w:evenVBand="false" w:oddVBand="true" w:firstColumn="false"/>
            <w:tcW w:w="25.000000%" w:type="pct"/>
          </w:tcPr>
          <w:p>
            <w:pPr>
              <w:ind w:leftChars="0" w:left="0" w:right="0"/>
            </w:pPr>
            <w:r>
              <w:t>CITADEL SECURITIES FI - SYSTEMATIC INTERNALISER</w:t>
            </w:r>
          </w:p>
        </w:tc>
        <w:tc>
          <w:tcPr>
            <w:cnfStyle w:evenVBand="true" w:oddVBand="false" w:firstColumn="false"/>
            <w:tcW w:w="25.000000%" w:type="pct"/>
          </w:tcPr>
          <w:p>
            <w:pPr>
              <w:ind w:leftChars="0" w:left="0" w:right="0"/>
            </w:pPr>
            <w:r>
              <w:t>471</w:t>
            </w:r>
          </w:p>
        </w:tc>
      </w:tr>
      <w:tr>
        <w:trPr>
          <w:cnfStyle w:evenHBand="false" w:oddHBand="true" w:firstRow="false"/>
        </w:trPr>
        <w:tc>
          <w:tcPr>
            <w:cnfStyle w:evenVBand="false" w:oddVBand="true" w:firstColumn="false"/>
            <w:tcW w:w="25.000000%" w:type="pct"/>
          </w:tcPr>
          <w:p>
            <w:pPr>
              <w:ind w:leftChars="0" w:left="0" w:right="0"/>
            </w:pPr>
            <w:r>
              <w:t>CSEU</w:t>
            </w:r>
          </w:p>
        </w:tc>
        <w:tc>
          <w:tcPr>
            <w:cnfStyle w:evenVBand="true" w:oddVBand="false" w:firstColumn="false"/>
            <w:tcW w:w="25.000000%" w:type="pct"/>
          </w:tcPr>
          <w:p>
            <w:pPr>
              <w:ind w:leftChars="0" w:left="0" w:right="0"/>
            </w:pPr>
            <w:r>
              <w:t>CSEU</w:t>
            </w:r>
          </w:p>
        </w:tc>
        <w:tc>
          <w:tcPr>
            <w:cnfStyle w:evenVBand="false" w:oddVBand="true" w:firstColumn="false"/>
            <w:tcW w:w="25.000000%" w:type="pct"/>
          </w:tcPr>
          <w:p>
            <w:pPr>
              <w:ind w:leftChars="0" w:left="0" w:right="0"/>
            </w:pPr>
            <w:r>
              <w:t>CREDIT SUISSE (EUROPE)</w:t>
            </w:r>
          </w:p>
        </w:tc>
        <w:tc>
          <w:tcPr>
            <w:cnfStyle w:evenVBand="true" w:oddVBand="false" w:firstColumn="false"/>
            <w:tcW w:w="25.000000%" w:type="pct"/>
          </w:tcPr>
          <w:p>
            <w:pPr>
              <w:ind w:leftChars="0" w:left="0" w:right="0"/>
            </w:pPr>
            <w:r>
              <w:t>472</w:t>
            </w:r>
          </w:p>
        </w:tc>
      </w:tr>
      <w:tr>
        <w:trPr>
          <w:cnfStyle w:evenHBand="true" w:oddHBand="false" w:firstRow="false"/>
        </w:trPr>
        <w:tc>
          <w:tcPr>
            <w:cnfStyle w:evenVBand="false" w:oddVBand="true" w:firstColumn="false"/>
            <w:tcW w:w="25.000000%" w:type="pct"/>
          </w:tcPr>
          <w:p>
            <w:pPr>
              <w:ind w:leftChars="0" w:left="0" w:right="0"/>
            </w:pPr>
            <w:r>
              <w:t>CSFB</w:t>
            </w:r>
          </w:p>
        </w:tc>
        <w:tc>
          <w:tcPr>
            <w:cnfStyle w:evenVBand="true" w:oddVBand="false" w:firstColumn="false"/>
            <w:tcW w:w="25.000000%" w:type="pct"/>
          </w:tcPr>
          <w:p>
            <w:pPr>
              <w:ind w:leftChars="0" w:left="0" w:right="0"/>
            </w:pPr>
            <w:r>
              <w:t>CSFB</w:t>
            </w:r>
          </w:p>
        </w:tc>
        <w:tc>
          <w:tcPr>
            <w:cnfStyle w:evenVBand="false" w:oddVBand="true" w:firstColumn="false"/>
            <w:tcW w:w="25.000000%" w:type="pct"/>
          </w:tcPr>
          <w:p>
            <w:pPr>
              <w:ind w:leftChars="0" w:left="0" w:right="0"/>
            </w:pPr>
            <w:r>
              <w:t>CREDIT SUISSE (EUROPE)</w:t>
            </w:r>
          </w:p>
        </w:tc>
        <w:tc>
          <w:tcPr>
            <w:cnfStyle w:evenVBand="true" w:oddVBand="false" w:firstColumn="false"/>
            <w:tcW w:w="25.000000%" w:type="pct"/>
          </w:tcPr>
          <w:p>
            <w:pPr>
              <w:ind w:leftChars="0" w:left="0" w:right="0"/>
            </w:pPr>
            <w:r>
              <w:t>473</w:t>
            </w:r>
          </w:p>
        </w:tc>
      </w:tr>
      <w:tr>
        <w:trPr>
          <w:cnfStyle w:evenHBand="false" w:oddHBand="true" w:firstRow="false"/>
        </w:trPr>
        <w:tc>
          <w:tcPr>
            <w:cnfStyle w:evenVBand="false" w:oddVBand="true" w:firstColumn="false"/>
            <w:tcW w:w="25.000000%" w:type="pct"/>
          </w:tcPr>
          <w:p>
            <w:pPr>
              <w:ind w:leftChars="0" w:left="0" w:right="0"/>
            </w:pPr>
            <w:r>
              <w:t>CSGI</w:t>
            </w:r>
          </w:p>
        </w:tc>
        <w:tc>
          <w:tcPr>
            <w:cnfStyle w:evenVBand="true" w:oddVBand="false" w:firstColumn="false"/>
            <w:tcW w:w="25.000000%" w:type="pct"/>
          </w:tcPr>
          <w:p>
            <w:pPr>
              <w:ind w:leftChars="0" w:left="0" w:right="0"/>
            </w:pPr>
            <w:r>
              <w:t>CSGI</w:t>
            </w:r>
          </w:p>
        </w:tc>
        <w:tc>
          <w:tcPr>
            <w:cnfStyle w:evenVBand="false" w:oddVBand="true" w:firstColumn="false"/>
            <w:tcW w:w="25.000000%" w:type="pct"/>
          </w:tcPr>
          <w:p>
            <w:pPr>
              <w:ind w:leftChars="0" w:left="0" w:right="0"/>
            </w:pPr>
            <w:r>
              <w:t>CITADEL SECURITIES FI - EUROPE - SYSTEMATIC INTERNALISER</w:t>
            </w:r>
          </w:p>
        </w:tc>
        <w:tc>
          <w:tcPr>
            <w:cnfStyle w:evenVBand="true" w:oddVBand="false" w:firstColumn="false"/>
            <w:tcW w:w="25.000000%" w:type="pct"/>
          </w:tcPr>
          <w:p>
            <w:pPr>
              <w:ind w:leftChars="0" w:left="0" w:right="0"/>
            </w:pPr>
            <w:r>
              <w:t>474</w:t>
            </w:r>
          </w:p>
        </w:tc>
      </w:tr>
      <w:tr>
        <w:trPr>
          <w:cnfStyle w:evenHBand="true" w:oddHBand="false" w:firstRow="false"/>
        </w:trPr>
        <w:tc>
          <w:tcPr>
            <w:cnfStyle w:evenVBand="false" w:oddVBand="true" w:firstColumn="false"/>
            <w:tcW w:w="25.000000%" w:type="pct"/>
          </w:tcPr>
          <w:p>
            <w:pPr>
              <w:ind w:leftChars="0" w:left="0" w:right="0"/>
            </w:pPr>
            <w:r>
              <w:t>CSHK</w:t>
            </w:r>
          </w:p>
        </w:tc>
        <w:tc>
          <w:tcPr>
            <w:cnfStyle w:evenVBand="true" w:oddVBand="false" w:firstColumn="false"/>
            <w:tcW w:w="25.000000%" w:type="pct"/>
          </w:tcPr>
          <w:p>
            <w:pPr>
              <w:ind w:leftChars="0" w:left="0" w:right="0"/>
            </w:pPr>
            <w:r>
              <w:t>CSHK</w:t>
            </w:r>
          </w:p>
        </w:tc>
        <w:tc>
          <w:tcPr>
            <w:cnfStyle w:evenVBand="false" w:oddVBand="true" w:firstColumn="false"/>
            <w:tcW w:w="25.000000%" w:type="pct"/>
          </w:tcPr>
          <w:p>
            <w:pPr>
              <w:ind w:leftChars="0" w:left="0" w:right="0"/>
            </w:pPr>
            <w:r>
              <w:t>CREDIT SUISSE SECURITIES (HONG KONG) LIMITED</w:t>
            </w:r>
          </w:p>
        </w:tc>
        <w:tc>
          <w:tcPr>
            <w:cnfStyle w:evenVBand="true" w:oddVBand="false" w:firstColumn="false"/>
            <w:tcW w:w="25.000000%" w:type="pct"/>
          </w:tcPr>
          <w:p>
            <w:pPr>
              <w:ind w:leftChars="0" w:left="0" w:right="0"/>
            </w:pPr>
            <w:r>
              <w:t>475</w:t>
            </w:r>
          </w:p>
        </w:tc>
      </w:tr>
      <w:tr>
        <w:trPr>
          <w:cnfStyle w:evenHBand="false" w:oddHBand="true" w:firstRow="false"/>
        </w:trPr>
        <w:tc>
          <w:tcPr>
            <w:cnfStyle w:evenVBand="false" w:oddVBand="true" w:firstColumn="false"/>
            <w:tcW w:w="25.000000%" w:type="pct"/>
          </w:tcPr>
          <w:p>
            <w:pPr>
              <w:ind w:leftChars="0" w:left="0" w:right="0"/>
            </w:pPr>
            <w:r>
              <w:t>CSIN</w:t>
            </w:r>
          </w:p>
        </w:tc>
        <w:tc>
          <w:tcPr>
            <w:cnfStyle w:evenVBand="true" w:oddVBand="false" w:firstColumn="false"/>
            <w:tcW w:w="25.000000%" w:type="pct"/>
          </w:tcPr>
          <w:p>
            <w:pPr>
              <w:ind w:leftChars="0" w:left="0" w:right="0"/>
            </w:pPr>
            <w:r>
              <w:t>CSIN</w:t>
            </w:r>
          </w:p>
        </w:tc>
        <w:tc>
          <w:tcPr>
            <w:cnfStyle w:evenVBand="false" w:oddVBand="true" w:firstColumn="false"/>
            <w:tcW w:w="25.000000%" w:type="pct"/>
          </w:tcPr>
          <w:p>
            <w:pPr>
              <w:ind w:leftChars="0" w:left="0" w:right="0"/>
            </w:pPr>
            <w:r>
              <w:t>CREDIT SUISSE INTERNATIONAL</w:t>
            </w:r>
          </w:p>
        </w:tc>
        <w:tc>
          <w:tcPr>
            <w:cnfStyle w:evenVBand="true" w:oddVBand="false" w:firstColumn="false"/>
            <w:tcW w:w="25.000000%" w:type="pct"/>
          </w:tcPr>
          <w:p>
            <w:pPr>
              <w:ind w:leftChars="0" w:left="0" w:right="0"/>
            </w:pPr>
            <w:r>
              <w:t>476</w:t>
            </w:r>
          </w:p>
        </w:tc>
      </w:tr>
      <w:tr>
        <w:trPr>
          <w:cnfStyle w:evenHBand="true" w:oddHBand="false" w:firstRow="false"/>
        </w:trPr>
        <w:tc>
          <w:tcPr>
            <w:cnfStyle w:evenVBand="false" w:oddVBand="true" w:firstColumn="false"/>
            <w:tcW w:w="25.000000%" w:type="pct"/>
          </w:tcPr>
          <w:p>
            <w:pPr>
              <w:ind w:leftChars="0" w:left="0" w:right="0"/>
            </w:pPr>
            <w:r>
              <w:t>CSJP</w:t>
            </w:r>
          </w:p>
        </w:tc>
        <w:tc>
          <w:tcPr>
            <w:cnfStyle w:evenVBand="true" w:oddVBand="false" w:firstColumn="false"/>
            <w:tcW w:w="25.000000%" w:type="pct"/>
          </w:tcPr>
          <w:p>
            <w:pPr>
              <w:ind w:leftChars="0" w:left="0" w:right="0"/>
            </w:pPr>
            <w:r>
              <w:t>CSJP</w:t>
            </w:r>
          </w:p>
        </w:tc>
        <w:tc>
          <w:tcPr>
            <w:cnfStyle w:evenVBand="false" w:oddVBand="true" w:firstColumn="false"/>
            <w:tcW w:w="25.000000%" w:type="pct"/>
          </w:tcPr>
          <w:p>
            <w:pPr>
              <w:ind w:leftChars="0" w:left="0" w:right="0"/>
            </w:pPr>
            <w:r>
              <w:t>CREDIT SUISSE EQUITIES (JAPAN) LIMITED</w:t>
            </w:r>
          </w:p>
        </w:tc>
        <w:tc>
          <w:tcPr>
            <w:cnfStyle w:evenVBand="true" w:oddVBand="false" w:firstColumn="false"/>
            <w:tcW w:w="25.000000%" w:type="pct"/>
          </w:tcPr>
          <w:p>
            <w:pPr>
              <w:ind w:leftChars="0" w:left="0" w:right="0"/>
            </w:pPr>
            <w:r>
              <w:t>477</w:t>
            </w:r>
          </w:p>
        </w:tc>
      </w:tr>
      <w:tr>
        <w:trPr>
          <w:cnfStyle w:evenHBand="false" w:oddHBand="true" w:firstRow="false"/>
        </w:trPr>
        <w:tc>
          <w:tcPr>
            <w:cnfStyle w:evenVBand="false" w:oddVBand="true" w:firstColumn="false"/>
            <w:tcW w:w="25.000000%" w:type="pct"/>
          </w:tcPr>
          <w:p>
            <w:pPr>
              <w:ind w:leftChars="0" w:left="0" w:right="0"/>
            </w:pPr>
            <w:r>
              <w:t>CSLB</w:t>
            </w:r>
          </w:p>
        </w:tc>
        <w:tc>
          <w:tcPr>
            <w:cnfStyle w:evenVBand="true" w:oddVBand="false" w:firstColumn="false"/>
            <w:tcW w:w="25.000000%" w:type="pct"/>
          </w:tcPr>
          <w:p>
            <w:pPr>
              <w:ind w:leftChars="0" w:left="0" w:right="0"/>
            </w:pPr>
            <w:r>
              <w:t>CSLB</w:t>
            </w:r>
          </w:p>
        </w:tc>
        <w:tc>
          <w:tcPr>
            <w:cnfStyle w:evenVBand="false" w:oddVBand="true" w:firstColumn="false"/>
            <w:tcW w:w="25.000000%" w:type="pct"/>
          </w:tcPr>
          <w:p>
            <w:pPr>
              <w:ind w:leftChars="0" w:left="0" w:right="0"/>
            </w:pPr>
            <w:r>
              <w:t>CREDIT SUISSE AG - LONDON BRANCH</w:t>
            </w:r>
          </w:p>
        </w:tc>
        <w:tc>
          <w:tcPr>
            <w:cnfStyle w:evenVBand="true" w:oddVBand="false" w:firstColumn="false"/>
            <w:tcW w:w="25.000000%" w:type="pct"/>
          </w:tcPr>
          <w:p>
            <w:pPr>
              <w:ind w:leftChars="0" w:left="0" w:right="0"/>
            </w:pPr>
            <w:r>
              <w:t>478</w:t>
            </w:r>
          </w:p>
        </w:tc>
      </w:tr>
      <w:tr>
        <w:trPr>
          <w:cnfStyle w:evenHBand="true" w:oddHBand="false" w:firstRow="false"/>
        </w:trPr>
        <w:tc>
          <w:tcPr>
            <w:cnfStyle w:evenVBand="false" w:oddVBand="true" w:firstColumn="false"/>
            <w:tcW w:w="25.000000%" w:type="pct"/>
          </w:tcPr>
          <w:p>
            <w:pPr>
              <w:ind w:leftChars="0" w:left="0" w:right="0"/>
            </w:pPr>
            <w:r>
              <w:t>CSLP</w:t>
            </w:r>
          </w:p>
        </w:tc>
        <w:tc>
          <w:tcPr>
            <w:cnfStyle w:evenVBand="true" w:oddVBand="false" w:firstColumn="false"/>
            <w:tcW w:w="25.000000%" w:type="pct"/>
          </w:tcPr>
          <w:p>
            <w:pPr>
              <w:ind w:leftChars="0" w:left="0" w:right="0"/>
            </w:pPr>
            <w:r>
              <w:t>CSLP</w:t>
            </w:r>
          </w:p>
        </w:tc>
        <w:tc>
          <w:tcPr>
            <w:cnfStyle w:evenVBand="false" w:oddVBand="true" w:firstColumn="false"/>
            <w:tcW w:w="25.000000%" w:type="pct"/>
          </w:tcPr>
          <w:p>
            <w:pPr>
              <w:ind w:leftChars="0" w:left="0" w:right="0"/>
            </w:pPr>
            <w:r>
              <w:t>CREDIT SUISSE LIGHT POOL</w:t>
            </w:r>
          </w:p>
        </w:tc>
        <w:tc>
          <w:tcPr>
            <w:cnfStyle w:evenVBand="true" w:oddVBand="false" w:firstColumn="false"/>
            <w:tcW w:w="25.000000%" w:type="pct"/>
          </w:tcPr>
          <w:p>
            <w:pPr>
              <w:ind w:leftChars="0" w:left="0" w:right="0"/>
            </w:pPr>
            <w:r>
              <w:t>479</w:t>
            </w:r>
          </w:p>
        </w:tc>
      </w:tr>
      <w:tr>
        <w:trPr>
          <w:cnfStyle w:evenHBand="false" w:oddHBand="true" w:firstRow="false"/>
        </w:trPr>
        <w:tc>
          <w:tcPr>
            <w:cnfStyle w:evenVBand="false" w:oddVBand="true" w:firstColumn="false"/>
            <w:tcW w:w="25.000000%" w:type="pct"/>
          </w:tcPr>
          <w:p>
            <w:pPr>
              <w:ind w:leftChars="0" w:left="0" w:right="0"/>
            </w:pPr>
            <w:r>
              <w:t>CSMD</w:t>
            </w:r>
          </w:p>
        </w:tc>
        <w:tc>
          <w:tcPr>
            <w:cnfStyle w:evenVBand="true" w:oddVBand="false" w:firstColumn="false"/>
            <w:tcW w:w="25.000000%" w:type="pct"/>
          </w:tcPr>
          <w:p>
            <w:pPr>
              <w:ind w:leftChars="0" w:left="0" w:right="0"/>
            </w:pPr>
            <w:r>
              <w:t>CSMD</w:t>
            </w:r>
          </w:p>
        </w:tc>
        <w:tc>
          <w:tcPr>
            <w:cnfStyle w:evenVBand="false" w:oddVBand="true" w:firstColumn="false"/>
            <w:tcW w:w="25.000000%" w:type="pct"/>
          </w:tcPr>
          <w:p>
            <w:pPr>
              <w:ind w:leftChars="0" w:left="0" w:right="0"/>
            </w:pPr>
            <w:r>
              <w:t>CREDIT SUISSE BANK (EUROPE), S.A.</w:t>
            </w:r>
          </w:p>
        </w:tc>
        <w:tc>
          <w:tcPr>
            <w:cnfStyle w:evenVBand="true" w:oddVBand="false" w:firstColumn="false"/>
            <w:tcW w:w="25.000000%" w:type="pct"/>
          </w:tcPr>
          <w:p>
            <w:pPr>
              <w:ind w:leftChars="0" w:left="0" w:right="0"/>
            </w:pPr>
            <w:r>
              <w:t>480</w:t>
            </w:r>
          </w:p>
        </w:tc>
      </w:tr>
      <w:tr>
        <w:trPr>
          <w:cnfStyle w:evenHBand="true" w:oddHBand="false" w:firstRow="false"/>
        </w:trPr>
        <w:tc>
          <w:tcPr>
            <w:cnfStyle w:evenVBand="false" w:oddVBand="true" w:firstColumn="false"/>
            <w:tcW w:w="25.000000%" w:type="pct"/>
          </w:tcPr>
          <w:p>
            <w:pPr>
              <w:ind w:leftChars="0" w:left="0" w:right="0"/>
            </w:pPr>
            <w:r>
              <w:t>CSOB</w:t>
            </w:r>
          </w:p>
        </w:tc>
        <w:tc>
          <w:tcPr>
            <w:cnfStyle w:evenVBand="true" w:oddVBand="false" w:firstColumn="false"/>
            <w:tcW w:w="25.000000%" w:type="pct"/>
          </w:tcPr>
          <w:p>
            <w:pPr>
              <w:ind w:leftChars="0" w:left="0" w:right="0"/>
            </w:pPr>
            <w:r>
              <w:t>CSOB</w:t>
            </w:r>
          </w:p>
        </w:tc>
        <w:tc>
          <w:tcPr>
            <w:cnfStyle w:evenVBand="false" w:oddVBand="true" w:firstColumn="false"/>
            <w:tcW w:w="25.000000%" w:type="pct"/>
          </w:tcPr>
          <w:p>
            <w:pPr>
              <w:ind w:leftChars="0" w:left="0" w:right="0"/>
            </w:pPr>
            <w:r>
              <w:t>ČESKOSLOVENSKÁ OBCHODNÍ BANKA, A.S.</w:t>
            </w:r>
          </w:p>
        </w:tc>
        <w:tc>
          <w:tcPr>
            <w:cnfStyle w:evenVBand="true" w:oddVBand="false" w:firstColumn="false"/>
            <w:tcW w:w="25.000000%" w:type="pct"/>
          </w:tcPr>
          <w:p>
            <w:pPr>
              <w:ind w:leftChars="0" w:left="0" w:right="0"/>
            </w:pPr>
            <w:r>
              <w:t>481</w:t>
            </w:r>
          </w:p>
        </w:tc>
      </w:tr>
      <w:tr>
        <w:trPr>
          <w:cnfStyle w:evenHBand="false" w:oddHBand="true" w:firstRow="false"/>
        </w:trPr>
        <w:tc>
          <w:tcPr>
            <w:cnfStyle w:evenVBand="false" w:oddVBand="true" w:firstColumn="false"/>
            <w:tcW w:w="25.000000%" w:type="pct"/>
          </w:tcPr>
          <w:p>
            <w:pPr>
              <w:ind w:leftChars="0" w:left="0" w:right="0"/>
            </w:pPr>
            <w:r>
              <w:t>CSOT</w:t>
            </w:r>
          </w:p>
        </w:tc>
        <w:tc>
          <w:tcPr>
            <w:cnfStyle w:evenVBand="true" w:oddVBand="false" w:firstColumn="false"/>
            <w:tcW w:w="25.000000%" w:type="pct"/>
          </w:tcPr>
          <w:p>
            <w:pPr>
              <w:ind w:leftChars="0" w:left="0" w:right="0"/>
            </w:pPr>
            <w:r>
              <w:t>CSOT</w:t>
            </w:r>
          </w:p>
        </w:tc>
        <w:tc>
          <w:tcPr>
            <w:cnfStyle w:evenVBand="false" w:oddVBand="true" w:firstColumn="false"/>
            <w:tcW w:w="25.000000%" w:type="pct"/>
          </w:tcPr>
          <w:p>
            <w:pPr>
              <w:ind w:leftChars="0" w:left="0" w:right="0"/>
            </w:pPr>
            <w:r>
              <w:t>CREDIT SUISSE AG - OHS</w:t>
            </w:r>
          </w:p>
        </w:tc>
        <w:tc>
          <w:tcPr>
            <w:cnfStyle w:evenVBand="true" w:oddVBand="false" w:firstColumn="false"/>
            <w:tcW w:w="25.000000%" w:type="pct"/>
          </w:tcPr>
          <w:p>
            <w:pPr>
              <w:ind w:leftChars="0" w:left="0" w:right="0"/>
            </w:pPr>
            <w:r>
              <w:t>482</w:t>
            </w:r>
          </w:p>
        </w:tc>
      </w:tr>
      <w:tr>
        <w:trPr>
          <w:cnfStyle w:evenHBand="true" w:oddHBand="false" w:firstRow="false"/>
        </w:trPr>
        <w:tc>
          <w:tcPr>
            <w:cnfStyle w:evenVBand="false" w:oddVBand="true" w:firstColumn="false"/>
            <w:tcW w:w="25.000000%" w:type="pct"/>
          </w:tcPr>
          <w:p>
            <w:pPr>
              <w:ind w:leftChars="0" w:left="0" w:right="0"/>
            </w:pPr>
            <w:r>
              <w:t>CSSI</w:t>
            </w:r>
          </w:p>
        </w:tc>
        <w:tc>
          <w:tcPr>
            <w:cnfStyle w:evenVBand="true" w:oddVBand="false" w:firstColumn="false"/>
            <w:tcW w:w="25.000000%" w:type="pct"/>
          </w:tcPr>
          <w:p>
            <w:pPr>
              <w:ind w:leftChars="0" w:left="0" w:right="0"/>
            </w:pPr>
            <w:r>
              <w:t>CSSI</w:t>
            </w:r>
          </w:p>
        </w:tc>
        <w:tc>
          <w:tcPr>
            <w:cnfStyle w:evenVBand="false" w:oddVBand="true" w:firstColumn="false"/>
            <w:tcW w:w="25.000000%" w:type="pct"/>
          </w:tcPr>
          <w:p>
            <w:pPr>
              <w:ind w:leftChars="0" w:left="0" w:right="0"/>
            </w:pPr>
            <w:r>
              <w:t>CREDIT SUISSE INTERNATIONAL - SYSTEMATIC INTERNALISER</w:t>
            </w:r>
          </w:p>
        </w:tc>
        <w:tc>
          <w:tcPr>
            <w:cnfStyle w:evenVBand="true" w:oddVBand="false" w:firstColumn="false"/>
            <w:tcW w:w="25.000000%" w:type="pct"/>
          </w:tcPr>
          <w:p>
            <w:pPr>
              <w:ind w:leftChars="0" w:left="0" w:right="0"/>
            </w:pPr>
            <w:r>
              <w:t>483</w:t>
            </w:r>
          </w:p>
        </w:tc>
      </w:tr>
      <w:tr>
        <w:trPr>
          <w:cnfStyle w:evenHBand="false" w:oddHBand="true" w:firstRow="false"/>
        </w:trPr>
        <w:tc>
          <w:tcPr>
            <w:cnfStyle w:evenVBand="false" w:oddVBand="true" w:firstColumn="false"/>
            <w:tcW w:w="25.000000%" w:type="pct"/>
          </w:tcPr>
          <w:p>
            <w:pPr>
              <w:ind w:leftChars="0" w:left="0" w:right="0"/>
            </w:pPr>
            <w:r>
              <w:t>CSSX</w:t>
            </w:r>
          </w:p>
        </w:tc>
        <w:tc>
          <w:tcPr>
            <w:cnfStyle w:evenVBand="true" w:oddVBand="false" w:firstColumn="false"/>
            <w:tcW w:w="25.000000%" w:type="pct"/>
          </w:tcPr>
          <w:p>
            <w:pPr>
              <w:ind w:leftChars="0" w:left="0" w:right="0"/>
            </w:pPr>
            <w:r>
              <w:t>CSSX</w:t>
            </w:r>
          </w:p>
        </w:tc>
        <w:tc>
          <w:tcPr>
            <w:cnfStyle w:evenVBand="false" w:oddVBand="true" w:firstColumn="false"/>
            <w:tcW w:w="25.000000%" w:type="pct"/>
          </w:tcPr>
          <w:p>
            <w:pPr>
              <w:ind w:leftChars="0" w:left="0" w:right="0"/>
            </w:pPr>
            <w:r>
              <w:t>CHINA STAINLESS STEEL EXCHANGE</w:t>
            </w:r>
          </w:p>
        </w:tc>
        <w:tc>
          <w:tcPr>
            <w:cnfStyle w:evenVBand="true" w:oddVBand="false" w:firstColumn="false"/>
            <w:tcW w:w="25.000000%" w:type="pct"/>
          </w:tcPr>
          <w:p>
            <w:pPr>
              <w:ind w:leftChars="0" w:left="0" w:right="0"/>
            </w:pPr>
            <w:r>
              <w:t>484</w:t>
            </w:r>
          </w:p>
        </w:tc>
      </w:tr>
      <w:tr>
        <w:trPr>
          <w:cnfStyle w:evenHBand="true" w:oddHBand="false" w:firstRow="false"/>
        </w:trPr>
        <w:tc>
          <w:tcPr>
            <w:cnfStyle w:evenVBand="false" w:oddVBand="true" w:firstColumn="false"/>
            <w:tcW w:w="25.000000%" w:type="pct"/>
          </w:tcPr>
          <w:p>
            <w:pPr>
              <w:ind w:leftChars="0" w:left="0" w:right="0"/>
            </w:pPr>
            <w:r>
              <w:t>CSTO</w:t>
            </w:r>
          </w:p>
        </w:tc>
        <w:tc>
          <w:tcPr>
            <w:cnfStyle w:evenVBand="true" w:oddVBand="false" w:firstColumn="false"/>
            <w:tcW w:w="25.000000%" w:type="pct"/>
          </w:tcPr>
          <w:p>
            <w:pPr>
              <w:ind w:leftChars="0" w:left="0" w:right="0"/>
            </w:pPr>
            <w:r>
              <w:t>CSTO</w:t>
            </w:r>
          </w:p>
        </w:tc>
        <w:tc>
          <w:tcPr>
            <w:cnfStyle w:evenVBand="false" w:oddVBand="true" w:firstColumn="false"/>
            <w:tcW w:w="25.000000%" w:type="pct"/>
          </w:tcPr>
          <w:p>
            <w:pPr>
              <w:ind w:leftChars="0" w:left="0" w:right="0"/>
            </w:pPr>
            <w:r>
              <w:t>NASDAQ CLEARING AB</w:t>
            </w:r>
          </w:p>
        </w:tc>
        <w:tc>
          <w:tcPr>
            <w:cnfStyle w:evenVBand="true" w:oddVBand="false" w:firstColumn="false"/>
            <w:tcW w:w="25.000000%" w:type="pct"/>
          </w:tcPr>
          <w:p>
            <w:pPr>
              <w:ind w:leftChars="0" w:left="0" w:right="0"/>
            </w:pPr>
            <w:r>
              <w:t>485</w:t>
            </w:r>
          </w:p>
        </w:tc>
      </w:tr>
      <w:tr>
        <w:trPr>
          <w:cnfStyle w:evenHBand="false" w:oddHBand="true" w:firstRow="false"/>
        </w:trPr>
        <w:tc>
          <w:tcPr>
            <w:cnfStyle w:evenVBand="false" w:oddVBand="true" w:firstColumn="false"/>
            <w:tcW w:w="25.000000%" w:type="pct"/>
          </w:tcPr>
          <w:p>
            <w:pPr>
              <w:ind w:leftChars="0" w:left="0" w:right="0"/>
            </w:pPr>
            <w:r>
              <w:t>CSVW</w:t>
            </w:r>
          </w:p>
        </w:tc>
        <w:tc>
          <w:tcPr>
            <w:cnfStyle w:evenVBand="true" w:oddVBand="false" w:firstColumn="false"/>
            <w:tcW w:w="25.000000%" w:type="pct"/>
          </w:tcPr>
          <w:p>
            <w:pPr>
              <w:ind w:leftChars="0" w:left="0" w:right="0"/>
            </w:pPr>
            <w:r>
              <w:t>CSVW</w:t>
            </w:r>
          </w:p>
        </w:tc>
        <w:tc>
          <w:tcPr>
            <w:cnfStyle w:evenVBand="false" w:oddVBand="true" w:firstColumn="false"/>
            <w:tcW w:w="25.000000%" w:type="pct"/>
          </w:tcPr>
          <w:p>
            <w:pPr>
              <w:ind w:leftChars="0" w:left="0" w:right="0"/>
            </w:pPr>
            <w:r>
              <w:t>CREDIT SUISSE VWAPX</w:t>
            </w:r>
          </w:p>
        </w:tc>
        <w:tc>
          <w:tcPr>
            <w:cnfStyle w:evenVBand="true" w:oddVBand="false" w:firstColumn="false"/>
            <w:tcW w:w="25.000000%" w:type="pct"/>
          </w:tcPr>
          <w:p>
            <w:pPr>
              <w:ind w:leftChars="0" w:left="0" w:right="0"/>
            </w:pPr>
            <w:r>
              <w:t>486</w:t>
            </w:r>
          </w:p>
        </w:tc>
      </w:tr>
      <w:tr>
        <w:trPr>
          <w:cnfStyle w:evenHBand="true" w:oddHBand="false" w:firstRow="false"/>
        </w:trPr>
        <w:tc>
          <w:tcPr>
            <w:cnfStyle w:evenVBand="false" w:oddVBand="true" w:firstColumn="false"/>
            <w:tcW w:w="25.000000%" w:type="pct"/>
          </w:tcPr>
          <w:p>
            <w:pPr>
              <w:ind w:leftChars="0" w:left="0" w:right="0"/>
            </w:pPr>
            <w:r>
              <w:t>CSZH</w:t>
            </w:r>
          </w:p>
        </w:tc>
        <w:tc>
          <w:tcPr>
            <w:cnfStyle w:evenVBand="true" w:oddVBand="false" w:firstColumn="false"/>
            <w:tcW w:w="25.000000%" w:type="pct"/>
          </w:tcPr>
          <w:p>
            <w:pPr>
              <w:ind w:leftChars="0" w:left="0" w:right="0"/>
            </w:pPr>
            <w:r>
              <w:t>CSZH</w:t>
            </w:r>
          </w:p>
        </w:tc>
        <w:tc>
          <w:tcPr>
            <w:cnfStyle w:evenVBand="false" w:oddVBand="true" w:firstColumn="false"/>
            <w:tcW w:w="25.000000%" w:type="pct"/>
          </w:tcPr>
          <w:p>
            <w:pPr>
              <w:ind w:leftChars="0" w:left="0" w:right="0"/>
            </w:pPr>
            <w:r>
              <w:t>CREDIT SUISSE (CH)</w:t>
            </w:r>
          </w:p>
        </w:tc>
        <w:tc>
          <w:tcPr>
            <w:cnfStyle w:evenVBand="true" w:oddVBand="false" w:firstColumn="false"/>
            <w:tcW w:w="25.000000%" w:type="pct"/>
          </w:tcPr>
          <w:p>
            <w:pPr>
              <w:ind w:leftChars="0" w:left="0" w:right="0"/>
            </w:pPr>
            <w:r>
              <w:t>487</w:t>
            </w:r>
          </w:p>
        </w:tc>
      </w:tr>
      <w:tr>
        <w:trPr>
          <w:cnfStyle w:evenHBand="false" w:oddHBand="true" w:firstRow="false"/>
        </w:trPr>
        <w:tc>
          <w:tcPr>
            <w:cnfStyle w:evenVBand="false" w:oddVBand="true" w:firstColumn="false"/>
            <w:tcW w:w="25.000000%" w:type="pct"/>
          </w:tcPr>
          <w:p>
            <w:pPr>
              <w:ind w:leftChars="0" w:left="0" w:right="0"/>
            </w:pPr>
            <w:r>
              <w:t>CTWO</w:t>
            </w:r>
          </w:p>
        </w:tc>
        <w:tc>
          <w:tcPr>
            <w:cnfStyle w:evenVBand="true" w:oddVBand="false" w:firstColumn="false"/>
            <w:tcW w:w="25.000000%" w:type="pct"/>
          </w:tcPr>
          <w:p>
            <w:pPr>
              <w:ind w:leftChars="0" w:left="0" w:right="0"/>
            </w:pPr>
            <w:r>
              <w:t>CTWO</w:t>
            </w:r>
          </w:p>
        </w:tc>
        <w:tc>
          <w:tcPr>
            <w:cnfStyle w:evenVBand="false" w:oddVBand="true" w:firstColumn="false"/>
            <w:tcW w:w="25.000000%" w:type="pct"/>
          </w:tcPr>
          <w:p>
            <w:pPr>
              <w:ind w:leftChars="0" w:left="0" w:right="0"/>
            </w:pPr>
            <w:r>
              <w:t>CBOE C2 OPTIONS EXCHANGE</w:t>
            </w:r>
          </w:p>
        </w:tc>
        <w:tc>
          <w:tcPr>
            <w:cnfStyle w:evenVBand="true" w:oddVBand="false" w:firstColumn="false"/>
            <w:tcW w:w="25.000000%" w:type="pct"/>
          </w:tcPr>
          <w:p>
            <w:pPr>
              <w:ind w:leftChars="0" w:left="0" w:right="0"/>
            </w:pPr>
            <w:r>
              <w:t>488</w:t>
            </w:r>
          </w:p>
        </w:tc>
      </w:tr>
      <w:tr>
        <w:trPr>
          <w:cnfStyle w:evenHBand="true" w:oddHBand="false" w:firstRow="false"/>
        </w:trPr>
        <w:tc>
          <w:tcPr>
            <w:cnfStyle w:evenVBand="false" w:oddVBand="true" w:firstColumn="false"/>
            <w:tcW w:w="25.000000%" w:type="pct"/>
          </w:tcPr>
          <w:p>
            <w:pPr>
              <w:ind w:leftChars="0" w:left="0" w:right="0"/>
            </w:pPr>
            <w:r>
              <w:t>CURX</w:t>
            </w:r>
          </w:p>
        </w:tc>
        <w:tc>
          <w:tcPr>
            <w:cnfStyle w:evenVBand="true" w:oddVBand="false" w:firstColumn="false"/>
            <w:tcW w:w="25.000000%" w:type="pct"/>
          </w:tcPr>
          <w:p>
            <w:pPr>
              <w:ind w:leftChars="0" w:left="0" w:right="0"/>
            </w:pPr>
            <w:r>
              <w:t>CURX</w:t>
            </w:r>
          </w:p>
        </w:tc>
        <w:tc>
          <w:tcPr>
            <w:cnfStyle w:evenVBand="false" w:oddVBand="true" w:firstColumn="false"/>
            <w:tcW w:w="25.000000%" w:type="pct"/>
          </w:tcPr>
          <w:p>
            <w:pPr>
              <w:ind w:leftChars="0" w:left="0" w:right="0"/>
            </w:pPr>
            <w:r>
              <w:t>CUREX FX</w:t>
            </w:r>
          </w:p>
        </w:tc>
        <w:tc>
          <w:tcPr>
            <w:cnfStyle w:evenVBand="true" w:oddVBand="false" w:firstColumn="false"/>
            <w:tcW w:w="25.000000%" w:type="pct"/>
          </w:tcPr>
          <w:p>
            <w:pPr>
              <w:ind w:leftChars="0" w:left="0" w:right="0"/>
            </w:pPr>
            <w:r>
              <w:t>489</w:t>
            </w:r>
          </w:p>
        </w:tc>
      </w:tr>
      <w:tr>
        <w:trPr>
          <w:cnfStyle w:evenHBand="false" w:oddHBand="true" w:firstRow="false"/>
        </w:trPr>
        <w:tc>
          <w:tcPr>
            <w:cnfStyle w:evenVBand="false" w:oddVBand="true" w:firstColumn="false"/>
            <w:tcW w:w="25.000000%" w:type="pct"/>
          </w:tcPr>
          <w:p>
            <w:pPr>
              <w:ind w:leftChars="0" w:left="0" w:right="0"/>
            </w:pPr>
            <w:r>
              <w:t>CXAB</w:t>
            </w:r>
          </w:p>
        </w:tc>
        <w:tc>
          <w:tcPr>
            <w:cnfStyle w:evenVBand="true" w:oddVBand="false" w:firstColumn="false"/>
            <w:tcW w:w="25.000000%" w:type="pct"/>
          </w:tcPr>
          <w:p>
            <w:pPr>
              <w:ind w:leftChars="0" w:left="0" w:right="0"/>
            </w:pPr>
            <w:r>
              <w:t>CXAB</w:t>
            </w:r>
          </w:p>
        </w:tc>
        <w:tc>
          <w:tcPr>
            <w:cnfStyle w:evenVBand="false" w:oddVBand="true" w:firstColumn="false"/>
            <w:tcW w:w="25.000000%" w:type="pct"/>
          </w:tcPr>
          <w:p>
            <w:pPr>
              <w:ind w:leftChars="0" w:left="0" w:right="0"/>
            </w:pPr>
            <w:r>
              <w:t>CBOE AUSTRALIA - BIDS BLOCK TRADE VENUE</w:t>
            </w:r>
          </w:p>
        </w:tc>
        <w:tc>
          <w:tcPr>
            <w:cnfStyle w:evenVBand="true" w:oddVBand="false" w:firstColumn="false"/>
            <w:tcW w:w="25.000000%" w:type="pct"/>
          </w:tcPr>
          <w:p>
            <w:pPr>
              <w:ind w:leftChars="0" w:left="0" w:right="0"/>
            </w:pPr>
            <w:r>
              <w:t>490</w:t>
            </w:r>
          </w:p>
        </w:tc>
      </w:tr>
      <w:tr>
        <w:trPr>
          <w:cnfStyle w:evenHBand="true" w:oddHBand="false" w:firstRow="false"/>
        </w:trPr>
        <w:tc>
          <w:tcPr>
            <w:cnfStyle w:evenVBand="false" w:oddVBand="true" w:firstColumn="false"/>
            <w:tcW w:w="25.000000%" w:type="pct"/>
          </w:tcPr>
          <w:p>
            <w:pPr>
              <w:ind w:leftChars="0" w:left="0" w:right="0"/>
            </w:pPr>
            <w:r>
              <w:t>CXAC</w:t>
            </w:r>
          </w:p>
        </w:tc>
        <w:tc>
          <w:tcPr>
            <w:cnfStyle w:evenVBand="true" w:oddVBand="false" w:firstColumn="false"/>
            <w:tcW w:w="25.000000%" w:type="pct"/>
          </w:tcPr>
          <w:p>
            <w:pPr>
              <w:ind w:leftChars="0" w:left="0" w:right="0"/>
            </w:pPr>
            <w:r>
              <w:t>CXAC</w:t>
            </w:r>
          </w:p>
        </w:tc>
        <w:tc>
          <w:tcPr>
            <w:cnfStyle w:evenVBand="false" w:oddVBand="true" w:firstColumn="false"/>
            <w:tcW w:w="25.000000%" w:type="pct"/>
          </w:tcPr>
          <w:p>
            <w:pPr>
              <w:ind w:leftChars="0" w:left="0" w:right="0"/>
            </w:pPr>
            <w:r>
              <w:t>CBOE AUSTRALIA - LIMIT VENUE</w:t>
            </w:r>
          </w:p>
        </w:tc>
        <w:tc>
          <w:tcPr>
            <w:cnfStyle w:evenVBand="true" w:oddVBand="false" w:firstColumn="false"/>
            <w:tcW w:w="25.000000%" w:type="pct"/>
          </w:tcPr>
          <w:p>
            <w:pPr>
              <w:ind w:leftChars="0" w:left="0" w:right="0"/>
            </w:pPr>
            <w:r>
              <w:t>491</w:t>
            </w:r>
          </w:p>
        </w:tc>
      </w:tr>
      <w:tr>
        <w:trPr>
          <w:cnfStyle w:evenHBand="false" w:oddHBand="true" w:firstRow="false"/>
        </w:trPr>
        <w:tc>
          <w:tcPr>
            <w:cnfStyle w:evenVBand="false" w:oddVBand="true" w:firstColumn="false"/>
            <w:tcW w:w="25.000000%" w:type="pct"/>
          </w:tcPr>
          <w:p>
            <w:pPr>
              <w:ind w:leftChars="0" w:left="0" w:right="0"/>
            </w:pPr>
            <w:r>
              <w:t>CXAF</w:t>
            </w:r>
          </w:p>
        </w:tc>
        <w:tc>
          <w:tcPr>
            <w:cnfStyle w:evenVBand="true" w:oddVBand="false" w:firstColumn="false"/>
            <w:tcW w:w="25.000000%" w:type="pct"/>
          </w:tcPr>
          <w:p>
            <w:pPr>
              <w:ind w:leftChars="0" w:left="0" w:right="0"/>
            </w:pPr>
            <w:r>
              <w:t>CXAF</w:t>
            </w:r>
          </w:p>
        </w:tc>
        <w:tc>
          <w:tcPr>
            <w:cnfStyle w:evenVBand="false" w:oddVBand="true" w:firstColumn="false"/>
            <w:tcW w:w="25.000000%" w:type="pct"/>
          </w:tcPr>
          <w:p>
            <w:pPr>
              <w:ind w:leftChars="0" w:left="0" w:right="0"/>
            </w:pPr>
            <w:r>
              <w:t>CBOE AUSTRALIA MARKET PEG (FARPOINT) VENUE</w:t>
            </w:r>
          </w:p>
        </w:tc>
        <w:tc>
          <w:tcPr>
            <w:cnfStyle w:evenVBand="true" w:oddVBand="false" w:firstColumn="false"/>
            <w:tcW w:w="25.000000%" w:type="pct"/>
          </w:tcPr>
          <w:p>
            <w:pPr>
              <w:ind w:leftChars="0" w:left="0" w:right="0"/>
            </w:pPr>
            <w:r>
              <w:t>492</w:t>
            </w:r>
          </w:p>
        </w:tc>
      </w:tr>
      <w:tr>
        <w:trPr>
          <w:cnfStyle w:evenHBand="true" w:oddHBand="false" w:firstRow="false"/>
        </w:trPr>
        <w:tc>
          <w:tcPr>
            <w:cnfStyle w:evenVBand="false" w:oddVBand="true" w:firstColumn="false"/>
            <w:tcW w:w="25.000000%" w:type="pct"/>
          </w:tcPr>
          <w:p>
            <w:pPr>
              <w:ind w:leftChars="0" w:left="0" w:right="0"/>
            </w:pPr>
            <w:r>
              <w:t>CXAM</w:t>
            </w:r>
          </w:p>
        </w:tc>
        <w:tc>
          <w:tcPr>
            <w:cnfStyle w:evenVBand="true" w:oddVBand="false" w:firstColumn="false"/>
            <w:tcW w:w="25.000000%" w:type="pct"/>
          </w:tcPr>
          <w:p>
            <w:pPr>
              <w:ind w:leftChars="0" w:left="0" w:right="0"/>
            </w:pPr>
            <w:r>
              <w:t>CXAM</w:t>
            </w:r>
          </w:p>
        </w:tc>
        <w:tc>
          <w:tcPr>
            <w:cnfStyle w:evenVBand="false" w:oddVBand="true" w:firstColumn="false"/>
            <w:tcW w:w="25.000000%" w:type="pct"/>
          </w:tcPr>
          <w:p>
            <w:pPr>
              <w:ind w:leftChars="0" w:left="0" w:right="0"/>
            </w:pPr>
            <w:r>
              <w:t>CBOE AUSTRALIA MOC</w:t>
            </w:r>
          </w:p>
        </w:tc>
        <w:tc>
          <w:tcPr>
            <w:cnfStyle w:evenVBand="true" w:oddVBand="false" w:firstColumn="false"/>
            <w:tcW w:w="25.000000%" w:type="pct"/>
          </w:tcPr>
          <w:p>
            <w:pPr>
              <w:ind w:leftChars="0" w:left="0" w:right="0"/>
            </w:pPr>
            <w:r>
              <w:t>493</w:t>
            </w:r>
          </w:p>
        </w:tc>
      </w:tr>
      <w:tr>
        <w:trPr>
          <w:cnfStyle w:evenHBand="false" w:oddHBand="true" w:firstRow="false"/>
        </w:trPr>
        <w:tc>
          <w:tcPr>
            <w:cnfStyle w:evenVBand="false" w:oddVBand="true" w:firstColumn="false"/>
            <w:tcW w:w="25.000000%" w:type="pct"/>
          </w:tcPr>
          <w:p>
            <w:pPr>
              <w:ind w:leftChars="0" w:left="0" w:right="0"/>
            </w:pPr>
            <w:r>
              <w:t>CXAN</w:t>
            </w:r>
          </w:p>
        </w:tc>
        <w:tc>
          <w:tcPr>
            <w:cnfStyle w:evenVBand="true" w:oddVBand="false" w:firstColumn="false"/>
            <w:tcW w:w="25.000000%" w:type="pct"/>
          </w:tcPr>
          <w:p>
            <w:pPr>
              <w:ind w:leftChars="0" w:left="0" w:right="0"/>
            </w:pPr>
            <w:r>
              <w:t>CXAN</w:t>
            </w:r>
          </w:p>
        </w:tc>
        <w:tc>
          <w:tcPr>
            <w:cnfStyle w:evenVBand="false" w:oddVBand="true" w:firstColumn="false"/>
            <w:tcW w:w="25.000000%" w:type="pct"/>
          </w:tcPr>
          <w:p>
            <w:pPr>
              <w:ind w:leftChars="0" w:left="0" w:right="0"/>
            </w:pPr>
            <w:r>
              <w:t>CBOE AUSTRALIA PRIMARY PEG (NEARPOINT) VENUE</w:t>
            </w:r>
          </w:p>
        </w:tc>
        <w:tc>
          <w:tcPr>
            <w:cnfStyle w:evenVBand="true" w:oddVBand="false" w:firstColumn="false"/>
            <w:tcW w:w="25.000000%" w:type="pct"/>
          </w:tcPr>
          <w:p>
            <w:pPr>
              <w:ind w:leftChars="0" w:left="0" w:right="0"/>
            </w:pPr>
            <w:r>
              <w:t>494</w:t>
            </w:r>
          </w:p>
        </w:tc>
      </w:tr>
      <w:tr>
        <w:trPr>
          <w:cnfStyle w:evenHBand="true" w:oddHBand="false" w:firstRow="false"/>
        </w:trPr>
        <w:tc>
          <w:tcPr>
            <w:cnfStyle w:evenVBand="false" w:oddVBand="true" w:firstColumn="false"/>
            <w:tcW w:w="25.000000%" w:type="pct"/>
          </w:tcPr>
          <w:p>
            <w:pPr>
              <w:ind w:leftChars="0" w:left="0" w:right="0"/>
            </w:pPr>
            <w:r>
              <w:t>CXAP</w:t>
            </w:r>
          </w:p>
        </w:tc>
        <w:tc>
          <w:tcPr>
            <w:cnfStyle w:evenVBand="true" w:oddVBand="false" w:firstColumn="false"/>
            <w:tcW w:w="25.000000%" w:type="pct"/>
          </w:tcPr>
          <w:p>
            <w:pPr>
              <w:ind w:leftChars="0" w:left="0" w:right="0"/>
            </w:pPr>
            <w:r>
              <w:t>CXAP</w:t>
            </w:r>
          </w:p>
        </w:tc>
        <w:tc>
          <w:tcPr>
            <w:cnfStyle w:evenVBand="false" w:oddVBand="true" w:firstColumn="false"/>
            <w:tcW w:w="25.000000%" w:type="pct"/>
          </w:tcPr>
          <w:p>
            <w:pPr>
              <w:ind w:leftChars="0" w:left="0" w:right="0"/>
            </w:pPr>
            <w:r>
              <w:t>CBOE AUSTRALIA MID-POINT VENUE</w:t>
            </w:r>
          </w:p>
        </w:tc>
        <w:tc>
          <w:tcPr>
            <w:cnfStyle w:evenVBand="true" w:oddVBand="false" w:firstColumn="false"/>
            <w:tcW w:w="25.000000%" w:type="pct"/>
          </w:tcPr>
          <w:p>
            <w:pPr>
              <w:ind w:leftChars="0" w:left="0" w:right="0"/>
            </w:pPr>
            <w:r>
              <w:t>495</w:t>
            </w:r>
          </w:p>
        </w:tc>
      </w:tr>
      <w:tr>
        <w:trPr>
          <w:cnfStyle w:evenHBand="false" w:oddHBand="true" w:firstRow="false"/>
        </w:trPr>
        <w:tc>
          <w:tcPr>
            <w:cnfStyle w:evenVBand="false" w:oddVBand="true" w:firstColumn="false"/>
            <w:tcW w:w="25.000000%" w:type="pct"/>
          </w:tcPr>
          <w:p>
            <w:pPr>
              <w:ind w:leftChars="0" w:left="0" w:right="0"/>
            </w:pPr>
            <w:r>
              <w:t>CXAQ</w:t>
            </w:r>
          </w:p>
        </w:tc>
        <w:tc>
          <w:tcPr>
            <w:cnfStyle w:evenVBand="true" w:oddVBand="false" w:firstColumn="false"/>
            <w:tcW w:w="25.000000%" w:type="pct"/>
          </w:tcPr>
          <w:p>
            <w:pPr>
              <w:ind w:leftChars="0" w:left="0" w:right="0"/>
            </w:pPr>
            <w:r>
              <w:t>CXAQ</w:t>
            </w:r>
          </w:p>
        </w:tc>
        <w:tc>
          <w:tcPr>
            <w:cnfStyle w:evenVBand="false" w:oddVBand="true" w:firstColumn="false"/>
            <w:tcW w:w="25.000000%" w:type="pct"/>
          </w:tcPr>
          <w:p>
            <w:pPr>
              <w:ind w:leftChars="0" w:left="0" w:right="0"/>
            </w:pPr>
            <w:r>
              <w:t>CBOE AUSTRALIA - QUOTED MANAGED FUNDS</w:t>
            </w:r>
          </w:p>
        </w:tc>
        <w:tc>
          <w:tcPr>
            <w:cnfStyle w:evenVBand="true" w:oddVBand="false" w:firstColumn="false"/>
            <w:tcW w:w="25.000000%" w:type="pct"/>
          </w:tcPr>
          <w:p>
            <w:pPr>
              <w:ind w:leftChars="0" w:left="0" w:right="0"/>
            </w:pPr>
            <w:r>
              <w:t>496</w:t>
            </w:r>
          </w:p>
        </w:tc>
      </w:tr>
      <w:tr>
        <w:trPr>
          <w:cnfStyle w:evenHBand="true" w:oddHBand="false" w:firstRow="false"/>
        </w:trPr>
        <w:tc>
          <w:tcPr>
            <w:cnfStyle w:evenVBand="false" w:oddVBand="true" w:firstColumn="false"/>
            <w:tcW w:w="25.000000%" w:type="pct"/>
          </w:tcPr>
          <w:p>
            <w:pPr>
              <w:ind w:leftChars="0" w:left="0" w:right="0"/>
            </w:pPr>
            <w:r>
              <w:t>CXAR</w:t>
            </w:r>
          </w:p>
        </w:tc>
        <w:tc>
          <w:tcPr>
            <w:cnfStyle w:evenVBand="true" w:oddVBand="false" w:firstColumn="false"/>
            <w:tcW w:w="25.000000%" w:type="pct"/>
          </w:tcPr>
          <w:p>
            <w:pPr>
              <w:ind w:leftChars="0" w:left="0" w:right="0"/>
            </w:pPr>
            <w:r>
              <w:t>CXAR</w:t>
            </w:r>
          </w:p>
        </w:tc>
        <w:tc>
          <w:tcPr>
            <w:cnfStyle w:evenVBand="false" w:oddVBand="true" w:firstColumn="false"/>
            <w:tcW w:w="25.000000%" w:type="pct"/>
          </w:tcPr>
          <w:p>
            <w:pPr>
              <w:ind w:leftChars="0" w:left="0" w:right="0"/>
            </w:pPr>
            <w:r>
              <w:t>CBOE AUSTRALIA - TRANSFERABLE CUSTODY RECEIPT MARKET</w:t>
            </w:r>
          </w:p>
        </w:tc>
        <w:tc>
          <w:tcPr>
            <w:cnfStyle w:evenVBand="true" w:oddVBand="false" w:firstColumn="false"/>
            <w:tcW w:w="25.000000%" w:type="pct"/>
          </w:tcPr>
          <w:p>
            <w:pPr>
              <w:ind w:leftChars="0" w:left="0" w:right="0"/>
            </w:pPr>
            <w:r>
              <w:t>497</w:t>
            </w:r>
          </w:p>
        </w:tc>
      </w:tr>
      <w:tr>
        <w:trPr>
          <w:cnfStyle w:evenHBand="false" w:oddHBand="true" w:firstRow="false"/>
        </w:trPr>
        <w:tc>
          <w:tcPr>
            <w:cnfStyle w:evenVBand="false" w:oddVBand="true" w:firstColumn="false"/>
            <w:tcW w:w="25.000000%" w:type="pct"/>
          </w:tcPr>
          <w:p>
            <w:pPr>
              <w:ind w:leftChars="0" w:left="0" w:right="0"/>
            </w:pPr>
            <w:r>
              <w:t>CXAV</w:t>
            </w:r>
          </w:p>
        </w:tc>
        <w:tc>
          <w:tcPr>
            <w:cnfStyle w:evenVBand="true" w:oddVBand="false" w:firstColumn="false"/>
            <w:tcW w:w="25.000000%" w:type="pct"/>
          </w:tcPr>
          <w:p>
            <w:pPr>
              <w:ind w:leftChars="0" w:left="0" w:right="0"/>
            </w:pPr>
            <w:r>
              <w:t>CXAV</w:t>
            </w:r>
          </w:p>
        </w:tc>
        <w:tc>
          <w:tcPr>
            <w:cnfStyle w:evenVBand="false" w:oddVBand="true" w:firstColumn="false"/>
            <w:tcW w:w="25.000000%" w:type="pct"/>
          </w:tcPr>
          <w:p>
            <w:pPr>
              <w:ind w:leftChars="0" w:left="0" w:right="0"/>
            </w:pPr>
            <w:r>
              <w:t>CBOE AUSTRALIA VWAP</w:t>
            </w:r>
          </w:p>
        </w:tc>
        <w:tc>
          <w:tcPr>
            <w:cnfStyle w:evenVBand="true" w:oddVBand="false" w:firstColumn="false"/>
            <w:tcW w:w="25.000000%" w:type="pct"/>
          </w:tcPr>
          <w:p>
            <w:pPr>
              <w:ind w:leftChars="0" w:left="0" w:right="0"/>
            </w:pPr>
            <w:r>
              <w:t>498</w:t>
            </w:r>
          </w:p>
        </w:tc>
      </w:tr>
      <w:tr>
        <w:trPr>
          <w:cnfStyle w:evenHBand="true" w:oddHBand="false" w:firstRow="false"/>
        </w:trPr>
        <w:tc>
          <w:tcPr>
            <w:cnfStyle w:evenVBand="false" w:oddVBand="true" w:firstColumn="false"/>
            <w:tcW w:w="25.000000%" w:type="pct"/>
          </w:tcPr>
          <w:p>
            <w:pPr>
              <w:ind w:leftChars="0" w:left="0" w:right="0"/>
            </w:pPr>
            <w:r>
              <w:t>CXAW</w:t>
            </w:r>
          </w:p>
        </w:tc>
        <w:tc>
          <w:tcPr>
            <w:cnfStyle w:evenVBand="true" w:oddVBand="false" w:firstColumn="false"/>
            <w:tcW w:w="25.000000%" w:type="pct"/>
          </w:tcPr>
          <w:p>
            <w:pPr>
              <w:ind w:leftChars="0" w:left="0" w:right="0"/>
            </w:pPr>
            <w:r>
              <w:t>CXAW</w:t>
            </w:r>
          </w:p>
        </w:tc>
        <w:tc>
          <w:tcPr>
            <w:cnfStyle w:evenVBand="false" w:oddVBand="true" w:firstColumn="false"/>
            <w:tcW w:w="25.000000%" w:type="pct"/>
          </w:tcPr>
          <w:p>
            <w:pPr>
              <w:ind w:leftChars="0" w:left="0" w:right="0"/>
            </w:pPr>
            <w:r>
              <w:t>CBOE AUSTRALIA - WARRANTS</w:t>
            </w:r>
          </w:p>
        </w:tc>
        <w:tc>
          <w:tcPr>
            <w:cnfStyle w:evenVBand="true" w:oddVBand="false" w:firstColumn="false"/>
            <w:tcW w:w="25.000000%" w:type="pct"/>
          </w:tcPr>
          <w:p>
            <w:pPr>
              <w:ind w:leftChars="0" w:left="0" w:right="0"/>
            </w:pPr>
            <w:r>
              <w:t>499</w:t>
            </w:r>
          </w:p>
        </w:tc>
      </w:tr>
      <w:tr>
        <w:trPr>
          <w:cnfStyle w:evenHBand="false" w:oddHBand="true" w:firstRow="false"/>
        </w:trPr>
        <w:tc>
          <w:tcPr>
            <w:cnfStyle w:evenVBand="false" w:oddVBand="true" w:firstColumn="false"/>
            <w:tcW w:w="25.000000%" w:type="pct"/>
          </w:tcPr>
          <w:p>
            <w:pPr>
              <w:ind w:leftChars="0" w:left="0" w:right="0"/>
            </w:pPr>
            <w:r>
              <w:t>CXAI</w:t>
            </w:r>
          </w:p>
        </w:tc>
        <w:tc>
          <w:tcPr>
            <w:cnfStyle w:evenVBand="true" w:oddVBand="false" w:firstColumn="false"/>
            <w:tcW w:w="25.000000%" w:type="pct"/>
          </w:tcPr>
          <w:p>
            <w:pPr>
              <w:ind w:leftChars="0" w:left="0" w:right="0"/>
            </w:pPr>
            <w:r>
              <w:t>CXAI</w:t>
            </w:r>
          </w:p>
        </w:tc>
        <w:tc>
          <w:tcPr>
            <w:cnfStyle w:evenVBand="false" w:oddVBand="true" w:firstColumn="false"/>
            <w:tcW w:w="25.000000%" w:type="pct"/>
          </w:tcPr>
          <w:p>
            <w:pPr>
              <w:ind w:leftChars="0" w:left="0" w:right="0"/>
            </w:pPr>
            <w:r>
              <w:t>CBOE AUSTRALIA - BIDS PRICE IMPROVEMENT VENUE</w:t>
            </w:r>
          </w:p>
        </w:tc>
        <w:tc>
          <w:tcPr>
            <w:cnfStyle w:evenVBand="true" w:oddVBand="false" w:firstColumn="false"/>
            <w:tcW w:w="25.000000%" w:type="pct"/>
          </w:tcPr>
          <w:p>
            <w:pPr>
              <w:ind w:leftChars="0" w:left="0" w:right="0"/>
            </w:pPr>
            <w:r>
              <w:t>500</w:t>
            </w:r>
          </w:p>
        </w:tc>
      </w:tr>
      <w:tr>
        <w:trPr>
          <w:cnfStyle w:evenHBand="true" w:oddHBand="false" w:firstRow="false"/>
        </w:trPr>
        <w:tc>
          <w:tcPr>
            <w:cnfStyle w:evenVBand="false" w:oddVBand="true" w:firstColumn="false"/>
            <w:tcW w:w="25.000000%" w:type="pct"/>
          </w:tcPr>
          <w:p>
            <w:pPr>
              <w:ind w:leftChars="0" w:left="0" w:right="0"/>
            </w:pPr>
            <w:r>
              <w:t>CXOT</w:t>
            </w:r>
          </w:p>
        </w:tc>
        <w:tc>
          <w:tcPr>
            <w:cnfStyle w:evenVBand="true" w:oddVBand="false" w:firstColumn="false"/>
            <w:tcW w:w="25.000000%" w:type="pct"/>
          </w:tcPr>
          <w:p>
            <w:pPr>
              <w:ind w:leftChars="0" w:left="0" w:right="0"/>
            </w:pPr>
            <w:r>
              <w:t>CXOT</w:t>
            </w:r>
          </w:p>
        </w:tc>
        <w:tc>
          <w:tcPr>
            <w:cnfStyle w:evenVBand="false" w:oddVBand="true" w:firstColumn="false"/>
            <w:tcW w:w="25.000000%" w:type="pct"/>
          </w:tcPr>
          <w:p>
            <w:pPr>
              <w:ind w:leftChars="0" w:left="0" w:right="0"/>
            </w:pPr>
            <w:r>
              <w:t>CREDITEX BROKERAGE LLP - OTF</w:t>
            </w:r>
          </w:p>
        </w:tc>
        <w:tc>
          <w:tcPr>
            <w:cnfStyle w:evenVBand="true" w:oddVBand="false" w:firstColumn="false"/>
            <w:tcW w:w="25.000000%" w:type="pct"/>
          </w:tcPr>
          <w:p>
            <w:pPr>
              <w:ind w:leftChars="0" w:left="0" w:right="0"/>
            </w:pPr>
            <w:r>
              <w:t>501</w:t>
            </w:r>
          </w:p>
        </w:tc>
      </w:tr>
      <w:tr>
        <w:trPr>
          <w:cnfStyle w:evenHBand="false" w:oddHBand="true" w:firstRow="false"/>
        </w:trPr>
        <w:tc>
          <w:tcPr>
            <w:cnfStyle w:evenVBand="false" w:oddVBand="true" w:firstColumn="false"/>
            <w:tcW w:w="25.000000%" w:type="pct"/>
          </w:tcPr>
          <w:p>
            <w:pPr>
              <w:ind w:leftChars="0" w:left="0" w:right="0"/>
            </w:pPr>
            <w:r>
              <w:t>CXRT</w:t>
            </w:r>
          </w:p>
        </w:tc>
        <w:tc>
          <w:tcPr>
            <w:cnfStyle w:evenVBand="true" w:oddVBand="false" w:firstColumn="false"/>
            <w:tcW w:w="25.000000%" w:type="pct"/>
          </w:tcPr>
          <w:p>
            <w:pPr>
              <w:ind w:leftChars="0" w:left="0" w:right="0"/>
            </w:pPr>
            <w:r>
              <w:t>CXRT</w:t>
            </w:r>
          </w:p>
        </w:tc>
        <w:tc>
          <w:tcPr>
            <w:cnfStyle w:evenVBand="false" w:oddVBand="true" w:firstColumn="false"/>
            <w:tcW w:w="25.000000%" w:type="pct"/>
          </w:tcPr>
          <w:p>
            <w:pPr>
              <w:ind w:leftChars="0" w:left="0" w:right="0"/>
            </w:pPr>
            <w:r>
              <w:t>CREDITEX BROKERAGE LLP - MTF</w:t>
            </w:r>
          </w:p>
        </w:tc>
        <w:tc>
          <w:tcPr>
            <w:cnfStyle w:evenVBand="true" w:oddVBand="false" w:firstColumn="false"/>
            <w:tcW w:w="25.000000%" w:type="pct"/>
          </w:tcPr>
          <w:p>
            <w:pPr>
              <w:ind w:leftChars="0" w:left="0" w:right="0"/>
            </w:pPr>
            <w:r>
              <w:t>502</w:t>
            </w:r>
          </w:p>
        </w:tc>
      </w:tr>
      <w:tr>
        <w:trPr>
          <w:cnfStyle w:evenHBand="true" w:oddHBand="false" w:firstRow="false"/>
        </w:trPr>
        <w:tc>
          <w:tcPr>
            <w:cnfStyle w:evenVBand="false" w:oddVBand="true" w:firstColumn="false"/>
            <w:tcW w:w="25.000000%" w:type="pct"/>
          </w:tcPr>
          <w:p>
            <w:pPr>
              <w:ind w:leftChars="0" w:left="0" w:right="0"/>
            </w:pPr>
            <w:r>
              <w:t>DAIW</w:t>
            </w:r>
          </w:p>
        </w:tc>
        <w:tc>
          <w:tcPr>
            <w:cnfStyle w:evenVBand="true" w:oddVBand="false" w:firstColumn="false"/>
            <w:tcW w:w="25.000000%" w:type="pct"/>
          </w:tcPr>
          <w:p>
            <w:pPr>
              <w:ind w:leftChars="0" w:left="0" w:right="0"/>
            </w:pPr>
            <w:r>
              <w:t>DAIW</w:t>
            </w:r>
          </w:p>
        </w:tc>
        <w:tc>
          <w:tcPr>
            <w:cnfStyle w:evenVBand="false" w:oddVBand="true" w:firstColumn="false"/>
            <w:tcW w:w="25.000000%" w:type="pct"/>
          </w:tcPr>
          <w:p>
            <w:pPr>
              <w:ind w:leftChars="0" w:left="0" w:right="0"/>
            </w:pPr>
            <w:r>
              <w:t>DAIWA CAPITAL MARKETS EUROPE LIMITED</w:t>
            </w:r>
          </w:p>
        </w:tc>
        <w:tc>
          <w:tcPr>
            <w:cnfStyle w:evenVBand="true" w:oddVBand="false" w:firstColumn="false"/>
            <w:tcW w:w="25.000000%" w:type="pct"/>
          </w:tcPr>
          <w:p>
            <w:pPr>
              <w:ind w:leftChars="0" w:left="0" w:right="0"/>
            </w:pPr>
            <w:r>
              <w:t>503</w:t>
            </w:r>
          </w:p>
        </w:tc>
      </w:tr>
      <w:tr>
        <w:trPr>
          <w:cnfStyle w:evenHBand="false" w:oddHBand="true" w:firstRow="false"/>
        </w:trPr>
        <w:tc>
          <w:tcPr>
            <w:cnfStyle w:evenVBand="false" w:oddVBand="true" w:firstColumn="false"/>
            <w:tcW w:w="25.000000%" w:type="pct"/>
          </w:tcPr>
          <w:p>
            <w:pPr>
              <w:ind w:leftChars="0" w:left="0" w:right="0"/>
            </w:pPr>
            <w:r>
              <w:t>DAMP</w:t>
            </w:r>
          </w:p>
        </w:tc>
        <w:tc>
          <w:tcPr>
            <w:cnfStyle w:evenVBand="true" w:oddVBand="false" w:firstColumn="false"/>
            <w:tcW w:w="25.000000%" w:type="pct"/>
          </w:tcPr>
          <w:p>
            <w:pPr>
              <w:ind w:leftChars="0" w:left="0" w:right="0"/>
            </w:pPr>
            <w:r>
              <w:t>DAMP</w:t>
            </w:r>
          </w:p>
        </w:tc>
        <w:tc>
          <w:tcPr>
            <w:cnfStyle w:evenVBand="false" w:oddVBand="true" w:firstColumn="false"/>
            <w:tcW w:w="25.000000%" w:type="pct"/>
          </w:tcPr>
          <w:p>
            <w:pPr>
              <w:ind w:leftChars="0" w:left="0" w:right="0"/>
            </w:pPr>
            <w:r>
              <w:t>GXG MARKETS A/S</w:t>
            </w:r>
          </w:p>
        </w:tc>
        <w:tc>
          <w:tcPr>
            <w:cnfStyle w:evenVBand="true" w:oddVBand="false" w:firstColumn="false"/>
            <w:tcW w:w="25.000000%" w:type="pct"/>
          </w:tcPr>
          <w:p>
            <w:pPr>
              <w:ind w:leftChars="0" w:left="0" w:right="0"/>
            </w:pPr>
            <w:r>
              <w:t>504</w:t>
            </w:r>
          </w:p>
        </w:tc>
      </w:tr>
      <w:tr>
        <w:trPr>
          <w:cnfStyle w:evenHBand="true" w:oddHBand="false" w:firstRow="false"/>
        </w:trPr>
        <w:tc>
          <w:tcPr>
            <w:cnfStyle w:evenVBand="false" w:oddVBand="true" w:firstColumn="false"/>
            <w:tcW w:w="25.000000%" w:type="pct"/>
          </w:tcPr>
          <w:p>
            <w:pPr>
              <w:ind w:leftChars="0" w:left="0" w:right="0"/>
            </w:pPr>
            <w:r>
              <w:t>DAPA</w:t>
            </w:r>
          </w:p>
        </w:tc>
        <w:tc>
          <w:tcPr>
            <w:cnfStyle w:evenVBand="true" w:oddVBand="false" w:firstColumn="false"/>
            <w:tcW w:w="25.000000%" w:type="pct"/>
          </w:tcPr>
          <w:p>
            <w:pPr>
              <w:ind w:leftChars="0" w:left="0" w:right="0"/>
            </w:pPr>
            <w:r>
              <w:t>DAPA</w:t>
            </w:r>
          </w:p>
        </w:tc>
        <w:tc>
          <w:tcPr>
            <w:cnfStyle w:evenVBand="false" w:oddVBand="true" w:firstColumn="false"/>
            <w:tcW w:w="25.000000%" w:type="pct"/>
          </w:tcPr>
          <w:p>
            <w:pPr>
              <w:ind w:leftChars="0" w:left="0" w:right="0"/>
            </w:pPr>
            <w:r>
              <w:t>DEUTSCHE BOERSE AG - APA SERVICE</w:t>
            </w:r>
          </w:p>
        </w:tc>
        <w:tc>
          <w:tcPr>
            <w:cnfStyle w:evenVBand="true" w:oddVBand="false" w:firstColumn="false"/>
            <w:tcW w:w="25.000000%" w:type="pct"/>
          </w:tcPr>
          <w:p>
            <w:pPr>
              <w:ind w:leftChars="0" w:left="0" w:right="0"/>
            </w:pPr>
            <w:r>
              <w:t>505</w:t>
            </w:r>
          </w:p>
        </w:tc>
      </w:tr>
      <w:tr>
        <w:trPr>
          <w:cnfStyle w:evenHBand="false" w:oddHBand="true" w:firstRow="false"/>
        </w:trPr>
        <w:tc>
          <w:tcPr>
            <w:cnfStyle w:evenVBand="false" w:oddVBand="true" w:firstColumn="false"/>
            <w:tcW w:w="25.000000%" w:type="pct"/>
          </w:tcPr>
          <w:p>
            <w:pPr>
              <w:ind w:leftChars="0" w:left="0" w:right="0"/>
            </w:pPr>
            <w:r>
              <w:t>DASH</w:t>
            </w:r>
          </w:p>
        </w:tc>
        <w:tc>
          <w:tcPr>
            <w:cnfStyle w:evenVBand="true" w:oddVBand="false" w:firstColumn="false"/>
            <w:tcW w:w="25.000000%" w:type="pct"/>
          </w:tcPr>
          <w:p>
            <w:pPr>
              <w:ind w:leftChars="0" w:left="0" w:right="0"/>
            </w:pPr>
            <w:r>
              <w:t>DASH</w:t>
            </w:r>
          </w:p>
        </w:tc>
        <w:tc>
          <w:tcPr>
            <w:cnfStyle w:evenVBand="false" w:oddVBand="true" w:firstColumn="false"/>
            <w:tcW w:w="25.000000%" w:type="pct"/>
          </w:tcPr>
          <w:p>
            <w:pPr>
              <w:ind w:leftChars="0" w:left="0" w:right="0"/>
            </w:pPr>
            <w:r>
              <w:t>DASH ATS</w:t>
            </w:r>
          </w:p>
        </w:tc>
        <w:tc>
          <w:tcPr>
            <w:cnfStyle w:evenVBand="true" w:oddVBand="false" w:firstColumn="false"/>
            <w:tcW w:w="25.000000%" w:type="pct"/>
          </w:tcPr>
          <w:p>
            <w:pPr>
              <w:ind w:leftChars="0" w:left="0" w:right="0"/>
            </w:pPr>
            <w:r>
              <w:t>506</w:t>
            </w:r>
          </w:p>
        </w:tc>
      </w:tr>
      <w:tr>
        <w:trPr>
          <w:cnfStyle w:evenHBand="true" w:oddHBand="false" w:firstRow="false"/>
        </w:trPr>
        <w:tc>
          <w:tcPr>
            <w:cnfStyle w:evenVBand="false" w:oddVBand="true" w:firstColumn="false"/>
            <w:tcW w:w="25.000000%" w:type="pct"/>
          </w:tcPr>
          <w:p>
            <w:pPr>
              <w:ind w:leftChars="0" w:left="0" w:right="0"/>
            </w:pPr>
            <w:r>
              <w:t>DASI</w:t>
            </w:r>
          </w:p>
        </w:tc>
        <w:tc>
          <w:tcPr>
            <w:cnfStyle w:evenVBand="true" w:oddVBand="false" w:firstColumn="false"/>
            <w:tcW w:w="25.000000%" w:type="pct"/>
          </w:tcPr>
          <w:p>
            <w:pPr>
              <w:ind w:leftChars="0" w:left="0" w:right="0"/>
            </w:pPr>
            <w:r>
              <w:t>DASI</w:t>
            </w:r>
          </w:p>
        </w:tc>
        <w:tc>
          <w:tcPr>
            <w:cnfStyle w:evenVBand="false" w:oddVBand="true" w:firstColumn="false"/>
            <w:tcW w:w="25.000000%" w:type="pct"/>
          </w:tcPr>
          <w:p>
            <w:pPr>
              <w:ind w:leftChars="0" w:left="0" w:right="0"/>
            </w:pPr>
            <w:r>
              <w:t>DANSKE BANK A/S - SYSTEMATIC INTERNALISER</w:t>
            </w:r>
          </w:p>
        </w:tc>
        <w:tc>
          <w:tcPr>
            <w:cnfStyle w:evenVBand="true" w:oddVBand="false" w:firstColumn="false"/>
            <w:tcW w:w="25.000000%" w:type="pct"/>
          </w:tcPr>
          <w:p>
            <w:pPr>
              <w:ind w:leftChars="0" w:left="0" w:right="0"/>
            </w:pPr>
            <w:r>
              <w:t>507</w:t>
            </w:r>
          </w:p>
        </w:tc>
      </w:tr>
      <w:tr>
        <w:trPr>
          <w:cnfStyle w:evenHBand="false" w:oddHBand="true" w:firstRow="false"/>
        </w:trPr>
        <w:tc>
          <w:tcPr>
            <w:cnfStyle w:evenVBand="false" w:oddVBand="true" w:firstColumn="false"/>
            <w:tcW w:w="25.000000%" w:type="pct"/>
          </w:tcPr>
          <w:p>
            <w:pPr>
              <w:ind w:leftChars="0" w:left="0" w:right="0"/>
            </w:pPr>
            <w:r>
              <w:t>DAUK</w:t>
            </w:r>
          </w:p>
        </w:tc>
        <w:tc>
          <w:tcPr>
            <w:cnfStyle w:evenVBand="true" w:oddVBand="false" w:firstColumn="false"/>
            <w:tcW w:w="25.000000%" w:type="pct"/>
          </w:tcPr>
          <w:p>
            <w:pPr>
              <w:ind w:leftChars="0" w:left="0" w:right="0"/>
            </w:pPr>
            <w:r>
              <w:t>DAUK</w:t>
            </w:r>
          </w:p>
        </w:tc>
        <w:tc>
          <w:tcPr>
            <w:cnfStyle w:evenVBand="false" w:oddVBand="true" w:firstColumn="false"/>
            <w:tcW w:w="25.000000%" w:type="pct"/>
          </w:tcPr>
          <w:p>
            <w:pPr>
              <w:ind w:leftChars="0" w:left="0" w:right="0"/>
            </w:pPr>
            <w:r>
              <w:t>DANSKE BANK A/S - LONDON BRANCH - SYSTEMATIC INTERNALISER</w:t>
            </w:r>
          </w:p>
        </w:tc>
        <w:tc>
          <w:tcPr>
            <w:cnfStyle w:evenVBand="true" w:oddVBand="false" w:firstColumn="false"/>
            <w:tcW w:w="25.000000%" w:type="pct"/>
          </w:tcPr>
          <w:p>
            <w:pPr>
              <w:ind w:leftChars="0" w:left="0" w:right="0"/>
            </w:pPr>
            <w:r>
              <w:t>508</w:t>
            </w:r>
          </w:p>
        </w:tc>
      </w:tr>
      <w:tr>
        <w:trPr>
          <w:cnfStyle w:evenHBand="true" w:oddHBand="false" w:firstRow="false"/>
        </w:trPr>
        <w:tc>
          <w:tcPr>
            <w:cnfStyle w:evenVBand="false" w:oddVBand="true" w:firstColumn="false"/>
            <w:tcW w:w="25.000000%" w:type="pct"/>
          </w:tcPr>
          <w:p>
            <w:pPr>
              <w:ind w:leftChars="0" w:left="0" w:right="0"/>
            </w:pPr>
            <w:r>
              <w:t>DAVY</w:t>
            </w:r>
          </w:p>
        </w:tc>
        <w:tc>
          <w:tcPr>
            <w:cnfStyle w:evenVBand="true" w:oddVBand="false" w:firstColumn="false"/>
            <w:tcW w:w="25.000000%" w:type="pct"/>
          </w:tcPr>
          <w:p>
            <w:pPr>
              <w:ind w:leftChars="0" w:left="0" w:right="0"/>
            </w:pPr>
            <w:r>
              <w:t>DAVY</w:t>
            </w:r>
          </w:p>
        </w:tc>
        <w:tc>
          <w:tcPr>
            <w:cnfStyle w:evenVBand="false" w:oddVBand="true" w:firstColumn="false"/>
            <w:tcW w:w="25.000000%" w:type="pct"/>
          </w:tcPr>
          <w:p>
            <w:pPr>
              <w:ind w:leftChars="0" w:left="0" w:right="0"/>
            </w:pPr>
            <w:r>
              <w:t>J AND E DAVY - IRISH GOVERNMENT BOND - SYSTEMATIC INTERNALISER</w:t>
            </w:r>
          </w:p>
        </w:tc>
        <w:tc>
          <w:tcPr>
            <w:cnfStyle w:evenVBand="true" w:oddVBand="false" w:firstColumn="false"/>
            <w:tcW w:w="25.000000%" w:type="pct"/>
          </w:tcPr>
          <w:p>
            <w:pPr>
              <w:ind w:leftChars="0" w:left="0" w:right="0"/>
            </w:pPr>
            <w:r>
              <w:t>509</w:t>
            </w:r>
          </w:p>
        </w:tc>
      </w:tr>
      <w:tr>
        <w:trPr>
          <w:cnfStyle w:evenHBand="false" w:oddHBand="true" w:firstRow="false"/>
        </w:trPr>
        <w:tc>
          <w:tcPr>
            <w:cnfStyle w:evenVBand="false" w:oddVBand="true" w:firstColumn="false"/>
            <w:tcW w:w="25.000000%" w:type="pct"/>
          </w:tcPr>
          <w:p>
            <w:pPr>
              <w:ind w:leftChars="0" w:left="0" w:right="0"/>
            </w:pPr>
            <w:r>
              <w:t>DBAB</w:t>
            </w:r>
          </w:p>
        </w:tc>
        <w:tc>
          <w:tcPr>
            <w:cnfStyle w:evenVBand="true" w:oddVBand="false" w:firstColumn="false"/>
            <w:tcW w:w="25.000000%" w:type="pct"/>
          </w:tcPr>
          <w:p>
            <w:pPr>
              <w:ind w:leftChars="0" w:left="0" w:right="0"/>
            </w:pPr>
            <w:r>
              <w:t>DBAB</w:t>
            </w:r>
          </w:p>
        </w:tc>
        <w:tc>
          <w:tcPr>
            <w:cnfStyle w:evenVBand="false" w:oddVBand="true" w:firstColumn="false"/>
            <w:tcW w:w="25.000000%" w:type="pct"/>
          </w:tcPr>
          <w:p>
            <w:pPr>
              <w:ind w:leftChars="0" w:left="0" w:right="0"/>
            </w:pPr>
            <w:r>
              <w:t>DEUTSCHE BANK SECURITIES INC.</w:t>
            </w:r>
          </w:p>
        </w:tc>
        <w:tc>
          <w:tcPr>
            <w:cnfStyle w:evenVBand="true" w:oddVBand="false" w:firstColumn="false"/>
            <w:tcW w:w="25.000000%" w:type="pct"/>
          </w:tcPr>
          <w:p>
            <w:pPr>
              <w:ind w:leftChars="0" w:left="0" w:right="0"/>
            </w:pPr>
            <w:r>
              <w:t>510</w:t>
            </w:r>
          </w:p>
        </w:tc>
      </w:tr>
      <w:tr>
        <w:trPr>
          <w:cnfStyle w:evenHBand="true" w:oddHBand="false" w:firstRow="false"/>
        </w:trPr>
        <w:tc>
          <w:tcPr>
            <w:cnfStyle w:evenVBand="false" w:oddVBand="true" w:firstColumn="false"/>
            <w:tcW w:w="25.000000%" w:type="pct"/>
          </w:tcPr>
          <w:p>
            <w:pPr>
              <w:ind w:leftChars="0" w:left="0" w:right="0"/>
            </w:pPr>
            <w:r>
              <w:t>DBAG</w:t>
            </w:r>
          </w:p>
        </w:tc>
        <w:tc>
          <w:tcPr>
            <w:cnfStyle w:evenVBand="true" w:oddVBand="false" w:firstColumn="false"/>
            <w:tcW w:w="25.000000%" w:type="pct"/>
          </w:tcPr>
          <w:p>
            <w:pPr>
              <w:ind w:leftChars="0" w:left="0" w:right="0"/>
            </w:pPr>
            <w:r>
              <w:t>DBAG</w:t>
            </w:r>
          </w:p>
        </w:tc>
        <w:tc>
          <w:tcPr>
            <w:cnfStyle w:evenVBand="false" w:oddVBand="true" w:firstColumn="false"/>
            <w:tcW w:w="25.000000%" w:type="pct"/>
          </w:tcPr>
          <w:p>
            <w:pPr>
              <w:ind w:leftChars="0" w:left="0" w:right="0"/>
            </w:pPr>
            <w:r>
              <w:t>DEUTSCHE BANK AG</w:t>
            </w:r>
          </w:p>
        </w:tc>
        <w:tc>
          <w:tcPr>
            <w:cnfStyle w:evenVBand="true" w:oddVBand="false" w:firstColumn="false"/>
            <w:tcW w:w="25.000000%" w:type="pct"/>
          </w:tcPr>
          <w:p>
            <w:pPr>
              <w:ind w:leftChars="0" w:left="0" w:right="0"/>
            </w:pPr>
            <w:r>
              <w:t>511</w:t>
            </w:r>
          </w:p>
        </w:tc>
      </w:tr>
      <w:tr>
        <w:trPr>
          <w:cnfStyle w:evenHBand="false" w:oddHBand="true" w:firstRow="false"/>
        </w:trPr>
        <w:tc>
          <w:tcPr>
            <w:cnfStyle w:evenVBand="false" w:oddVBand="true" w:firstColumn="false"/>
            <w:tcW w:w="25.000000%" w:type="pct"/>
          </w:tcPr>
          <w:p>
            <w:pPr>
              <w:ind w:leftChars="0" w:left="0" w:right="0"/>
            </w:pPr>
            <w:r>
              <w:t>DBCR</w:t>
            </w:r>
          </w:p>
        </w:tc>
        <w:tc>
          <w:tcPr>
            <w:cnfStyle w:evenVBand="true" w:oddVBand="false" w:firstColumn="false"/>
            <w:tcW w:w="25.000000%" w:type="pct"/>
          </w:tcPr>
          <w:p>
            <w:pPr>
              <w:ind w:leftChars="0" w:left="0" w:right="0"/>
            </w:pPr>
            <w:r>
              <w:t>DBCR</w:t>
            </w:r>
          </w:p>
        </w:tc>
        <w:tc>
          <w:tcPr>
            <w:cnfStyle w:evenVBand="false" w:oddVBand="true" w:firstColumn="false"/>
            <w:tcW w:w="25.000000%" w:type="pct"/>
          </w:tcPr>
          <w:p>
            <w:pPr>
              <w:ind w:leftChars="0" w:left="0" w:right="0"/>
            </w:pPr>
            <w:r>
              <w:t>DEUTSCHE BANK - CENTRAL RISK BOOK</w:t>
            </w:r>
          </w:p>
        </w:tc>
        <w:tc>
          <w:tcPr>
            <w:cnfStyle w:evenVBand="true" w:oddVBand="false" w:firstColumn="false"/>
            <w:tcW w:w="25.000000%" w:type="pct"/>
          </w:tcPr>
          <w:p>
            <w:pPr>
              <w:ind w:leftChars="0" w:left="0" w:right="0"/>
            </w:pPr>
            <w:r>
              <w:t>512</w:t>
            </w:r>
          </w:p>
        </w:tc>
      </w:tr>
      <w:tr>
        <w:trPr>
          <w:cnfStyle w:evenHBand="true" w:oddHBand="false" w:firstRow="false"/>
        </w:trPr>
        <w:tc>
          <w:tcPr>
            <w:cnfStyle w:evenVBand="false" w:oddVBand="true" w:firstColumn="false"/>
            <w:tcW w:w="25.000000%" w:type="pct"/>
          </w:tcPr>
          <w:p>
            <w:pPr>
              <w:ind w:leftChars="0" w:left="0" w:right="0"/>
            </w:pPr>
            <w:r>
              <w:t>DBCX</w:t>
            </w:r>
          </w:p>
        </w:tc>
        <w:tc>
          <w:tcPr>
            <w:cnfStyle w:evenVBand="true" w:oddVBand="false" w:firstColumn="false"/>
            <w:tcW w:w="25.000000%" w:type="pct"/>
          </w:tcPr>
          <w:p>
            <w:pPr>
              <w:ind w:leftChars="0" w:left="0" w:right="0"/>
            </w:pPr>
            <w:r>
              <w:t>DBCX</w:t>
            </w:r>
          </w:p>
        </w:tc>
        <w:tc>
          <w:tcPr>
            <w:cnfStyle w:evenVBand="false" w:oddVBand="true" w:firstColumn="false"/>
            <w:tcW w:w="25.000000%" w:type="pct"/>
          </w:tcPr>
          <w:p>
            <w:pPr>
              <w:ind w:leftChars="0" w:left="0" w:right="0"/>
            </w:pPr>
            <w:r>
              <w:t>DEUTSCHE BANK - CLOSE CROSS</w:t>
            </w:r>
          </w:p>
        </w:tc>
        <w:tc>
          <w:tcPr>
            <w:cnfStyle w:evenVBand="true" w:oddVBand="false" w:firstColumn="false"/>
            <w:tcW w:w="25.000000%" w:type="pct"/>
          </w:tcPr>
          <w:p>
            <w:pPr>
              <w:ind w:leftChars="0" w:left="0" w:right="0"/>
            </w:pPr>
            <w:r>
              <w:t>513</w:t>
            </w:r>
          </w:p>
        </w:tc>
      </w:tr>
      <w:tr>
        <w:trPr>
          <w:cnfStyle w:evenHBand="false" w:oddHBand="true" w:firstRow="false"/>
        </w:trPr>
        <w:tc>
          <w:tcPr>
            <w:cnfStyle w:evenVBand="false" w:oddVBand="true" w:firstColumn="false"/>
            <w:tcW w:w="25.000000%" w:type="pct"/>
          </w:tcPr>
          <w:p>
            <w:pPr>
              <w:ind w:leftChars="0" w:left="0" w:right="0"/>
            </w:pPr>
            <w:r>
              <w:t>DBDC</w:t>
            </w:r>
          </w:p>
        </w:tc>
        <w:tc>
          <w:tcPr>
            <w:cnfStyle w:evenVBand="true" w:oddVBand="false" w:firstColumn="false"/>
            <w:tcW w:w="25.000000%" w:type="pct"/>
          </w:tcPr>
          <w:p>
            <w:pPr>
              <w:ind w:leftChars="0" w:left="0" w:right="0"/>
            </w:pPr>
            <w:r>
              <w:t>DBDC</w:t>
            </w:r>
          </w:p>
        </w:tc>
        <w:tc>
          <w:tcPr>
            <w:cnfStyle w:evenVBand="false" w:oddVBand="true" w:firstColumn="false"/>
            <w:tcW w:w="25.000000%" w:type="pct"/>
          </w:tcPr>
          <w:p>
            <w:pPr>
              <w:ind w:leftChars="0" w:left="0" w:right="0"/>
            </w:pPr>
            <w:r>
              <w:t>DEUTSCHE BANK - DIRECT CAPITAL ACCESS</w:t>
            </w:r>
          </w:p>
        </w:tc>
        <w:tc>
          <w:tcPr>
            <w:cnfStyle w:evenVBand="true" w:oddVBand="false" w:firstColumn="false"/>
            <w:tcW w:w="25.000000%" w:type="pct"/>
          </w:tcPr>
          <w:p>
            <w:pPr>
              <w:ind w:leftChars="0" w:left="0" w:right="0"/>
            </w:pPr>
            <w:r>
              <w:t>514</w:t>
            </w:r>
          </w:p>
        </w:tc>
      </w:tr>
      <w:tr>
        <w:trPr>
          <w:cnfStyle w:evenHBand="true" w:oddHBand="false" w:firstRow="false"/>
        </w:trPr>
        <w:tc>
          <w:tcPr>
            <w:cnfStyle w:evenVBand="false" w:oddVBand="true" w:firstColumn="false"/>
            <w:tcW w:w="25.000000%" w:type="pct"/>
          </w:tcPr>
          <w:p>
            <w:pPr>
              <w:ind w:leftChars="0" w:left="0" w:right="0"/>
            </w:pPr>
            <w:r>
              <w:t>DBDX</w:t>
            </w:r>
          </w:p>
        </w:tc>
        <w:tc>
          <w:tcPr>
            <w:cnfStyle w:evenVBand="true" w:oddVBand="false" w:firstColumn="false"/>
            <w:tcW w:w="25.000000%" w:type="pct"/>
          </w:tcPr>
          <w:p>
            <w:pPr>
              <w:ind w:leftChars="0" w:left="0" w:right="0"/>
            </w:pPr>
            <w:r>
              <w:t>DBDX</w:t>
            </w:r>
          </w:p>
        </w:tc>
        <w:tc>
          <w:tcPr>
            <w:cnfStyle w:evenVBand="false" w:oddVBand="true" w:firstColumn="false"/>
            <w:tcW w:w="25.000000%" w:type="pct"/>
          </w:tcPr>
          <w:p>
            <w:pPr>
              <w:ind w:leftChars="0" w:left="0" w:right="0"/>
            </w:pPr>
            <w:r>
              <w:t>DEUTSCHE BOERSE DIGITAL EXCHANGE</w:t>
            </w:r>
          </w:p>
        </w:tc>
        <w:tc>
          <w:tcPr>
            <w:cnfStyle w:evenVBand="true" w:oddVBand="false" w:firstColumn="false"/>
            <w:tcW w:w="25.000000%" w:type="pct"/>
          </w:tcPr>
          <w:p>
            <w:pPr>
              <w:ind w:leftChars="0" w:left="0" w:right="0"/>
            </w:pPr>
            <w:r>
              <w:t>515</w:t>
            </w:r>
          </w:p>
        </w:tc>
      </w:tr>
      <w:tr>
        <w:trPr>
          <w:cnfStyle w:evenHBand="false" w:oddHBand="true" w:firstRow="false"/>
        </w:trPr>
        <w:tc>
          <w:tcPr>
            <w:cnfStyle w:evenVBand="false" w:oddVBand="true" w:firstColumn="false"/>
            <w:tcW w:w="25.000000%" w:type="pct"/>
          </w:tcPr>
          <w:p>
            <w:pPr>
              <w:ind w:leftChars="0" w:left="0" w:right="0"/>
            </w:pPr>
            <w:r>
              <w:t>DBES</w:t>
            </w:r>
          </w:p>
        </w:tc>
        <w:tc>
          <w:tcPr>
            <w:cnfStyle w:evenVBand="true" w:oddVBand="false" w:firstColumn="false"/>
            <w:tcW w:w="25.000000%" w:type="pct"/>
          </w:tcPr>
          <w:p>
            <w:pPr>
              <w:ind w:leftChars="0" w:left="0" w:right="0"/>
            </w:pPr>
            <w:r>
              <w:t>DBES</w:t>
            </w:r>
          </w:p>
        </w:tc>
        <w:tc>
          <w:tcPr>
            <w:cnfStyle w:evenVBand="false" w:oddVBand="true" w:firstColumn="false"/>
            <w:tcW w:w="25.000000%" w:type="pct"/>
          </w:tcPr>
          <w:p>
            <w:pPr>
              <w:ind w:leftChars="0" w:left="0" w:right="0"/>
            </w:pPr>
            <w:r>
              <w:t>DEUTSCHE BANK AG - SYSTEMATIC INTERNALISER</w:t>
            </w:r>
          </w:p>
        </w:tc>
        <w:tc>
          <w:tcPr>
            <w:cnfStyle w:evenVBand="true" w:oddVBand="false" w:firstColumn="false"/>
            <w:tcW w:w="25.000000%" w:type="pct"/>
          </w:tcPr>
          <w:p>
            <w:pPr>
              <w:ind w:leftChars="0" w:left="0" w:right="0"/>
            </w:pPr>
            <w:r>
              <w:t>516</w:t>
            </w:r>
          </w:p>
        </w:tc>
      </w:tr>
      <w:tr>
        <w:trPr>
          <w:cnfStyle w:evenHBand="true" w:oddHBand="false" w:firstRow="false"/>
        </w:trPr>
        <w:tc>
          <w:tcPr>
            <w:cnfStyle w:evenVBand="false" w:oddVBand="true" w:firstColumn="false"/>
            <w:tcW w:w="25.000000%" w:type="pct"/>
          </w:tcPr>
          <w:p>
            <w:pPr>
              <w:ind w:leftChars="0" w:left="0" w:right="0"/>
            </w:pPr>
            <w:r>
              <w:t>DBHK</w:t>
            </w:r>
          </w:p>
        </w:tc>
        <w:tc>
          <w:tcPr>
            <w:cnfStyle w:evenVBand="true" w:oddVBand="false" w:firstColumn="false"/>
            <w:tcW w:w="25.000000%" w:type="pct"/>
          </w:tcPr>
          <w:p>
            <w:pPr>
              <w:ind w:leftChars="0" w:left="0" w:right="0"/>
            </w:pPr>
            <w:r>
              <w:t>DBHK</w:t>
            </w:r>
          </w:p>
        </w:tc>
        <w:tc>
          <w:tcPr>
            <w:cnfStyle w:evenVBand="false" w:oddVBand="true" w:firstColumn="false"/>
            <w:tcW w:w="25.000000%" w:type="pct"/>
          </w:tcPr>
          <w:p>
            <w:pPr>
              <w:ind w:leftChars="0" w:left="0" w:right="0"/>
            </w:pPr>
            <w:r>
              <w:t>DEUTSCHE BANK HONG KONG ATS</w:t>
            </w:r>
          </w:p>
        </w:tc>
        <w:tc>
          <w:tcPr>
            <w:cnfStyle w:evenVBand="true" w:oddVBand="false" w:firstColumn="false"/>
            <w:tcW w:w="25.000000%" w:type="pct"/>
          </w:tcPr>
          <w:p>
            <w:pPr>
              <w:ind w:leftChars="0" w:left="0" w:right="0"/>
            </w:pPr>
            <w:r>
              <w:t>517</w:t>
            </w:r>
          </w:p>
        </w:tc>
      </w:tr>
      <w:tr>
        <w:trPr>
          <w:cnfStyle w:evenHBand="false" w:oddHBand="true" w:firstRow="false"/>
        </w:trPr>
        <w:tc>
          <w:tcPr>
            <w:cnfStyle w:evenVBand="false" w:oddVBand="true" w:firstColumn="false"/>
            <w:tcW w:w="25.000000%" w:type="pct"/>
          </w:tcPr>
          <w:p>
            <w:pPr>
              <w:ind w:leftChars="0" w:left="0" w:right="0"/>
            </w:pPr>
            <w:r>
              <w:t>DBIX</w:t>
            </w:r>
          </w:p>
        </w:tc>
        <w:tc>
          <w:tcPr>
            <w:cnfStyle w:evenVBand="true" w:oddVBand="false" w:firstColumn="false"/>
            <w:tcW w:w="25.000000%" w:type="pct"/>
          </w:tcPr>
          <w:p>
            <w:pPr>
              <w:ind w:leftChars="0" w:left="0" w:right="0"/>
            </w:pPr>
            <w:r>
              <w:t>DBIX</w:t>
            </w:r>
          </w:p>
        </w:tc>
        <w:tc>
          <w:tcPr>
            <w:cnfStyle w:evenVBand="false" w:oddVBand="true" w:firstColumn="false"/>
            <w:tcW w:w="25.000000%" w:type="pct"/>
          </w:tcPr>
          <w:p>
            <w:pPr>
              <w:ind w:leftChars="0" w:left="0" w:right="0"/>
            </w:pPr>
            <w:r>
              <w:t>DEUTSCHE BANK AG - LONDON</w:t>
            </w:r>
          </w:p>
        </w:tc>
        <w:tc>
          <w:tcPr>
            <w:cnfStyle w:evenVBand="true" w:oddVBand="false" w:firstColumn="false"/>
            <w:tcW w:w="25.000000%" w:type="pct"/>
          </w:tcPr>
          <w:p>
            <w:pPr>
              <w:ind w:leftChars="0" w:left="0" w:right="0"/>
            </w:pPr>
            <w:r>
              <w:t>518</w:t>
            </w:r>
          </w:p>
        </w:tc>
      </w:tr>
      <w:tr>
        <w:trPr>
          <w:cnfStyle w:evenHBand="true" w:oddHBand="false" w:firstRow="false"/>
        </w:trPr>
        <w:tc>
          <w:tcPr>
            <w:cnfStyle w:evenVBand="false" w:oddVBand="true" w:firstColumn="false"/>
            <w:tcW w:w="25.000000%" w:type="pct"/>
          </w:tcPr>
          <w:p>
            <w:pPr>
              <w:ind w:leftChars="0" w:left="0" w:right="0"/>
            </w:pPr>
            <w:r>
              <w:t>DBLN</w:t>
            </w:r>
          </w:p>
        </w:tc>
        <w:tc>
          <w:tcPr>
            <w:cnfStyle w:evenVBand="true" w:oddVBand="false" w:firstColumn="false"/>
            <w:tcW w:w="25.000000%" w:type="pct"/>
          </w:tcPr>
          <w:p>
            <w:pPr>
              <w:ind w:leftChars="0" w:left="0" w:right="0"/>
            </w:pPr>
            <w:r>
              <w:t>DBLN</w:t>
            </w:r>
          </w:p>
        </w:tc>
        <w:tc>
          <w:tcPr>
            <w:cnfStyle w:evenVBand="false" w:oddVBand="true" w:firstColumn="false"/>
            <w:tcW w:w="25.000000%" w:type="pct"/>
          </w:tcPr>
          <w:p>
            <w:pPr>
              <w:ind w:leftChars="0" w:left="0" w:right="0"/>
            </w:pPr>
            <w:r>
              <w:t>DEUTSCHE BANK AG - LONDON - SYSTEMATIC INTERNALISER</w:t>
            </w:r>
          </w:p>
        </w:tc>
        <w:tc>
          <w:tcPr>
            <w:cnfStyle w:evenVBand="true" w:oddVBand="false" w:firstColumn="false"/>
            <w:tcW w:w="25.000000%" w:type="pct"/>
          </w:tcPr>
          <w:p>
            <w:pPr>
              <w:ind w:leftChars="0" w:left="0" w:right="0"/>
            </w:pPr>
            <w:r>
              <w:t>519</w:t>
            </w:r>
          </w:p>
        </w:tc>
      </w:tr>
      <w:tr>
        <w:trPr>
          <w:cnfStyle w:evenHBand="false" w:oddHBand="true" w:firstRow="false"/>
        </w:trPr>
        <w:tc>
          <w:tcPr>
            <w:cnfStyle w:evenVBand="false" w:oddVBand="true" w:firstColumn="false"/>
            <w:tcW w:w="25.000000%" w:type="pct"/>
          </w:tcPr>
          <w:p>
            <w:pPr>
              <w:ind w:leftChars="0" w:left="0" w:right="0"/>
            </w:pPr>
            <w:r>
              <w:t>DBLX</w:t>
            </w:r>
          </w:p>
        </w:tc>
        <w:tc>
          <w:tcPr>
            <w:cnfStyle w:evenVBand="true" w:oddVBand="false" w:firstColumn="false"/>
            <w:tcW w:w="25.000000%" w:type="pct"/>
          </w:tcPr>
          <w:p>
            <w:pPr>
              <w:ind w:leftChars="0" w:left="0" w:right="0"/>
            </w:pPr>
            <w:r>
              <w:t>DBLX</w:t>
            </w:r>
          </w:p>
        </w:tc>
        <w:tc>
          <w:tcPr>
            <w:cnfStyle w:evenVBand="false" w:oddVBand="true" w:firstColumn="false"/>
            <w:tcW w:w="25.000000%" w:type="pct"/>
          </w:tcPr>
          <w:p>
            <w:pPr>
              <w:ind w:leftChars="0" w:left="0" w:right="0"/>
            </w:pPr>
            <w:r>
              <w:t>DEUTSCHE BANK LUXEMBOURG S.A.</w:t>
            </w:r>
          </w:p>
        </w:tc>
        <w:tc>
          <w:tcPr>
            <w:cnfStyle w:evenVBand="true" w:oddVBand="false" w:firstColumn="false"/>
            <w:tcW w:w="25.000000%" w:type="pct"/>
          </w:tcPr>
          <w:p>
            <w:pPr>
              <w:ind w:leftChars="0" w:left="0" w:right="0"/>
            </w:pPr>
            <w:r>
              <w:t>520</w:t>
            </w:r>
          </w:p>
        </w:tc>
      </w:tr>
      <w:tr>
        <w:trPr>
          <w:cnfStyle w:evenHBand="true" w:oddHBand="false" w:firstRow="false"/>
        </w:trPr>
        <w:tc>
          <w:tcPr>
            <w:cnfStyle w:evenVBand="false" w:oddVBand="true" w:firstColumn="false"/>
            <w:tcW w:w="25.000000%" w:type="pct"/>
          </w:tcPr>
          <w:p>
            <w:pPr>
              <w:ind w:leftChars="0" w:left="0" w:right="0"/>
            </w:pPr>
            <w:r>
              <w:t>DBMO</w:t>
            </w:r>
          </w:p>
        </w:tc>
        <w:tc>
          <w:tcPr>
            <w:cnfStyle w:evenVBand="true" w:oddVBand="false" w:firstColumn="false"/>
            <w:tcW w:w="25.000000%" w:type="pct"/>
          </w:tcPr>
          <w:p>
            <w:pPr>
              <w:ind w:leftChars="0" w:left="0" w:right="0"/>
            </w:pPr>
            <w:r>
              <w:t>DBMO</w:t>
            </w:r>
          </w:p>
        </w:tc>
        <w:tc>
          <w:tcPr>
            <w:cnfStyle w:evenVBand="false" w:oddVBand="true" w:firstColumn="false"/>
            <w:tcW w:w="25.000000%" w:type="pct"/>
          </w:tcPr>
          <w:p>
            <w:pPr>
              <w:ind w:leftChars="0" w:left="0" w:right="0"/>
            </w:pPr>
            <w:r>
              <w:t>DEUTSCHE BANK - MANUAL OTC</w:t>
            </w:r>
          </w:p>
        </w:tc>
        <w:tc>
          <w:tcPr>
            <w:cnfStyle w:evenVBand="true" w:oddVBand="false" w:firstColumn="false"/>
            <w:tcW w:w="25.000000%" w:type="pct"/>
          </w:tcPr>
          <w:p>
            <w:pPr>
              <w:ind w:leftChars="0" w:left="0" w:right="0"/>
            </w:pPr>
            <w:r>
              <w:t>521</w:t>
            </w:r>
          </w:p>
        </w:tc>
      </w:tr>
      <w:tr>
        <w:trPr>
          <w:cnfStyle w:evenHBand="false" w:oddHBand="true" w:firstRow="false"/>
        </w:trPr>
        <w:tc>
          <w:tcPr>
            <w:cnfStyle w:evenVBand="false" w:oddVBand="true" w:firstColumn="false"/>
            <w:tcW w:w="25.000000%" w:type="pct"/>
          </w:tcPr>
          <w:p>
            <w:pPr>
              <w:ind w:leftChars="0" w:left="0" w:right="0"/>
            </w:pPr>
            <w:r>
              <w:t>DBOX</w:t>
            </w:r>
          </w:p>
        </w:tc>
        <w:tc>
          <w:tcPr>
            <w:cnfStyle w:evenVBand="true" w:oddVBand="false" w:firstColumn="false"/>
            <w:tcW w:w="25.000000%" w:type="pct"/>
          </w:tcPr>
          <w:p>
            <w:pPr>
              <w:ind w:leftChars="0" w:left="0" w:right="0"/>
            </w:pPr>
            <w:r>
              <w:t>DBOX</w:t>
            </w:r>
          </w:p>
        </w:tc>
        <w:tc>
          <w:tcPr>
            <w:cnfStyle w:evenVBand="false" w:oddVBand="true" w:firstColumn="false"/>
            <w:tcW w:w="25.000000%" w:type="pct"/>
          </w:tcPr>
          <w:p>
            <w:pPr>
              <w:ind w:leftChars="0" w:left="0" w:right="0"/>
            </w:pPr>
            <w:r>
              <w:t>DEUTSCHE BANK OFF EXCHANGE TRADING</w:t>
            </w:r>
          </w:p>
        </w:tc>
        <w:tc>
          <w:tcPr>
            <w:cnfStyle w:evenVBand="true" w:oddVBand="false" w:firstColumn="false"/>
            <w:tcW w:w="25.000000%" w:type="pct"/>
          </w:tcPr>
          <w:p>
            <w:pPr>
              <w:ind w:leftChars="0" w:left="0" w:right="0"/>
            </w:pPr>
            <w:r>
              <w:t>522</w:t>
            </w:r>
          </w:p>
        </w:tc>
      </w:tr>
      <w:tr>
        <w:trPr>
          <w:cnfStyle w:evenHBand="true" w:oddHBand="false" w:firstRow="false"/>
        </w:trPr>
        <w:tc>
          <w:tcPr>
            <w:cnfStyle w:evenVBand="false" w:oddVBand="true" w:firstColumn="false"/>
            <w:tcW w:w="25.000000%" w:type="pct"/>
          </w:tcPr>
          <w:p>
            <w:pPr>
              <w:ind w:leftChars="0" w:left="0" w:right="0"/>
            </w:pPr>
            <w:r>
              <w:t>DBSE</w:t>
            </w:r>
          </w:p>
        </w:tc>
        <w:tc>
          <w:tcPr>
            <w:cnfStyle w:evenVBand="true" w:oddVBand="false" w:firstColumn="false"/>
            <w:tcW w:w="25.000000%" w:type="pct"/>
          </w:tcPr>
          <w:p>
            <w:pPr>
              <w:ind w:leftChars="0" w:left="0" w:right="0"/>
            </w:pPr>
            <w:r>
              <w:t>DBSE</w:t>
            </w:r>
          </w:p>
        </w:tc>
        <w:tc>
          <w:tcPr>
            <w:cnfStyle w:evenVBand="false" w:oddVBand="true" w:firstColumn="false"/>
            <w:tcW w:w="25.000000%" w:type="pct"/>
          </w:tcPr>
          <w:p>
            <w:pPr>
              <w:ind w:leftChars="0" w:left="0" w:right="0"/>
            </w:pPr>
            <w:r>
              <w:t>DEUTSCHE BANK - SUPERX EU</w:t>
            </w:r>
          </w:p>
        </w:tc>
        <w:tc>
          <w:tcPr>
            <w:cnfStyle w:evenVBand="true" w:oddVBand="false" w:firstColumn="false"/>
            <w:tcW w:w="25.000000%" w:type="pct"/>
          </w:tcPr>
          <w:p>
            <w:pPr>
              <w:ind w:leftChars="0" w:left="0" w:right="0"/>
            </w:pPr>
            <w:r>
              <w:t>523</w:t>
            </w:r>
          </w:p>
        </w:tc>
      </w:tr>
      <w:tr>
        <w:trPr>
          <w:cnfStyle w:evenHBand="false" w:oddHBand="true" w:firstRow="false"/>
        </w:trPr>
        <w:tc>
          <w:tcPr>
            <w:cnfStyle w:evenVBand="false" w:oddVBand="true" w:firstColumn="false"/>
            <w:tcW w:w="25.000000%" w:type="pct"/>
          </w:tcPr>
          <w:p>
            <w:pPr>
              <w:ind w:leftChars="0" w:left="0" w:right="0"/>
            </w:pPr>
            <w:r>
              <w:t>DBSX</w:t>
            </w:r>
          </w:p>
        </w:tc>
        <w:tc>
          <w:tcPr>
            <w:cnfStyle w:evenVBand="true" w:oddVBand="false" w:firstColumn="false"/>
            <w:tcW w:w="25.000000%" w:type="pct"/>
          </w:tcPr>
          <w:p>
            <w:pPr>
              <w:ind w:leftChars="0" w:left="0" w:right="0"/>
            </w:pPr>
            <w:r>
              <w:t>DBSX</w:t>
            </w:r>
          </w:p>
        </w:tc>
        <w:tc>
          <w:tcPr>
            <w:cnfStyle w:evenVBand="false" w:oddVBand="true" w:firstColumn="false"/>
            <w:tcW w:w="25.000000%" w:type="pct"/>
          </w:tcPr>
          <w:p>
            <w:pPr>
              <w:ind w:leftChars="0" w:left="0" w:right="0"/>
            </w:pPr>
            <w:r>
              <w:t>DEUTSCHE BANK SUPER X</w:t>
            </w:r>
          </w:p>
        </w:tc>
        <w:tc>
          <w:tcPr>
            <w:cnfStyle w:evenVBand="true" w:oddVBand="false" w:firstColumn="false"/>
            <w:tcW w:w="25.000000%" w:type="pct"/>
          </w:tcPr>
          <w:p>
            <w:pPr>
              <w:ind w:leftChars="0" w:left="0" w:right="0"/>
            </w:pPr>
            <w:r>
              <w:t>524</w:t>
            </w:r>
          </w:p>
        </w:tc>
      </w:tr>
      <w:tr>
        <w:trPr>
          <w:cnfStyle w:evenHBand="true" w:oddHBand="false" w:firstRow="false"/>
        </w:trPr>
        <w:tc>
          <w:tcPr>
            <w:cnfStyle w:evenVBand="false" w:oddVBand="true" w:firstColumn="false"/>
            <w:tcW w:w="25.000000%" w:type="pct"/>
          </w:tcPr>
          <w:p>
            <w:pPr>
              <w:ind w:leftChars="0" w:left="0" w:right="0"/>
            </w:pPr>
            <w:r>
              <w:t>DBVX</w:t>
            </w:r>
          </w:p>
        </w:tc>
        <w:tc>
          <w:tcPr>
            <w:cnfStyle w:evenVBand="true" w:oddVBand="false" w:firstColumn="false"/>
            <w:tcW w:w="25.000000%" w:type="pct"/>
          </w:tcPr>
          <w:p>
            <w:pPr>
              <w:ind w:leftChars="0" w:left="0" w:right="0"/>
            </w:pPr>
            <w:r>
              <w:t>DBVX</w:t>
            </w:r>
          </w:p>
        </w:tc>
        <w:tc>
          <w:tcPr>
            <w:cnfStyle w:evenVBand="false" w:oddVBand="true" w:firstColumn="false"/>
            <w:tcW w:w="25.000000%" w:type="pct"/>
          </w:tcPr>
          <w:p>
            <w:pPr>
              <w:ind w:leftChars="0" w:left="0" w:right="0"/>
            </w:pPr>
            <w:r>
              <w:t>DBV-X</w:t>
            </w:r>
          </w:p>
        </w:tc>
        <w:tc>
          <w:tcPr>
            <w:cnfStyle w:evenVBand="true" w:oddVBand="false" w:firstColumn="false"/>
            <w:tcW w:w="25.000000%" w:type="pct"/>
          </w:tcPr>
          <w:p>
            <w:pPr>
              <w:ind w:leftChars="0" w:left="0" w:right="0"/>
            </w:pPr>
            <w:r>
              <w:t>525</w:t>
            </w:r>
          </w:p>
        </w:tc>
      </w:tr>
      <w:tr>
        <w:trPr>
          <w:cnfStyle w:evenHBand="false" w:oddHBand="true" w:firstRow="false"/>
        </w:trPr>
        <w:tc>
          <w:tcPr>
            <w:cnfStyle w:evenVBand="false" w:oddVBand="true" w:firstColumn="false"/>
            <w:tcW w:w="25.000000%" w:type="pct"/>
          </w:tcPr>
          <w:p>
            <w:pPr>
              <w:ind w:leftChars="0" w:left="0" w:right="0"/>
            </w:pPr>
            <w:r>
              <w:t>DCSE</w:t>
            </w:r>
          </w:p>
        </w:tc>
        <w:tc>
          <w:tcPr>
            <w:cnfStyle w:evenVBand="true" w:oddVBand="false" w:firstColumn="false"/>
            <w:tcW w:w="25.000000%" w:type="pct"/>
          </w:tcPr>
          <w:p>
            <w:pPr>
              <w:ind w:leftChars="0" w:left="0" w:right="0"/>
            </w:pPr>
            <w:r>
              <w:t>DCSE</w:t>
            </w:r>
          </w:p>
        </w:tc>
        <w:tc>
          <w:tcPr>
            <w:cnfStyle w:evenVBand="false" w:oddVBand="true" w:firstColumn="false"/>
            <w:tcW w:w="25.000000%" w:type="pct"/>
          </w:tcPr>
          <w:p>
            <w:pPr>
              <w:ind w:leftChars="0" w:left="0" w:right="0"/>
            </w:pPr>
            <w:r>
              <w:t xml:space="preserve">NASDAQ COPENHAGEN A/S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526</w:t>
            </w:r>
          </w:p>
        </w:tc>
      </w:tr>
      <w:tr>
        <w:trPr>
          <w:cnfStyle w:evenHBand="true" w:oddHBand="false" w:firstRow="false"/>
        </w:trPr>
        <w:tc>
          <w:tcPr>
            <w:cnfStyle w:evenVBand="false" w:oddVBand="true" w:firstColumn="false"/>
            <w:tcW w:w="25.000000%" w:type="pct"/>
          </w:tcPr>
          <w:p>
            <w:pPr>
              <w:ind w:leftChars="0" w:left="0" w:right="0"/>
            </w:pPr>
            <w:r>
              <w:t>DCSX</w:t>
            </w:r>
          </w:p>
        </w:tc>
        <w:tc>
          <w:tcPr>
            <w:cnfStyle w:evenVBand="true" w:oddVBand="false" w:firstColumn="false"/>
            <w:tcW w:w="25.000000%" w:type="pct"/>
          </w:tcPr>
          <w:p>
            <w:pPr>
              <w:ind w:leftChars="0" w:left="0" w:right="0"/>
            </w:pPr>
            <w:r>
              <w:t>DCSX</w:t>
            </w:r>
          </w:p>
        </w:tc>
        <w:tc>
          <w:tcPr>
            <w:cnfStyle w:evenVBand="false" w:oddVBand="true" w:firstColumn="false"/>
            <w:tcW w:w="25.000000%" w:type="pct"/>
          </w:tcPr>
          <w:p>
            <w:pPr>
              <w:ind w:leftChars="0" w:left="0" w:right="0"/>
            </w:pPr>
            <w:r>
              <w:t>DUTCH CARIBBEAN SECURITIES EXCHANGE</w:t>
            </w:r>
          </w:p>
        </w:tc>
        <w:tc>
          <w:tcPr>
            <w:cnfStyle w:evenVBand="true" w:oddVBand="false" w:firstColumn="false"/>
            <w:tcW w:w="25.000000%" w:type="pct"/>
          </w:tcPr>
          <w:p>
            <w:pPr>
              <w:ind w:leftChars="0" w:left="0" w:right="0"/>
            </w:pPr>
            <w:r>
              <w:t>527</w:t>
            </w:r>
          </w:p>
        </w:tc>
      </w:tr>
      <w:tr>
        <w:trPr>
          <w:cnfStyle w:evenHBand="false" w:oddHBand="true" w:firstRow="false"/>
        </w:trPr>
        <w:tc>
          <w:tcPr>
            <w:cnfStyle w:evenVBand="false" w:oddVBand="true" w:firstColumn="false"/>
            <w:tcW w:w="25.000000%" w:type="pct"/>
          </w:tcPr>
          <w:p>
            <w:pPr>
              <w:ind w:leftChars="0" w:left="0" w:right="0"/>
            </w:pPr>
            <w:r>
              <w:t>DDTX</w:t>
            </w:r>
          </w:p>
        </w:tc>
        <w:tc>
          <w:tcPr>
            <w:cnfStyle w:evenVBand="true" w:oddVBand="false" w:firstColumn="false"/>
            <w:tcW w:w="25.000000%" w:type="pct"/>
          </w:tcPr>
          <w:p>
            <w:pPr>
              <w:ind w:leftChars="0" w:left="0" w:right="0"/>
            </w:pPr>
            <w:r>
              <w:t>DDTX</w:t>
            </w:r>
          </w:p>
        </w:tc>
        <w:tc>
          <w:tcPr>
            <w:cnfStyle w:evenVBand="false" w:oddVBand="true" w:firstColumn="false"/>
            <w:tcW w:w="25.000000%" w:type="pct"/>
          </w:tcPr>
          <w:p>
            <w:pPr>
              <w:ind w:leftChars="0" w:left="0" w:right="0"/>
            </w:pPr>
            <w:r>
              <w:t>DEAL DONE TRADING - SYSTEMATIC INTERNALISER</w:t>
            </w:r>
          </w:p>
        </w:tc>
        <w:tc>
          <w:tcPr>
            <w:cnfStyle w:evenVBand="true" w:oddVBand="false" w:firstColumn="false"/>
            <w:tcW w:w="25.000000%" w:type="pct"/>
          </w:tcPr>
          <w:p>
            <w:pPr>
              <w:ind w:leftChars="0" w:left="0" w:right="0"/>
            </w:pPr>
            <w:r>
              <w:t>528</w:t>
            </w:r>
          </w:p>
        </w:tc>
      </w:tr>
      <w:tr>
        <w:trPr>
          <w:cnfStyle w:evenHBand="true" w:oddHBand="false" w:firstRow="false"/>
        </w:trPr>
        <w:tc>
          <w:tcPr>
            <w:cnfStyle w:evenVBand="false" w:oddVBand="true" w:firstColumn="false"/>
            <w:tcW w:w="25.000000%" w:type="pct"/>
          </w:tcPr>
          <w:p>
            <w:pPr>
              <w:ind w:leftChars="0" w:left="0" w:right="0"/>
            </w:pPr>
            <w:r>
              <w:t>DEAL</w:t>
            </w:r>
          </w:p>
        </w:tc>
        <w:tc>
          <w:tcPr>
            <w:cnfStyle w:evenVBand="true" w:oddVBand="false" w:firstColumn="false"/>
            <w:tcW w:w="25.000000%" w:type="pct"/>
          </w:tcPr>
          <w:p>
            <w:pPr>
              <w:ind w:leftChars="0" w:left="0" w:right="0"/>
            </w:pPr>
            <w:r>
              <w:t>DEAL</w:t>
            </w:r>
          </w:p>
        </w:tc>
        <w:tc>
          <w:tcPr>
            <w:cnfStyle w:evenVBand="false" w:oddVBand="true" w:firstColumn="false"/>
            <w:tcW w:w="25.000000%" w:type="pct"/>
          </w:tcPr>
          <w:p>
            <w:pPr>
              <w:ind w:leftChars="0" w:left="0" w:right="0"/>
            </w:pPr>
            <w:r>
              <w:t>DCX (DERIVATIVES CURRENCY EXCHANGE)</w:t>
            </w:r>
          </w:p>
        </w:tc>
        <w:tc>
          <w:tcPr>
            <w:cnfStyle w:evenVBand="true" w:oddVBand="false" w:firstColumn="false"/>
            <w:tcW w:w="25.000000%" w:type="pct"/>
          </w:tcPr>
          <w:p>
            <w:pPr>
              <w:ind w:leftChars="0" w:left="0" w:right="0"/>
            </w:pPr>
            <w:r>
              <w:t>529</w:t>
            </w:r>
          </w:p>
        </w:tc>
      </w:tr>
      <w:tr>
        <w:trPr>
          <w:cnfStyle w:evenHBand="false" w:oddHBand="true" w:firstRow="false"/>
        </w:trPr>
        <w:tc>
          <w:tcPr>
            <w:cnfStyle w:evenVBand="false" w:oddVBand="true" w:firstColumn="false"/>
            <w:tcW w:w="25.000000%" w:type="pct"/>
          </w:tcPr>
          <w:p>
            <w:pPr>
              <w:ind w:leftChars="0" w:left="0" w:right="0"/>
            </w:pPr>
            <w:r>
              <w:t>DEKA</w:t>
            </w:r>
          </w:p>
        </w:tc>
        <w:tc>
          <w:tcPr>
            <w:cnfStyle w:evenVBand="true" w:oddVBand="false" w:firstColumn="false"/>
            <w:tcW w:w="25.000000%" w:type="pct"/>
          </w:tcPr>
          <w:p>
            <w:pPr>
              <w:ind w:leftChars="0" w:left="0" w:right="0"/>
            </w:pPr>
            <w:r>
              <w:t>DEKA</w:t>
            </w:r>
          </w:p>
        </w:tc>
        <w:tc>
          <w:tcPr>
            <w:cnfStyle w:evenVBand="false" w:oddVBand="true" w:firstColumn="false"/>
            <w:tcW w:w="25.000000%" w:type="pct"/>
          </w:tcPr>
          <w:p>
            <w:pPr>
              <w:ind w:leftChars="0" w:left="0" w:right="0"/>
            </w:pPr>
            <w:r>
              <w:t>DEKABANK DEUTSCHE GIROZENTRALE</w:t>
            </w:r>
          </w:p>
        </w:tc>
        <w:tc>
          <w:tcPr>
            <w:cnfStyle w:evenVBand="true" w:oddVBand="false" w:firstColumn="false"/>
            <w:tcW w:w="25.000000%" w:type="pct"/>
          </w:tcPr>
          <w:p>
            <w:pPr>
              <w:ind w:leftChars="0" w:left="0" w:right="0"/>
            </w:pPr>
            <w:r>
              <w:t>530</w:t>
            </w:r>
          </w:p>
        </w:tc>
      </w:tr>
      <w:tr>
        <w:trPr>
          <w:cnfStyle w:evenHBand="true" w:oddHBand="false" w:firstRow="false"/>
        </w:trPr>
        <w:tc>
          <w:tcPr>
            <w:cnfStyle w:evenVBand="false" w:oddVBand="true" w:firstColumn="false"/>
            <w:tcW w:w="25.000000%" w:type="pct"/>
          </w:tcPr>
          <w:p>
            <w:pPr>
              <w:ind w:leftChars="0" w:left="0" w:right="0"/>
            </w:pPr>
            <w:r>
              <w:t>DEXE</w:t>
            </w:r>
          </w:p>
        </w:tc>
        <w:tc>
          <w:tcPr>
            <w:cnfStyle w:evenVBand="true" w:oddVBand="false" w:firstColumn="false"/>
            <w:tcW w:w="25.000000%" w:type="pct"/>
          </w:tcPr>
          <w:p>
            <w:pPr>
              <w:ind w:leftChars="0" w:left="0" w:right="0"/>
            </w:pPr>
            <w:r>
              <w:t>DEXE</w:t>
            </w:r>
          </w:p>
        </w:tc>
        <w:tc>
          <w:tcPr>
            <w:cnfStyle w:evenVBand="false" w:oddVBand="true" w:firstColumn="false"/>
            <w:tcW w:w="25.000000%" w:type="pct"/>
          </w:tcPr>
          <w:p>
            <w:pPr>
              <w:ind w:leftChars="0" w:left="0" w:right="0"/>
            </w:pPr>
            <w:r>
              <w:t>DEX LIMITED</w:t>
            </w:r>
          </w:p>
        </w:tc>
        <w:tc>
          <w:tcPr>
            <w:cnfStyle w:evenVBand="true" w:oddVBand="false" w:firstColumn="false"/>
            <w:tcW w:w="25.000000%" w:type="pct"/>
          </w:tcPr>
          <w:p>
            <w:pPr>
              <w:ind w:leftChars="0" w:left="0" w:right="0"/>
            </w:pPr>
            <w:r>
              <w:t>531</w:t>
            </w:r>
          </w:p>
        </w:tc>
      </w:tr>
      <w:tr>
        <w:trPr>
          <w:cnfStyle w:evenHBand="false" w:oddHBand="true" w:firstRow="false"/>
        </w:trPr>
        <w:tc>
          <w:tcPr>
            <w:cnfStyle w:evenVBand="false" w:oddVBand="true" w:firstColumn="false"/>
            <w:tcW w:w="25.000000%" w:type="pct"/>
          </w:tcPr>
          <w:p>
            <w:pPr>
              <w:ind w:leftChars="0" w:left="0" w:right="0"/>
            </w:pPr>
            <w:r>
              <w:t>DGCX</w:t>
            </w:r>
          </w:p>
        </w:tc>
        <w:tc>
          <w:tcPr>
            <w:cnfStyle w:evenVBand="true" w:oddVBand="false" w:firstColumn="false"/>
            <w:tcW w:w="25.000000%" w:type="pct"/>
          </w:tcPr>
          <w:p>
            <w:pPr>
              <w:ind w:leftChars="0" w:left="0" w:right="0"/>
            </w:pPr>
            <w:r>
              <w:t>DGCX</w:t>
            </w:r>
          </w:p>
        </w:tc>
        <w:tc>
          <w:tcPr>
            <w:cnfStyle w:evenVBand="false" w:oddVBand="true" w:firstColumn="false"/>
            <w:tcW w:w="25.000000%" w:type="pct"/>
          </w:tcPr>
          <w:p>
            <w:pPr>
              <w:ind w:leftChars="0" w:left="0" w:right="0"/>
            </w:pPr>
            <w:r>
              <w:t>DUBAI GOLD &amp; COMMODITIES EXCHANGE DMCC</w:t>
            </w:r>
          </w:p>
        </w:tc>
        <w:tc>
          <w:tcPr>
            <w:cnfStyle w:evenVBand="true" w:oddVBand="false" w:firstColumn="false"/>
            <w:tcW w:w="25.000000%" w:type="pct"/>
          </w:tcPr>
          <w:p>
            <w:pPr>
              <w:ind w:leftChars="0" w:left="0" w:right="0"/>
            </w:pPr>
            <w:r>
              <w:t>532</w:t>
            </w:r>
          </w:p>
        </w:tc>
      </w:tr>
      <w:tr>
        <w:trPr>
          <w:cnfStyle w:evenHBand="true" w:oddHBand="false" w:firstRow="false"/>
        </w:trPr>
        <w:tc>
          <w:tcPr>
            <w:cnfStyle w:evenVBand="false" w:oddVBand="true" w:firstColumn="false"/>
            <w:tcW w:w="25.000000%" w:type="pct"/>
          </w:tcPr>
          <w:p>
            <w:pPr>
              <w:ind w:leftChars="0" w:left="0" w:right="0"/>
            </w:pPr>
            <w:r>
              <w:t>DHEL</w:t>
            </w:r>
          </w:p>
        </w:tc>
        <w:tc>
          <w:tcPr>
            <w:cnfStyle w:evenVBand="true" w:oddVBand="false" w:firstColumn="false"/>
            <w:tcW w:w="25.000000%" w:type="pct"/>
          </w:tcPr>
          <w:p>
            <w:pPr>
              <w:ind w:leftChars="0" w:left="0" w:right="0"/>
            </w:pPr>
            <w:r>
              <w:t>DHEL</w:t>
            </w:r>
          </w:p>
        </w:tc>
        <w:tc>
          <w:tcPr>
            <w:cnfStyle w:evenVBand="false" w:oddVBand="true" w:firstColumn="false"/>
            <w:tcW w:w="25.000000%" w:type="pct"/>
          </w:tcPr>
          <w:p>
            <w:pPr>
              <w:ind w:leftChars="0" w:left="0" w:right="0"/>
            </w:pPr>
            <w:r>
              <w:t xml:space="preserve">NASDAQ HELSINKI LTD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533</w:t>
            </w:r>
          </w:p>
        </w:tc>
      </w:tr>
      <w:tr>
        <w:trPr>
          <w:cnfStyle w:evenHBand="false" w:oddHBand="true" w:firstRow="false"/>
        </w:trPr>
        <w:tc>
          <w:tcPr>
            <w:cnfStyle w:evenVBand="false" w:oddVBand="true" w:firstColumn="false"/>
            <w:tcW w:w="25.000000%" w:type="pct"/>
          </w:tcPr>
          <w:p>
            <w:pPr>
              <w:ind w:leftChars="0" w:left="0" w:right="0"/>
            </w:pPr>
            <w:r>
              <w:t>DHLX</w:t>
            </w:r>
          </w:p>
        </w:tc>
        <w:tc>
          <w:tcPr>
            <w:cnfStyle w:evenVBand="true" w:oddVBand="false" w:firstColumn="false"/>
            <w:tcW w:w="25.000000%" w:type="pct"/>
          </w:tcPr>
          <w:p>
            <w:pPr>
              <w:ind w:leftChars="0" w:left="0" w:right="0"/>
            </w:pPr>
            <w:r>
              <w:t>DHLX</w:t>
            </w:r>
          </w:p>
        </w:tc>
        <w:tc>
          <w:tcPr>
            <w:cnfStyle w:evenVBand="false" w:oddVBand="true" w:firstColumn="false"/>
            <w:tcW w:w="25.000000%" w:type="pct"/>
          </w:tcPr>
          <w:p>
            <w:pPr>
              <w:ind w:leftChars="0" w:left="0" w:right="0"/>
            </w:pPr>
            <w:r>
              <w:t>DEUTSCHE HOLDINGS (LUXEMBOURG) S.A R.L.</w:t>
            </w:r>
          </w:p>
        </w:tc>
        <w:tc>
          <w:tcPr>
            <w:cnfStyle w:evenVBand="true" w:oddVBand="false" w:firstColumn="false"/>
            <w:tcW w:w="25.000000%" w:type="pct"/>
          </w:tcPr>
          <w:p>
            <w:pPr>
              <w:ind w:leftChars="0" w:left="0" w:right="0"/>
            </w:pPr>
            <w:r>
              <w:t>534</w:t>
            </w:r>
          </w:p>
        </w:tc>
      </w:tr>
      <w:tr>
        <w:trPr>
          <w:cnfStyle w:evenHBand="true" w:oddHBand="false" w:firstRow="false"/>
        </w:trPr>
        <w:tc>
          <w:tcPr>
            <w:cnfStyle w:evenVBand="false" w:oddVBand="true" w:firstColumn="false"/>
            <w:tcW w:w="25.000000%" w:type="pct"/>
          </w:tcPr>
          <w:p>
            <w:pPr>
              <w:ind w:leftChars="0" w:left="0" w:right="0"/>
            </w:pPr>
            <w:r>
              <w:t>DICE</w:t>
            </w:r>
          </w:p>
        </w:tc>
        <w:tc>
          <w:tcPr>
            <w:cnfStyle w:evenVBand="true" w:oddVBand="false" w:firstColumn="false"/>
            <w:tcW w:w="25.000000%" w:type="pct"/>
          </w:tcPr>
          <w:p>
            <w:pPr>
              <w:ind w:leftChars="0" w:left="0" w:right="0"/>
            </w:pPr>
            <w:r>
              <w:t>DICE</w:t>
            </w:r>
          </w:p>
        </w:tc>
        <w:tc>
          <w:tcPr>
            <w:cnfStyle w:evenVBand="false" w:oddVBand="true" w:firstColumn="false"/>
            <w:tcW w:w="25.000000%" w:type="pct"/>
          </w:tcPr>
          <w:p>
            <w:pPr>
              <w:ind w:leftChars="0" w:left="0" w:right="0"/>
            </w:pPr>
            <w:r>
              <w:t xml:space="preserve">NASDAQ ICELAND HF.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535</w:t>
            </w:r>
          </w:p>
        </w:tc>
      </w:tr>
      <w:tr>
        <w:trPr>
          <w:cnfStyle w:evenHBand="false" w:oddHBand="true" w:firstRow="false"/>
        </w:trPr>
        <w:tc>
          <w:tcPr>
            <w:cnfStyle w:evenVBand="false" w:oddVBand="true" w:firstColumn="false"/>
            <w:tcW w:w="25.000000%" w:type="pct"/>
          </w:tcPr>
          <w:p>
            <w:pPr>
              <w:ind w:leftChars="0" w:left="0" w:right="0"/>
            </w:pPr>
            <w:r>
              <w:t>DIFX</w:t>
            </w:r>
          </w:p>
        </w:tc>
        <w:tc>
          <w:tcPr>
            <w:cnfStyle w:evenVBand="true" w:oddVBand="false" w:firstColumn="false"/>
            <w:tcW w:w="25.000000%" w:type="pct"/>
          </w:tcPr>
          <w:p>
            <w:pPr>
              <w:ind w:leftChars="0" w:left="0" w:right="0"/>
            </w:pPr>
            <w:r>
              <w:t>DIFX</w:t>
            </w:r>
          </w:p>
        </w:tc>
        <w:tc>
          <w:tcPr>
            <w:cnfStyle w:evenVBand="false" w:oddVBand="true" w:firstColumn="false"/>
            <w:tcW w:w="25.000000%" w:type="pct"/>
          </w:tcPr>
          <w:p>
            <w:pPr>
              <w:ind w:leftChars="0" w:left="0" w:right="0"/>
            </w:pPr>
            <w:r>
              <w:t>NASDAQ DUBAI</w:t>
            </w:r>
          </w:p>
        </w:tc>
        <w:tc>
          <w:tcPr>
            <w:cnfStyle w:evenVBand="true" w:oddVBand="false" w:firstColumn="false"/>
            <w:tcW w:w="25.000000%" w:type="pct"/>
          </w:tcPr>
          <w:p>
            <w:pPr>
              <w:ind w:leftChars="0" w:left="0" w:right="0"/>
            </w:pPr>
            <w:r>
              <w:t>536</w:t>
            </w:r>
          </w:p>
        </w:tc>
      </w:tr>
      <w:tr>
        <w:trPr>
          <w:cnfStyle w:evenHBand="true" w:oddHBand="false" w:firstRow="false"/>
        </w:trPr>
        <w:tc>
          <w:tcPr>
            <w:cnfStyle w:evenVBand="false" w:oddVBand="true" w:firstColumn="false"/>
            <w:tcW w:w="25.000000%" w:type="pct"/>
          </w:tcPr>
          <w:p>
            <w:pPr>
              <w:ind w:leftChars="0" w:left="0" w:right="0"/>
            </w:pPr>
            <w:r>
              <w:t>DKED</w:t>
            </w:r>
          </w:p>
        </w:tc>
        <w:tc>
          <w:tcPr>
            <w:cnfStyle w:evenVBand="true" w:oddVBand="false" w:firstColumn="false"/>
            <w:tcW w:w="25.000000%" w:type="pct"/>
          </w:tcPr>
          <w:p>
            <w:pPr>
              <w:ind w:leftChars="0" w:left="0" w:right="0"/>
            </w:pPr>
            <w:r>
              <w:t>DKED</w:t>
            </w:r>
          </w:p>
        </w:tc>
        <w:tc>
          <w:tcPr>
            <w:cnfStyle w:evenVBand="false" w:oddVBand="true" w:firstColumn="false"/>
            <w:tcW w:w="25.000000%" w:type="pct"/>
          </w:tcPr>
          <w:p>
            <w:pPr>
              <w:ind w:leftChars="0" w:left="0" w:right="0"/>
            </w:pPr>
            <w:r>
              <w:t>NASDAQ STOCKHOLM AB - DANISH EQ DERIVATIVES</w:t>
            </w:r>
          </w:p>
        </w:tc>
        <w:tc>
          <w:tcPr>
            <w:cnfStyle w:evenVBand="true" w:oddVBand="false" w:firstColumn="false"/>
            <w:tcW w:w="25.000000%" w:type="pct"/>
          </w:tcPr>
          <w:p>
            <w:pPr>
              <w:ind w:leftChars="0" w:left="0" w:right="0"/>
            </w:pPr>
            <w:r>
              <w:t>537</w:t>
            </w:r>
          </w:p>
        </w:tc>
      </w:tr>
      <w:tr>
        <w:trPr>
          <w:cnfStyle w:evenHBand="false" w:oddHBand="true" w:firstRow="false"/>
        </w:trPr>
        <w:tc>
          <w:tcPr>
            <w:cnfStyle w:evenVBand="false" w:oddVBand="true" w:firstColumn="false"/>
            <w:tcW w:w="25.000000%" w:type="pct"/>
          </w:tcPr>
          <w:p>
            <w:pPr>
              <w:ind w:leftChars="0" w:left="0" w:right="0"/>
            </w:pPr>
            <w:r>
              <w:t>DKFI</w:t>
            </w:r>
          </w:p>
        </w:tc>
        <w:tc>
          <w:tcPr>
            <w:cnfStyle w:evenVBand="true" w:oddVBand="false" w:firstColumn="false"/>
            <w:tcW w:w="25.000000%" w:type="pct"/>
          </w:tcPr>
          <w:p>
            <w:pPr>
              <w:ind w:leftChars="0" w:left="0" w:right="0"/>
            </w:pPr>
            <w:r>
              <w:t>DKFI</w:t>
            </w:r>
          </w:p>
        </w:tc>
        <w:tc>
          <w:tcPr>
            <w:cnfStyle w:evenVBand="false" w:oddVBand="true" w:firstColumn="false"/>
            <w:tcW w:w="25.000000%" w:type="pct"/>
          </w:tcPr>
          <w:p>
            <w:pPr>
              <w:ind w:leftChars="0" w:left="0" w:right="0"/>
            </w:pPr>
            <w:r>
              <w:t>NASDAQ STOCKHOLM AB - DANISH FI DERIVATIVES</w:t>
            </w:r>
          </w:p>
        </w:tc>
        <w:tc>
          <w:tcPr>
            <w:cnfStyle w:evenVBand="true" w:oddVBand="false" w:firstColumn="false"/>
            <w:tcW w:w="25.000000%" w:type="pct"/>
          </w:tcPr>
          <w:p>
            <w:pPr>
              <w:ind w:leftChars="0" w:left="0" w:right="0"/>
            </w:pPr>
            <w:r>
              <w:t>538</w:t>
            </w:r>
          </w:p>
        </w:tc>
      </w:tr>
      <w:tr>
        <w:trPr>
          <w:cnfStyle w:evenHBand="true" w:oddHBand="false" w:firstRow="false"/>
        </w:trPr>
        <w:tc>
          <w:tcPr>
            <w:cnfStyle w:evenVBand="false" w:oddVBand="true" w:firstColumn="false"/>
            <w:tcW w:w="25.000000%" w:type="pct"/>
          </w:tcPr>
          <w:p>
            <w:pPr>
              <w:ind w:leftChars="0" w:left="0" w:right="0"/>
            </w:pPr>
            <w:r>
              <w:t>DKOB</w:t>
            </w:r>
          </w:p>
        </w:tc>
        <w:tc>
          <w:tcPr>
            <w:cnfStyle w:evenVBand="true" w:oddVBand="false" w:firstColumn="false"/>
            <w:tcW w:w="25.000000%" w:type="pct"/>
          </w:tcPr>
          <w:p>
            <w:pPr>
              <w:ind w:leftChars="0" w:left="0" w:right="0"/>
            </w:pPr>
            <w:r>
              <w:t>DKOB</w:t>
            </w:r>
          </w:p>
        </w:tc>
        <w:tc>
          <w:tcPr>
            <w:cnfStyle w:evenVBand="false" w:oddVBand="true" w:firstColumn="false"/>
            <w:tcW w:w="25.000000%" w:type="pct"/>
          </w:tcPr>
          <w:p>
            <w:pPr>
              <w:ind w:leftChars="0" w:left="0" w:right="0"/>
            </w:pPr>
            <w:r>
              <w:t>NASDAQ STOCKHOLM AB - OTC DKK WB EQ DERIVATIVES</w:t>
            </w:r>
          </w:p>
        </w:tc>
        <w:tc>
          <w:tcPr>
            <w:cnfStyle w:evenVBand="true" w:oddVBand="false" w:firstColumn="false"/>
            <w:tcW w:w="25.000000%" w:type="pct"/>
          </w:tcPr>
          <w:p>
            <w:pPr>
              <w:ind w:leftChars="0" w:left="0" w:right="0"/>
            </w:pPr>
            <w:r>
              <w:t>539</w:t>
            </w:r>
          </w:p>
        </w:tc>
      </w:tr>
      <w:tr>
        <w:trPr>
          <w:cnfStyle w:evenHBand="false" w:oddHBand="true" w:firstRow="false"/>
        </w:trPr>
        <w:tc>
          <w:tcPr>
            <w:cnfStyle w:evenVBand="false" w:oddVBand="true" w:firstColumn="false"/>
            <w:tcW w:w="25.000000%" w:type="pct"/>
          </w:tcPr>
          <w:p>
            <w:pPr>
              <w:ind w:leftChars="0" w:left="0" w:right="0"/>
            </w:pPr>
            <w:r>
              <w:t>DKTC</w:t>
            </w:r>
          </w:p>
        </w:tc>
        <w:tc>
          <w:tcPr>
            <w:cnfStyle w:evenVBand="true" w:oddVBand="false" w:firstColumn="false"/>
            <w:tcW w:w="25.000000%" w:type="pct"/>
          </w:tcPr>
          <w:p>
            <w:pPr>
              <w:ind w:leftChars="0" w:left="0" w:right="0"/>
            </w:pPr>
            <w:r>
              <w:t>DKTC</w:t>
            </w:r>
          </w:p>
        </w:tc>
        <w:tc>
          <w:tcPr>
            <w:cnfStyle w:evenVBand="false" w:oddVBand="true" w:firstColumn="false"/>
            <w:tcW w:w="25.000000%" w:type="pct"/>
          </w:tcPr>
          <w:p>
            <w:pPr>
              <w:ind w:leftChars="0" w:left="0" w:right="0"/>
            </w:pPr>
            <w:r>
              <w:t>DANSK OTC</w:t>
            </w:r>
          </w:p>
        </w:tc>
        <w:tc>
          <w:tcPr>
            <w:cnfStyle w:evenVBand="true" w:oddVBand="false" w:firstColumn="false"/>
            <w:tcW w:w="25.000000%" w:type="pct"/>
          </w:tcPr>
          <w:p>
            <w:pPr>
              <w:ind w:leftChars="0" w:left="0" w:right="0"/>
            </w:pPr>
            <w:r>
              <w:t>540</w:t>
            </w:r>
          </w:p>
        </w:tc>
      </w:tr>
      <w:tr>
        <w:trPr>
          <w:cnfStyle w:evenHBand="true" w:oddHBand="false" w:firstRow="false"/>
        </w:trPr>
        <w:tc>
          <w:tcPr>
            <w:cnfStyle w:evenVBand="false" w:oddVBand="true" w:firstColumn="false"/>
            <w:tcW w:w="25.000000%" w:type="pct"/>
          </w:tcPr>
          <w:p>
            <w:pPr>
              <w:ind w:leftChars="0" w:left="0" w:right="0"/>
            </w:pPr>
            <w:r>
              <w:t>DKWB</w:t>
            </w:r>
          </w:p>
        </w:tc>
        <w:tc>
          <w:tcPr>
            <w:cnfStyle w:evenVBand="true" w:oddVBand="false" w:firstColumn="false"/>
            <w:tcW w:w="25.000000%" w:type="pct"/>
          </w:tcPr>
          <w:p>
            <w:pPr>
              <w:ind w:leftChars="0" w:left="0" w:right="0"/>
            </w:pPr>
            <w:r>
              <w:t>DKWB</w:t>
            </w:r>
          </w:p>
        </w:tc>
        <w:tc>
          <w:tcPr>
            <w:cnfStyle w:evenVBand="false" w:oddVBand="true" w:firstColumn="false"/>
            <w:tcW w:w="25.000000%" w:type="pct"/>
          </w:tcPr>
          <w:p>
            <w:pPr>
              <w:ind w:leftChars="0" w:left="0" w:right="0"/>
            </w:pPr>
            <w:r>
              <w:t>NASDAQ STOCKHOLM AB - DKK WB EQ DERIVATIVES</w:t>
            </w:r>
          </w:p>
        </w:tc>
        <w:tc>
          <w:tcPr>
            <w:cnfStyle w:evenVBand="true" w:oddVBand="false" w:firstColumn="false"/>
            <w:tcW w:w="25.000000%" w:type="pct"/>
          </w:tcPr>
          <w:p>
            <w:pPr>
              <w:ind w:leftChars="0" w:left="0" w:right="0"/>
            </w:pPr>
            <w:r>
              <w:t>541</w:t>
            </w:r>
          </w:p>
        </w:tc>
      </w:tr>
      <w:tr>
        <w:trPr>
          <w:cnfStyle w:evenHBand="false" w:oddHBand="true" w:firstRow="false"/>
        </w:trPr>
        <w:tc>
          <w:tcPr>
            <w:cnfStyle w:evenVBand="false" w:oddVBand="true" w:firstColumn="false"/>
            <w:tcW w:w="25.000000%" w:type="pct"/>
          </w:tcPr>
          <w:p>
            <w:pPr>
              <w:ind w:leftChars="0" w:left="0" w:right="0"/>
            </w:pPr>
            <w:r>
              <w:t>DNDK</w:t>
            </w:r>
          </w:p>
        </w:tc>
        <w:tc>
          <w:tcPr>
            <w:cnfStyle w:evenVBand="true" w:oddVBand="false" w:firstColumn="false"/>
            <w:tcW w:w="25.000000%" w:type="pct"/>
          </w:tcPr>
          <w:p>
            <w:pPr>
              <w:ind w:leftChars="0" w:left="0" w:right="0"/>
            </w:pPr>
            <w:r>
              <w:t>DNDK</w:t>
            </w:r>
          </w:p>
        </w:tc>
        <w:tc>
          <w:tcPr>
            <w:cnfStyle w:evenVBand="false" w:oddVBand="true" w:firstColumn="false"/>
            <w:tcW w:w="25.000000%" w:type="pct"/>
          </w:tcPr>
          <w:p>
            <w:pPr>
              <w:ind w:leftChars="0" w:left="0" w:right="0"/>
            </w:pPr>
            <w:r>
              <w:t xml:space="preserve">FIRST NORTH DENMARK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542</w:t>
            </w:r>
          </w:p>
        </w:tc>
      </w:tr>
      <w:tr>
        <w:trPr>
          <w:cnfStyle w:evenHBand="true" w:oddHBand="false" w:firstRow="false"/>
        </w:trPr>
        <w:tc>
          <w:tcPr>
            <w:cnfStyle w:evenVBand="false" w:oddVBand="true" w:firstColumn="false"/>
            <w:tcW w:w="25.000000%" w:type="pct"/>
          </w:tcPr>
          <w:p>
            <w:pPr>
              <w:ind w:leftChars="0" w:left="0" w:right="0"/>
            </w:pPr>
            <w:r>
              <w:t>DNFI</w:t>
            </w:r>
          </w:p>
        </w:tc>
        <w:tc>
          <w:tcPr>
            <w:cnfStyle w:evenVBand="true" w:oddVBand="false" w:firstColumn="false"/>
            <w:tcW w:w="25.000000%" w:type="pct"/>
          </w:tcPr>
          <w:p>
            <w:pPr>
              <w:ind w:leftChars="0" w:left="0" w:right="0"/>
            </w:pPr>
            <w:r>
              <w:t>DNFI</w:t>
            </w:r>
          </w:p>
        </w:tc>
        <w:tc>
          <w:tcPr>
            <w:cnfStyle w:evenVBand="false" w:oddVBand="true" w:firstColumn="false"/>
            <w:tcW w:w="25.000000%" w:type="pct"/>
          </w:tcPr>
          <w:p>
            <w:pPr>
              <w:ind w:leftChars="0" w:left="0" w:right="0"/>
            </w:pPr>
            <w:r>
              <w:t xml:space="preserve">FIRST NORTH FINLAND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543</w:t>
            </w:r>
          </w:p>
        </w:tc>
      </w:tr>
      <w:tr>
        <w:trPr>
          <w:cnfStyle w:evenHBand="false" w:oddHBand="true" w:firstRow="false"/>
        </w:trPr>
        <w:tc>
          <w:tcPr>
            <w:cnfStyle w:evenVBand="false" w:oddVBand="true" w:firstColumn="false"/>
            <w:tcW w:w="25.000000%" w:type="pct"/>
          </w:tcPr>
          <w:p>
            <w:pPr>
              <w:ind w:leftChars="0" w:left="0" w:right="0"/>
            </w:pPr>
            <w:r>
              <w:t>DNIS</w:t>
            </w:r>
          </w:p>
        </w:tc>
        <w:tc>
          <w:tcPr>
            <w:cnfStyle w:evenVBand="true" w:oddVBand="false" w:firstColumn="false"/>
            <w:tcW w:w="25.000000%" w:type="pct"/>
          </w:tcPr>
          <w:p>
            <w:pPr>
              <w:ind w:leftChars="0" w:left="0" w:right="0"/>
            </w:pPr>
            <w:r>
              <w:t>DNIS</w:t>
            </w:r>
          </w:p>
        </w:tc>
        <w:tc>
          <w:tcPr>
            <w:cnfStyle w:evenVBand="false" w:oddVBand="true" w:firstColumn="false"/>
            <w:tcW w:w="25.000000%" w:type="pct"/>
          </w:tcPr>
          <w:p>
            <w:pPr>
              <w:ind w:leftChars="0" w:left="0" w:right="0"/>
            </w:pPr>
            <w:r>
              <w:t xml:space="preserve">FIRST NORTH ICELAND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544</w:t>
            </w:r>
          </w:p>
        </w:tc>
      </w:tr>
      <w:tr>
        <w:trPr>
          <w:cnfStyle w:evenHBand="true" w:oddHBand="false" w:firstRow="false"/>
        </w:trPr>
        <w:tc>
          <w:tcPr>
            <w:cnfStyle w:evenVBand="false" w:oddVBand="true" w:firstColumn="false"/>
            <w:tcW w:w="25.000000%" w:type="pct"/>
          </w:tcPr>
          <w:p>
            <w:pPr>
              <w:ind w:leftChars="0" w:left="0" w:right="0"/>
            </w:pPr>
            <w:r>
              <w:t>DNSE</w:t>
            </w:r>
          </w:p>
        </w:tc>
        <w:tc>
          <w:tcPr>
            <w:cnfStyle w:evenVBand="true" w:oddVBand="false" w:firstColumn="false"/>
            <w:tcW w:w="25.000000%" w:type="pct"/>
          </w:tcPr>
          <w:p>
            <w:pPr>
              <w:ind w:leftChars="0" w:left="0" w:right="0"/>
            </w:pPr>
            <w:r>
              <w:t>DNSE</w:t>
            </w:r>
          </w:p>
        </w:tc>
        <w:tc>
          <w:tcPr>
            <w:cnfStyle w:evenVBand="false" w:oddVBand="true" w:firstColumn="false"/>
            <w:tcW w:w="25.000000%" w:type="pct"/>
          </w:tcPr>
          <w:p>
            <w:pPr>
              <w:ind w:leftChars="0" w:left="0" w:right="0"/>
            </w:pPr>
            <w:r>
              <w:t xml:space="preserve">FIRST NORTH SWEDEN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545</w:t>
            </w:r>
          </w:p>
        </w:tc>
      </w:tr>
      <w:tr>
        <w:trPr>
          <w:cnfStyle w:evenHBand="false" w:oddHBand="true" w:firstRow="false"/>
        </w:trPr>
        <w:tc>
          <w:tcPr>
            <w:cnfStyle w:evenVBand="false" w:oddVBand="true" w:firstColumn="false"/>
            <w:tcW w:w="25.000000%" w:type="pct"/>
          </w:tcPr>
          <w:p>
            <w:pPr>
              <w:ind w:leftChars="0" w:left="0" w:right="0"/>
            </w:pPr>
            <w:r>
              <w:t>DOSE</w:t>
            </w:r>
          </w:p>
        </w:tc>
        <w:tc>
          <w:tcPr>
            <w:cnfStyle w:evenVBand="true" w:oddVBand="false" w:firstColumn="false"/>
            <w:tcW w:w="25.000000%" w:type="pct"/>
          </w:tcPr>
          <w:p>
            <w:pPr>
              <w:ind w:leftChars="0" w:left="0" w:right="0"/>
            </w:pPr>
            <w:r>
              <w:t>DOSE</w:t>
            </w:r>
          </w:p>
        </w:tc>
        <w:tc>
          <w:tcPr>
            <w:cnfStyle w:evenVBand="false" w:oddVBand="true" w:firstColumn="false"/>
            <w:tcW w:w="25.000000%" w:type="pct"/>
          </w:tcPr>
          <w:p>
            <w:pPr>
              <w:ind w:leftChars="0" w:left="0" w:right="0"/>
            </w:pPr>
            <w:r>
              <w:t xml:space="preserve">FIRST NORTH SWEDEN - NORWAY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546</w:t>
            </w:r>
          </w:p>
        </w:tc>
      </w:tr>
      <w:tr>
        <w:trPr>
          <w:cnfStyle w:evenHBand="true" w:oddHBand="false" w:firstRow="false"/>
        </w:trPr>
        <w:tc>
          <w:tcPr>
            <w:cnfStyle w:evenVBand="false" w:oddVBand="true" w:firstColumn="false"/>
            <w:tcW w:w="25.000000%" w:type="pct"/>
          </w:tcPr>
          <w:p>
            <w:pPr>
              <w:ind w:leftChars="0" w:left="0" w:right="0"/>
            </w:pPr>
            <w:r>
              <w:t>DOTS</w:t>
            </w:r>
          </w:p>
        </w:tc>
        <w:tc>
          <w:tcPr>
            <w:cnfStyle w:evenVBand="true" w:oddVBand="false" w:firstColumn="false"/>
            <w:tcW w:w="25.000000%" w:type="pct"/>
          </w:tcPr>
          <w:p>
            <w:pPr>
              <w:ind w:leftChars="0" w:left="0" w:right="0"/>
            </w:pPr>
            <w:r>
              <w:t>DOTS</w:t>
            </w:r>
          </w:p>
        </w:tc>
        <w:tc>
          <w:tcPr>
            <w:cnfStyle w:evenVBand="false" w:oddVBand="true" w:firstColumn="false"/>
            <w:tcW w:w="25.000000%" w:type="pct"/>
          </w:tcPr>
          <w:p>
            <w:pPr>
              <w:ind w:leftChars="0" w:left="0" w:right="0"/>
            </w:pPr>
            <w:r>
              <w:t>SWISS DOTS BY CATS</w:t>
            </w:r>
          </w:p>
        </w:tc>
        <w:tc>
          <w:tcPr>
            <w:cnfStyle w:evenVBand="true" w:oddVBand="false" w:firstColumn="false"/>
            <w:tcW w:w="25.000000%" w:type="pct"/>
          </w:tcPr>
          <w:p>
            <w:pPr>
              <w:ind w:leftChars="0" w:left="0" w:right="0"/>
            </w:pPr>
            <w:r>
              <w:t>547</w:t>
            </w:r>
          </w:p>
        </w:tc>
      </w:tr>
      <w:tr>
        <w:trPr>
          <w:cnfStyle w:evenHBand="false" w:oddHBand="true" w:firstRow="false"/>
        </w:trPr>
        <w:tc>
          <w:tcPr>
            <w:cnfStyle w:evenVBand="false" w:oddVBand="true" w:firstColumn="false"/>
            <w:tcW w:w="25.000000%" w:type="pct"/>
          </w:tcPr>
          <w:p>
            <w:pPr>
              <w:ind w:leftChars="0" w:left="0" w:right="0"/>
            </w:pPr>
            <w:r>
              <w:t>DOWE</w:t>
            </w:r>
          </w:p>
        </w:tc>
        <w:tc>
          <w:tcPr>
            <w:cnfStyle w:evenVBand="true" w:oddVBand="false" w:firstColumn="false"/>
            <w:tcW w:w="25.000000%" w:type="pct"/>
          </w:tcPr>
          <w:p>
            <w:pPr>
              <w:ind w:leftChars="0" w:left="0" w:right="0"/>
            </w:pPr>
            <w:r>
              <w:t>DOWE</w:t>
            </w:r>
          </w:p>
        </w:tc>
        <w:tc>
          <w:tcPr>
            <w:cnfStyle w:evenVBand="false" w:oddVBand="true" w:firstColumn="false"/>
            <w:tcW w:w="25.000000%" w:type="pct"/>
          </w:tcPr>
          <w:p>
            <w:pPr>
              <w:ind w:leftChars="0" w:left="0" w:right="0"/>
            </w:pPr>
            <w:r>
              <w:t>DOWGATE EURO GOVERNMENT BONDS</w:t>
            </w:r>
          </w:p>
        </w:tc>
        <w:tc>
          <w:tcPr>
            <w:cnfStyle w:evenVBand="true" w:oddVBand="false" w:firstColumn="false"/>
            <w:tcW w:w="25.000000%" w:type="pct"/>
          </w:tcPr>
          <w:p>
            <w:pPr>
              <w:ind w:leftChars="0" w:left="0" w:right="0"/>
            </w:pPr>
            <w:r>
              <w:t>548</w:t>
            </w:r>
          </w:p>
        </w:tc>
      </w:tr>
      <w:tr>
        <w:trPr>
          <w:cnfStyle w:evenHBand="true" w:oddHBand="false" w:firstRow="false"/>
        </w:trPr>
        <w:tc>
          <w:tcPr>
            <w:cnfStyle w:evenVBand="false" w:oddVBand="true" w:firstColumn="false"/>
            <w:tcW w:w="25.000000%" w:type="pct"/>
          </w:tcPr>
          <w:p>
            <w:pPr>
              <w:ind w:leftChars="0" w:left="0" w:right="0"/>
            </w:pPr>
            <w:r>
              <w:t>DOWG</w:t>
            </w:r>
          </w:p>
        </w:tc>
        <w:tc>
          <w:tcPr>
            <w:cnfStyle w:evenVBand="true" w:oddVBand="false" w:firstColumn="false"/>
            <w:tcW w:w="25.000000%" w:type="pct"/>
          </w:tcPr>
          <w:p>
            <w:pPr>
              <w:ind w:leftChars="0" w:left="0" w:right="0"/>
            </w:pPr>
            <w:r>
              <w:t>DOWG</w:t>
            </w:r>
          </w:p>
        </w:tc>
        <w:tc>
          <w:tcPr>
            <w:cnfStyle w:evenVBand="false" w:oddVBand="true" w:firstColumn="false"/>
            <w:tcW w:w="25.000000%" w:type="pct"/>
          </w:tcPr>
          <w:p>
            <w:pPr>
              <w:ind w:leftChars="0" w:left="0" w:right="0"/>
            </w:pPr>
            <w:r>
              <w:t>DOWGATE</w:t>
            </w:r>
          </w:p>
        </w:tc>
        <w:tc>
          <w:tcPr>
            <w:cnfStyle w:evenVBand="true" w:oddVBand="false" w:firstColumn="false"/>
            <w:tcW w:w="25.000000%" w:type="pct"/>
          </w:tcPr>
          <w:p>
            <w:pPr>
              <w:ind w:leftChars="0" w:left="0" w:right="0"/>
            </w:pPr>
            <w:r>
              <w:t>549</w:t>
            </w:r>
          </w:p>
        </w:tc>
      </w:tr>
      <w:tr>
        <w:trPr>
          <w:cnfStyle w:evenHBand="false" w:oddHBand="true" w:firstRow="false"/>
        </w:trPr>
        <w:tc>
          <w:tcPr>
            <w:cnfStyle w:evenVBand="false" w:oddVBand="true" w:firstColumn="false"/>
            <w:tcW w:w="25.000000%" w:type="pct"/>
          </w:tcPr>
          <w:p>
            <w:pPr>
              <w:ind w:leftChars="0" w:left="0" w:right="0"/>
            </w:pPr>
            <w:r>
              <w:t>DOWM</w:t>
            </w:r>
          </w:p>
        </w:tc>
        <w:tc>
          <w:tcPr>
            <w:cnfStyle w:evenVBand="true" w:oddVBand="false" w:firstColumn="false"/>
            <w:tcW w:w="25.000000%" w:type="pct"/>
          </w:tcPr>
          <w:p>
            <w:pPr>
              <w:ind w:leftChars="0" w:left="0" w:right="0"/>
            </w:pPr>
            <w:r>
              <w:t>DOWM</w:t>
            </w:r>
          </w:p>
        </w:tc>
        <w:tc>
          <w:tcPr>
            <w:cnfStyle w:evenVBand="false" w:oddVBand="true" w:firstColumn="false"/>
            <w:tcW w:w="25.000000%" w:type="pct"/>
          </w:tcPr>
          <w:p>
            <w:pPr>
              <w:ind w:leftChars="0" w:left="0" w:right="0"/>
            </w:pPr>
            <w:r>
              <w:t>DOWGATE - MTF (MADRID)</w:t>
            </w:r>
          </w:p>
        </w:tc>
        <w:tc>
          <w:tcPr>
            <w:cnfStyle w:evenVBand="true" w:oddVBand="false" w:firstColumn="false"/>
            <w:tcW w:w="25.000000%" w:type="pct"/>
          </w:tcPr>
          <w:p>
            <w:pPr>
              <w:ind w:leftChars="0" w:left="0" w:right="0"/>
            </w:pPr>
            <w:r>
              <w:t>550</w:t>
            </w:r>
          </w:p>
        </w:tc>
      </w:tr>
      <w:tr>
        <w:trPr>
          <w:cnfStyle w:evenHBand="true" w:oddHBand="false" w:firstRow="false"/>
        </w:trPr>
        <w:tc>
          <w:tcPr>
            <w:cnfStyle w:evenVBand="false" w:oddVBand="true" w:firstColumn="false"/>
            <w:tcW w:w="25.000000%" w:type="pct"/>
          </w:tcPr>
          <w:p>
            <w:pPr>
              <w:ind w:leftChars="0" w:left="0" w:right="0"/>
            </w:pPr>
            <w:r>
              <w:t>DRCT</w:t>
            </w:r>
          </w:p>
        </w:tc>
        <w:tc>
          <w:tcPr>
            <w:cnfStyle w:evenVBand="true" w:oddVBand="false" w:firstColumn="false"/>
            <w:tcW w:w="25.000000%" w:type="pct"/>
          </w:tcPr>
          <w:p>
            <w:pPr>
              <w:ind w:leftChars="0" w:left="0" w:right="0"/>
            </w:pPr>
            <w:r>
              <w:t>DRCT</w:t>
            </w:r>
          </w:p>
        </w:tc>
        <w:tc>
          <w:tcPr>
            <w:cnfStyle w:evenVBand="false" w:oddVBand="true" w:firstColumn="false"/>
            <w:tcW w:w="25.000000%" w:type="pct"/>
          </w:tcPr>
          <w:p>
            <w:pPr>
              <w:ind w:leftChars="0" w:left="0" w:right="0"/>
            </w:pPr>
            <w:r>
              <w:t>DAIWA DRECT</w:t>
            </w:r>
          </w:p>
        </w:tc>
        <w:tc>
          <w:tcPr>
            <w:cnfStyle w:evenVBand="true" w:oddVBand="false" w:firstColumn="false"/>
            <w:tcW w:w="25.000000%" w:type="pct"/>
          </w:tcPr>
          <w:p>
            <w:pPr>
              <w:ind w:leftChars="0" w:left="0" w:right="0"/>
            </w:pPr>
            <w:r>
              <w:t>551</w:t>
            </w:r>
          </w:p>
        </w:tc>
      </w:tr>
      <w:tr>
        <w:trPr>
          <w:cnfStyle w:evenHBand="false" w:oddHBand="true" w:firstRow="false"/>
        </w:trPr>
        <w:tc>
          <w:tcPr>
            <w:cnfStyle w:evenVBand="false" w:oddVBand="true" w:firstColumn="false"/>
            <w:tcW w:w="25.000000%" w:type="pct"/>
          </w:tcPr>
          <w:p>
            <w:pPr>
              <w:ind w:leftChars="0" w:left="0" w:right="0"/>
            </w:pPr>
            <w:r>
              <w:t>DRSP</w:t>
            </w:r>
          </w:p>
        </w:tc>
        <w:tc>
          <w:tcPr>
            <w:cnfStyle w:evenVBand="true" w:oddVBand="false" w:firstColumn="false"/>
            <w:tcW w:w="25.000000%" w:type="pct"/>
          </w:tcPr>
          <w:p>
            <w:pPr>
              <w:ind w:leftChars="0" w:left="0" w:right="0"/>
            </w:pPr>
            <w:r>
              <w:t>DRSP</w:t>
            </w:r>
          </w:p>
        </w:tc>
        <w:tc>
          <w:tcPr>
            <w:cnfStyle w:evenVBand="false" w:oddVBand="true" w:firstColumn="false"/>
            <w:tcW w:w="25.000000%" w:type="pct"/>
          </w:tcPr>
          <w:p>
            <w:pPr>
              <w:ind w:leftChars="0" w:left="0" w:right="0"/>
            </w:pPr>
            <w:r>
              <w:t>EURONEXT  UK - REPORTING SERVICES</w:t>
            </w:r>
          </w:p>
        </w:tc>
        <w:tc>
          <w:tcPr>
            <w:cnfStyle w:evenVBand="true" w:oddVBand="false" w:firstColumn="false"/>
            <w:tcW w:w="25.000000%" w:type="pct"/>
          </w:tcPr>
          <w:p>
            <w:pPr>
              <w:ind w:leftChars="0" w:left="0" w:right="0"/>
            </w:pPr>
            <w:r>
              <w:t>552</w:t>
            </w:r>
          </w:p>
        </w:tc>
      </w:tr>
      <w:tr>
        <w:trPr>
          <w:cnfStyle w:evenHBand="true" w:oddHBand="false" w:firstRow="false"/>
        </w:trPr>
        <w:tc>
          <w:tcPr>
            <w:cnfStyle w:evenVBand="false" w:oddVBand="true" w:firstColumn="false"/>
            <w:tcW w:w="25.000000%" w:type="pct"/>
          </w:tcPr>
          <w:p>
            <w:pPr>
              <w:ind w:leftChars="0" w:left="0" w:right="0"/>
            </w:pPr>
            <w:r>
              <w:t>DSMD</w:t>
            </w:r>
          </w:p>
        </w:tc>
        <w:tc>
          <w:tcPr>
            <w:cnfStyle w:evenVBand="true" w:oddVBand="false" w:firstColumn="false"/>
            <w:tcW w:w="25.000000%" w:type="pct"/>
          </w:tcPr>
          <w:p>
            <w:pPr>
              <w:ind w:leftChars="0" w:left="0" w:right="0"/>
            </w:pPr>
            <w:r>
              <w:t>DSMD</w:t>
            </w:r>
          </w:p>
        </w:tc>
        <w:tc>
          <w:tcPr>
            <w:cnfStyle w:evenVBand="false" w:oddVBand="true" w:firstColumn="false"/>
            <w:tcW w:w="25.000000%" w:type="pct"/>
          </w:tcPr>
          <w:p>
            <w:pPr>
              <w:ind w:leftChars="0" w:left="0" w:right="0"/>
            </w:pPr>
            <w:r>
              <w:t>QATAR EXCHANGE</w:t>
            </w:r>
          </w:p>
        </w:tc>
        <w:tc>
          <w:tcPr>
            <w:cnfStyle w:evenVBand="true" w:oddVBand="false" w:firstColumn="false"/>
            <w:tcW w:w="25.000000%" w:type="pct"/>
          </w:tcPr>
          <w:p>
            <w:pPr>
              <w:ind w:leftChars="0" w:left="0" w:right="0"/>
            </w:pPr>
            <w:r>
              <w:t>553</w:t>
            </w:r>
          </w:p>
        </w:tc>
      </w:tr>
      <w:tr>
        <w:trPr>
          <w:cnfStyle w:evenHBand="false" w:oddHBand="true" w:firstRow="false"/>
        </w:trPr>
        <w:tc>
          <w:tcPr>
            <w:cnfStyle w:evenVBand="false" w:oddVBand="true" w:firstColumn="false"/>
            <w:tcW w:w="25.000000%" w:type="pct"/>
          </w:tcPr>
          <w:p>
            <w:pPr>
              <w:ind w:leftChars="0" w:left="0" w:right="0"/>
            </w:pPr>
            <w:r>
              <w:t>DSME</w:t>
            </w:r>
          </w:p>
        </w:tc>
        <w:tc>
          <w:tcPr>
            <w:cnfStyle w:evenVBand="true" w:oddVBand="false" w:firstColumn="false"/>
            <w:tcW w:w="25.000000%" w:type="pct"/>
          </w:tcPr>
          <w:p>
            <w:pPr>
              <w:ind w:leftChars="0" w:left="0" w:right="0"/>
            </w:pPr>
            <w:r>
              <w:t>DSME</w:t>
            </w:r>
          </w:p>
        </w:tc>
        <w:tc>
          <w:tcPr>
            <w:cnfStyle w:evenVBand="false" w:oddVBand="true" w:firstColumn="false"/>
            <w:tcW w:w="25.000000%" w:type="pct"/>
          </w:tcPr>
          <w:p>
            <w:pPr>
              <w:ind w:leftChars="0" w:left="0" w:right="0"/>
            </w:pPr>
            <w:r>
              <w:t>FIRST NORTH DENMARK -SME GROWTH MARKET</w:t>
            </w:r>
          </w:p>
        </w:tc>
        <w:tc>
          <w:tcPr>
            <w:cnfStyle w:evenVBand="true" w:oddVBand="false" w:firstColumn="false"/>
            <w:tcW w:w="25.000000%" w:type="pct"/>
          </w:tcPr>
          <w:p>
            <w:pPr>
              <w:ind w:leftChars="0" w:left="0" w:right="0"/>
            </w:pPr>
            <w:r>
              <w:t>554</w:t>
            </w:r>
          </w:p>
        </w:tc>
      </w:tr>
      <w:tr>
        <w:trPr>
          <w:cnfStyle w:evenHBand="true" w:oddHBand="false" w:firstRow="false"/>
        </w:trPr>
        <w:tc>
          <w:tcPr>
            <w:cnfStyle w:evenVBand="false" w:oddVBand="true" w:firstColumn="false"/>
            <w:tcW w:w="25.000000%" w:type="pct"/>
          </w:tcPr>
          <w:p>
            <w:pPr>
              <w:ind w:leftChars="0" w:left="0" w:right="0"/>
            </w:pPr>
            <w:r>
              <w:t>DSTO</w:t>
            </w:r>
          </w:p>
        </w:tc>
        <w:tc>
          <w:tcPr>
            <w:cnfStyle w:evenVBand="true" w:oddVBand="false" w:firstColumn="false"/>
            <w:tcW w:w="25.000000%" w:type="pct"/>
          </w:tcPr>
          <w:p>
            <w:pPr>
              <w:ind w:leftChars="0" w:left="0" w:right="0"/>
            </w:pPr>
            <w:r>
              <w:t>DSTO</w:t>
            </w:r>
          </w:p>
        </w:tc>
        <w:tc>
          <w:tcPr>
            <w:cnfStyle w:evenVBand="false" w:oddVBand="true" w:firstColumn="false"/>
            <w:tcW w:w="25.000000%" w:type="pct"/>
          </w:tcPr>
          <w:p>
            <w:pPr>
              <w:ind w:leftChars="0" w:left="0" w:right="0"/>
            </w:pPr>
            <w:r>
              <w:t xml:space="preserve">NASDAQ STOCKHOLM AB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555</w:t>
            </w:r>
          </w:p>
        </w:tc>
      </w:tr>
      <w:tr>
        <w:trPr>
          <w:cnfStyle w:evenHBand="false" w:oddHBand="true" w:firstRow="false"/>
        </w:trPr>
        <w:tc>
          <w:tcPr>
            <w:cnfStyle w:evenVBand="false" w:oddVBand="true" w:firstColumn="false"/>
            <w:tcW w:w="25.000000%" w:type="pct"/>
          </w:tcPr>
          <w:p>
            <w:pPr>
              <w:ind w:leftChars="0" w:left="0" w:right="0"/>
            </w:pPr>
            <w:r>
              <w:t>DUMX</w:t>
            </w:r>
          </w:p>
        </w:tc>
        <w:tc>
          <w:tcPr>
            <w:cnfStyle w:evenVBand="true" w:oddVBand="false" w:firstColumn="false"/>
            <w:tcW w:w="25.000000%" w:type="pct"/>
          </w:tcPr>
          <w:p>
            <w:pPr>
              <w:ind w:leftChars="0" w:left="0" w:right="0"/>
            </w:pPr>
            <w:r>
              <w:t>DUMX</w:t>
            </w:r>
          </w:p>
        </w:tc>
        <w:tc>
          <w:tcPr>
            <w:cnfStyle w:evenVBand="false" w:oddVBand="true" w:firstColumn="false"/>
            <w:tcW w:w="25.000000%" w:type="pct"/>
          </w:tcPr>
          <w:p>
            <w:pPr>
              <w:ind w:leftChars="0" w:left="0" w:right="0"/>
            </w:pPr>
            <w:r>
              <w:t>DUBAI MERCANTILE EXCHANGE</w:t>
            </w:r>
          </w:p>
        </w:tc>
        <w:tc>
          <w:tcPr>
            <w:cnfStyle w:evenVBand="true" w:oddVBand="false" w:firstColumn="false"/>
            <w:tcW w:w="25.000000%" w:type="pct"/>
          </w:tcPr>
          <w:p>
            <w:pPr>
              <w:ind w:leftChars="0" w:left="0" w:right="0"/>
            </w:pPr>
            <w:r>
              <w:t>556</w:t>
            </w:r>
          </w:p>
        </w:tc>
      </w:tr>
      <w:tr>
        <w:trPr>
          <w:cnfStyle w:evenHBand="true" w:oddHBand="false" w:firstRow="false"/>
        </w:trPr>
        <w:tc>
          <w:tcPr>
            <w:cnfStyle w:evenVBand="false" w:oddVBand="true" w:firstColumn="false"/>
            <w:tcW w:w="25.000000%" w:type="pct"/>
          </w:tcPr>
          <w:p>
            <w:pPr>
              <w:ind w:leftChars="0" w:left="0" w:right="0"/>
            </w:pPr>
            <w:r>
              <w:t>DUSA</w:t>
            </w:r>
          </w:p>
        </w:tc>
        <w:tc>
          <w:tcPr>
            <w:cnfStyle w:evenVBand="true" w:oddVBand="false" w:firstColumn="false"/>
            <w:tcW w:w="25.000000%" w:type="pct"/>
          </w:tcPr>
          <w:p>
            <w:pPr>
              <w:ind w:leftChars="0" w:left="0" w:right="0"/>
            </w:pPr>
            <w:r>
              <w:t>DUSA</w:t>
            </w:r>
          </w:p>
        </w:tc>
        <w:tc>
          <w:tcPr>
            <w:cnfStyle w:evenVBand="false" w:oddVBand="true" w:firstColumn="false"/>
            <w:tcW w:w="25.000000%" w:type="pct"/>
          </w:tcPr>
          <w:p>
            <w:pPr>
              <w:ind w:leftChars="0" w:left="0" w:right="0"/>
            </w:pPr>
            <w:r>
              <w:t>BOERSE DUESSELDORF - REGULIERTER MARKT</w:t>
            </w:r>
          </w:p>
        </w:tc>
        <w:tc>
          <w:tcPr>
            <w:cnfStyle w:evenVBand="true" w:oddVBand="false" w:firstColumn="false"/>
            <w:tcW w:w="25.000000%" w:type="pct"/>
          </w:tcPr>
          <w:p>
            <w:pPr>
              <w:ind w:leftChars="0" w:left="0" w:right="0"/>
            </w:pPr>
            <w:r>
              <w:t>557</w:t>
            </w:r>
          </w:p>
        </w:tc>
      </w:tr>
      <w:tr>
        <w:trPr>
          <w:cnfStyle w:evenHBand="false" w:oddHBand="true" w:firstRow="false"/>
        </w:trPr>
        <w:tc>
          <w:tcPr>
            <w:cnfStyle w:evenVBand="false" w:oddVBand="true" w:firstColumn="false"/>
            <w:tcW w:w="25.000000%" w:type="pct"/>
          </w:tcPr>
          <w:p>
            <w:pPr>
              <w:ind w:leftChars="0" w:left="0" w:right="0"/>
            </w:pPr>
            <w:r>
              <w:t>DUSB</w:t>
            </w:r>
          </w:p>
        </w:tc>
        <w:tc>
          <w:tcPr>
            <w:cnfStyle w:evenVBand="true" w:oddVBand="false" w:firstColumn="false"/>
            <w:tcW w:w="25.000000%" w:type="pct"/>
          </w:tcPr>
          <w:p>
            <w:pPr>
              <w:ind w:leftChars="0" w:left="0" w:right="0"/>
            </w:pPr>
            <w:r>
              <w:t>DUSB</w:t>
            </w:r>
          </w:p>
        </w:tc>
        <w:tc>
          <w:tcPr>
            <w:cnfStyle w:evenVBand="false" w:oddVBand="true" w:firstColumn="false"/>
            <w:tcW w:w="25.000000%" w:type="pct"/>
          </w:tcPr>
          <w:p>
            <w:pPr>
              <w:ind w:leftChars="0" w:left="0" w:right="0"/>
            </w:pPr>
            <w:r>
              <w:t>BOERSE DUESSELDORF - FREIVERKEHR</w:t>
            </w:r>
          </w:p>
        </w:tc>
        <w:tc>
          <w:tcPr>
            <w:cnfStyle w:evenVBand="true" w:oddVBand="false" w:firstColumn="false"/>
            <w:tcW w:w="25.000000%" w:type="pct"/>
          </w:tcPr>
          <w:p>
            <w:pPr>
              <w:ind w:leftChars="0" w:left="0" w:right="0"/>
            </w:pPr>
            <w:r>
              <w:t>558</w:t>
            </w:r>
          </w:p>
        </w:tc>
      </w:tr>
      <w:tr>
        <w:trPr>
          <w:cnfStyle w:evenHBand="true" w:oddHBand="false" w:firstRow="false"/>
        </w:trPr>
        <w:tc>
          <w:tcPr>
            <w:cnfStyle w:evenVBand="false" w:oddVBand="true" w:firstColumn="false"/>
            <w:tcW w:w="25.000000%" w:type="pct"/>
          </w:tcPr>
          <w:p>
            <w:pPr>
              <w:ind w:leftChars="0" w:left="0" w:right="0"/>
            </w:pPr>
            <w:r>
              <w:t>DUSC</w:t>
            </w:r>
          </w:p>
        </w:tc>
        <w:tc>
          <w:tcPr>
            <w:cnfStyle w:evenVBand="true" w:oddVBand="false" w:firstColumn="false"/>
            <w:tcW w:w="25.000000%" w:type="pct"/>
          </w:tcPr>
          <w:p>
            <w:pPr>
              <w:ind w:leftChars="0" w:left="0" w:right="0"/>
            </w:pPr>
            <w:r>
              <w:t>DUSC</w:t>
            </w:r>
          </w:p>
        </w:tc>
        <w:tc>
          <w:tcPr>
            <w:cnfStyle w:evenVBand="false" w:oddVBand="true" w:firstColumn="false"/>
            <w:tcW w:w="25.000000%" w:type="pct"/>
          </w:tcPr>
          <w:p>
            <w:pPr>
              <w:ind w:leftChars="0" w:left="0" w:right="0"/>
            </w:pPr>
            <w:r>
              <w:t>BOERSE DUESSELDORF - QUOTRIX - REGULIERTER MARKT</w:t>
            </w:r>
          </w:p>
        </w:tc>
        <w:tc>
          <w:tcPr>
            <w:cnfStyle w:evenVBand="true" w:oddVBand="false" w:firstColumn="false"/>
            <w:tcW w:w="25.000000%" w:type="pct"/>
          </w:tcPr>
          <w:p>
            <w:pPr>
              <w:ind w:leftChars="0" w:left="0" w:right="0"/>
            </w:pPr>
            <w:r>
              <w:t>559</w:t>
            </w:r>
          </w:p>
        </w:tc>
      </w:tr>
      <w:tr>
        <w:trPr>
          <w:cnfStyle w:evenHBand="false" w:oddHBand="true" w:firstRow="false"/>
        </w:trPr>
        <w:tc>
          <w:tcPr>
            <w:cnfStyle w:evenVBand="false" w:oddVBand="true" w:firstColumn="false"/>
            <w:tcW w:w="25.000000%" w:type="pct"/>
          </w:tcPr>
          <w:p>
            <w:pPr>
              <w:ind w:leftChars="0" w:left="0" w:right="0"/>
            </w:pPr>
            <w:r>
              <w:t>DUSD</w:t>
            </w:r>
          </w:p>
        </w:tc>
        <w:tc>
          <w:tcPr>
            <w:cnfStyle w:evenVBand="true" w:oddVBand="false" w:firstColumn="false"/>
            <w:tcW w:w="25.000000%" w:type="pct"/>
          </w:tcPr>
          <w:p>
            <w:pPr>
              <w:ind w:leftChars="0" w:left="0" w:right="0"/>
            </w:pPr>
            <w:r>
              <w:t>DUSD</w:t>
            </w:r>
          </w:p>
        </w:tc>
        <w:tc>
          <w:tcPr>
            <w:cnfStyle w:evenVBand="false" w:oddVBand="true" w:firstColumn="false"/>
            <w:tcW w:w="25.000000%" w:type="pct"/>
          </w:tcPr>
          <w:p>
            <w:pPr>
              <w:ind w:leftChars="0" w:left="0" w:right="0"/>
            </w:pPr>
            <w:r>
              <w:t>BOERSE DUESSELDORF - QUOTRIX MTF</w:t>
            </w:r>
          </w:p>
        </w:tc>
        <w:tc>
          <w:tcPr>
            <w:cnfStyle w:evenVBand="true" w:oddVBand="false" w:firstColumn="false"/>
            <w:tcW w:w="25.000000%" w:type="pct"/>
          </w:tcPr>
          <w:p>
            <w:pPr>
              <w:ind w:leftChars="0" w:left="0" w:right="0"/>
            </w:pPr>
            <w:r>
              <w:t>560</w:t>
            </w:r>
          </w:p>
        </w:tc>
      </w:tr>
      <w:tr>
        <w:trPr>
          <w:cnfStyle w:evenHBand="true" w:oddHBand="false" w:firstRow="false"/>
        </w:trPr>
        <w:tc>
          <w:tcPr>
            <w:cnfStyle w:evenVBand="false" w:oddVBand="true" w:firstColumn="false"/>
            <w:tcW w:w="25.000000%" w:type="pct"/>
          </w:tcPr>
          <w:p>
            <w:pPr>
              <w:ind w:leftChars="0" w:left="0" w:right="0"/>
            </w:pPr>
            <w:r>
              <w:t>DVFX</w:t>
            </w:r>
          </w:p>
        </w:tc>
        <w:tc>
          <w:tcPr>
            <w:cnfStyle w:evenVBand="true" w:oddVBand="false" w:firstColumn="false"/>
            <w:tcW w:w="25.000000%" w:type="pct"/>
          </w:tcPr>
          <w:p>
            <w:pPr>
              <w:ind w:leftChars="0" w:left="0" w:right="0"/>
            </w:pPr>
            <w:r>
              <w:t>DVFX</w:t>
            </w:r>
          </w:p>
        </w:tc>
        <w:tc>
          <w:tcPr>
            <w:cnfStyle w:evenVBand="false" w:oddVBand="true" w:firstColumn="false"/>
            <w:tcW w:w="25.000000%" w:type="pct"/>
          </w:tcPr>
          <w:p>
            <w:pPr>
              <w:ind w:leftChars="0" w:left="0" w:right="0"/>
            </w:pPr>
            <w:r>
              <w:t>DIGITAL VEGA</w:t>
            </w:r>
          </w:p>
        </w:tc>
        <w:tc>
          <w:tcPr>
            <w:cnfStyle w:evenVBand="true" w:oddVBand="false" w:firstColumn="false"/>
            <w:tcW w:w="25.000000%" w:type="pct"/>
          </w:tcPr>
          <w:p>
            <w:pPr>
              <w:ind w:leftChars="0" w:left="0" w:right="0"/>
            </w:pPr>
            <w:r>
              <w:t>561</w:t>
            </w:r>
          </w:p>
        </w:tc>
      </w:tr>
      <w:tr>
        <w:trPr>
          <w:cnfStyle w:evenHBand="false" w:oddHBand="true" w:firstRow="false"/>
        </w:trPr>
        <w:tc>
          <w:tcPr>
            <w:cnfStyle w:evenVBand="false" w:oddVBand="true" w:firstColumn="false"/>
            <w:tcW w:w="25.000000%" w:type="pct"/>
          </w:tcPr>
          <w:p>
            <w:pPr>
              <w:ind w:leftChars="0" w:left="0" w:right="0"/>
            </w:pPr>
            <w:r>
              <w:t>DWFI</w:t>
            </w:r>
          </w:p>
        </w:tc>
        <w:tc>
          <w:tcPr>
            <w:cnfStyle w:evenVBand="true" w:oddVBand="false" w:firstColumn="false"/>
            <w:tcW w:w="25.000000%" w:type="pct"/>
          </w:tcPr>
          <w:p>
            <w:pPr>
              <w:ind w:leftChars="0" w:left="0" w:right="0"/>
            </w:pPr>
            <w:r>
              <w:t>DWFI</w:t>
            </w:r>
          </w:p>
        </w:tc>
        <w:tc>
          <w:tcPr>
            <w:cnfStyle w:evenVBand="false" w:oddVBand="true" w:firstColumn="false"/>
            <w:tcW w:w="25.000000%" w:type="pct"/>
          </w:tcPr>
          <w:p>
            <w:pPr>
              <w:ind w:leftChars="0" w:left="0" w:right="0"/>
            </w:pPr>
            <w:r>
              <w:t>DEALERWEB FIXED INCOME</w:t>
            </w:r>
          </w:p>
        </w:tc>
        <w:tc>
          <w:tcPr>
            <w:cnfStyle w:evenVBand="true" w:oddVBand="false" w:firstColumn="false"/>
            <w:tcW w:w="25.000000%" w:type="pct"/>
          </w:tcPr>
          <w:p>
            <w:pPr>
              <w:ind w:leftChars="0" w:left="0" w:right="0"/>
            </w:pPr>
            <w:r>
              <w:t>562</w:t>
            </w:r>
          </w:p>
        </w:tc>
      </w:tr>
      <w:tr>
        <w:trPr>
          <w:cnfStyle w:evenHBand="true" w:oddHBand="false" w:firstRow="false"/>
        </w:trPr>
        <w:tc>
          <w:tcPr>
            <w:cnfStyle w:evenVBand="false" w:oddVBand="true" w:firstColumn="false"/>
            <w:tcW w:w="25.000000%" w:type="pct"/>
          </w:tcPr>
          <w:p>
            <w:pPr>
              <w:ind w:leftChars="0" w:left="0" w:right="0"/>
            </w:pPr>
            <w:r>
              <w:t>DWSF</w:t>
            </w:r>
          </w:p>
        </w:tc>
        <w:tc>
          <w:tcPr>
            <w:cnfStyle w:evenVBand="true" w:oddVBand="false" w:firstColumn="false"/>
            <w:tcW w:w="25.000000%" w:type="pct"/>
          </w:tcPr>
          <w:p>
            <w:pPr>
              <w:ind w:leftChars="0" w:left="0" w:right="0"/>
            </w:pPr>
            <w:r>
              <w:t>DWSF</w:t>
            </w:r>
          </w:p>
        </w:tc>
        <w:tc>
          <w:tcPr>
            <w:cnfStyle w:evenVBand="false" w:oddVBand="true" w:firstColumn="false"/>
            <w:tcW w:w="25.000000%" w:type="pct"/>
          </w:tcPr>
          <w:p>
            <w:pPr>
              <w:ind w:leftChars="0" w:left="0" w:right="0"/>
            </w:pPr>
            <w:r>
              <w:t>DW SEF LLC</w:t>
            </w:r>
          </w:p>
        </w:tc>
        <w:tc>
          <w:tcPr>
            <w:cnfStyle w:evenVBand="true" w:oddVBand="false" w:firstColumn="false"/>
            <w:tcW w:w="25.000000%" w:type="pct"/>
          </w:tcPr>
          <w:p>
            <w:pPr>
              <w:ind w:leftChars="0" w:left="0" w:right="0"/>
            </w:pPr>
            <w:r>
              <w:t>563</w:t>
            </w:r>
          </w:p>
        </w:tc>
      </w:tr>
      <w:tr>
        <w:trPr>
          <w:cnfStyle w:evenHBand="false" w:oddHBand="true" w:firstRow="false"/>
        </w:trPr>
        <w:tc>
          <w:tcPr>
            <w:cnfStyle w:evenVBand="false" w:oddVBand="true" w:firstColumn="false"/>
            <w:tcW w:w="25.000000%" w:type="pct"/>
          </w:tcPr>
          <w:p>
            <w:pPr>
              <w:ind w:leftChars="0" w:left="0" w:right="0"/>
            </w:pPr>
            <w:r>
              <w:t>DZBK</w:t>
            </w:r>
          </w:p>
        </w:tc>
        <w:tc>
          <w:tcPr>
            <w:cnfStyle w:evenVBand="true" w:oddVBand="false" w:firstColumn="false"/>
            <w:tcW w:w="25.000000%" w:type="pct"/>
          </w:tcPr>
          <w:p>
            <w:pPr>
              <w:ind w:leftChars="0" w:left="0" w:right="0"/>
            </w:pPr>
            <w:r>
              <w:t>DZBK</w:t>
            </w:r>
          </w:p>
        </w:tc>
        <w:tc>
          <w:tcPr>
            <w:cnfStyle w:evenVBand="false" w:oddVBand="true" w:firstColumn="false"/>
            <w:tcW w:w="25.000000%" w:type="pct"/>
          </w:tcPr>
          <w:p>
            <w:pPr>
              <w:ind w:leftChars="0" w:left="0" w:right="0"/>
            </w:pPr>
            <w:r>
              <w:t>DZ BANK - SYSTEMATIC INTERNALISER</w:t>
            </w:r>
          </w:p>
        </w:tc>
        <w:tc>
          <w:tcPr>
            <w:cnfStyle w:evenVBand="true" w:oddVBand="false" w:firstColumn="false"/>
            <w:tcW w:w="25.000000%" w:type="pct"/>
          </w:tcPr>
          <w:p>
            <w:pPr>
              <w:ind w:leftChars="0" w:left="0" w:right="0"/>
            </w:pPr>
            <w:r>
              <w:t>564</w:t>
            </w:r>
          </w:p>
        </w:tc>
      </w:tr>
      <w:tr>
        <w:trPr>
          <w:cnfStyle w:evenHBand="true" w:oddHBand="false" w:firstRow="false"/>
        </w:trPr>
        <w:tc>
          <w:tcPr>
            <w:cnfStyle w:evenVBand="false" w:oddVBand="true" w:firstColumn="false"/>
            <w:tcW w:w="25.000000%" w:type="pct"/>
          </w:tcPr>
          <w:p>
            <w:pPr>
              <w:ind w:leftChars="0" w:left="0" w:right="0"/>
            </w:pPr>
            <w:r>
              <w:t>EACM</w:t>
            </w:r>
          </w:p>
        </w:tc>
        <w:tc>
          <w:tcPr>
            <w:cnfStyle w:evenVBand="true" w:oddVBand="false" w:firstColumn="false"/>
            <w:tcW w:w="25.000000%" w:type="pct"/>
          </w:tcPr>
          <w:p>
            <w:pPr>
              <w:ind w:leftChars="0" w:left="0" w:right="0"/>
            </w:pPr>
            <w:r>
              <w:t>EACM</w:t>
            </w:r>
          </w:p>
        </w:tc>
        <w:tc>
          <w:tcPr>
            <w:cnfStyle w:evenVBand="false" w:oddVBand="true" w:firstColumn="false"/>
            <w:tcW w:w="25.000000%" w:type="pct"/>
          </w:tcPr>
          <w:p>
            <w:pPr>
              <w:ind w:leftChars="0" w:left="0" w:right="0"/>
            </w:pPr>
            <w:r>
              <w:t>MTS REPO - AGENCY CASH MANAGEMENT</w:t>
            </w:r>
          </w:p>
        </w:tc>
        <w:tc>
          <w:tcPr>
            <w:cnfStyle w:evenVBand="true" w:oddVBand="false" w:firstColumn="false"/>
            <w:tcW w:w="25.000000%" w:type="pct"/>
          </w:tcPr>
          <w:p>
            <w:pPr>
              <w:ind w:leftChars="0" w:left="0" w:right="0"/>
            </w:pPr>
            <w:r>
              <w:t>565</w:t>
            </w:r>
          </w:p>
        </w:tc>
      </w:tr>
      <w:tr>
        <w:trPr>
          <w:cnfStyle w:evenHBand="false" w:oddHBand="true" w:firstRow="false"/>
        </w:trPr>
        <w:tc>
          <w:tcPr>
            <w:cnfStyle w:evenVBand="false" w:oddVBand="true" w:firstColumn="false"/>
            <w:tcW w:w="25.000000%" w:type="pct"/>
          </w:tcPr>
          <w:p>
            <w:pPr>
              <w:ind w:leftChars="0" w:left="0" w:right="0"/>
            </w:pPr>
            <w:r>
              <w:t>EBHU</w:t>
            </w:r>
          </w:p>
        </w:tc>
        <w:tc>
          <w:tcPr>
            <w:cnfStyle w:evenVBand="true" w:oddVBand="false" w:firstColumn="false"/>
            <w:tcW w:w="25.000000%" w:type="pct"/>
          </w:tcPr>
          <w:p>
            <w:pPr>
              <w:ind w:leftChars="0" w:left="0" w:right="0"/>
            </w:pPr>
            <w:r>
              <w:t>EBHU</w:t>
            </w:r>
          </w:p>
        </w:tc>
        <w:tc>
          <w:tcPr>
            <w:cnfStyle w:evenVBand="false" w:oddVBand="true" w:firstColumn="false"/>
            <w:tcW w:w="25.000000%" w:type="pct"/>
          </w:tcPr>
          <w:p>
            <w:pPr>
              <w:ind w:leftChars="0" w:left="0" w:right="0"/>
            </w:pPr>
            <w:r>
              <w:t>ERSTE BANK HUNGARY ZRT. - SYSTEMATIC INTERNALISER</w:t>
            </w:r>
          </w:p>
        </w:tc>
        <w:tc>
          <w:tcPr>
            <w:cnfStyle w:evenVBand="true" w:oddVBand="false" w:firstColumn="false"/>
            <w:tcW w:w="25.000000%" w:type="pct"/>
          </w:tcPr>
          <w:p>
            <w:pPr>
              <w:ind w:leftChars="0" w:left="0" w:right="0"/>
            </w:pPr>
            <w:r>
              <w:t>566</w:t>
            </w:r>
          </w:p>
        </w:tc>
      </w:tr>
      <w:tr>
        <w:trPr>
          <w:cnfStyle w:evenHBand="true" w:oddHBand="false" w:firstRow="false"/>
        </w:trPr>
        <w:tc>
          <w:tcPr>
            <w:cnfStyle w:evenVBand="false" w:oddVBand="true" w:firstColumn="false"/>
            <w:tcW w:w="25.000000%" w:type="pct"/>
          </w:tcPr>
          <w:p>
            <w:pPr>
              <w:ind w:leftChars="0" w:left="0" w:right="0"/>
            </w:pPr>
            <w:r>
              <w:t>EBLX</w:t>
            </w:r>
          </w:p>
        </w:tc>
        <w:tc>
          <w:tcPr>
            <w:cnfStyle w:evenVBand="true" w:oddVBand="false" w:firstColumn="false"/>
            <w:tcW w:w="25.000000%" w:type="pct"/>
          </w:tcPr>
          <w:p>
            <w:pPr>
              <w:ind w:leftChars="0" w:left="0" w:right="0"/>
            </w:pPr>
            <w:r>
              <w:t>EBLX</w:t>
            </w:r>
          </w:p>
        </w:tc>
        <w:tc>
          <w:tcPr>
            <w:cnfStyle w:evenVBand="false" w:oddVBand="true" w:firstColumn="false"/>
            <w:tcW w:w="25.000000%" w:type="pct"/>
          </w:tcPr>
          <w:p>
            <w:pPr>
              <w:ind w:leftChars="0" w:left="0" w:right="0"/>
            </w:pPr>
            <w:r>
              <w:t>BLOCKMATCH EUROPE DARK</w:t>
            </w:r>
          </w:p>
        </w:tc>
        <w:tc>
          <w:tcPr>
            <w:cnfStyle w:evenVBand="true" w:oddVBand="false" w:firstColumn="false"/>
            <w:tcW w:w="25.000000%" w:type="pct"/>
          </w:tcPr>
          <w:p>
            <w:pPr>
              <w:ind w:leftChars="0" w:left="0" w:right="0"/>
            </w:pPr>
            <w:r>
              <w:t>567</w:t>
            </w:r>
          </w:p>
        </w:tc>
      </w:tr>
      <w:tr>
        <w:trPr>
          <w:cnfStyle w:evenHBand="false" w:oddHBand="true" w:firstRow="false"/>
        </w:trPr>
        <w:tc>
          <w:tcPr>
            <w:cnfStyle w:evenVBand="false" w:oddVBand="true" w:firstColumn="false"/>
            <w:tcW w:w="25.000000%" w:type="pct"/>
          </w:tcPr>
          <w:p>
            <w:pPr>
              <w:ind w:leftChars="0" w:left="0" w:right="0"/>
            </w:pPr>
            <w:r>
              <w:t>EBMX</w:t>
            </w:r>
          </w:p>
        </w:tc>
        <w:tc>
          <w:tcPr>
            <w:cnfStyle w:evenVBand="true" w:oddVBand="false" w:firstColumn="false"/>
            <w:tcW w:w="25.000000%" w:type="pct"/>
          </w:tcPr>
          <w:p>
            <w:pPr>
              <w:ind w:leftChars="0" w:left="0" w:right="0"/>
            </w:pPr>
            <w:r>
              <w:t>EBMX</w:t>
            </w:r>
          </w:p>
        </w:tc>
        <w:tc>
          <w:tcPr>
            <w:cnfStyle w:evenVBand="false" w:oddVBand="true" w:firstColumn="false"/>
            <w:tcW w:w="25.000000%" w:type="pct"/>
          </w:tcPr>
          <w:p>
            <w:pPr>
              <w:ind w:leftChars="0" w:left="0" w:right="0"/>
            </w:pPr>
            <w:r>
              <w:t>EBM - MTF</w:t>
            </w:r>
          </w:p>
        </w:tc>
        <w:tc>
          <w:tcPr>
            <w:cnfStyle w:evenVBand="true" w:oddVBand="false" w:firstColumn="false"/>
            <w:tcW w:w="25.000000%" w:type="pct"/>
          </w:tcPr>
          <w:p>
            <w:pPr>
              <w:ind w:leftChars="0" w:left="0" w:right="0"/>
            </w:pPr>
            <w:r>
              <w:t>568</w:t>
            </w:r>
          </w:p>
        </w:tc>
      </w:tr>
      <w:tr>
        <w:trPr>
          <w:cnfStyle w:evenHBand="true" w:oddHBand="false" w:firstRow="false"/>
        </w:trPr>
        <w:tc>
          <w:tcPr>
            <w:cnfStyle w:evenVBand="false" w:oddVBand="true" w:firstColumn="false"/>
            <w:tcW w:w="25.000000%" w:type="pct"/>
          </w:tcPr>
          <w:p>
            <w:pPr>
              <w:ind w:leftChars="0" w:left="0" w:right="0"/>
            </w:pPr>
            <w:r>
              <w:t>EBON</w:t>
            </w:r>
          </w:p>
        </w:tc>
        <w:tc>
          <w:tcPr>
            <w:cnfStyle w:evenVBand="true" w:oddVBand="false" w:firstColumn="false"/>
            <w:tcW w:w="25.000000%" w:type="pct"/>
          </w:tcPr>
          <w:p>
            <w:pPr>
              <w:ind w:leftChars="0" w:left="0" w:right="0"/>
            </w:pPr>
            <w:r>
              <w:t>EBON</w:t>
            </w:r>
          </w:p>
        </w:tc>
        <w:tc>
          <w:tcPr>
            <w:cnfStyle w:evenVBand="false" w:oddVBand="true" w:firstColumn="false"/>
            <w:tcW w:w="25.000000%" w:type="pct"/>
          </w:tcPr>
          <w:p>
            <w:pPr>
              <w:ind w:leftChars="0" w:left="0" w:right="0"/>
            </w:pPr>
            <w:r>
              <w:t>NASDAQ STOCKHOLM AB - EUR FI DERIVATIVES</w:t>
            </w:r>
          </w:p>
        </w:tc>
        <w:tc>
          <w:tcPr>
            <w:cnfStyle w:evenVBand="true" w:oddVBand="false" w:firstColumn="false"/>
            <w:tcW w:w="25.000000%" w:type="pct"/>
          </w:tcPr>
          <w:p>
            <w:pPr>
              <w:ind w:leftChars="0" w:left="0" w:right="0"/>
            </w:pPr>
            <w:r>
              <w:t>569</w:t>
            </w:r>
          </w:p>
        </w:tc>
      </w:tr>
      <w:tr>
        <w:trPr>
          <w:cnfStyle w:evenHBand="false" w:oddHBand="true" w:firstRow="false"/>
        </w:trPr>
        <w:tc>
          <w:tcPr>
            <w:cnfStyle w:evenVBand="false" w:oddVBand="true" w:firstColumn="false"/>
            <w:tcW w:w="25.000000%" w:type="pct"/>
          </w:tcPr>
          <w:p>
            <w:pPr>
              <w:ind w:leftChars="0" w:left="0" w:right="0"/>
            </w:pPr>
            <w:r>
              <w:t>EBRA</w:t>
            </w:r>
          </w:p>
        </w:tc>
        <w:tc>
          <w:tcPr>
            <w:cnfStyle w:evenVBand="true" w:oddVBand="false" w:firstColumn="false"/>
            <w:tcW w:w="25.000000%" w:type="pct"/>
          </w:tcPr>
          <w:p>
            <w:pPr>
              <w:ind w:leftChars="0" w:left="0" w:right="0"/>
            </w:pPr>
            <w:r>
              <w:t>EBRA</w:t>
            </w:r>
          </w:p>
        </w:tc>
        <w:tc>
          <w:tcPr>
            <w:cnfStyle w:evenVBand="false" w:oddVBand="true" w:firstColumn="false"/>
            <w:tcW w:w="25.000000%" w:type="pct"/>
          </w:tcPr>
          <w:p>
            <w:pPr>
              <w:ind w:leftChars="0" w:left="0" w:right="0"/>
            </w:pPr>
            <w:r>
              <w:t>BRATISLAVA STOCK EXCHANGE - MTF</w:t>
            </w:r>
          </w:p>
        </w:tc>
        <w:tc>
          <w:tcPr>
            <w:cnfStyle w:evenVBand="true" w:oddVBand="false" w:firstColumn="false"/>
            <w:tcW w:w="25.000000%" w:type="pct"/>
          </w:tcPr>
          <w:p>
            <w:pPr>
              <w:ind w:leftChars="0" w:left="0" w:right="0"/>
            </w:pPr>
            <w:r>
              <w:t>570</w:t>
            </w:r>
          </w:p>
        </w:tc>
      </w:tr>
      <w:tr>
        <w:trPr>
          <w:cnfStyle w:evenHBand="true" w:oddHBand="false" w:firstRow="false"/>
        </w:trPr>
        <w:tc>
          <w:tcPr>
            <w:cnfStyle w:evenVBand="false" w:oddVBand="true" w:firstColumn="false"/>
            <w:tcW w:w="25.000000%" w:type="pct"/>
          </w:tcPr>
          <w:p>
            <w:pPr>
              <w:ind w:leftChars="0" w:left="0" w:right="0"/>
            </w:pPr>
            <w:r>
              <w:t>EBSC</w:t>
            </w:r>
          </w:p>
        </w:tc>
        <w:tc>
          <w:tcPr>
            <w:cnfStyle w:evenVBand="true" w:oddVBand="false" w:firstColumn="false"/>
            <w:tcW w:w="25.000000%" w:type="pct"/>
          </w:tcPr>
          <w:p>
            <w:pPr>
              <w:ind w:leftChars="0" w:left="0" w:right="0"/>
            </w:pPr>
            <w:r>
              <w:t>EBSC</w:t>
            </w:r>
          </w:p>
        </w:tc>
        <w:tc>
          <w:tcPr>
            <w:cnfStyle w:evenVBand="false" w:oddVBand="true" w:firstColumn="false"/>
            <w:tcW w:w="25.000000%" w:type="pct"/>
          </w:tcPr>
          <w:p>
            <w:pPr>
              <w:ind w:leftChars="0" w:left="0" w:right="0"/>
            </w:pPr>
            <w:r>
              <w:t>EBS MARKET- CLOB - FOR THE TRADING OF SPOT FX, PRECIOUS METALS AND OTHER FX PRODUCTS</w:t>
            </w:r>
          </w:p>
        </w:tc>
        <w:tc>
          <w:tcPr>
            <w:cnfStyle w:evenVBand="true" w:oddVBand="false" w:firstColumn="false"/>
            <w:tcW w:w="25.000000%" w:type="pct"/>
          </w:tcPr>
          <w:p>
            <w:pPr>
              <w:ind w:leftChars="0" w:left="0" w:right="0"/>
            </w:pPr>
            <w:r>
              <w:t>571</w:t>
            </w:r>
          </w:p>
        </w:tc>
      </w:tr>
      <w:tr>
        <w:trPr>
          <w:cnfStyle w:evenHBand="false" w:oddHBand="true" w:firstRow="false"/>
        </w:trPr>
        <w:tc>
          <w:tcPr>
            <w:cnfStyle w:evenVBand="false" w:oddVBand="true" w:firstColumn="false"/>
            <w:tcW w:w="25.000000%" w:type="pct"/>
          </w:tcPr>
          <w:p>
            <w:pPr>
              <w:ind w:leftChars="0" w:left="0" w:right="0"/>
            </w:pPr>
            <w:r>
              <w:t>EBSD</w:t>
            </w:r>
          </w:p>
        </w:tc>
        <w:tc>
          <w:tcPr>
            <w:cnfStyle w:evenVBand="true" w:oddVBand="false" w:firstColumn="false"/>
            <w:tcW w:w="25.000000%" w:type="pct"/>
          </w:tcPr>
          <w:p>
            <w:pPr>
              <w:ind w:leftChars="0" w:left="0" w:right="0"/>
            </w:pPr>
            <w:r>
              <w:t>EBSD</w:t>
            </w:r>
          </w:p>
        </w:tc>
        <w:tc>
          <w:tcPr>
            <w:cnfStyle w:evenVBand="false" w:oddVBand="true" w:firstColumn="false"/>
            <w:tcW w:w="25.000000%" w:type="pct"/>
          </w:tcPr>
          <w:p>
            <w:pPr>
              <w:ind w:leftChars="0" w:left="0" w:right="0"/>
            </w:pPr>
            <w:r>
              <w:t>EBS MTF - RFQ - FOR THE TRADING OF FX PRODUCTS</w:t>
            </w:r>
          </w:p>
        </w:tc>
        <w:tc>
          <w:tcPr>
            <w:cnfStyle w:evenVBand="true" w:oddVBand="false" w:firstColumn="false"/>
            <w:tcW w:w="25.000000%" w:type="pct"/>
          </w:tcPr>
          <w:p>
            <w:pPr>
              <w:ind w:leftChars="0" w:left="0" w:right="0"/>
            </w:pPr>
            <w:r>
              <w:t>572</w:t>
            </w:r>
          </w:p>
        </w:tc>
      </w:tr>
      <w:tr>
        <w:trPr>
          <w:cnfStyle w:evenHBand="true" w:oddHBand="false" w:firstRow="false"/>
        </w:trPr>
        <w:tc>
          <w:tcPr>
            <w:cnfStyle w:evenVBand="false" w:oddVBand="true" w:firstColumn="false"/>
            <w:tcW w:w="25.000000%" w:type="pct"/>
          </w:tcPr>
          <w:p>
            <w:pPr>
              <w:ind w:leftChars="0" w:left="0" w:right="0"/>
            </w:pPr>
            <w:r>
              <w:t>EBSF</w:t>
            </w:r>
          </w:p>
        </w:tc>
        <w:tc>
          <w:tcPr>
            <w:cnfStyle w:evenVBand="true" w:oddVBand="false" w:firstColumn="false"/>
            <w:tcW w:w="25.000000%" w:type="pct"/>
          </w:tcPr>
          <w:p>
            <w:pPr>
              <w:ind w:leftChars="0" w:left="0" w:right="0"/>
            </w:pPr>
            <w:r>
              <w:t>EBSF</w:t>
            </w:r>
          </w:p>
        </w:tc>
        <w:tc>
          <w:tcPr>
            <w:cnfStyle w:evenVBand="false" w:oddVBand="true" w:firstColumn="false"/>
            <w:tcW w:w="25.000000%" w:type="pct"/>
          </w:tcPr>
          <w:p>
            <w:pPr>
              <w:ind w:leftChars="0" w:left="0" w:right="0"/>
            </w:pPr>
            <w:r>
              <w:t>EBS MTF - FX PRODUCTS - RFQ SEGMENT</w:t>
            </w:r>
          </w:p>
        </w:tc>
        <w:tc>
          <w:tcPr>
            <w:cnfStyle w:evenVBand="true" w:oddVBand="false" w:firstColumn="false"/>
            <w:tcW w:w="25.000000%" w:type="pct"/>
          </w:tcPr>
          <w:p>
            <w:pPr>
              <w:ind w:leftChars="0" w:left="0" w:right="0"/>
            </w:pPr>
            <w:r>
              <w:t>573</w:t>
            </w:r>
          </w:p>
        </w:tc>
      </w:tr>
      <w:tr>
        <w:trPr>
          <w:cnfStyle w:evenHBand="false" w:oddHBand="true" w:firstRow="false"/>
        </w:trPr>
        <w:tc>
          <w:tcPr>
            <w:cnfStyle w:evenVBand="false" w:oddVBand="true" w:firstColumn="false"/>
            <w:tcW w:w="25.000000%" w:type="pct"/>
          </w:tcPr>
          <w:p>
            <w:pPr>
              <w:ind w:leftChars="0" w:left="0" w:right="0"/>
            </w:pPr>
            <w:r>
              <w:t>EBSI</w:t>
            </w:r>
          </w:p>
        </w:tc>
        <w:tc>
          <w:tcPr>
            <w:cnfStyle w:evenVBand="true" w:oddVBand="false" w:firstColumn="false"/>
            <w:tcW w:w="25.000000%" w:type="pct"/>
          </w:tcPr>
          <w:p>
            <w:pPr>
              <w:ind w:leftChars="0" w:left="0" w:right="0"/>
            </w:pPr>
            <w:r>
              <w:t>EBSI</w:t>
            </w:r>
          </w:p>
        </w:tc>
        <w:tc>
          <w:tcPr>
            <w:cnfStyle w:evenVBand="false" w:oddVBand="true" w:firstColumn="false"/>
            <w:tcW w:w="25.000000%" w:type="pct"/>
          </w:tcPr>
          <w:p>
            <w:pPr>
              <w:ind w:leftChars="0" w:left="0" w:right="0"/>
            </w:pPr>
            <w:r>
              <w:t>EBS MTF - RFQ - FOR ASSET MANAGERS TRADING FX PRODUCTS</w:t>
            </w:r>
          </w:p>
        </w:tc>
        <w:tc>
          <w:tcPr>
            <w:cnfStyle w:evenVBand="true" w:oddVBand="false" w:firstColumn="false"/>
            <w:tcW w:w="25.000000%" w:type="pct"/>
          </w:tcPr>
          <w:p>
            <w:pPr>
              <w:ind w:leftChars="0" w:left="0" w:right="0"/>
            </w:pPr>
            <w:r>
              <w:t>574</w:t>
            </w:r>
          </w:p>
        </w:tc>
      </w:tr>
      <w:tr>
        <w:trPr>
          <w:cnfStyle w:evenHBand="true" w:oddHBand="false" w:firstRow="false"/>
        </w:trPr>
        <w:tc>
          <w:tcPr>
            <w:cnfStyle w:evenVBand="false" w:oddVBand="true" w:firstColumn="false"/>
            <w:tcW w:w="25.000000%" w:type="pct"/>
          </w:tcPr>
          <w:p>
            <w:pPr>
              <w:ind w:leftChars="0" w:left="0" w:right="0"/>
            </w:pPr>
            <w:r>
              <w:t>EBSM</w:t>
            </w:r>
          </w:p>
        </w:tc>
        <w:tc>
          <w:tcPr>
            <w:cnfStyle w:evenVBand="true" w:oddVBand="false" w:firstColumn="false"/>
            <w:tcW w:w="25.000000%" w:type="pct"/>
          </w:tcPr>
          <w:p>
            <w:pPr>
              <w:ind w:leftChars="0" w:left="0" w:right="0"/>
            </w:pPr>
            <w:r>
              <w:t>EBSM</w:t>
            </w:r>
          </w:p>
        </w:tc>
        <w:tc>
          <w:tcPr>
            <w:cnfStyle w:evenVBand="false" w:oddVBand="true" w:firstColumn="false"/>
            <w:tcW w:w="25.000000%" w:type="pct"/>
          </w:tcPr>
          <w:p>
            <w:pPr>
              <w:ind w:leftChars="0" w:left="0" w:right="0"/>
            </w:pPr>
            <w:r>
              <w:t>EBS MTF - CLOB - FOR THE TRADING OF FX PRODUCTS</w:t>
            </w:r>
          </w:p>
        </w:tc>
        <w:tc>
          <w:tcPr>
            <w:cnfStyle w:evenVBand="true" w:oddVBand="false" w:firstColumn="false"/>
            <w:tcW w:w="25.000000%" w:type="pct"/>
          </w:tcPr>
          <w:p>
            <w:pPr>
              <w:ind w:leftChars="0" w:left="0" w:right="0"/>
            </w:pPr>
            <w:r>
              <w:t>575</w:t>
            </w:r>
          </w:p>
        </w:tc>
      </w:tr>
      <w:tr>
        <w:trPr>
          <w:cnfStyle w:evenHBand="false" w:oddHBand="true" w:firstRow="false"/>
        </w:trPr>
        <w:tc>
          <w:tcPr>
            <w:cnfStyle w:evenVBand="false" w:oddVBand="true" w:firstColumn="false"/>
            <w:tcW w:w="25.000000%" w:type="pct"/>
          </w:tcPr>
          <w:p>
            <w:pPr>
              <w:ind w:leftChars="0" w:left="0" w:right="0"/>
            </w:pPr>
            <w:r>
              <w:t>EBSN</w:t>
            </w:r>
          </w:p>
        </w:tc>
        <w:tc>
          <w:tcPr>
            <w:cnfStyle w:evenVBand="true" w:oddVBand="false" w:firstColumn="false"/>
            <w:tcW w:w="25.000000%" w:type="pct"/>
          </w:tcPr>
          <w:p>
            <w:pPr>
              <w:ind w:leftChars="0" w:left="0" w:right="0"/>
            </w:pPr>
            <w:r>
              <w:t>EBSN</w:t>
            </w:r>
          </w:p>
        </w:tc>
        <w:tc>
          <w:tcPr>
            <w:cnfStyle w:evenVBand="false" w:oddVBand="true" w:firstColumn="false"/>
            <w:tcW w:w="25.000000%" w:type="pct"/>
          </w:tcPr>
          <w:p>
            <w:pPr>
              <w:ind w:leftChars="0" w:left="0" w:right="0"/>
            </w:pPr>
            <w:r>
              <w:t>EBS MTF</w:t>
            </w:r>
          </w:p>
        </w:tc>
        <w:tc>
          <w:tcPr>
            <w:cnfStyle w:evenVBand="true" w:oddVBand="false" w:firstColumn="false"/>
            <w:tcW w:w="25.000000%" w:type="pct"/>
          </w:tcPr>
          <w:p>
            <w:pPr>
              <w:ind w:leftChars="0" w:left="0" w:right="0"/>
            </w:pPr>
            <w:r>
              <w:t>576</w:t>
            </w:r>
          </w:p>
        </w:tc>
      </w:tr>
      <w:tr>
        <w:trPr>
          <w:cnfStyle w:evenHBand="true" w:oddHBand="false" w:firstRow="false"/>
        </w:trPr>
        <w:tc>
          <w:tcPr>
            <w:cnfStyle w:evenVBand="false" w:oddVBand="true" w:firstColumn="false"/>
            <w:tcW w:w="25.000000%" w:type="pct"/>
          </w:tcPr>
          <w:p>
            <w:pPr>
              <w:ind w:leftChars="0" w:left="0" w:right="0"/>
            </w:pPr>
            <w:r>
              <w:t>EBSO</w:t>
            </w:r>
          </w:p>
        </w:tc>
        <w:tc>
          <w:tcPr>
            <w:cnfStyle w:evenVBand="true" w:oddVBand="false" w:firstColumn="false"/>
            <w:tcW w:w="25.000000%" w:type="pct"/>
          </w:tcPr>
          <w:p>
            <w:pPr>
              <w:ind w:leftChars="0" w:left="0" w:right="0"/>
            </w:pPr>
            <w:r>
              <w:t>EBSO</w:t>
            </w:r>
          </w:p>
        </w:tc>
        <w:tc>
          <w:tcPr>
            <w:cnfStyle w:evenVBand="false" w:oddVBand="true" w:firstColumn="false"/>
            <w:tcW w:w="25.000000%" w:type="pct"/>
          </w:tcPr>
          <w:p>
            <w:pPr>
              <w:ind w:leftChars="0" w:left="0" w:right="0"/>
            </w:pPr>
            <w:r>
              <w:t>NEX SEF - RFQ - FX PRODUCTS FOR ASSET MANAGERS</w:t>
            </w:r>
          </w:p>
        </w:tc>
        <w:tc>
          <w:tcPr>
            <w:cnfStyle w:evenVBand="true" w:oddVBand="false" w:firstColumn="false"/>
            <w:tcW w:w="25.000000%" w:type="pct"/>
          </w:tcPr>
          <w:p>
            <w:pPr>
              <w:ind w:leftChars="0" w:left="0" w:right="0"/>
            </w:pPr>
            <w:r>
              <w:t>577</w:t>
            </w:r>
          </w:p>
        </w:tc>
      </w:tr>
      <w:tr>
        <w:trPr>
          <w:cnfStyle w:evenHBand="false" w:oddHBand="true" w:firstRow="false"/>
        </w:trPr>
        <w:tc>
          <w:tcPr>
            <w:cnfStyle w:evenVBand="false" w:oddVBand="true" w:firstColumn="false"/>
            <w:tcW w:w="25.000000%" w:type="pct"/>
          </w:tcPr>
          <w:p>
            <w:pPr>
              <w:ind w:leftChars="0" w:left="0" w:right="0"/>
            </w:pPr>
            <w:r>
              <w:t>EBSS</w:t>
            </w:r>
          </w:p>
        </w:tc>
        <w:tc>
          <w:tcPr>
            <w:cnfStyle w:evenVBand="true" w:oddVBand="false" w:firstColumn="false"/>
            <w:tcW w:w="25.000000%" w:type="pct"/>
          </w:tcPr>
          <w:p>
            <w:pPr>
              <w:ind w:leftChars="0" w:left="0" w:right="0"/>
            </w:pPr>
            <w:r>
              <w:t>EBSS</w:t>
            </w:r>
          </w:p>
        </w:tc>
        <w:tc>
          <w:tcPr>
            <w:cnfStyle w:evenVBand="false" w:oddVBand="true" w:firstColumn="false"/>
            <w:tcW w:w="25.000000%" w:type="pct"/>
          </w:tcPr>
          <w:p>
            <w:pPr>
              <w:ind w:leftChars="0" w:left="0" w:right="0"/>
            </w:pPr>
            <w:r>
              <w:t>EBS SERVICE COMPANY LIMITED - ALL MARKETS</w:t>
            </w:r>
          </w:p>
        </w:tc>
        <w:tc>
          <w:tcPr>
            <w:cnfStyle w:evenVBand="true" w:oddVBand="false" w:firstColumn="false"/>
            <w:tcW w:w="25.000000%" w:type="pct"/>
          </w:tcPr>
          <w:p>
            <w:pPr>
              <w:ind w:leftChars="0" w:left="0" w:right="0"/>
            </w:pPr>
            <w:r>
              <w:t>578</w:t>
            </w:r>
          </w:p>
        </w:tc>
      </w:tr>
      <w:tr>
        <w:trPr>
          <w:cnfStyle w:evenHBand="true" w:oddHBand="false" w:firstRow="false"/>
        </w:trPr>
        <w:tc>
          <w:tcPr>
            <w:cnfStyle w:evenVBand="false" w:oddVBand="true" w:firstColumn="false"/>
            <w:tcW w:w="25.000000%" w:type="pct"/>
          </w:tcPr>
          <w:p>
            <w:pPr>
              <w:ind w:leftChars="0" w:left="0" w:right="0"/>
            </w:pPr>
            <w:r>
              <w:t>EBSX</w:t>
            </w:r>
          </w:p>
        </w:tc>
        <w:tc>
          <w:tcPr>
            <w:cnfStyle w:evenVBand="true" w:oddVBand="false" w:firstColumn="false"/>
            <w:tcW w:w="25.000000%" w:type="pct"/>
          </w:tcPr>
          <w:p>
            <w:pPr>
              <w:ind w:leftChars="0" w:left="0" w:right="0"/>
            </w:pPr>
            <w:r>
              <w:t>EBSX</w:t>
            </w:r>
          </w:p>
        </w:tc>
        <w:tc>
          <w:tcPr>
            <w:cnfStyle w:evenVBand="false" w:oddVBand="true" w:firstColumn="false"/>
            <w:tcW w:w="25.000000%" w:type="pct"/>
          </w:tcPr>
          <w:p>
            <w:pPr>
              <w:ind w:leftChars="0" w:left="0" w:right="0"/>
            </w:pPr>
            <w:r>
              <w:t>EBS MTF</w:t>
            </w:r>
          </w:p>
        </w:tc>
        <w:tc>
          <w:tcPr>
            <w:cnfStyle w:evenVBand="true" w:oddVBand="false" w:firstColumn="false"/>
            <w:tcW w:w="25.000000%" w:type="pct"/>
          </w:tcPr>
          <w:p>
            <w:pPr>
              <w:ind w:leftChars="0" w:left="0" w:right="0"/>
            </w:pPr>
            <w:r>
              <w:t>579</w:t>
            </w:r>
          </w:p>
        </w:tc>
      </w:tr>
      <w:tr>
        <w:trPr>
          <w:cnfStyle w:evenHBand="false" w:oddHBand="true" w:firstRow="false"/>
        </w:trPr>
        <w:tc>
          <w:tcPr>
            <w:cnfStyle w:evenVBand="false" w:oddVBand="true" w:firstColumn="false"/>
            <w:tcW w:w="25.000000%" w:type="pct"/>
          </w:tcPr>
          <w:p>
            <w:pPr>
              <w:ind w:leftChars="0" w:left="0" w:right="0"/>
            </w:pPr>
            <w:r>
              <w:t>EBXV</w:t>
            </w:r>
          </w:p>
        </w:tc>
        <w:tc>
          <w:tcPr>
            <w:cnfStyle w:evenVBand="true" w:oddVBand="false" w:firstColumn="false"/>
            <w:tcW w:w="25.000000%" w:type="pct"/>
          </w:tcPr>
          <w:p>
            <w:pPr>
              <w:ind w:leftChars="0" w:left="0" w:right="0"/>
            </w:pPr>
            <w:r>
              <w:t>EBXV</w:t>
            </w:r>
          </w:p>
        </w:tc>
        <w:tc>
          <w:tcPr>
            <w:cnfStyle w:evenVBand="false" w:oddVBand="true" w:firstColumn="false"/>
            <w:tcW w:w="25.000000%" w:type="pct"/>
          </w:tcPr>
          <w:p>
            <w:pPr>
              <w:ind w:leftChars="0" w:left="0" w:right="0"/>
            </w:pPr>
            <w:r>
              <w:t>LEVEL ATS - VWAP CROSS</w:t>
            </w:r>
          </w:p>
        </w:tc>
        <w:tc>
          <w:tcPr>
            <w:cnfStyle w:evenVBand="true" w:oddVBand="false" w:firstColumn="false"/>
            <w:tcW w:w="25.000000%" w:type="pct"/>
          </w:tcPr>
          <w:p>
            <w:pPr>
              <w:ind w:leftChars="0" w:left="0" w:right="0"/>
            </w:pPr>
            <w:r>
              <w:t>580</w:t>
            </w:r>
          </w:p>
        </w:tc>
      </w:tr>
      <w:tr>
        <w:trPr>
          <w:cnfStyle w:evenHBand="true" w:oddHBand="false" w:firstRow="false"/>
        </w:trPr>
        <w:tc>
          <w:tcPr>
            <w:cnfStyle w:evenVBand="false" w:oddVBand="true" w:firstColumn="false"/>
            <w:tcW w:w="25.000000%" w:type="pct"/>
          </w:tcPr>
          <w:p>
            <w:pPr>
              <w:ind w:leftChars="0" w:left="0" w:right="0"/>
            </w:pPr>
            <w:r>
              <w:t>ECAG</w:t>
            </w:r>
          </w:p>
        </w:tc>
        <w:tc>
          <w:tcPr>
            <w:cnfStyle w:evenVBand="true" w:oddVBand="false" w:firstColumn="false"/>
            <w:tcW w:w="25.000000%" w:type="pct"/>
          </w:tcPr>
          <w:p>
            <w:pPr>
              <w:ind w:leftChars="0" w:left="0" w:right="0"/>
            </w:pPr>
            <w:r>
              <w:t>ECAG</w:t>
            </w:r>
          </w:p>
        </w:tc>
        <w:tc>
          <w:tcPr>
            <w:cnfStyle w:evenVBand="false" w:oddVBand="true" w:firstColumn="false"/>
            <w:tcW w:w="25.000000%" w:type="pct"/>
          </w:tcPr>
          <w:p>
            <w:pPr>
              <w:ind w:leftChars="0" w:left="0" w:right="0"/>
            </w:pPr>
            <w:r>
              <w:t>EUREX CLEARING AG</w:t>
            </w:r>
          </w:p>
        </w:tc>
        <w:tc>
          <w:tcPr>
            <w:cnfStyle w:evenVBand="true" w:oddVBand="false" w:firstColumn="false"/>
            <w:tcW w:w="25.000000%" w:type="pct"/>
          </w:tcPr>
          <w:p>
            <w:pPr>
              <w:ind w:leftChars="0" w:left="0" w:right="0"/>
            </w:pPr>
            <w:r>
              <w:t>581</w:t>
            </w:r>
          </w:p>
        </w:tc>
      </w:tr>
      <w:tr>
        <w:trPr>
          <w:cnfStyle w:evenHBand="false" w:oddHBand="true" w:firstRow="false"/>
        </w:trPr>
        <w:tc>
          <w:tcPr>
            <w:cnfStyle w:evenVBand="false" w:oddVBand="true" w:firstColumn="false"/>
            <w:tcW w:w="25.000000%" w:type="pct"/>
          </w:tcPr>
          <w:p>
            <w:pPr>
              <w:ind w:leftChars="0" w:left="0" w:right="0"/>
            </w:pPr>
            <w:r>
              <w:t>ECAL</w:t>
            </w:r>
          </w:p>
        </w:tc>
        <w:tc>
          <w:tcPr>
            <w:cnfStyle w:evenVBand="true" w:oddVBand="false" w:firstColumn="false"/>
            <w:tcW w:w="25.000000%" w:type="pct"/>
          </w:tcPr>
          <w:p>
            <w:pPr>
              <w:ind w:leftChars="0" w:left="0" w:right="0"/>
            </w:pPr>
            <w:r>
              <w:t>ECAL</w:t>
            </w:r>
          </w:p>
        </w:tc>
        <w:tc>
          <w:tcPr>
            <w:cnfStyle w:evenVBand="false" w:oddVBand="true" w:firstColumn="false"/>
            <w:tcW w:w="25.000000%" w:type="pct"/>
          </w:tcPr>
          <w:p>
            <w:pPr>
              <w:ind w:leftChars="0" w:left="0" w:right="0"/>
            </w:pPr>
            <w:r>
              <w:t>EUREX CLEARING ASIA PTE. LTD.</w:t>
            </w:r>
          </w:p>
        </w:tc>
        <w:tc>
          <w:tcPr>
            <w:cnfStyle w:evenVBand="true" w:oddVBand="false" w:firstColumn="false"/>
            <w:tcW w:w="25.000000%" w:type="pct"/>
          </w:tcPr>
          <w:p>
            <w:pPr>
              <w:ind w:leftChars="0" w:left="0" w:right="0"/>
            </w:pPr>
            <w:r>
              <w:t>582</w:t>
            </w:r>
          </w:p>
        </w:tc>
      </w:tr>
      <w:tr>
        <w:trPr>
          <w:cnfStyle w:evenHBand="true" w:oddHBand="false" w:firstRow="false"/>
        </w:trPr>
        <w:tc>
          <w:tcPr>
            <w:cnfStyle w:evenVBand="false" w:oddVBand="true" w:firstColumn="false"/>
            <w:tcW w:w="25.000000%" w:type="pct"/>
          </w:tcPr>
          <w:p>
            <w:pPr>
              <w:ind w:leftChars="0" w:left="0" w:right="0"/>
            </w:pPr>
            <w:r>
              <w:t>ECEU</w:t>
            </w:r>
          </w:p>
        </w:tc>
        <w:tc>
          <w:tcPr>
            <w:cnfStyle w:evenVBand="true" w:oddVBand="false" w:firstColumn="false"/>
            <w:tcW w:w="25.000000%" w:type="pct"/>
          </w:tcPr>
          <w:p>
            <w:pPr>
              <w:ind w:leftChars="0" w:left="0" w:right="0"/>
            </w:pPr>
            <w:r>
              <w:t>ECEU</w:t>
            </w:r>
          </w:p>
        </w:tc>
        <w:tc>
          <w:tcPr>
            <w:cnfStyle w:evenVBand="false" w:oddVBand="true" w:firstColumn="false"/>
            <w:tcW w:w="25.000000%" w:type="pct"/>
          </w:tcPr>
          <w:p>
            <w:pPr>
              <w:ind w:leftChars="0" w:left="0" w:right="0"/>
            </w:pPr>
            <w:r>
              <w:t>TRADECHO EU APA</w:t>
            </w:r>
          </w:p>
        </w:tc>
        <w:tc>
          <w:tcPr>
            <w:cnfStyle w:evenVBand="true" w:oddVBand="false" w:firstColumn="false"/>
            <w:tcW w:w="25.000000%" w:type="pct"/>
          </w:tcPr>
          <w:p>
            <w:pPr>
              <w:ind w:leftChars="0" w:left="0" w:right="0"/>
            </w:pPr>
            <w:r>
              <w:t>583</w:t>
            </w:r>
          </w:p>
        </w:tc>
      </w:tr>
      <w:tr>
        <w:trPr>
          <w:cnfStyle w:evenHBand="false" w:oddHBand="true" w:firstRow="false"/>
        </w:trPr>
        <w:tc>
          <w:tcPr>
            <w:cnfStyle w:evenVBand="false" w:oddVBand="true" w:firstColumn="false"/>
            <w:tcW w:w="25.000000%" w:type="pct"/>
          </w:tcPr>
          <w:p>
            <w:pPr>
              <w:ind w:leftChars="0" w:left="0" w:right="0"/>
            </w:pPr>
            <w:r>
              <w:t>ECGS</w:t>
            </w:r>
          </w:p>
        </w:tc>
        <w:tc>
          <w:tcPr>
            <w:cnfStyle w:evenVBand="true" w:oddVBand="false" w:firstColumn="false"/>
            <w:tcW w:w="25.000000%" w:type="pct"/>
          </w:tcPr>
          <w:p>
            <w:pPr>
              <w:ind w:leftChars="0" w:left="0" w:right="0"/>
            </w:pPr>
            <w:r>
              <w:t>ECGS</w:t>
            </w:r>
          </w:p>
        </w:tc>
        <w:tc>
          <w:tcPr>
            <w:cnfStyle w:evenVBand="false" w:oddVBand="true" w:firstColumn="false"/>
            <w:tcW w:w="25.000000%" w:type="pct"/>
          </w:tcPr>
          <w:p>
            <w:pPr>
              <w:ind w:leftChars="0" w:left="0" w:right="0"/>
            </w:pPr>
            <w:r>
              <w:t>EUREX CLEARING AG - SME</w:t>
            </w:r>
          </w:p>
        </w:tc>
        <w:tc>
          <w:tcPr>
            <w:cnfStyle w:evenVBand="true" w:oddVBand="false" w:firstColumn="false"/>
            <w:tcW w:w="25.000000%" w:type="pct"/>
          </w:tcPr>
          <w:p>
            <w:pPr>
              <w:ind w:leftChars="0" w:left="0" w:right="0"/>
            </w:pPr>
            <w:r>
              <w:t>584</w:t>
            </w:r>
          </w:p>
        </w:tc>
      </w:tr>
      <w:tr>
        <w:trPr>
          <w:cnfStyle w:evenHBand="true" w:oddHBand="false" w:firstRow="false"/>
        </w:trPr>
        <w:tc>
          <w:tcPr>
            <w:cnfStyle w:evenVBand="false" w:oddVBand="true" w:firstColumn="false"/>
            <w:tcW w:w="25.000000%" w:type="pct"/>
          </w:tcPr>
          <w:p>
            <w:pPr>
              <w:ind w:leftChars="0" w:left="0" w:right="0"/>
            </w:pPr>
            <w:r>
              <w:t>ECHO</w:t>
            </w:r>
          </w:p>
        </w:tc>
        <w:tc>
          <w:tcPr>
            <w:cnfStyle w:evenVBand="true" w:oddVBand="false" w:firstColumn="false"/>
            <w:tcW w:w="25.000000%" w:type="pct"/>
          </w:tcPr>
          <w:p>
            <w:pPr>
              <w:ind w:leftChars="0" w:left="0" w:right="0"/>
            </w:pPr>
            <w:r>
              <w:t>ECHO</w:t>
            </w:r>
          </w:p>
        </w:tc>
        <w:tc>
          <w:tcPr>
            <w:cnfStyle w:evenVBand="false" w:oddVBand="true" w:firstColumn="false"/>
            <w:tcW w:w="25.000000%" w:type="pct"/>
          </w:tcPr>
          <w:p>
            <w:pPr>
              <w:ind w:leftChars="0" w:left="0" w:right="0"/>
            </w:pPr>
            <w:r>
              <w:t>LONDON STOCK EXCHANGE - APA</w:t>
            </w:r>
          </w:p>
        </w:tc>
        <w:tc>
          <w:tcPr>
            <w:cnfStyle w:evenVBand="true" w:oddVBand="false" w:firstColumn="false"/>
            <w:tcW w:w="25.000000%" w:type="pct"/>
          </w:tcPr>
          <w:p>
            <w:pPr>
              <w:ind w:leftChars="0" w:left="0" w:right="0"/>
            </w:pPr>
            <w:r>
              <w:t>585</w:t>
            </w:r>
          </w:p>
        </w:tc>
      </w:tr>
      <w:tr>
        <w:trPr>
          <w:cnfStyle w:evenHBand="false" w:oddHBand="true" w:firstRow="false"/>
        </w:trPr>
        <w:tc>
          <w:tcPr>
            <w:cnfStyle w:evenVBand="false" w:oddVBand="true" w:firstColumn="false"/>
            <w:tcW w:w="25.000000%" w:type="pct"/>
          </w:tcPr>
          <w:p>
            <w:pPr>
              <w:ind w:leftChars="0" w:left="0" w:right="0"/>
            </w:pPr>
            <w:r>
              <w:t>ECNL</w:t>
            </w:r>
          </w:p>
        </w:tc>
        <w:tc>
          <w:tcPr>
            <w:cnfStyle w:evenVBand="true" w:oddVBand="false" w:firstColumn="false"/>
            <w:tcW w:w="25.000000%" w:type="pct"/>
          </w:tcPr>
          <w:p>
            <w:pPr>
              <w:ind w:leftChars="0" w:left="0" w:right="0"/>
            </w:pPr>
            <w:r>
              <w:t>ECNL</w:t>
            </w:r>
          </w:p>
        </w:tc>
        <w:tc>
          <w:tcPr>
            <w:cnfStyle w:evenVBand="false" w:oddVBand="true" w:firstColumn="false"/>
            <w:tcW w:w="25.000000%" w:type="pct"/>
          </w:tcPr>
          <w:p>
            <w:pPr>
              <w:ind w:leftChars="0" w:left="0" w:right="0"/>
            </w:pPr>
            <w:r>
              <w:t>REFINITIV TRANSACTION SERVICES LIMITED - FX SPOT ECN</w:t>
            </w:r>
          </w:p>
        </w:tc>
        <w:tc>
          <w:tcPr>
            <w:cnfStyle w:evenVBand="true" w:oddVBand="false" w:firstColumn="false"/>
            <w:tcW w:w="25.000000%" w:type="pct"/>
          </w:tcPr>
          <w:p>
            <w:pPr>
              <w:ind w:leftChars="0" w:left="0" w:right="0"/>
            </w:pPr>
            <w:r>
              <w:t>586</w:t>
            </w:r>
          </w:p>
        </w:tc>
      </w:tr>
      <w:tr>
        <w:trPr>
          <w:cnfStyle w:evenHBand="true" w:oddHBand="false" w:firstRow="false"/>
        </w:trPr>
        <w:tc>
          <w:tcPr>
            <w:cnfStyle w:evenVBand="false" w:oddVBand="true" w:firstColumn="false"/>
            <w:tcW w:w="25.000000%" w:type="pct"/>
          </w:tcPr>
          <w:p>
            <w:pPr>
              <w:ind w:leftChars="0" w:left="0" w:right="0"/>
            </w:pPr>
            <w:r>
              <w:t>ECSL</w:t>
            </w:r>
          </w:p>
        </w:tc>
        <w:tc>
          <w:tcPr>
            <w:cnfStyle w:evenVBand="true" w:oddVBand="false" w:firstColumn="false"/>
            <w:tcW w:w="25.000000%" w:type="pct"/>
          </w:tcPr>
          <w:p>
            <w:pPr>
              <w:ind w:leftChars="0" w:left="0" w:right="0"/>
            </w:pPr>
            <w:r>
              <w:t>ECSL</w:t>
            </w:r>
          </w:p>
        </w:tc>
        <w:tc>
          <w:tcPr>
            <w:cnfStyle w:evenVBand="false" w:oddVBand="true" w:firstColumn="false"/>
            <w:tcW w:w="25.000000%" w:type="pct"/>
          </w:tcPr>
          <w:p>
            <w:pPr>
              <w:ind w:leftChars="0" w:left="0" w:right="0"/>
            </w:pPr>
            <w:r>
              <w:t>ENTERPRISE COMMODITY SERVICES LIMITED</w:t>
            </w:r>
          </w:p>
        </w:tc>
        <w:tc>
          <w:tcPr>
            <w:cnfStyle w:evenVBand="true" w:oddVBand="false" w:firstColumn="false"/>
            <w:tcW w:w="25.000000%" w:type="pct"/>
          </w:tcPr>
          <w:p>
            <w:pPr>
              <w:ind w:leftChars="0" w:left="0" w:right="0"/>
            </w:pPr>
            <w:r>
              <w:t>587</w:t>
            </w:r>
          </w:p>
        </w:tc>
      </w:tr>
      <w:tr>
        <w:trPr>
          <w:cnfStyle w:evenHBand="false" w:oddHBand="true" w:firstRow="false"/>
        </w:trPr>
        <w:tc>
          <w:tcPr>
            <w:cnfStyle w:evenVBand="false" w:oddVBand="true" w:firstColumn="false"/>
            <w:tcW w:w="25.000000%" w:type="pct"/>
          </w:tcPr>
          <w:p>
            <w:pPr>
              <w:ind w:leftChars="0" w:left="0" w:right="0"/>
            </w:pPr>
            <w:r>
              <w:t>ECXE</w:t>
            </w:r>
          </w:p>
        </w:tc>
        <w:tc>
          <w:tcPr>
            <w:cnfStyle w:evenVBand="true" w:oddVBand="false" w:firstColumn="false"/>
            <w:tcW w:w="25.000000%" w:type="pct"/>
          </w:tcPr>
          <w:p>
            <w:pPr>
              <w:ind w:leftChars="0" w:left="0" w:right="0"/>
            </w:pPr>
            <w:r>
              <w:t>ECXE</w:t>
            </w:r>
          </w:p>
        </w:tc>
        <w:tc>
          <w:tcPr>
            <w:cnfStyle w:evenVBand="false" w:oddVBand="true" w:firstColumn="false"/>
            <w:tcW w:w="25.000000%" w:type="pct"/>
          </w:tcPr>
          <w:p>
            <w:pPr>
              <w:ind w:leftChars="0" w:left="0" w:right="0"/>
            </w:pPr>
            <w:r>
              <w:t>EUROPEAN CLIMATE EXCHANGE</w:t>
            </w:r>
          </w:p>
        </w:tc>
        <w:tc>
          <w:tcPr>
            <w:cnfStyle w:evenVBand="true" w:oddVBand="false" w:firstColumn="false"/>
            <w:tcW w:w="25.000000%" w:type="pct"/>
          </w:tcPr>
          <w:p>
            <w:pPr>
              <w:ind w:leftChars="0" w:left="0" w:right="0"/>
            </w:pPr>
            <w:r>
              <w:t>588</w:t>
            </w:r>
          </w:p>
        </w:tc>
      </w:tr>
      <w:tr>
        <w:trPr>
          <w:cnfStyle w:evenHBand="true" w:oddHBand="false" w:firstRow="false"/>
        </w:trPr>
        <w:tc>
          <w:tcPr>
            <w:cnfStyle w:evenVBand="false" w:oddVBand="true" w:firstColumn="false"/>
            <w:tcW w:w="25.000000%" w:type="pct"/>
          </w:tcPr>
          <w:p>
            <w:pPr>
              <w:ind w:leftChars="0" w:left="0" w:right="0"/>
            </w:pPr>
            <w:r>
              <w:t>EDBT</w:t>
            </w:r>
          </w:p>
        </w:tc>
        <w:tc>
          <w:tcPr>
            <w:cnfStyle w:evenVBand="true" w:oddVBand="false" w:firstColumn="false"/>
            <w:tcW w:w="25.000000%" w:type="pct"/>
          </w:tcPr>
          <w:p>
            <w:pPr>
              <w:ind w:leftChars="0" w:left="0" w:right="0"/>
            </w:pPr>
            <w:r>
              <w:t>EDBT</w:t>
            </w:r>
          </w:p>
        </w:tc>
        <w:tc>
          <w:tcPr>
            <w:cnfStyle w:evenVBand="false" w:oddVBand="true" w:firstColumn="false"/>
            <w:tcW w:w="25.000000%" w:type="pct"/>
          </w:tcPr>
          <w:p>
            <w:pPr>
              <w:ind w:leftChars="0" w:left="0" w:right="0"/>
            </w:pPr>
            <w:r>
              <w:t>EURONEXT DUBLIN - TRADED BONDS</w:t>
            </w:r>
          </w:p>
        </w:tc>
        <w:tc>
          <w:tcPr>
            <w:cnfStyle w:evenVBand="true" w:oddVBand="false" w:firstColumn="false"/>
            <w:tcW w:w="25.000000%" w:type="pct"/>
          </w:tcPr>
          <w:p>
            <w:pPr>
              <w:ind w:leftChars="0" w:left="0" w:right="0"/>
            </w:pPr>
            <w:r>
              <w:t>589</w:t>
            </w:r>
          </w:p>
        </w:tc>
      </w:tr>
      <w:tr>
        <w:trPr>
          <w:cnfStyle w:evenHBand="false" w:oddHBand="true" w:firstRow="false"/>
        </w:trPr>
        <w:tc>
          <w:tcPr>
            <w:cnfStyle w:evenVBand="false" w:oddVBand="true" w:firstColumn="false"/>
            <w:tcW w:w="25.000000%" w:type="pct"/>
          </w:tcPr>
          <w:p>
            <w:pPr>
              <w:ind w:leftChars="0" w:left="0" w:right="0"/>
            </w:pPr>
            <w:r>
              <w:t>EDDP</w:t>
            </w:r>
          </w:p>
        </w:tc>
        <w:tc>
          <w:tcPr>
            <w:cnfStyle w:evenVBand="true" w:oddVBand="false" w:firstColumn="false"/>
            <w:tcW w:w="25.000000%" w:type="pct"/>
          </w:tcPr>
          <w:p>
            <w:pPr>
              <w:ind w:leftChars="0" w:left="0" w:right="0"/>
            </w:pPr>
            <w:r>
              <w:t>EDDP</w:t>
            </w:r>
          </w:p>
        </w:tc>
        <w:tc>
          <w:tcPr>
            <w:cnfStyle w:evenVBand="false" w:oddVBand="true" w:firstColumn="false"/>
            <w:tcW w:w="25.000000%" w:type="pct"/>
          </w:tcPr>
          <w:p>
            <w:pPr>
              <w:ind w:leftChars="0" w:left="0" w:right="0"/>
            </w:pPr>
            <w:r>
              <w:t>CBOE EDGX U.S. EQUITIES EXCHANGE DARK</w:t>
            </w:r>
          </w:p>
        </w:tc>
        <w:tc>
          <w:tcPr>
            <w:cnfStyle w:evenVBand="true" w:oddVBand="false" w:firstColumn="false"/>
            <w:tcW w:w="25.000000%" w:type="pct"/>
          </w:tcPr>
          <w:p>
            <w:pPr>
              <w:ind w:leftChars="0" w:left="0" w:right="0"/>
            </w:pPr>
            <w:r>
              <w:t>590</w:t>
            </w:r>
          </w:p>
        </w:tc>
      </w:tr>
      <w:tr>
        <w:trPr>
          <w:cnfStyle w:evenHBand="true" w:oddHBand="false" w:firstRow="false"/>
        </w:trPr>
        <w:tc>
          <w:tcPr>
            <w:cnfStyle w:evenVBand="false" w:oddVBand="true" w:firstColumn="false"/>
            <w:tcW w:w="25.000000%" w:type="pct"/>
          </w:tcPr>
          <w:p>
            <w:pPr>
              <w:ind w:leftChars="0" w:left="0" w:right="0"/>
            </w:pPr>
            <w:r>
              <w:t>EDGA</w:t>
            </w:r>
          </w:p>
        </w:tc>
        <w:tc>
          <w:tcPr>
            <w:cnfStyle w:evenVBand="true" w:oddVBand="false" w:firstColumn="false"/>
            <w:tcW w:w="25.000000%" w:type="pct"/>
          </w:tcPr>
          <w:p>
            <w:pPr>
              <w:ind w:leftChars="0" w:left="0" w:right="0"/>
            </w:pPr>
            <w:r>
              <w:t>EDGA</w:t>
            </w:r>
          </w:p>
        </w:tc>
        <w:tc>
          <w:tcPr>
            <w:cnfStyle w:evenVBand="false" w:oddVBand="true" w:firstColumn="false"/>
            <w:tcW w:w="25.000000%" w:type="pct"/>
          </w:tcPr>
          <w:p>
            <w:pPr>
              <w:ind w:leftChars="0" w:left="0" w:right="0"/>
            </w:pPr>
            <w:r>
              <w:t>CBOE EDGA U.S. EQUITIES EXCHANGE</w:t>
            </w:r>
          </w:p>
        </w:tc>
        <w:tc>
          <w:tcPr>
            <w:cnfStyle w:evenVBand="true" w:oddVBand="false" w:firstColumn="false"/>
            <w:tcW w:w="25.000000%" w:type="pct"/>
          </w:tcPr>
          <w:p>
            <w:pPr>
              <w:ind w:leftChars="0" w:left="0" w:right="0"/>
            </w:pPr>
            <w:r>
              <w:t>591</w:t>
            </w:r>
          </w:p>
        </w:tc>
      </w:tr>
      <w:tr>
        <w:trPr>
          <w:cnfStyle w:evenHBand="false" w:oddHBand="true" w:firstRow="false"/>
        </w:trPr>
        <w:tc>
          <w:tcPr>
            <w:cnfStyle w:evenVBand="false" w:oddVBand="true" w:firstColumn="false"/>
            <w:tcW w:w="25.000000%" w:type="pct"/>
          </w:tcPr>
          <w:p>
            <w:pPr>
              <w:ind w:leftChars="0" w:left="0" w:right="0"/>
            </w:pPr>
            <w:r>
              <w:t>EDGD</w:t>
            </w:r>
          </w:p>
        </w:tc>
        <w:tc>
          <w:tcPr>
            <w:cnfStyle w:evenVBand="true" w:oddVBand="false" w:firstColumn="false"/>
            <w:tcW w:w="25.000000%" w:type="pct"/>
          </w:tcPr>
          <w:p>
            <w:pPr>
              <w:ind w:leftChars="0" w:left="0" w:right="0"/>
            </w:pPr>
            <w:r>
              <w:t>EDGD</w:t>
            </w:r>
          </w:p>
        </w:tc>
        <w:tc>
          <w:tcPr>
            <w:cnfStyle w:evenVBand="false" w:oddVBand="true" w:firstColumn="false"/>
            <w:tcW w:w="25.000000%" w:type="pct"/>
          </w:tcPr>
          <w:p>
            <w:pPr>
              <w:ind w:leftChars="0" w:left="0" w:right="0"/>
            </w:pPr>
            <w:r>
              <w:t>CBOE EDGA U.S. EQUITIES EXCHANGE DARK</w:t>
            </w:r>
          </w:p>
        </w:tc>
        <w:tc>
          <w:tcPr>
            <w:cnfStyle w:evenVBand="true" w:oddVBand="false" w:firstColumn="false"/>
            <w:tcW w:w="25.000000%" w:type="pct"/>
          </w:tcPr>
          <w:p>
            <w:pPr>
              <w:ind w:leftChars="0" w:left="0" w:right="0"/>
            </w:pPr>
            <w:r>
              <w:t>592</w:t>
            </w:r>
          </w:p>
        </w:tc>
      </w:tr>
      <w:tr>
        <w:trPr>
          <w:cnfStyle w:evenHBand="true" w:oddHBand="false" w:firstRow="false"/>
        </w:trPr>
        <w:tc>
          <w:tcPr>
            <w:cnfStyle w:evenVBand="false" w:oddVBand="true" w:firstColumn="false"/>
            <w:tcW w:w="25.000000%" w:type="pct"/>
          </w:tcPr>
          <w:p>
            <w:pPr>
              <w:ind w:leftChars="0" w:left="0" w:right="0"/>
            </w:pPr>
            <w:r>
              <w:t>EDGE</w:t>
            </w:r>
          </w:p>
        </w:tc>
        <w:tc>
          <w:tcPr>
            <w:cnfStyle w:evenVBand="true" w:oddVBand="false" w:firstColumn="false"/>
            <w:tcW w:w="25.000000%" w:type="pct"/>
          </w:tcPr>
          <w:p>
            <w:pPr>
              <w:ind w:leftChars="0" w:left="0" w:right="0"/>
            </w:pPr>
            <w:r>
              <w:t>EDGE</w:t>
            </w:r>
          </w:p>
        </w:tc>
        <w:tc>
          <w:tcPr>
            <w:cnfStyle w:evenVBand="false" w:oddVBand="true" w:firstColumn="false"/>
            <w:tcW w:w="25.000000%" w:type="pct"/>
          </w:tcPr>
          <w:p>
            <w:pPr>
              <w:ind w:leftChars="0" w:left="0" w:right="0"/>
            </w:pPr>
            <w:r>
              <w:t>BATS DIRECT EDGE</w:t>
            </w:r>
          </w:p>
        </w:tc>
        <w:tc>
          <w:tcPr>
            <w:cnfStyle w:evenVBand="true" w:oddVBand="false" w:firstColumn="false"/>
            <w:tcW w:w="25.000000%" w:type="pct"/>
          </w:tcPr>
          <w:p>
            <w:pPr>
              <w:ind w:leftChars="0" w:left="0" w:right="0"/>
            </w:pPr>
            <w:r>
              <w:t>593</w:t>
            </w:r>
          </w:p>
        </w:tc>
      </w:tr>
      <w:tr>
        <w:trPr>
          <w:cnfStyle w:evenHBand="false" w:oddHBand="true" w:firstRow="false"/>
        </w:trPr>
        <w:tc>
          <w:tcPr>
            <w:cnfStyle w:evenVBand="false" w:oddVBand="true" w:firstColumn="false"/>
            <w:tcW w:w="25.000000%" w:type="pct"/>
          </w:tcPr>
          <w:p>
            <w:pPr>
              <w:ind w:leftChars="0" w:left="0" w:right="0"/>
            </w:pPr>
            <w:r>
              <w:t>EDGL</w:t>
            </w:r>
          </w:p>
        </w:tc>
        <w:tc>
          <w:tcPr>
            <w:cnfStyle w:evenVBand="true" w:oddVBand="false" w:firstColumn="false"/>
            <w:tcW w:w="25.000000%" w:type="pct"/>
          </w:tcPr>
          <w:p>
            <w:pPr>
              <w:ind w:leftChars="0" w:left="0" w:right="0"/>
            </w:pPr>
            <w:r>
              <w:t>EDGL</w:t>
            </w:r>
          </w:p>
        </w:tc>
        <w:tc>
          <w:tcPr>
            <w:cnfStyle w:evenVBand="false" w:oddVBand="true" w:firstColumn="false"/>
            <w:tcW w:w="25.000000%" w:type="pct"/>
          </w:tcPr>
          <w:p>
            <w:pPr>
              <w:ind w:leftChars="0" w:left="0" w:right="0"/>
            </w:pPr>
            <w:r>
              <w:t>GLOBAL EXCHANGE MARKET - TRADED BONDS</w:t>
            </w:r>
          </w:p>
        </w:tc>
        <w:tc>
          <w:tcPr>
            <w:cnfStyle w:evenVBand="true" w:oddVBand="false" w:firstColumn="false"/>
            <w:tcW w:w="25.000000%" w:type="pct"/>
          </w:tcPr>
          <w:p>
            <w:pPr>
              <w:ind w:leftChars="0" w:left="0" w:right="0"/>
            </w:pPr>
            <w:r>
              <w:t>594</w:t>
            </w:r>
          </w:p>
        </w:tc>
      </w:tr>
      <w:tr>
        <w:trPr>
          <w:cnfStyle w:evenHBand="true" w:oddHBand="false" w:firstRow="false"/>
        </w:trPr>
        <w:tc>
          <w:tcPr>
            <w:cnfStyle w:evenVBand="false" w:oddVBand="true" w:firstColumn="false"/>
            <w:tcW w:w="25.000000%" w:type="pct"/>
          </w:tcPr>
          <w:p>
            <w:pPr>
              <w:ind w:leftChars="0" w:left="0" w:right="0"/>
            </w:pPr>
            <w:r>
              <w:t>EDGO</w:t>
            </w:r>
          </w:p>
        </w:tc>
        <w:tc>
          <w:tcPr>
            <w:cnfStyle w:evenVBand="true" w:oddVBand="false" w:firstColumn="false"/>
            <w:tcW w:w="25.000000%" w:type="pct"/>
          </w:tcPr>
          <w:p>
            <w:pPr>
              <w:ind w:leftChars="0" w:left="0" w:right="0"/>
            </w:pPr>
            <w:r>
              <w:t>EDGO</w:t>
            </w:r>
          </w:p>
        </w:tc>
        <w:tc>
          <w:tcPr>
            <w:cnfStyle w:evenVBand="false" w:oddVBand="true" w:firstColumn="false"/>
            <w:tcW w:w="25.000000%" w:type="pct"/>
          </w:tcPr>
          <w:p>
            <w:pPr>
              <w:ind w:leftChars="0" w:left="0" w:right="0"/>
            </w:pPr>
            <w:r>
              <w:t>CBOE EDGX OPTIONS EXCHANGE</w:t>
            </w:r>
          </w:p>
        </w:tc>
        <w:tc>
          <w:tcPr>
            <w:cnfStyle w:evenVBand="true" w:oddVBand="false" w:firstColumn="false"/>
            <w:tcW w:w="25.000000%" w:type="pct"/>
          </w:tcPr>
          <w:p>
            <w:pPr>
              <w:ind w:leftChars="0" w:left="0" w:right="0"/>
            </w:pPr>
            <w:r>
              <w:t>595</w:t>
            </w:r>
          </w:p>
        </w:tc>
      </w:tr>
      <w:tr>
        <w:trPr>
          <w:cnfStyle w:evenHBand="false" w:oddHBand="true" w:firstRow="false"/>
        </w:trPr>
        <w:tc>
          <w:tcPr>
            <w:cnfStyle w:evenVBand="false" w:oddVBand="true" w:firstColumn="false"/>
            <w:tcW w:w="25.000000%" w:type="pct"/>
          </w:tcPr>
          <w:p>
            <w:pPr>
              <w:ind w:leftChars="0" w:left="0" w:right="0"/>
            </w:pPr>
            <w:r>
              <w:t>EDGX</w:t>
            </w:r>
          </w:p>
        </w:tc>
        <w:tc>
          <w:tcPr>
            <w:cnfStyle w:evenVBand="true" w:oddVBand="false" w:firstColumn="false"/>
            <w:tcW w:w="25.000000%" w:type="pct"/>
          </w:tcPr>
          <w:p>
            <w:pPr>
              <w:ind w:leftChars="0" w:left="0" w:right="0"/>
            </w:pPr>
            <w:r>
              <w:t>EDGX</w:t>
            </w:r>
          </w:p>
        </w:tc>
        <w:tc>
          <w:tcPr>
            <w:cnfStyle w:evenVBand="false" w:oddVBand="true" w:firstColumn="false"/>
            <w:tcW w:w="25.000000%" w:type="pct"/>
          </w:tcPr>
          <w:p>
            <w:pPr>
              <w:ind w:leftChars="0" w:left="0" w:right="0"/>
            </w:pPr>
            <w:r>
              <w:t>CBOE EDGX U.S. EQUITIES EXCHANGE</w:t>
            </w:r>
          </w:p>
        </w:tc>
        <w:tc>
          <w:tcPr>
            <w:cnfStyle w:evenVBand="true" w:oddVBand="false" w:firstColumn="false"/>
            <w:tcW w:w="25.000000%" w:type="pct"/>
          </w:tcPr>
          <w:p>
            <w:pPr>
              <w:ind w:leftChars="0" w:left="0" w:right="0"/>
            </w:pPr>
            <w:r>
              <w:t>596</w:t>
            </w:r>
          </w:p>
        </w:tc>
      </w:tr>
      <w:tr>
        <w:trPr>
          <w:cnfStyle w:evenHBand="true" w:oddHBand="false" w:firstRow="false"/>
        </w:trPr>
        <w:tc>
          <w:tcPr>
            <w:cnfStyle w:evenVBand="false" w:oddVBand="true" w:firstColumn="false"/>
            <w:tcW w:w="25.000000%" w:type="pct"/>
          </w:tcPr>
          <w:p>
            <w:pPr>
              <w:ind w:leftChars="0" w:left="0" w:right="0"/>
            </w:pPr>
            <w:r>
              <w:t>EDRF</w:t>
            </w:r>
          </w:p>
        </w:tc>
        <w:tc>
          <w:tcPr>
            <w:cnfStyle w:evenVBand="true" w:oddVBand="false" w:firstColumn="false"/>
            <w:tcW w:w="25.000000%" w:type="pct"/>
          </w:tcPr>
          <w:p>
            <w:pPr>
              <w:ind w:leftChars="0" w:left="0" w:right="0"/>
            </w:pPr>
            <w:r>
              <w:t>EDRF</w:t>
            </w:r>
          </w:p>
        </w:tc>
        <w:tc>
          <w:tcPr>
            <w:cnfStyle w:evenVBand="false" w:oddVBand="true" w:firstColumn="false"/>
            <w:tcW w:w="25.000000%" w:type="pct"/>
          </w:tcPr>
          <w:p>
            <w:pPr>
              <w:ind w:leftChars="0" w:left="0" w:right="0"/>
            </w:pPr>
            <w:r>
              <w:t>EDMOND DE ROTHSCHILD  (FRANCE) - SYSTEMATIC INTERNALISER</w:t>
            </w:r>
          </w:p>
        </w:tc>
        <w:tc>
          <w:tcPr>
            <w:cnfStyle w:evenVBand="true" w:oddVBand="false" w:firstColumn="false"/>
            <w:tcW w:w="25.000000%" w:type="pct"/>
          </w:tcPr>
          <w:p>
            <w:pPr>
              <w:ind w:leftChars="0" w:left="0" w:right="0"/>
            </w:pPr>
            <w:r>
              <w:t>597</w:t>
            </w:r>
          </w:p>
        </w:tc>
      </w:tr>
      <w:tr>
        <w:trPr>
          <w:cnfStyle w:evenHBand="false" w:oddHBand="true" w:firstRow="false"/>
        </w:trPr>
        <w:tc>
          <w:tcPr>
            <w:cnfStyle w:evenVBand="false" w:oddVBand="true" w:firstColumn="false"/>
            <w:tcW w:w="25.000000%" w:type="pct"/>
          </w:tcPr>
          <w:p>
            <w:pPr>
              <w:ind w:leftChars="0" w:left="0" w:right="0"/>
            </w:pPr>
            <w:r>
              <w:t>EEAL</w:t>
            </w:r>
          </w:p>
        </w:tc>
        <w:tc>
          <w:tcPr>
            <w:cnfStyle w:evenVBand="true" w:oddVBand="false" w:firstColumn="false"/>
            <w:tcW w:w="25.000000%" w:type="pct"/>
          </w:tcPr>
          <w:p>
            <w:pPr>
              <w:ind w:leftChars="0" w:left="0" w:right="0"/>
            </w:pPr>
            <w:r>
              <w:t>EEAL</w:t>
            </w:r>
          </w:p>
        </w:tc>
        <w:tc>
          <w:tcPr>
            <w:cnfStyle w:evenVBand="false" w:oddVBand="true" w:firstColumn="false"/>
            <w:tcW w:w="25.000000%" w:type="pct"/>
          </w:tcPr>
          <w:p>
            <w:pPr>
              <w:ind w:leftChars="0" w:left="0" w:right="0"/>
            </w:pPr>
            <w:r>
              <w:t>EUREX EXCHANGE ASIA PTE. LTD.</w:t>
            </w:r>
          </w:p>
        </w:tc>
        <w:tc>
          <w:tcPr>
            <w:cnfStyle w:evenVBand="true" w:oddVBand="false" w:firstColumn="false"/>
            <w:tcW w:w="25.000000%" w:type="pct"/>
          </w:tcPr>
          <w:p>
            <w:pPr>
              <w:ind w:leftChars="0" w:left="0" w:right="0"/>
            </w:pPr>
            <w:r>
              <w:t>598</w:t>
            </w:r>
          </w:p>
        </w:tc>
      </w:tr>
      <w:tr>
        <w:trPr>
          <w:cnfStyle w:evenHBand="true" w:oddHBand="false" w:firstRow="false"/>
        </w:trPr>
        <w:tc>
          <w:tcPr>
            <w:cnfStyle w:evenVBand="false" w:oddVBand="true" w:firstColumn="false"/>
            <w:tcW w:w="25.000000%" w:type="pct"/>
          </w:tcPr>
          <w:p>
            <w:pPr>
              <w:ind w:leftChars="0" w:left="0" w:right="0"/>
            </w:pPr>
            <w:r>
              <w:t>EESE</w:t>
            </w:r>
          </w:p>
        </w:tc>
        <w:tc>
          <w:tcPr>
            <w:cnfStyle w:evenVBand="true" w:oddVBand="false" w:firstColumn="false"/>
            <w:tcW w:w="25.000000%" w:type="pct"/>
          </w:tcPr>
          <w:p>
            <w:pPr>
              <w:ind w:leftChars="0" w:left="0" w:right="0"/>
            </w:pPr>
            <w:r>
              <w:t>EESE</w:t>
            </w:r>
          </w:p>
        </w:tc>
        <w:tc>
          <w:tcPr>
            <w:cnfStyle w:evenVBand="false" w:oddVBand="true" w:firstColumn="false"/>
            <w:tcW w:w="25.000000%" w:type="pct"/>
          </w:tcPr>
          <w:p>
            <w:pPr>
              <w:ind w:leftChars="0" w:left="0" w:right="0"/>
            </w:pPr>
            <w:r>
              <w:t>EAST EUROPEAN STOCK EXCHANGE</w:t>
            </w:r>
          </w:p>
        </w:tc>
        <w:tc>
          <w:tcPr>
            <w:cnfStyle w:evenVBand="true" w:oddVBand="false" w:firstColumn="false"/>
            <w:tcW w:w="25.000000%" w:type="pct"/>
          </w:tcPr>
          <w:p>
            <w:pPr>
              <w:ind w:leftChars="0" w:left="0" w:right="0"/>
            </w:pPr>
            <w:r>
              <w:t>599</w:t>
            </w:r>
          </w:p>
        </w:tc>
      </w:tr>
      <w:tr>
        <w:trPr>
          <w:cnfStyle w:evenHBand="false" w:oddHBand="true" w:firstRow="false"/>
        </w:trPr>
        <w:tc>
          <w:tcPr>
            <w:cnfStyle w:evenVBand="false" w:oddVBand="true" w:firstColumn="false"/>
            <w:tcW w:w="25.000000%" w:type="pct"/>
          </w:tcPr>
          <w:p>
            <w:pPr>
              <w:ind w:leftChars="0" w:left="0" w:right="0"/>
            </w:pPr>
            <w:r>
              <w:t>EFTP</w:t>
            </w:r>
          </w:p>
        </w:tc>
        <w:tc>
          <w:tcPr>
            <w:cnfStyle w:evenVBand="true" w:oddVBand="false" w:firstColumn="false"/>
            <w:tcW w:w="25.000000%" w:type="pct"/>
          </w:tcPr>
          <w:p>
            <w:pPr>
              <w:ind w:leftChars="0" w:left="0" w:right="0"/>
            </w:pPr>
            <w:r>
              <w:t>EFTP</w:t>
            </w:r>
          </w:p>
        </w:tc>
        <w:tc>
          <w:tcPr>
            <w:cnfStyle w:evenVBand="false" w:oddVBand="true" w:firstColumn="false"/>
            <w:tcW w:w="25.000000%" w:type="pct"/>
          </w:tcPr>
          <w:p>
            <w:pPr>
              <w:ind w:leftChars="0" w:left="0" w:right="0"/>
            </w:pPr>
            <w:r>
              <w:t>ENERGIEFINANZ TRADING PLATFORM</w:t>
            </w:r>
          </w:p>
        </w:tc>
        <w:tc>
          <w:tcPr>
            <w:cnfStyle w:evenVBand="true" w:oddVBand="false" w:firstColumn="false"/>
            <w:tcW w:w="25.000000%" w:type="pct"/>
          </w:tcPr>
          <w:p>
            <w:pPr>
              <w:ind w:leftChars="0" w:left="0" w:right="0"/>
            </w:pPr>
            <w:r>
              <w:t>600</w:t>
            </w:r>
          </w:p>
        </w:tc>
      </w:tr>
      <w:tr>
        <w:trPr>
          <w:cnfStyle w:evenHBand="true" w:oddHBand="false" w:firstRow="false"/>
        </w:trPr>
        <w:tc>
          <w:tcPr>
            <w:cnfStyle w:evenVBand="false" w:oddVBand="true" w:firstColumn="false"/>
            <w:tcW w:w="25.000000%" w:type="pct"/>
          </w:tcPr>
          <w:p>
            <w:pPr>
              <w:ind w:leftChars="0" w:left="0" w:right="0"/>
            </w:pPr>
            <w:r>
              <w:t>EGMT</w:t>
            </w:r>
          </w:p>
        </w:tc>
        <w:tc>
          <w:tcPr>
            <w:cnfStyle w:evenVBand="true" w:oddVBand="false" w:firstColumn="false"/>
            <w:tcW w:w="25.000000%" w:type="pct"/>
          </w:tcPr>
          <w:p>
            <w:pPr>
              <w:ind w:leftChars="0" w:left="0" w:right="0"/>
            </w:pPr>
            <w:r>
              <w:t>EGMT</w:t>
            </w:r>
          </w:p>
        </w:tc>
        <w:tc>
          <w:tcPr>
            <w:cnfStyle w:evenVBand="false" w:oddVBand="true" w:firstColumn="false"/>
            <w:tcW w:w="25.000000%" w:type="pct"/>
          </w:tcPr>
          <w:p>
            <w:pPr>
              <w:ind w:leftChars="0" w:left="0" w:right="0"/>
            </w:pPr>
            <w:r>
              <w:t>EG MARKET TECHNOLOGIES</w:t>
            </w:r>
          </w:p>
        </w:tc>
        <w:tc>
          <w:tcPr>
            <w:cnfStyle w:evenVBand="true" w:oddVBand="false" w:firstColumn="false"/>
            <w:tcW w:w="25.000000%" w:type="pct"/>
          </w:tcPr>
          <w:p>
            <w:pPr>
              <w:ind w:leftChars="0" w:left="0" w:right="0"/>
            </w:pPr>
            <w:r>
              <w:t>601</w:t>
            </w:r>
          </w:p>
        </w:tc>
      </w:tr>
      <w:tr>
        <w:trPr>
          <w:cnfStyle w:evenHBand="false" w:oddHBand="true" w:firstRow="false"/>
        </w:trPr>
        <w:tc>
          <w:tcPr>
            <w:cnfStyle w:evenVBand="false" w:oddVBand="true" w:firstColumn="false"/>
            <w:tcW w:w="25.000000%" w:type="pct"/>
          </w:tcPr>
          <w:p>
            <w:pPr>
              <w:ind w:leftChars="0" w:left="0" w:right="0"/>
            </w:pPr>
            <w:r>
              <w:t>EGSI</w:t>
            </w:r>
          </w:p>
        </w:tc>
        <w:tc>
          <w:tcPr>
            <w:cnfStyle w:evenVBand="true" w:oddVBand="false" w:firstColumn="false"/>
            <w:tcW w:w="25.000000%" w:type="pct"/>
          </w:tcPr>
          <w:p>
            <w:pPr>
              <w:ind w:leftChars="0" w:left="0" w:right="0"/>
            </w:pPr>
            <w:r>
              <w:t>EGSI</w:t>
            </w:r>
          </w:p>
        </w:tc>
        <w:tc>
          <w:tcPr>
            <w:cnfStyle w:evenVBand="false" w:oddVBand="true" w:firstColumn="false"/>
            <w:tcW w:w="25.000000%" w:type="pct"/>
          </w:tcPr>
          <w:p>
            <w:pPr>
              <w:ind w:leftChars="0" w:left="0" w:right="0"/>
            </w:pPr>
            <w:r>
              <w:t>ERSTE GROUP BANK AG</w:t>
            </w:r>
          </w:p>
        </w:tc>
        <w:tc>
          <w:tcPr>
            <w:cnfStyle w:evenVBand="true" w:oddVBand="false" w:firstColumn="false"/>
            <w:tcW w:w="25.000000%" w:type="pct"/>
          </w:tcPr>
          <w:p>
            <w:pPr>
              <w:ind w:leftChars="0" w:left="0" w:right="0"/>
            </w:pPr>
            <w:r>
              <w:t>602</w:t>
            </w:r>
          </w:p>
        </w:tc>
      </w:tr>
      <w:tr>
        <w:trPr>
          <w:cnfStyle w:evenHBand="true" w:oddHBand="false" w:firstRow="false"/>
        </w:trPr>
        <w:tc>
          <w:tcPr>
            <w:cnfStyle w:evenVBand="false" w:oddVBand="true" w:firstColumn="false"/>
            <w:tcW w:w="25.000000%" w:type="pct"/>
          </w:tcPr>
          <w:p>
            <w:pPr>
              <w:ind w:leftChars="0" w:left="0" w:right="0"/>
            </w:pPr>
            <w:r>
              <w:t>EIXE</w:t>
            </w:r>
          </w:p>
        </w:tc>
        <w:tc>
          <w:tcPr>
            <w:cnfStyle w:evenVBand="true" w:oddVBand="false" w:firstColumn="false"/>
            <w:tcW w:w="25.000000%" w:type="pct"/>
          </w:tcPr>
          <w:p>
            <w:pPr>
              <w:ind w:leftChars="0" w:left="0" w:right="0"/>
            </w:pPr>
            <w:r>
              <w:t>EIXE</w:t>
            </w:r>
          </w:p>
        </w:tc>
        <w:tc>
          <w:tcPr>
            <w:cnfStyle w:evenVBand="false" w:oddVBand="true" w:firstColumn="false"/>
            <w:tcW w:w="25.000000%" w:type="pct"/>
          </w:tcPr>
          <w:p>
            <w:pPr>
              <w:ind w:leftChars="0" w:left="0" w:right="0"/>
            </w:pPr>
            <w:r>
              <w:t>AQUIS EXCHANGE PLC AQUIS - EIX INFRASTRUCTURE BOND MARKET</w:t>
            </w:r>
          </w:p>
        </w:tc>
        <w:tc>
          <w:tcPr>
            <w:cnfStyle w:evenVBand="true" w:oddVBand="false" w:firstColumn="false"/>
            <w:tcW w:w="25.000000%" w:type="pct"/>
          </w:tcPr>
          <w:p>
            <w:pPr>
              <w:ind w:leftChars="0" w:left="0" w:right="0"/>
            </w:pPr>
            <w:r>
              <w:t>603</w:t>
            </w:r>
          </w:p>
        </w:tc>
      </w:tr>
      <w:tr>
        <w:trPr>
          <w:cnfStyle w:evenHBand="false" w:oddHBand="true" w:firstRow="false"/>
        </w:trPr>
        <w:tc>
          <w:tcPr>
            <w:cnfStyle w:evenVBand="false" w:oddVBand="true" w:firstColumn="false"/>
            <w:tcW w:w="25.000000%" w:type="pct"/>
          </w:tcPr>
          <w:p>
            <w:pPr>
              <w:ind w:leftChars="0" w:left="0" w:right="0"/>
            </w:pPr>
            <w:r>
              <w:t>ELEU</w:t>
            </w:r>
          </w:p>
        </w:tc>
        <w:tc>
          <w:tcPr>
            <w:cnfStyle w:evenVBand="true" w:oddVBand="false" w:firstColumn="false"/>
            <w:tcW w:w="25.000000%" w:type="pct"/>
          </w:tcPr>
          <w:p>
            <w:pPr>
              <w:ind w:leftChars="0" w:left="0" w:right="0"/>
            </w:pPr>
            <w:r>
              <w:t>ELEU</w:t>
            </w:r>
          </w:p>
        </w:tc>
        <w:tc>
          <w:tcPr>
            <w:cnfStyle w:evenVBand="false" w:oddVBand="true" w:firstColumn="false"/>
            <w:tcW w:w="25.000000%" w:type="pct"/>
          </w:tcPr>
          <w:p>
            <w:pPr>
              <w:ind w:leftChars="0" w:left="0" w:right="0"/>
            </w:pPr>
            <w:r>
              <w:t>NASDAQ OSLO ASA - EUROPEAN POWER AND GAS DERIVATIVES</w:t>
            </w:r>
          </w:p>
        </w:tc>
        <w:tc>
          <w:tcPr>
            <w:cnfStyle w:evenVBand="true" w:oddVBand="false" w:firstColumn="false"/>
            <w:tcW w:w="25.000000%" w:type="pct"/>
          </w:tcPr>
          <w:p>
            <w:pPr>
              <w:ind w:leftChars="0" w:left="0" w:right="0"/>
            </w:pPr>
            <w:r>
              <w:t>604</w:t>
            </w:r>
          </w:p>
        </w:tc>
      </w:tr>
      <w:tr>
        <w:trPr>
          <w:cnfStyle w:evenHBand="true" w:oddHBand="false" w:firstRow="false"/>
        </w:trPr>
        <w:tc>
          <w:tcPr>
            <w:cnfStyle w:evenVBand="false" w:oddVBand="true" w:firstColumn="false"/>
            <w:tcW w:w="25.000000%" w:type="pct"/>
          </w:tcPr>
          <w:p>
            <w:pPr>
              <w:ind w:leftChars="0" w:left="0" w:right="0"/>
            </w:pPr>
            <w:r>
              <w:t>ELIX</w:t>
            </w:r>
          </w:p>
        </w:tc>
        <w:tc>
          <w:tcPr>
            <w:cnfStyle w:evenVBand="true" w:oddVBand="false" w:firstColumn="false"/>
            <w:tcW w:w="25.000000%" w:type="pct"/>
          </w:tcPr>
          <w:p>
            <w:pPr>
              <w:ind w:leftChars="0" w:left="0" w:right="0"/>
            </w:pPr>
            <w:r>
              <w:t>ELIX</w:t>
            </w:r>
          </w:p>
        </w:tc>
        <w:tc>
          <w:tcPr>
            <w:cnfStyle w:evenVBand="false" w:oddVBand="true" w:firstColumn="false"/>
            <w:tcW w:w="25.000000%" w:type="pct"/>
          </w:tcPr>
          <w:p>
            <w:pPr>
              <w:ind w:leftChars="0" w:left="0" w:right="0"/>
            </w:pPr>
            <w:r>
              <w:t>ELIXIUM</w:t>
            </w:r>
          </w:p>
        </w:tc>
        <w:tc>
          <w:tcPr>
            <w:cnfStyle w:evenVBand="true" w:oddVBand="false" w:firstColumn="false"/>
            <w:tcW w:w="25.000000%" w:type="pct"/>
          </w:tcPr>
          <w:p>
            <w:pPr>
              <w:ind w:leftChars="0" w:left="0" w:right="0"/>
            </w:pPr>
            <w:r>
              <w:t>605</w:t>
            </w:r>
          </w:p>
        </w:tc>
      </w:tr>
      <w:tr>
        <w:trPr>
          <w:cnfStyle w:evenHBand="false" w:oddHBand="true" w:firstRow="false"/>
        </w:trPr>
        <w:tc>
          <w:tcPr>
            <w:cnfStyle w:evenVBand="false" w:oddVBand="true" w:firstColumn="false"/>
            <w:tcW w:w="25.000000%" w:type="pct"/>
          </w:tcPr>
          <w:p>
            <w:pPr>
              <w:ind w:leftChars="0" w:left="0" w:right="0"/>
            </w:pPr>
            <w:r>
              <w:t>ELNO</w:t>
            </w:r>
          </w:p>
        </w:tc>
        <w:tc>
          <w:tcPr>
            <w:cnfStyle w:evenVBand="true" w:oddVBand="false" w:firstColumn="false"/>
            <w:tcW w:w="25.000000%" w:type="pct"/>
          </w:tcPr>
          <w:p>
            <w:pPr>
              <w:ind w:leftChars="0" w:left="0" w:right="0"/>
            </w:pPr>
            <w:r>
              <w:t>ELNO</w:t>
            </w:r>
          </w:p>
        </w:tc>
        <w:tc>
          <w:tcPr>
            <w:cnfStyle w:evenVBand="false" w:oddVBand="true" w:firstColumn="false"/>
            <w:tcW w:w="25.000000%" w:type="pct"/>
          </w:tcPr>
          <w:p>
            <w:pPr>
              <w:ind w:leftChars="0" w:left="0" w:right="0"/>
            </w:pPr>
            <w:r>
              <w:t>NASDAQ OSLO ASA - NORDIC POWER DERIVATIVES AND EUROPEAN UNION ALLOWANCES</w:t>
            </w:r>
          </w:p>
        </w:tc>
        <w:tc>
          <w:tcPr>
            <w:cnfStyle w:evenVBand="true" w:oddVBand="false" w:firstColumn="false"/>
            <w:tcW w:w="25.000000%" w:type="pct"/>
          </w:tcPr>
          <w:p>
            <w:pPr>
              <w:ind w:leftChars="0" w:left="0" w:right="0"/>
            </w:pPr>
            <w:r>
              <w:t>606</w:t>
            </w:r>
          </w:p>
        </w:tc>
      </w:tr>
      <w:tr>
        <w:trPr>
          <w:cnfStyle w:evenHBand="true" w:oddHBand="false" w:firstRow="false"/>
        </w:trPr>
        <w:tc>
          <w:tcPr>
            <w:cnfStyle w:evenVBand="false" w:oddVBand="true" w:firstColumn="false"/>
            <w:tcW w:w="25.000000%" w:type="pct"/>
          </w:tcPr>
          <w:p>
            <w:pPr>
              <w:ind w:leftChars="0" w:left="0" w:right="0"/>
            </w:pPr>
            <w:r>
              <w:t>ELSE</w:t>
            </w:r>
          </w:p>
        </w:tc>
        <w:tc>
          <w:tcPr>
            <w:cnfStyle w:evenVBand="true" w:oddVBand="false" w:firstColumn="false"/>
            <w:tcW w:w="25.000000%" w:type="pct"/>
          </w:tcPr>
          <w:p>
            <w:pPr>
              <w:ind w:leftChars="0" w:left="0" w:right="0"/>
            </w:pPr>
            <w:r>
              <w:t>ELSE</w:t>
            </w:r>
          </w:p>
        </w:tc>
        <w:tc>
          <w:tcPr>
            <w:cnfStyle w:evenVBand="false" w:oddVBand="true" w:firstColumn="false"/>
            <w:tcW w:w="25.000000%" w:type="pct"/>
          </w:tcPr>
          <w:p>
            <w:pPr>
              <w:ind w:leftChars="0" w:left="0" w:right="0"/>
            </w:pPr>
            <w:r>
              <w:t>NASDAQ OSLO ASA - SWEDISH ELECTRICITY CERTIFICATE</w:t>
            </w:r>
          </w:p>
        </w:tc>
        <w:tc>
          <w:tcPr>
            <w:cnfStyle w:evenVBand="true" w:oddVBand="false" w:firstColumn="false"/>
            <w:tcW w:w="25.000000%" w:type="pct"/>
          </w:tcPr>
          <w:p>
            <w:pPr>
              <w:ind w:leftChars="0" w:left="0" w:right="0"/>
            </w:pPr>
            <w:r>
              <w:t>607</w:t>
            </w:r>
          </w:p>
        </w:tc>
      </w:tr>
      <w:tr>
        <w:trPr>
          <w:cnfStyle w:evenHBand="false" w:oddHBand="true" w:firstRow="false"/>
        </w:trPr>
        <w:tc>
          <w:tcPr>
            <w:cnfStyle w:evenVBand="false" w:oddVBand="true" w:firstColumn="false"/>
            <w:tcW w:w="25.000000%" w:type="pct"/>
          </w:tcPr>
          <w:p>
            <w:pPr>
              <w:ind w:leftChars="0" w:left="0" w:right="0"/>
            </w:pPr>
            <w:r>
              <w:t>ELUK</w:t>
            </w:r>
          </w:p>
        </w:tc>
        <w:tc>
          <w:tcPr>
            <w:cnfStyle w:evenVBand="true" w:oddVBand="false" w:firstColumn="false"/>
            <w:tcW w:w="25.000000%" w:type="pct"/>
          </w:tcPr>
          <w:p>
            <w:pPr>
              <w:ind w:leftChars="0" w:left="0" w:right="0"/>
            </w:pPr>
            <w:r>
              <w:t>ELUK</w:t>
            </w:r>
          </w:p>
        </w:tc>
        <w:tc>
          <w:tcPr>
            <w:cnfStyle w:evenVBand="false" w:oddVBand="true" w:firstColumn="false"/>
            <w:tcW w:w="25.000000%" w:type="pct"/>
          </w:tcPr>
          <w:p>
            <w:pPr>
              <w:ind w:leftChars="0" w:left="0" w:right="0"/>
            </w:pPr>
            <w:r>
              <w:t>NASDAQ COMMODITIES - GBP POWER/ENERGY</w:t>
            </w:r>
          </w:p>
        </w:tc>
        <w:tc>
          <w:tcPr>
            <w:cnfStyle w:evenVBand="true" w:oddVBand="false" w:firstColumn="false"/>
            <w:tcW w:w="25.000000%" w:type="pct"/>
          </w:tcPr>
          <w:p>
            <w:pPr>
              <w:ind w:leftChars="0" w:left="0" w:right="0"/>
            </w:pPr>
            <w:r>
              <w:t>608</w:t>
            </w:r>
          </w:p>
        </w:tc>
      </w:tr>
      <w:tr>
        <w:trPr>
          <w:cnfStyle w:evenHBand="true" w:oddHBand="false" w:firstRow="false"/>
        </w:trPr>
        <w:tc>
          <w:tcPr>
            <w:cnfStyle w:evenVBand="false" w:oddVBand="true" w:firstColumn="false"/>
            <w:tcW w:w="25.000000%" w:type="pct"/>
          </w:tcPr>
          <w:p>
            <w:pPr>
              <w:ind w:leftChars="0" w:left="0" w:right="0"/>
            </w:pPr>
            <w:r>
              <w:t>ELXE</w:t>
            </w:r>
          </w:p>
        </w:tc>
        <w:tc>
          <w:tcPr>
            <w:cnfStyle w:evenVBand="true" w:oddVBand="false" w:firstColumn="false"/>
            <w:tcW w:w="25.000000%" w:type="pct"/>
          </w:tcPr>
          <w:p>
            <w:pPr>
              <w:ind w:leftChars="0" w:left="0" w:right="0"/>
            </w:pPr>
            <w:r>
              <w:t>ELXE</w:t>
            </w:r>
          </w:p>
        </w:tc>
        <w:tc>
          <w:tcPr>
            <w:cnfStyle w:evenVBand="false" w:oddVBand="true" w:firstColumn="false"/>
            <w:tcW w:w="25.000000%" w:type="pct"/>
          </w:tcPr>
          <w:p>
            <w:pPr>
              <w:ind w:leftChars="0" w:left="0" w:right="0"/>
            </w:pPr>
            <w:r>
              <w:t>ELIXIUM S.A.</w:t>
            </w:r>
          </w:p>
        </w:tc>
        <w:tc>
          <w:tcPr>
            <w:cnfStyle w:evenVBand="true" w:oddVBand="false" w:firstColumn="false"/>
            <w:tcW w:w="25.000000%" w:type="pct"/>
          </w:tcPr>
          <w:p>
            <w:pPr>
              <w:ind w:leftChars="0" w:left="0" w:right="0"/>
            </w:pPr>
            <w:r>
              <w:t>609</w:t>
            </w:r>
          </w:p>
        </w:tc>
      </w:tr>
      <w:tr>
        <w:trPr>
          <w:cnfStyle w:evenHBand="false" w:oddHBand="true" w:firstRow="false"/>
        </w:trPr>
        <w:tc>
          <w:tcPr>
            <w:cnfStyle w:evenVBand="false" w:oddVBand="true" w:firstColumn="false"/>
            <w:tcW w:w="25.000000%" w:type="pct"/>
          </w:tcPr>
          <w:p>
            <w:pPr>
              <w:ind w:leftChars="0" w:left="0" w:right="0"/>
            </w:pPr>
            <w:r>
              <w:t>EMBX</w:t>
            </w:r>
          </w:p>
        </w:tc>
        <w:tc>
          <w:tcPr>
            <w:cnfStyle w:evenVBand="true" w:oddVBand="false" w:firstColumn="false"/>
            <w:tcW w:w="25.000000%" w:type="pct"/>
          </w:tcPr>
          <w:p>
            <w:pPr>
              <w:ind w:leftChars="0" w:left="0" w:right="0"/>
            </w:pPr>
            <w:r>
              <w:t>EMBX</w:t>
            </w:r>
          </w:p>
        </w:tc>
        <w:tc>
          <w:tcPr>
            <w:cnfStyle w:evenVBand="false" w:oddVBand="true" w:firstColumn="false"/>
            <w:tcW w:w="25.000000%" w:type="pct"/>
          </w:tcPr>
          <w:p>
            <w:pPr>
              <w:ind w:leftChars="0" w:left="0" w:right="0"/>
            </w:pPr>
            <w:r>
              <w:t>EMERGING MARKETS BOND EXCHANGE LIMITED</w:t>
            </w:r>
          </w:p>
        </w:tc>
        <w:tc>
          <w:tcPr>
            <w:cnfStyle w:evenVBand="true" w:oddVBand="false" w:firstColumn="false"/>
            <w:tcW w:w="25.000000%" w:type="pct"/>
          </w:tcPr>
          <w:p>
            <w:pPr>
              <w:ind w:leftChars="0" w:left="0" w:right="0"/>
            </w:pPr>
            <w:r>
              <w:t>610</w:t>
            </w:r>
          </w:p>
        </w:tc>
      </w:tr>
      <w:tr>
        <w:trPr>
          <w:cnfStyle w:evenHBand="true" w:oddHBand="false" w:firstRow="false"/>
        </w:trPr>
        <w:tc>
          <w:tcPr>
            <w:cnfStyle w:evenVBand="false" w:oddVBand="true" w:firstColumn="false"/>
            <w:tcW w:w="25.000000%" w:type="pct"/>
          </w:tcPr>
          <w:p>
            <w:pPr>
              <w:ind w:leftChars="0" w:left="0" w:right="0"/>
            </w:pPr>
            <w:r>
              <w:t>EMCE</w:t>
            </w:r>
          </w:p>
        </w:tc>
        <w:tc>
          <w:tcPr>
            <w:cnfStyle w:evenVBand="true" w:oddVBand="false" w:firstColumn="false"/>
            <w:tcW w:w="25.000000%" w:type="pct"/>
          </w:tcPr>
          <w:p>
            <w:pPr>
              <w:ind w:leftChars="0" w:left="0" w:right="0"/>
            </w:pPr>
            <w:r>
              <w:t>EMCE</w:t>
            </w:r>
          </w:p>
        </w:tc>
        <w:tc>
          <w:tcPr>
            <w:cnfStyle w:evenVBand="false" w:oddVBand="true" w:firstColumn="false"/>
            <w:tcW w:w="25.000000%" w:type="pct"/>
          </w:tcPr>
          <w:p>
            <w:pPr>
              <w:ind w:leftChars="0" w:left="0" w:right="0"/>
            </w:pPr>
            <w:r>
              <w:t>ROMANIAN  COMMODITIES EXCHANGE - OTF</w:t>
            </w:r>
          </w:p>
        </w:tc>
        <w:tc>
          <w:tcPr>
            <w:cnfStyle w:evenVBand="true" w:oddVBand="false" w:firstColumn="false"/>
            <w:tcW w:w="25.000000%" w:type="pct"/>
          </w:tcPr>
          <w:p>
            <w:pPr>
              <w:ind w:leftChars="0" w:left="0" w:right="0"/>
            </w:pPr>
            <w:r>
              <w:t>611</w:t>
            </w:r>
          </w:p>
        </w:tc>
      </w:tr>
      <w:tr>
        <w:trPr>
          <w:cnfStyle w:evenHBand="false" w:oddHBand="true" w:firstRow="false"/>
        </w:trPr>
        <w:tc>
          <w:tcPr>
            <w:cnfStyle w:evenVBand="false" w:oddVBand="true" w:firstColumn="false"/>
            <w:tcW w:w="25.000000%" w:type="pct"/>
          </w:tcPr>
          <w:p>
            <w:pPr>
              <w:ind w:leftChars="0" w:left="0" w:right="0"/>
            </w:pPr>
            <w:r>
              <w:t>EMCH</w:t>
            </w:r>
          </w:p>
        </w:tc>
        <w:tc>
          <w:tcPr>
            <w:cnfStyle w:evenVBand="true" w:oddVBand="false" w:firstColumn="false"/>
            <w:tcW w:w="25.000000%" w:type="pct"/>
          </w:tcPr>
          <w:p>
            <w:pPr>
              <w:ind w:leftChars="0" w:left="0" w:right="0"/>
            </w:pPr>
            <w:r>
              <w:t>EMCH</w:t>
            </w:r>
          </w:p>
        </w:tc>
        <w:tc>
          <w:tcPr>
            <w:cnfStyle w:evenVBand="false" w:oddVBand="true" w:firstColumn="false"/>
            <w:tcW w:w="25.000000%" w:type="pct"/>
          </w:tcPr>
          <w:p>
            <w:pPr>
              <w:ind w:leftChars="0" w:left="0" w:right="0"/>
            </w:pPr>
            <w:r>
              <w:t>FINACOR EMATCH</w:t>
            </w:r>
          </w:p>
        </w:tc>
        <w:tc>
          <w:tcPr>
            <w:cnfStyle w:evenVBand="true" w:oddVBand="false" w:firstColumn="false"/>
            <w:tcW w:w="25.000000%" w:type="pct"/>
          </w:tcPr>
          <w:p>
            <w:pPr>
              <w:ind w:leftChars="0" w:left="0" w:right="0"/>
            </w:pPr>
            <w:r>
              <w:t>612</w:t>
            </w:r>
          </w:p>
        </w:tc>
      </w:tr>
      <w:tr>
        <w:trPr>
          <w:cnfStyle w:evenHBand="true" w:oddHBand="false" w:firstRow="false"/>
        </w:trPr>
        <w:tc>
          <w:tcPr>
            <w:cnfStyle w:evenVBand="false" w:oddVBand="true" w:firstColumn="false"/>
            <w:tcW w:w="25.000000%" w:type="pct"/>
          </w:tcPr>
          <w:p>
            <w:pPr>
              <w:ind w:leftChars="0" w:left="0" w:right="0"/>
            </w:pPr>
            <w:r>
              <w:t>EMDR</w:t>
            </w:r>
          </w:p>
        </w:tc>
        <w:tc>
          <w:tcPr>
            <w:cnfStyle w:evenVBand="true" w:oddVBand="false" w:firstColumn="false"/>
            <w:tcW w:w="25.000000%" w:type="pct"/>
          </w:tcPr>
          <w:p>
            <w:pPr>
              <w:ind w:leftChars="0" w:left="0" w:right="0"/>
            </w:pPr>
            <w:r>
              <w:t>EMDR</w:t>
            </w:r>
          </w:p>
        </w:tc>
        <w:tc>
          <w:tcPr>
            <w:cnfStyle w:evenVBand="false" w:oddVBand="true" w:firstColumn="false"/>
            <w:tcW w:w="25.000000%" w:type="pct"/>
          </w:tcPr>
          <w:p>
            <w:pPr>
              <w:ind w:leftChars="0" w:left="0" w:right="0"/>
            </w:pPr>
            <w:r>
              <w:t>E-MID - E-MIDER MARKET</w:t>
            </w:r>
          </w:p>
        </w:tc>
        <w:tc>
          <w:tcPr>
            <w:cnfStyle w:evenVBand="true" w:oddVBand="false" w:firstColumn="false"/>
            <w:tcW w:w="25.000000%" w:type="pct"/>
          </w:tcPr>
          <w:p>
            <w:pPr>
              <w:ind w:leftChars="0" w:left="0" w:right="0"/>
            </w:pPr>
            <w:r>
              <w:t>613</w:t>
            </w:r>
          </w:p>
        </w:tc>
      </w:tr>
      <w:tr>
        <w:trPr>
          <w:cnfStyle w:evenHBand="false" w:oddHBand="true" w:firstRow="false"/>
        </w:trPr>
        <w:tc>
          <w:tcPr>
            <w:cnfStyle w:evenVBand="false" w:oddVBand="true" w:firstColumn="false"/>
            <w:tcW w:w="25.000000%" w:type="pct"/>
          </w:tcPr>
          <w:p>
            <w:pPr>
              <w:ind w:leftChars="0" w:left="0" w:right="0"/>
            </w:pPr>
            <w:r>
              <w:t>EMIB</w:t>
            </w:r>
          </w:p>
        </w:tc>
        <w:tc>
          <w:tcPr>
            <w:cnfStyle w:evenVBand="true" w:oddVBand="false" w:firstColumn="false"/>
            <w:tcW w:w="25.000000%" w:type="pct"/>
          </w:tcPr>
          <w:p>
            <w:pPr>
              <w:ind w:leftChars="0" w:left="0" w:right="0"/>
            </w:pPr>
            <w:r>
              <w:t>EMIB</w:t>
            </w:r>
          </w:p>
        </w:tc>
        <w:tc>
          <w:tcPr>
            <w:cnfStyle w:evenVBand="false" w:oddVBand="true" w:firstColumn="false"/>
            <w:tcW w:w="25.000000%" w:type="pct"/>
          </w:tcPr>
          <w:p>
            <w:pPr>
              <w:ind w:leftChars="0" w:left="0" w:right="0"/>
            </w:pPr>
            <w:r>
              <w:t>E-MID - BANCA D’ITALIA SHARES TRADING MARKET</w:t>
            </w:r>
          </w:p>
        </w:tc>
        <w:tc>
          <w:tcPr>
            <w:cnfStyle w:evenVBand="true" w:oddVBand="false" w:firstColumn="false"/>
            <w:tcW w:w="25.000000%" w:type="pct"/>
          </w:tcPr>
          <w:p>
            <w:pPr>
              <w:ind w:leftChars="0" w:left="0" w:right="0"/>
            </w:pPr>
            <w:r>
              <w:t>614</w:t>
            </w:r>
          </w:p>
        </w:tc>
      </w:tr>
      <w:tr>
        <w:trPr>
          <w:cnfStyle w:evenHBand="true" w:oddHBand="false" w:firstRow="false"/>
        </w:trPr>
        <w:tc>
          <w:tcPr>
            <w:cnfStyle w:evenVBand="false" w:oddVBand="true" w:firstColumn="false"/>
            <w:tcW w:w="25.000000%" w:type="pct"/>
          </w:tcPr>
          <w:p>
            <w:pPr>
              <w:ind w:leftChars="0" w:left="0" w:right="0"/>
            </w:pPr>
            <w:r>
              <w:t>EMID</w:t>
            </w:r>
          </w:p>
        </w:tc>
        <w:tc>
          <w:tcPr>
            <w:cnfStyle w:evenVBand="true" w:oddVBand="false" w:firstColumn="false"/>
            <w:tcW w:w="25.000000%" w:type="pct"/>
          </w:tcPr>
          <w:p>
            <w:pPr>
              <w:ind w:leftChars="0" w:left="0" w:right="0"/>
            </w:pPr>
            <w:r>
              <w:t>EMID</w:t>
            </w:r>
          </w:p>
        </w:tc>
        <w:tc>
          <w:tcPr>
            <w:cnfStyle w:evenVBand="false" w:oddVBand="true" w:firstColumn="false"/>
            <w:tcW w:w="25.000000%" w:type="pct"/>
          </w:tcPr>
          <w:p>
            <w:pPr>
              <w:ind w:leftChars="0" w:left="0" w:right="0"/>
            </w:pPr>
            <w:r>
              <w:t>E-MID</w:t>
            </w:r>
          </w:p>
        </w:tc>
        <w:tc>
          <w:tcPr>
            <w:cnfStyle w:evenVBand="true" w:oddVBand="false" w:firstColumn="false"/>
            <w:tcW w:w="25.000000%" w:type="pct"/>
          </w:tcPr>
          <w:p>
            <w:pPr>
              <w:ind w:leftChars="0" w:left="0" w:right="0"/>
            </w:pPr>
            <w:r>
              <w:t>615</w:t>
            </w:r>
          </w:p>
        </w:tc>
      </w:tr>
      <w:tr>
        <w:trPr>
          <w:cnfStyle w:evenHBand="false" w:oddHBand="true" w:firstRow="false"/>
        </w:trPr>
        <w:tc>
          <w:tcPr>
            <w:cnfStyle w:evenVBand="false" w:oddVBand="true" w:firstColumn="false"/>
            <w:tcW w:w="25.000000%" w:type="pct"/>
          </w:tcPr>
          <w:p>
            <w:pPr>
              <w:ind w:leftChars="0" w:left="0" w:right="0"/>
            </w:pPr>
            <w:r>
              <w:t>EMIR</w:t>
            </w:r>
          </w:p>
        </w:tc>
        <w:tc>
          <w:tcPr>
            <w:cnfStyle w:evenVBand="true" w:oddVBand="false" w:firstColumn="false"/>
            <w:tcW w:w="25.000000%" w:type="pct"/>
          </w:tcPr>
          <w:p>
            <w:pPr>
              <w:ind w:leftChars="0" w:left="0" w:right="0"/>
            </w:pPr>
            <w:r>
              <w:t>EMIR</w:t>
            </w:r>
          </w:p>
        </w:tc>
        <w:tc>
          <w:tcPr>
            <w:cnfStyle w:evenVBand="false" w:oddVBand="true" w:firstColumn="false"/>
            <w:tcW w:w="25.000000%" w:type="pct"/>
          </w:tcPr>
          <w:p>
            <w:pPr>
              <w:ind w:leftChars="0" w:left="0" w:right="0"/>
            </w:pPr>
            <w:r>
              <w:t>E-MID REPO</w:t>
            </w:r>
          </w:p>
        </w:tc>
        <w:tc>
          <w:tcPr>
            <w:cnfStyle w:evenVBand="true" w:oddVBand="false" w:firstColumn="false"/>
            <w:tcW w:w="25.000000%" w:type="pct"/>
          </w:tcPr>
          <w:p>
            <w:pPr>
              <w:ind w:leftChars="0" w:left="0" w:right="0"/>
            </w:pPr>
            <w:r>
              <w:t>616</w:t>
            </w:r>
          </w:p>
        </w:tc>
      </w:tr>
      <w:tr>
        <w:trPr>
          <w:cnfStyle w:evenHBand="true" w:oddHBand="false" w:firstRow="false"/>
        </w:trPr>
        <w:tc>
          <w:tcPr>
            <w:cnfStyle w:evenVBand="false" w:oddVBand="true" w:firstColumn="false"/>
            <w:tcW w:w="25.000000%" w:type="pct"/>
          </w:tcPr>
          <w:p>
            <w:pPr>
              <w:ind w:leftChars="0" w:left="0" w:right="0"/>
            </w:pPr>
            <w:r>
              <w:t>EMLD</w:t>
            </w:r>
          </w:p>
        </w:tc>
        <w:tc>
          <w:tcPr>
            <w:cnfStyle w:evenVBand="true" w:oddVBand="false" w:firstColumn="false"/>
            <w:tcW w:w="25.000000%" w:type="pct"/>
          </w:tcPr>
          <w:p>
            <w:pPr>
              <w:ind w:leftChars="0" w:left="0" w:right="0"/>
            </w:pPr>
            <w:r>
              <w:t>EMLD</w:t>
            </w:r>
          </w:p>
        </w:tc>
        <w:tc>
          <w:tcPr>
            <w:cnfStyle w:evenVBand="false" w:oddVBand="true" w:firstColumn="false"/>
            <w:tcW w:w="25.000000%" w:type="pct"/>
          </w:tcPr>
          <w:p>
            <w:pPr>
              <w:ind w:leftChars="0" w:left="0" w:right="0"/>
            </w:pPr>
            <w:r>
              <w:t>MIAX EMERALD, LLC</w:t>
            </w:r>
          </w:p>
        </w:tc>
        <w:tc>
          <w:tcPr>
            <w:cnfStyle w:evenVBand="true" w:oddVBand="false" w:firstColumn="false"/>
            <w:tcW w:w="25.000000%" w:type="pct"/>
          </w:tcPr>
          <w:p>
            <w:pPr>
              <w:ind w:leftChars="0" w:left="0" w:right="0"/>
            </w:pPr>
            <w:r>
              <w:t>617</w:t>
            </w:r>
          </w:p>
        </w:tc>
      </w:tr>
      <w:tr>
        <w:trPr>
          <w:cnfStyle w:evenHBand="false" w:oddHBand="true" w:firstRow="false"/>
        </w:trPr>
        <w:tc>
          <w:tcPr>
            <w:cnfStyle w:evenVBand="false" w:oddVBand="true" w:firstColumn="false"/>
            <w:tcW w:w="25.000000%" w:type="pct"/>
          </w:tcPr>
          <w:p>
            <w:pPr>
              <w:ind w:leftChars="0" w:left="0" w:right="0"/>
            </w:pPr>
            <w:r>
              <w:t>EMTF</w:t>
            </w:r>
          </w:p>
        </w:tc>
        <w:tc>
          <w:tcPr>
            <w:cnfStyle w:evenVBand="true" w:oddVBand="false" w:firstColumn="false"/>
            <w:tcW w:w="25.000000%" w:type="pct"/>
          </w:tcPr>
          <w:p>
            <w:pPr>
              <w:ind w:leftChars="0" w:left="0" w:right="0"/>
            </w:pPr>
            <w:r>
              <w:t>EMTF</w:t>
            </w:r>
          </w:p>
        </w:tc>
        <w:tc>
          <w:tcPr>
            <w:cnfStyle w:evenVBand="false" w:oddVBand="true" w:firstColumn="false"/>
            <w:tcW w:w="25.000000%" w:type="pct"/>
          </w:tcPr>
          <w:p>
            <w:pPr>
              <w:ind w:leftChars="0" w:left="0" w:right="0"/>
            </w:pPr>
            <w:r>
              <w:t>EURO MTF</w:t>
            </w:r>
          </w:p>
        </w:tc>
        <w:tc>
          <w:tcPr>
            <w:cnfStyle w:evenVBand="true" w:oddVBand="false" w:firstColumn="false"/>
            <w:tcW w:w="25.000000%" w:type="pct"/>
          </w:tcPr>
          <w:p>
            <w:pPr>
              <w:ind w:leftChars="0" w:left="0" w:right="0"/>
            </w:pPr>
            <w:r>
              <w:t>618</w:t>
            </w:r>
          </w:p>
        </w:tc>
      </w:tr>
      <w:tr>
        <w:trPr>
          <w:cnfStyle w:evenHBand="true" w:oddHBand="false" w:firstRow="false"/>
        </w:trPr>
        <w:tc>
          <w:tcPr>
            <w:cnfStyle w:evenVBand="false" w:oddVBand="true" w:firstColumn="false"/>
            <w:tcW w:w="25.000000%" w:type="pct"/>
          </w:tcPr>
          <w:p>
            <w:pPr>
              <w:ind w:leftChars="0" w:left="0" w:right="0"/>
            </w:pPr>
            <w:r>
              <w:t>EMTS</w:t>
            </w:r>
          </w:p>
        </w:tc>
        <w:tc>
          <w:tcPr>
            <w:cnfStyle w:evenVBand="true" w:oddVBand="false" w:firstColumn="false"/>
            <w:tcW w:w="25.000000%" w:type="pct"/>
          </w:tcPr>
          <w:p>
            <w:pPr>
              <w:ind w:leftChars="0" w:left="0" w:right="0"/>
            </w:pPr>
            <w:r>
              <w:t>EMTS</w:t>
            </w:r>
          </w:p>
        </w:tc>
        <w:tc>
          <w:tcPr>
            <w:cnfStyle w:evenVBand="false" w:oddVBand="true" w:firstColumn="false"/>
            <w:tcW w:w="25.000000%" w:type="pct"/>
          </w:tcPr>
          <w:p>
            <w:pPr>
              <w:ind w:leftChars="0" w:left="0" w:right="0"/>
            </w:pPr>
            <w:r>
              <w:t>EBM</w:t>
            </w:r>
          </w:p>
        </w:tc>
        <w:tc>
          <w:tcPr>
            <w:cnfStyle w:evenVBand="true" w:oddVBand="false" w:firstColumn="false"/>
            <w:tcW w:w="25.000000%" w:type="pct"/>
          </w:tcPr>
          <w:p>
            <w:pPr>
              <w:ind w:leftChars="0" w:left="0" w:right="0"/>
            </w:pPr>
            <w:r>
              <w:t>619</w:t>
            </w:r>
          </w:p>
        </w:tc>
      </w:tr>
      <w:tr>
        <w:trPr>
          <w:cnfStyle w:evenHBand="false" w:oddHBand="true" w:firstRow="false"/>
        </w:trPr>
        <w:tc>
          <w:tcPr>
            <w:cnfStyle w:evenVBand="false" w:oddVBand="true" w:firstColumn="false"/>
            <w:tcW w:w="25.000000%" w:type="pct"/>
          </w:tcPr>
          <w:p>
            <w:pPr>
              <w:ind w:leftChars="0" w:left="0" w:right="0"/>
            </w:pPr>
            <w:r>
              <w:t>ENAX</w:t>
            </w:r>
          </w:p>
        </w:tc>
        <w:tc>
          <w:tcPr>
            <w:cnfStyle w:evenVBand="true" w:oddVBand="false" w:firstColumn="false"/>
            <w:tcW w:w="25.000000%" w:type="pct"/>
          </w:tcPr>
          <w:p>
            <w:pPr>
              <w:ind w:leftChars="0" w:left="0" w:right="0"/>
            </w:pPr>
            <w:r>
              <w:t>ENAX</w:t>
            </w:r>
          </w:p>
        </w:tc>
        <w:tc>
          <w:tcPr>
            <w:cnfStyle w:evenVBand="false" w:oddVBand="true" w:firstColumn="false"/>
            <w:tcW w:w="25.000000%" w:type="pct"/>
          </w:tcPr>
          <w:p>
            <w:pPr>
              <w:ind w:leftChars="0" w:left="0" w:right="0"/>
            </w:pPr>
            <w:r>
              <w:t>ATHENS EXCHANGE ALTERNATIVE MARKET</w:t>
            </w:r>
          </w:p>
        </w:tc>
        <w:tc>
          <w:tcPr>
            <w:cnfStyle w:evenVBand="true" w:oddVBand="false" w:firstColumn="false"/>
            <w:tcW w:w="25.000000%" w:type="pct"/>
          </w:tcPr>
          <w:p>
            <w:pPr>
              <w:ind w:leftChars="0" w:left="0" w:right="0"/>
            </w:pPr>
            <w:r>
              <w:t>620</w:t>
            </w:r>
          </w:p>
        </w:tc>
      </w:tr>
      <w:tr>
        <w:trPr>
          <w:cnfStyle w:evenHBand="true" w:oddHBand="false" w:firstRow="false"/>
        </w:trPr>
        <w:tc>
          <w:tcPr>
            <w:cnfStyle w:evenVBand="false" w:oddVBand="true" w:firstColumn="false"/>
            <w:tcW w:w="25.000000%" w:type="pct"/>
          </w:tcPr>
          <w:p>
            <w:pPr>
              <w:ind w:leftChars="0" w:left="0" w:right="0"/>
            </w:pPr>
            <w:r>
              <w:t>ENCL</w:t>
            </w:r>
          </w:p>
        </w:tc>
        <w:tc>
          <w:tcPr>
            <w:cnfStyle w:evenVBand="true" w:oddVBand="false" w:firstColumn="false"/>
            <w:tcW w:w="25.000000%" w:type="pct"/>
          </w:tcPr>
          <w:p>
            <w:pPr>
              <w:ind w:leftChars="0" w:left="0" w:right="0"/>
            </w:pPr>
            <w:r>
              <w:t>ENCL</w:t>
            </w:r>
          </w:p>
        </w:tc>
        <w:tc>
          <w:tcPr>
            <w:cnfStyle w:evenVBand="false" w:oddVBand="true" w:firstColumn="false"/>
            <w:tcW w:w="25.000000%" w:type="pct"/>
          </w:tcPr>
          <w:p>
            <w:pPr>
              <w:ind w:leftChars="0" w:left="0" w:right="0"/>
            </w:pPr>
            <w:r>
              <w:t>ENCLEAR</w:t>
            </w:r>
          </w:p>
        </w:tc>
        <w:tc>
          <w:tcPr>
            <w:cnfStyle w:evenVBand="true" w:oddVBand="false" w:firstColumn="false"/>
            <w:tcW w:w="25.000000%" w:type="pct"/>
          </w:tcPr>
          <w:p>
            <w:pPr>
              <w:ind w:leftChars="0" w:left="0" w:right="0"/>
            </w:pPr>
            <w:r>
              <w:t>621</w:t>
            </w:r>
          </w:p>
        </w:tc>
      </w:tr>
      <w:tr>
        <w:trPr>
          <w:cnfStyle w:evenHBand="false" w:oddHBand="true" w:firstRow="false"/>
        </w:trPr>
        <w:tc>
          <w:tcPr>
            <w:cnfStyle w:evenVBand="false" w:oddVBand="true" w:firstColumn="false"/>
            <w:tcW w:w="25.000000%" w:type="pct"/>
          </w:tcPr>
          <w:p>
            <w:pPr>
              <w:ind w:leftChars="0" w:left="0" w:right="0"/>
            </w:pPr>
            <w:r>
              <w:t>ENMS</w:t>
            </w:r>
          </w:p>
        </w:tc>
        <w:tc>
          <w:tcPr>
            <w:cnfStyle w:evenVBand="true" w:oddVBand="false" w:firstColumn="false"/>
            <w:tcW w:w="25.000000%" w:type="pct"/>
          </w:tcPr>
          <w:p>
            <w:pPr>
              <w:ind w:leftChars="0" w:left="0" w:right="0"/>
            </w:pPr>
            <w:r>
              <w:t>ENMS</w:t>
            </w:r>
          </w:p>
        </w:tc>
        <w:tc>
          <w:tcPr>
            <w:cnfStyle w:evenVBand="false" w:oddVBand="true" w:firstColumn="false"/>
            <w:tcW w:w="25.000000%" w:type="pct"/>
          </w:tcPr>
          <w:p>
            <w:pPr>
              <w:ind w:leftChars="0" w:left="0" w:right="0"/>
            </w:pPr>
            <w:r>
              <w:t>EURONEXT MARKETS SINGAPORE PTE. LTD.</w:t>
            </w:r>
          </w:p>
        </w:tc>
        <w:tc>
          <w:tcPr>
            <w:cnfStyle w:evenVBand="true" w:oddVBand="false" w:firstColumn="false"/>
            <w:tcW w:w="25.000000%" w:type="pct"/>
          </w:tcPr>
          <w:p>
            <w:pPr>
              <w:ind w:leftChars="0" w:left="0" w:right="0"/>
            </w:pPr>
            <w:r>
              <w:t>622</w:t>
            </w:r>
          </w:p>
        </w:tc>
      </w:tr>
      <w:tr>
        <w:trPr>
          <w:cnfStyle w:evenHBand="true" w:oddHBand="false" w:firstRow="false"/>
        </w:trPr>
        <w:tc>
          <w:tcPr>
            <w:cnfStyle w:evenVBand="false" w:oddVBand="true" w:firstColumn="false"/>
            <w:tcW w:w="25.000000%" w:type="pct"/>
          </w:tcPr>
          <w:p>
            <w:pPr>
              <w:ind w:leftChars="0" w:left="0" w:right="0"/>
            </w:pPr>
            <w:r>
              <w:t>ENSL</w:t>
            </w:r>
          </w:p>
        </w:tc>
        <w:tc>
          <w:tcPr>
            <w:cnfStyle w:evenVBand="true" w:oddVBand="false" w:firstColumn="false"/>
            <w:tcW w:w="25.000000%" w:type="pct"/>
          </w:tcPr>
          <w:p>
            <w:pPr>
              <w:ind w:leftChars="0" w:left="0" w:right="0"/>
            </w:pPr>
            <w:r>
              <w:t>ENSL</w:t>
            </w:r>
          </w:p>
        </w:tc>
        <w:tc>
          <w:tcPr>
            <w:cnfStyle w:evenVBand="false" w:oddVBand="true" w:firstColumn="false"/>
            <w:tcW w:w="25.000000%" w:type="pct"/>
          </w:tcPr>
          <w:p>
            <w:pPr>
              <w:ind w:leftChars="0" w:left="0" w:right="0"/>
            </w:pPr>
            <w:r>
              <w:t>ENGNSOL - OMP</w:t>
            </w:r>
          </w:p>
        </w:tc>
        <w:tc>
          <w:tcPr>
            <w:cnfStyle w:evenVBand="true" w:oddVBand="false" w:firstColumn="false"/>
            <w:tcW w:w="25.000000%" w:type="pct"/>
          </w:tcPr>
          <w:p>
            <w:pPr>
              <w:ind w:leftChars="0" w:left="0" w:right="0"/>
            </w:pPr>
            <w:r>
              <w:t>623</w:t>
            </w:r>
          </w:p>
        </w:tc>
      </w:tr>
      <w:tr>
        <w:trPr>
          <w:cnfStyle w:evenHBand="false" w:oddHBand="true" w:firstRow="false"/>
        </w:trPr>
        <w:tc>
          <w:tcPr>
            <w:cnfStyle w:evenVBand="false" w:oddVBand="true" w:firstColumn="false"/>
            <w:tcW w:w="25.000000%" w:type="pct"/>
          </w:tcPr>
          <w:p>
            <w:pPr>
              <w:ind w:leftChars="0" w:left="0" w:right="0"/>
            </w:pPr>
            <w:r>
              <w:t>ENSX</w:t>
            </w:r>
          </w:p>
        </w:tc>
        <w:tc>
          <w:tcPr>
            <w:cnfStyle w:evenVBand="true" w:oddVBand="false" w:firstColumn="false"/>
            <w:tcW w:w="25.000000%" w:type="pct"/>
          </w:tcPr>
          <w:p>
            <w:pPr>
              <w:ind w:leftChars="0" w:left="0" w:right="0"/>
            </w:pPr>
            <w:r>
              <w:t>ENSX</w:t>
            </w:r>
          </w:p>
        </w:tc>
        <w:tc>
          <w:tcPr>
            <w:cnfStyle w:evenVBand="false" w:oddVBand="true" w:firstColumn="false"/>
            <w:tcW w:w="25.000000%" w:type="pct"/>
          </w:tcPr>
          <w:p>
            <w:pPr>
              <w:ind w:leftChars="0" w:left="0" w:right="0"/>
            </w:pPr>
            <w:r>
              <w:t>SEB ENSKILDA</w:t>
            </w:r>
          </w:p>
        </w:tc>
        <w:tc>
          <w:tcPr>
            <w:cnfStyle w:evenVBand="true" w:oddVBand="false" w:firstColumn="false"/>
            <w:tcW w:w="25.000000%" w:type="pct"/>
          </w:tcPr>
          <w:p>
            <w:pPr>
              <w:ind w:leftChars="0" w:left="0" w:right="0"/>
            </w:pPr>
            <w:r>
              <w:t>624</w:t>
            </w:r>
          </w:p>
        </w:tc>
      </w:tr>
      <w:tr>
        <w:trPr>
          <w:cnfStyle w:evenHBand="true" w:oddHBand="false" w:firstRow="false"/>
        </w:trPr>
        <w:tc>
          <w:tcPr>
            <w:cnfStyle w:evenVBand="false" w:oddVBand="true" w:firstColumn="false"/>
            <w:tcW w:w="25.000000%" w:type="pct"/>
          </w:tcPr>
          <w:p>
            <w:pPr>
              <w:ind w:leftChars="0" w:left="0" w:right="0"/>
            </w:pPr>
            <w:r>
              <w:t>ENSY</w:t>
            </w:r>
          </w:p>
        </w:tc>
        <w:tc>
          <w:tcPr>
            <w:cnfStyle w:evenVBand="true" w:oddVBand="false" w:firstColumn="false"/>
            <w:tcW w:w="25.000000%" w:type="pct"/>
          </w:tcPr>
          <w:p>
            <w:pPr>
              <w:ind w:leftChars="0" w:left="0" w:right="0"/>
            </w:pPr>
            <w:r>
              <w:t>ENSY</w:t>
            </w:r>
          </w:p>
        </w:tc>
        <w:tc>
          <w:tcPr>
            <w:cnfStyle w:evenVBand="false" w:oddVBand="true" w:firstColumn="false"/>
            <w:tcW w:w="25.000000%" w:type="pct"/>
          </w:tcPr>
          <w:p>
            <w:pPr>
              <w:ind w:leftChars="0" w:left="0" w:right="0"/>
            </w:pPr>
            <w:r>
              <w:t>EURONEXT SYNAPSE</w:t>
            </w:r>
          </w:p>
        </w:tc>
        <w:tc>
          <w:tcPr>
            <w:cnfStyle w:evenVBand="true" w:oddVBand="false" w:firstColumn="false"/>
            <w:tcW w:w="25.000000%" w:type="pct"/>
          </w:tcPr>
          <w:p>
            <w:pPr>
              <w:ind w:leftChars="0" w:left="0" w:right="0"/>
            </w:pPr>
            <w:r>
              <w:t>625</w:t>
            </w:r>
          </w:p>
        </w:tc>
      </w:tr>
      <w:tr>
        <w:trPr>
          <w:cnfStyle w:evenHBand="false" w:oddHBand="true" w:firstRow="false"/>
        </w:trPr>
        <w:tc>
          <w:tcPr>
            <w:cnfStyle w:evenVBand="false" w:oddVBand="true" w:firstColumn="false"/>
            <w:tcW w:w="25.000000%" w:type="pct"/>
          </w:tcPr>
          <w:p>
            <w:pPr>
              <w:ind w:leftChars="0" w:left="0" w:right="0"/>
            </w:pPr>
            <w:r>
              <w:t>ENTW</w:t>
            </w:r>
          </w:p>
        </w:tc>
        <w:tc>
          <w:tcPr>
            <w:cnfStyle w:evenVBand="true" w:oddVBand="false" w:firstColumn="false"/>
            <w:tcW w:w="25.000000%" w:type="pct"/>
          </w:tcPr>
          <w:p>
            <w:pPr>
              <w:ind w:leftChars="0" w:left="0" w:right="0"/>
            </w:pPr>
            <w:r>
              <w:t>ENTW</w:t>
            </w:r>
          </w:p>
        </w:tc>
        <w:tc>
          <w:tcPr>
            <w:cnfStyle w:evenVBand="false" w:oddVBand="true" w:firstColumn="false"/>
            <w:tcW w:w="25.000000%" w:type="pct"/>
          </w:tcPr>
          <w:p>
            <w:pPr>
              <w:ind w:leftChars="0" w:left="0" w:right="0"/>
            </w:pPr>
            <w:r>
              <w:t>BLOCKMATCH EUROPE NT</w:t>
            </w:r>
          </w:p>
        </w:tc>
        <w:tc>
          <w:tcPr>
            <w:cnfStyle w:evenVBand="true" w:oddVBand="false" w:firstColumn="false"/>
            <w:tcW w:w="25.000000%" w:type="pct"/>
          </w:tcPr>
          <w:p>
            <w:pPr>
              <w:ind w:leftChars="0" w:left="0" w:right="0"/>
            </w:pPr>
            <w:r>
              <w:t>626</w:t>
            </w:r>
          </w:p>
        </w:tc>
      </w:tr>
      <w:tr>
        <w:trPr>
          <w:cnfStyle w:evenHBand="true" w:oddHBand="false" w:firstRow="false"/>
        </w:trPr>
        <w:tc>
          <w:tcPr>
            <w:cnfStyle w:evenVBand="false" w:oddVBand="true" w:firstColumn="false"/>
            <w:tcW w:w="25.000000%" w:type="pct"/>
          </w:tcPr>
          <w:p>
            <w:pPr>
              <w:ind w:leftChars="0" w:left="0" w:right="0"/>
            </w:pPr>
            <w:r>
              <w:t>ENXB</w:t>
            </w:r>
          </w:p>
        </w:tc>
        <w:tc>
          <w:tcPr>
            <w:cnfStyle w:evenVBand="true" w:oddVBand="false" w:firstColumn="false"/>
            <w:tcW w:w="25.000000%" w:type="pct"/>
          </w:tcPr>
          <w:p>
            <w:pPr>
              <w:ind w:leftChars="0" w:left="0" w:right="0"/>
            </w:pPr>
            <w:r>
              <w:t>ENXB</w:t>
            </w:r>
          </w:p>
        </w:tc>
        <w:tc>
          <w:tcPr>
            <w:cnfStyle w:evenVBand="false" w:oddVBand="true" w:firstColumn="false"/>
            <w:tcW w:w="25.000000%" w:type="pct"/>
          </w:tcPr>
          <w:p>
            <w:pPr>
              <w:ind w:leftChars="0" w:left="0" w:right="0"/>
            </w:pPr>
            <w:r>
              <w:t>EURONEXT - EASY NEXT</w:t>
            </w:r>
          </w:p>
        </w:tc>
        <w:tc>
          <w:tcPr>
            <w:cnfStyle w:evenVBand="true" w:oddVBand="false" w:firstColumn="false"/>
            <w:tcW w:w="25.000000%" w:type="pct"/>
          </w:tcPr>
          <w:p>
            <w:pPr>
              <w:ind w:leftChars="0" w:left="0" w:right="0"/>
            </w:pPr>
            <w:r>
              <w:t>627</w:t>
            </w:r>
          </w:p>
        </w:tc>
      </w:tr>
      <w:tr>
        <w:trPr>
          <w:cnfStyle w:evenHBand="false" w:oddHBand="true" w:firstRow="false"/>
        </w:trPr>
        <w:tc>
          <w:tcPr>
            <w:cnfStyle w:evenVBand="false" w:oddVBand="true" w:firstColumn="false"/>
            <w:tcW w:w="25.000000%" w:type="pct"/>
          </w:tcPr>
          <w:p>
            <w:pPr>
              <w:ind w:leftChars="0" w:left="0" w:right="0"/>
            </w:pPr>
            <w:r>
              <w:t>ENXL</w:t>
            </w:r>
          </w:p>
        </w:tc>
        <w:tc>
          <w:tcPr>
            <w:cnfStyle w:evenVBand="true" w:oddVBand="false" w:firstColumn="false"/>
            <w:tcW w:w="25.000000%" w:type="pct"/>
          </w:tcPr>
          <w:p>
            <w:pPr>
              <w:ind w:leftChars="0" w:left="0" w:right="0"/>
            </w:pPr>
            <w:r>
              <w:t>ENXL</w:t>
            </w:r>
          </w:p>
        </w:tc>
        <w:tc>
          <w:tcPr>
            <w:cnfStyle w:evenVBand="false" w:oddVBand="true" w:firstColumn="false"/>
            <w:tcW w:w="25.000000%" w:type="pct"/>
          </w:tcPr>
          <w:p>
            <w:pPr>
              <w:ind w:leftChars="0" w:left="0" w:right="0"/>
            </w:pPr>
            <w:r>
              <w:t>EURONEXT ACCESS LISBON</w:t>
            </w:r>
          </w:p>
        </w:tc>
        <w:tc>
          <w:tcPr>
            <w:cnfStyle w:evenVBand="true" w:oddVBand="false" w:firstColumn="false"/>
            <w:tcW w:w="25.000000%" w:type="pct"/>
          </w:tcPr>
          <w:p>
            <w:pPr>
              <w:ind w:leftChars="0" w:left="0" w:right="0"/>
            </w:pPr>
            <w:r>
              <w:t>628</w:t>
            </w:r>
          </w:p>
        </w:tc>
      </w:tr>
      <w:tr>
        <w:trPr>
          <w:cnfStyle w:evenHBand="true" w:oddHBand="false" w:firstRow="false"/>
        </w:trPr>
        <w:tc>
          <w:tcPr>
            <w:cnfStyle w:evenVBand="false" w:oddVBand="true" w:firstColumn="false"/>
            <w:tcW w:w="25.000000%" w:type="pct"/>
          </w:tcPr>
          <w:p>
            <w:pPr>
              <w:ind w:leftChars="0" w:left="0" w:right="0"/>
            </w:pPr>
            <w:r>
              <w:t>EOTC</w:t>
            </w:r>
          </w:p>
        </w:tc>
        <w:tc>
          <w:tcPr>
            <w:cnfStyle w:evenVBand="true" w:oddVBand="false" w:firstColumn="false"/>
            <w:tcW w:w="25.000000%" w:type="pct"/>
          </w:tcPr>
          <w:p>
            <w:pPr>
              <w:ind w:leftChars="0" w:left="0" w:right="0"/>
            </w:pPr>
            <w:r>
              <w:t>EOTC</w:t>
            </w:r>
          </w:p>
        </w:tc>
        <w:tc>
          <w:tcPr>
            <w:cnfStyle w:evenVBand="false" w:oddVBand="true" w:firstColumn="false"/>
            <w:tcW w:w="25.000000%" w:type="pct"/>
          </w:tcPr>
          <w:p>
            <w:pPr>
              <w:ind w:leftChars="0" w:left="0" w:right="0"/>
            </w:pPr>
            <w:r>
              <w:t>E-OTC</w:t>
            </w:r>
          </w:p>
        </w:tc>
        <w:tc>
          <w:tcPr>
            <w:cnfStyle w:evenVBand="true" w:oddVBand="false" w:firstColumn="false"/>
            <w:tcW w:w="25.000000%" w:type="pct"/>
          </w:tcPr>
          <w:p>
            <w:pPr>
              <w:ind w:leftChars="0" w:left="0" w:right="0"/>
            </w:pPr>
            <w:r>
              <w:t>629</w:t>
            </w:r>
          </w:p>
        </w:tc>
      </w:tr>
      <w:tr>
        <w:trPr>
          <w:cnfStyle w:evenHBand="false" w:oddHBand="true" w:firstRow="false"/>
        </w:trPr>
        <w:tc>
          <w:tcPr>
            <w:cnfStyle w:evenVBand="false" w:oddVBand="true" w:firstColumn="false"/>
            <w:tcW w:w="25.000000%" w:type="pct"/>
          </w:tcPr>
          <w:p>
            <w:pPr>
              <w:ind w:leftChars="0" w:left="0" w:right="0"/>
            </w:pPr>
            <w:r>
              <w:t>EPEX</w:t>
            </w:r>
          </w:p>
        </w:tc>
        <w:tc>
          <w:tcPr>
            <w:cnfStyle w:evenVBand="true" w:oddVBand="false" w:firstColumn="false"/>
            <w:tcW w:w="25.000000%" w:type="pct"/>
          </w:tcPr>
          <w:p>
            <w:pPr>
              <w:ind w:leftChars="0" w:left="0" w:right="0"/>
            </w:pPr>
            <w:r>
              <w:t>EPEX</w:t>
            </w:r>
          </w:p>
        </w:tc>
        <w:tc>
          <w:tcPr>
            <w:cnfStyle w:evenVBand="false" w:oddVBand="true" w:firstColumn="false"/>
            <w:tcW w:w="25.000000%" w:type="pct"/>
          </w:tcPr>
          <w:p>
            <w:pPr>
              <w:ind w:leftChars="0" w:left="0" w:right="0"/>
            </w:pPr>
            <w:r>
              <w:t>EPEX SPOT SE</w:t>
            </w:r>
          </w:p>
        </w:tc>
        <w:tc>
          <w:tcPr>
            <w:cnfStyle w:evenVBand="true" w:oddVBand="false" w:firstColumn="false"/>
            <w:tcW w:w="25.000000%" w:type="pct"/>
          </w:tcPr>
          <w:p>
            <w:pPr>
              <w:ind w:leftChars="0" w:left="0" w:right="0"/>
            </w:pPr>
            <w:r>
              <w:t>630</w:t>
            </w:r>
          </w:p>
        </w:tc>
      </w:tr>
      <w:tr>
        <w:trPr>
          <w:cnfStyle w:evenHBand="true" w:oddHBand="false" w:firstRow="false"/>
        </w:trPr>
        <w:tc>
          <w:tcPr>
            <w:cnfStyle w:evenVBand="false" w:oddVBand="true" w:firstColumn="false"/>
            <w:tcW w:w="25.000000%" w:type="pct"/>
          </w:tcPr>
          <w:p>
            <w:pPr>
              <w:ind w:leftChars="0" w:left="0" w:right="0"/>
            </w:pPr>
            <w:r>
              <w:t>EPRD</w:t>
            </w:r>
          </w:p>
        </w:tc>
        <w:tc>
          <w:tcPr>
            <w:cnfStyle w:evenVBand="true" w:oddVBand="false" w:firstColumn="false"/>
            <w:tcW w:w="25.000000%" w:type="pct"/>
          </w:tcPr>
          <w:p>
            <w:pPr>
              <w:ind w:leftChars="0" w:left="0" w:right="0"/>
            </w:pPr>
            <w:r>
              <w:t>EPRD</w:t>
            </w:r>
          </w:p>
        </w:tc>
        <w:tc>
          <w:tcPr>
            <w:cnfStyle w:evenVBand="false" w:oddVBand="true" w:firstColumn="false"/>
            <w:tcW w:w="25.000000%" w:type="pct"/>
          </w:tcPr>
          <w:p>
            <w:pPr>
              <w:ind w:leftChars="0" w:left="0" w:right="0"/>
            </w:pPr>
            <w:r>
              <w:t>MIAX PEARL EQUITIES EXCHANGE DARK</w:t>
            </w:r>
          </w:p>
        </w:tc>
        <w:tc>
          <w:tcPr>
            <w:cnfStyle w:evenVBand="true" w:oddVBand="false" w:firstColumn="false"/>
            <w:tcW w:w="25.000000%" w:type="pct"/>
          </w:tcPr>
          <w:p>
            <w:pPr>
              <w:ind w:leftChars="0" w:left="0" w:right="0"/>
            </w:pPr>
            <w:r>
              <w:t>631</w:t>
            </w:r>
          </w:p>
        </w:tc>
      </w:tr>
      <w:tr>
        <w:trPr>
          <w:cnfStyle w:evenHBand="false" w:oddHBand="true" w:firstRow="false"/>
        </w:trPr>
        <w:tc>
          <w:tcPr>
            <w:cnfStyle w:evenVBand="false" w:oddVBand="true" w:firstColumn="false"/>
            <w:tcW w:w="25.000000%" w:type="pct"/>
          </w:tcPr>
          <w:p>
            <w:pPr>
              <w:ind w:leftChars="0" w:left="0" w:right="0"/>
            </w:pPr>
            <w:r>
              <w:t>EPRL</w:t>
            </w:r>
          </w:p>
        </w:tc>
        <w:tc>
          <w:tcPr>
            <w:cnfStyle w:evenVBand="true" w:oddVBand="false" w:firstColumn="false"/>
            <w:tcW w:w="25.000000%" w:type="pct"/>
          </w:tcPr>
          <w:p>
            <w:pPr>
              <w:ind w:leftChars="0" w:left="0" w:right="0"/>
            </w:pPr>
            <w:r>
              <w:t>EPRL</w:t>
            </w:r>
          </w:p>
        </w:tc>
        <w:tc>
          <w:tcPr>
            <w:cnfStyle w:evenVBand="false" w:oddVBand="true" w:firstColumn="false"/>
            <w:tcW w:w="25.000000%" w:type="pct"/>
          </w:tcPr>
          <w:p>
            <w:pPr>
              <w:ind w:leftChars="0" w:left="0" w:right="0"/>
            </w:pPr>
            <w:r>
              <w:t>MIAX PEARL EQUITIES</w:t>
            </w:r>
          </w:p>
        </w:tc>
        <w:tc>
          <w:tcPr>
            <w:cnfStyle w:evenVBand="true" w:oddVBand="false" w:firstColumn="false"/>
            <w:tcW w:w="25.000000%" w:type="pct"/>
          </w:tcPr>
          <w:p>
            <w:pPr>
              <w:ind w:leftChars="0" w:left="0" w:right="0"/>
            </w:pPr>
            <w:r>
              <w:t>632</w:t>
            </w:r>
          </w:p>
        </w:tc>
      </w:tr>
      <w:tr>
        <w:trPr>
          <w:cnfStyle w:evenHBand="true" w:oddHBand="false" w:firstRow="false"/>
        </w:trPr>
        <w:tc>
          <w:tcPr>
            <w:cnfStyle w:evenVBand="false" w:oddVBand="true" w:firstColumn="false"/>
            <w:tcW w:w="25.000000%" w:type="pct"/>
          </w:tcPr>
          <w:p>
            <w:pPr>
              <w:ind w:leftChars="0" w:left="0" w:right="0"/>
            </w:pPr>
            <w:r>
              <w:t>EQCA</w:t>
            </w:r>
          </w:p>
        </w:tc>
        <w:tc>
          <w:tcPr>
            <w:cnfStyle w:evenVBand="true" w:oddVBand="false" w:firstColumn="false"/>
            <w:tcW w:w="25.000000%" w:type="pct"/>
          </w:tcPr>
          <w:p>
            <w:pPr>
              <w:ind w:leftChars="0" w:left="0" w:right="0"/>
            </w:pPr>
            <w:r>
              <w:t>EQCA</w:t>
            </w:r>
          </w:p>
        </w:tc>
        <w:tc>
          <w:tcPr>
            <w:cnfStyle w:evenVBand="false" w:oddVBand="true" w:firstColumn="false"/>
            <w:tcW w:w="25.000000%" w:type="pct"/>
          </w:tcPr>
          <w:p>
            <w:pPr>
              <w:ind w:leftChars="0" w:left="0" w:right="0"/>
            </w:pPr>
            <w:r>
              <w:t>EQUILEND CANADA CORP.</w:t>
            </w:r>
          </w:p>
        </w:tc>
        <w:tc>
          <w:tcPr>
            <w:cnfStyle w:evenVBand="true" w:oddVBand="false" w:firstColumn="false"/>
            <w:tcW w:w="25.000000%" w:type="pct"/>
          </w:tcPr>
          <w:p>
            <w:pPr>
              <w:ind w:leftChars="0" w:left="0" w:right="0"/>
            </w:pPr>
            <w:r>
              <w:t>633</w:t>
            </w:r>
          </w:p>
        </w:tc>
      </w:tr>
      <w:tr>
        <w:trPr>
          <w:cnfStyle w:evenHBand="false" w:oddHBand="true" w:firstRow="false"/>
        </w:trPr>
        <w:tc>
          <w:tcPr>
            <w:cnfStyle w:evenVBand="false" w:oddVBand="true" w:firstColumn="false"/>
            <w:tcW w:w="25.000000%" w:type="pct"/>
          </w:tcPr>
          <w:p>
            <w:pPr>
              <w:ind w:leftChars="0" w:left="0" w:right="0"/>
            </w:pPr>
            <w:r>
              <w:t>EQIE</w:t>
            </w:r>
          </w:p>
        </w:tc>
        <w:tc>
          <w:tcPr>
            <w:cnfStyle w:evenVBand="true" w:oddVBand="false" w:firstColumn="false"/>
            <w:tcW w:w="25.000000%" w:type="pct"/>
          </w:tcPr>
          <w:p>
            <w:pPr>
              <w:ind w:leftChars="0" w:left="0" w:right="0"/>
            </w:pPr>
            <w:r>
              <w:t>EQIE</w:t>
            </w:r>
          </w:p>
        </w:tc>
        <w:tc>
          <w:tcPr>
            <w:cnfStyle w:evenVBand="false" w:oddVBand="true" w:firstColumn="false"/>
            <w:tcW w:w="25.000000%" w:type="pct"/>
          </w:tcPr>
          <w:p>
            <w:pPr>
              <w:ind w:leftChars="0" w:left="0" w:right="0"/>
            </w:pPr>
            <w:r>
              <w:t>EQUILEND LIMITED</w:t>
            </w:r>
          </w:p>
        </w:tc>
        <w:tc>
          <w:tcPr>
            <w:cnfStyle w:evenVBand="true" w:oddVBand="false" w:firstColumn="false"/>
            <w:tcW w:w="25.000000%" w:type="pct"/>
          </w:tcPr>
          <w:p>
            <w:pPr>
              <w:ind w:leftChars="0" w:left="0" w:right="0"/>
            </w:pPr>
            <w:r>
              <w:t>634</w:t>
            </w:r>
          </w:p>
        </w:tc>
      </w:tr>
      <w:tr>
        <w:trPr>
          <w:cnfStyle w:evenHBand="true" w:oddHBand="false" w:firstRow="false"/>
        </w:trPr>
        <w:tc>
          <w:tcPr>
            <w:cnfStyle w:evenVBand="false" w:oddVBand="true" w:firstColumn="false"/>
            <w:tcW w:w="25.000000%" w:type="pct"/>
          </w:tcPr>
          <w:p>
            <w:pPr>
              <w:ind w:leftChars="0" w:left="0" w:right="0"/>
            </w:pPr>
            <w:r>
              <w:t>EQLD</w:t>
            </w:r>
          </w:p>
        </w:tc>
        <w:tc>
          <w:tcPr>
            <w:cnfStyle w:evenVBand="true" w:oddVBand="false" w:firstColumn="false"/>
            <w:tcW w:w="25.000000%" w:type="pct"/>
          </w:tcPr>
          <w:p>
            <w:pPr>
              <w:ind w:leftChars="0" w:left="0" w:right="0"/>
            </w:pPr>
            <w:r>
              <w:t>EQLD</w:t>
            </w:r>
          </w:p>
        </w:tc>
        <w:tc>
          <w:tcPr>
            <w:cnfStyle w:evenVBand="false" w:oddVBand="true" w:firstColumn="false"/>
            <w:tcW w:w="25.000000%" w:type="pct"/>
          </w:tcPr>
          <w:p>
            <w:pPr>
              <w:ind w:leftChars="0" w:left="0" w:right="0"/>
            </w:pPr>
            <w:r>
              <w:t>EQUILEND EUROPE LIMITED</w:t>
            </w:r>
          </w:p>
        </w:tc>
        <w:tc>
          <w:tcPr>
            <w:cnfStyle w:evenVBand="true" w:oddVBand="false" w:firstColumn="false"/>
            <w:tcW w:w="25.000000%" w:type="pct"/>
          </w:tcPr>
          <w:p>
            <w:pPr>
              <w:ind w:leftChars="0" w:left="0" w:right="0"/>
            </w:pPr>
            <w:r>
              <w:t>635</w:t>
            </w:r>
          </w:p>
        </w:tc>
      </w:tr>
      <w:tr>
        <w:trPr>
          <w:cnfStyle w:evenHBand="false" w:oddHBand="true" w:firstRow="false"/>
        </w:trPr>
        <w:tc>
          <w:tcPr>
            <w:cnfStyle w:evenVBand="false" w:oddVBand="true" w:firstColumn="false"/>
            <w:tcW w:w="25.000000%" w:type="pct"/>
          </w:tcPr>
          <w:p>
            <w:pPr>
              <w:ind w:leftChars="0" w:left="0" w:right="0"/>
            </w:pPr>
            <w:r>
              <w:t>EQOC</w:t>
            </w:r>
          </w:p>
        </w:tc>
        <w:tc>
          <w:tcPr>
            <w:cnfStyle w:evenVBand="true" w:oddVBand="false" w:firstColumn="false"/>
            <w:tcW w:w="25.000000%" w:type="pct"/>
          </w:tcPr>
          <w:p>
            <w:pPr>
              <w:ind w:leftChars="0" w:left="0" w:right="0"/>
            </w:pPr>
            <w:r>
              <w:t>EQOC</w:t>
            </w:r>
          </w:p>
        </w:tc>
        <w:tc>
          <w:tcPr>
            <w:cnfStyle w:evenVBand="false" w:oddVBand="true" w:firstColumn="false"/>
            <w:tcW w:w="25.000000%" w:type="pct"/>
          </w:tcPr>
          <w:p>
            <w:pPr>
              <w:ind w:leftChars="0" w:left="0" w:right="0"/>
            </w:pPr>
            <w:r>
              <w:t>EQUOS SPOT</w:t>
            </w:r>
          </w:p>
        </w:tc>
        <w:tc>
          <w:tcPr>
            <w:cnfStyle w:evenVBand="true" w:oddVBand="false" w:firstColumn="false"/>
            <w:tcW w:w="25.000000%" w:type="pct"/>
          </w:tcPr>
          <w:p>
            <w:pPr>
              <w:ind w:leftChars="0" w:left="0" w:right="0"/>
            </w:pPr>
            <w:r>
              <w:t>636</w:t>
            </w:r>
          </w:p>
        </w:tc>
      </w:tr>
      <w:tr>
        <w:trPr>
          <w:cnfStyle w:evenHBand="true" w:oddHBand="false" w:firstRow="false"/>
        </w:trPr>
        <w:tc>
          <w:tcPr>
            <w:cnfStyle w:evenVBand="false" w:oddVBand="true" w:firstColumn="false"/>
            <w:tcW w:w="25.000000%" w:type="pct"/>
          </w:tcPr>
          <w:p>
            <w:pPr>
              <w:ind w:leftChars="0" w:left="0" w:right="0"/>
            </w:pPr>
            <w:r>
              <w:t>EQOD</w:t>
            </w:r>
          </w:p>
        </w:tc>
        <w:tc>
          <w:tcPr>
            <w:cnfStyle w:evenVBand="true" w:oddVBand="false" w:firstColumn="false"/>
            <w:tcW w:w="25.000000%" w:type="pct"/>
          </w:tcPr>
          <w:p>
            <w:pPr>
              <w:ind w:leftChars="0" w:left="0" w:right="0"/>
            </w:pPr>
            <w:r>
              <w:t>EQOD</w:t>
            </w:r>
          </w:p>
        </w:tc>
        <w:tc>
          <w:tcPr>
            <w:cnfStyle w:evenVBand="false" w:oddVBand="true" w:firstColumn="false"/>
            <w:tcW w:w="25.000000%" w:type="pct"/>
          </w:tcPr>
          <w:p>
            <w:pPr>
              <w:ind w:leftChars="0" w:left="0" w:right="0"/>
            </w:pPr>
            <w:r>
              <w:t>EQUOS DERIVATIVES</w:t>
            </w:r>
          </w:p>
        </w:tc>
        <w:tc>
          <w:tcPr>
            <w:cnfStyle w:evenVBand="true" w:oddVBand="false" w:firstColumn="false"/>
            <w:tcW w:w="25.000000%" w:type="pct"/>
          </w:tcPr>
          <w:p>
            <w:pPr>
              <w:ind w:leftChars="0" w:left="0" w:right="0"/>
            </w:pPr>
            <w:r>
              <w:t>637</w:t>
            </w:r>
          </w:p>
        </w:tc>
      </w:tr>
      <w:tr>
        <w:trPr>
          <w:cnfStyle w:evenHBand="false" w:oddHBand="true" w:firstRow="false"/>
        </w:trPr>
        <w:tc>
          <w:tcPr>
            <w:cnfStyle w:evenVBand="false" w:oddVBand="true" w:firstColumn="false"/>
            <w:tcW w:w="25.000000%" w:type="pct"/>
          </w:tcPr>
          <w:p>
            <w:pPr>
              <w:ind w:leftChars="0" w:left="0" w:right="0"/>
            </w:pPr>
            <w:r>
              <w:t>EQOS</w:t>
            </w:r>
          </w:p>
        </w:tc>
        <w:tc>
          <w:tcPr>
            <w:cnfStyle w:evenVBand="true" w:oddVBand="false" w:firstColumn="false"/>
            <w:tcW w:w="25.000000%" w:type="pct"/>
          </w:tcPr>
          <w:p>
            <w:pPr>
              <w:ind w:leftChars="0" w:left="0" w:right="0"/>
            </w:pPr>
            <w:r>
              <w:t>EQOS</w:t>
            </w:r>
          </w:p>
        </w:tc>
        <w:tc>
          <w:tcPr>
            <w:cnfStyle w:evenVBand="false" w:oddVBand="true" w:firstColumn="false"/>
            <w:tcW w:w="25.000000%" w:type="pct"/>
          </w:tcPr>
          <w:p>
            <w:pPr>
              <w:ind w:leftChars="0" w:left="0" w:right="0"/>
            </w:pPr>
            <w:r>
              <w:t>EQUOS</w:t>
            </w:r>
          </w:p>
        </w:tc>
        <w:tc>
          <w:tcPr>
            <w:cnfStyle w:evenVBand="true" w:oddVBand="false" w:firstColumn="false"/>
            <w:tcW w:w="25.000000%" w:type="pct"/>
          </w:tcPr>
          <w:p>
            <w:pPr>
              <w:ind w:leftChars="0" w:left="0" w:right="0"/>
            </w:pPr>
            <w:r>
              <w:t>638</w:t>
            </w:r>
          </w:p>
        </w:tc>
      </w:tr>
      <w:tr>
        <w:trPr>
          <w:cnfStyle w:evenHBand="true" w:oddHBand="false" w:firstRow="false"/>
        </w:trPr>
        <w:tc>
          <w:tcPr>
            <w:cnfStyle w:evenVBand="false" w:oddVBand="true" w:firstColumn="false"/>
            <w:tcW w:w="25.000000%" w:type="pct"/>
          </w:tcPr>
          <w:p>
            <w:pPr>
              <w:ind w:leftChars="0" w:left="0" w:right="0"/>
            </w:pPr>
            <w:r>
              <w:t>EQSE</w:t>
            </w:r>
          </w:p>
        </w:tc>
        <w:tc>
          <w:tcPr>
            <w:cnfStyle w:evenVBand="true" w:oddVBand="false" w:firstColumn="false"/>
            <w:tcW w:w="25.000000%" w:type="pct"/>
          </w:tcPr>
          <w:p>
            <w:pPr>
              <w:ind w:leftChars="0" w:left="0" w:right="0"/>
            </w:pPr>
            <w:r>
              <w:t>EQSE</w:t>
            </w:r>
          </w:p>
        </w:tc>
        <w:tc>
          <w:tcPr>
            <w:cnfStyle w:evenVBand="false" w:oddVBand="true" w:firstColumn="false"/>
            <w:tcW w:w="25.000000%" w:type="pct"/>
          </w:tcPr>
          <w:p>
            <w:pPr>
              <w:ind w:leftChars="0" w:left="0" w:right="0"/>
            </w:pPr>
            <w:r>
              <w:t>EQUILEND LIMITED - SWAPS</w:t>
            </w:r>
          </w:p>
        </w:tc>
        <w:tc>
          <w:tcPr>
            <w:cnfStyle w:evenVBand="true" w:oddVBand="false" w:firstColumn="false"/>
            <w:tcW w:w="25.000000%" w:type="pct"/>
          </w:tcPr>
          <w:p>
            <w:pPr>
              <w:ind w:leftChars="0" w:left="0" w:right="0"/>
            </w:pPr>
            <w:r>
              <w:t>639</w:t>
            </w:r>
          </w:p>
        </w:tc>
      </w:tr>
      <w:tr>
        <w:trPr>
          <w:cnfStyle w:evenHBand="false" w:oddHBand="true" w:firstRow="false"/>
        </w:trPr>
        <w:tc>
          <w:tcPr>
            <w:cnfStyle w:evenVBand="false" w:oddVBand="true" w:firstColumn="false"/>
            <w:tcW w:w="25.000000%" w:type="pct"/>
          </w:tcPr>
          <w:p>
            <w:pPr>
              <w:ind w:leftChars="0" w:left="0" w:right="0"/>
            </w:pPr>
            <w:r>
              <w:t>EQSL</w:t>
            </w:r>
          </w:p>
        </w:tc>
        <w:tc>
          <w:tcPr>
            <w:cnfStyle w:evenVBand="true" w:oddVBand="false" w:firstColumn="false"/>
            <w:tcW w:w="25.000000%" w:type="pct"/>
          </w:tcPr>
          <w:p>
            <w:pPr>
              <w:ind w:leftChars="0" w:left="0" w:right="0"/>
            </w:pPr>
            <w:r>
              <w:t>EQSL</w:t>
            </w:r>
          </w:p>
        </w:tc>
        <w:tc>
          <w:tcPr>
            <w:cnfStyle w:evenVBand="false" w:oddVBand="true" w:firstColumn="false"/>
            <w:tcW w:w="25.000000%" w:type="pct"/>
          </w:tcPr>
          <w:p>
            <w:pPr>
              <w:ind w:leftChars="0" w:left="0" w:right="0"/>
            </w:pPr>
            <w:r>
              <w:t>EQUILEND EUROPE LIMITED - SWAPS</w:t>
            </w:r>
          </w:p>
        </w:tc>
        <w:tc>
          <w:tcPr>
            <w:cnfStyle w:evenVBand="true" w:oddVBand="false" w:firstColumn="false"/>
            <w:tcW w:w="25.000000%" w:type="pct"/>
          </w:tcPr>
          <w:p>
            <w:pPr>
              <w:ind w:leftChars="0" w:left="0" w:right="0"/>
            </w:pPr>
            <w:r>
              <w:t>640</w:t>
            </w:r>
          </w:p>
        </w:tc>
      </w:tr>
      <w:tr>
        <w:trPr>
          <w:cnfStyle w:evenHBand="true" w:oddHBand="false" w:firstRow="false"/>
        </w:trPr>
        <w:tc>
          <w:tcPr>
            <w:cnfStyle w:evenVBand="false" w:oddVBand="true" w:firstColumn="false"/>
            <w:tcW w:w="25.000000%" w:type="pct"/>
          </w:tcPr>
          <w:p>
            <w:pPr>
              <w:ind w:leftChars="0" w:left="0" w:right="0"/>
            </w:pPr>
            <w:r>
              <w:t>EQTA</w:t>
            </w:r>
          </w:p>
        </w:tc>
        <w:tc>
          <w:tcPr>
            <w:cnfStyle w:evenVBand="true" w:oddVBand="false" w:firstColumn="false"/>
            <w:tcW w:w="25.000000%" w:type="pct"/>
          </w:tcPr>
          <w:p>
            <w:pPr>
              <w:ind w:leftChars="0" w:left="0" w:right="0"/>
            </w:pPr>
            <w:r>
              <w:t>EQTA</w:t>
            </w:r>
          </w:p>
        </w:tc>
        <w:tc>
          <w:tcPr>
            <w:cnfStyle w:evenVBand="false" w:oddVBand="true" w:firstColumn="false"/>
            <w:tcW w:w="25.000000%" w:type="pct"/>
          </w:tcPr>
          <w:p>
            <w:pPr>
              <w:ind w:leftChars="0" w:left="0" w:right="0"/>
            </w:pPr>
            <w:r>
              <w:t>BOERSE BERLIN EQUIDUCT TRADING - REGULIERTER MARKT</w:t>
            </w:r>
          </w:p>
        </w:tc>
        <w:tc>
          <w:tcPr>
            <w:cnfStyle w:evenVBand="true" w:oddVBand="false" w:firstColumn="false"/>
            <w:tcW w:w="25.000000%" w:type="pct"/>
          </w:tcPr>
          <w:p>
            <w:pPr>
              <w:ind w:leftChars="0" w:left="0" w:right="0"/>
            </w:pPr>
            <w:r>
              <w:t>641</w:t>
            </w:r>
          </w:p>
        </w:tc>
      </w:tr>
      <w:tr>
        <w:trPr>
          <w:cnfStyle w:evenHBand="false" w:oddHBand="true" w:firstRow="false"/>
        </w:trPr>
        <w:tc>
          <w:tcPr>
            <w:cnfStyle w:evenVBand="false" w:oddVBand="true" w:firstColumn="false"/>
            <w:tcW w:w="25.000000%" w:type="pct"/>
          </w:tcPr>
          <w:p>
            <w:pPr>
              <w:ind w:leftChars="0" w:left="0" w:right="0"/>
            </w:pPr>
            <w:r>
              <w:t>EQTB</w:t>
            </w:r>
          </w:p>
        </w:tc>
        <w:tc>
          <w:tcPr>
            <w:cnfStyle w:evenVBand="true" w:oddVBand="false" w:firstColumn="false"/>
            <w:tcW w:w="25.000000%" w:type="pct"/>
          </w:tcPr>
          <w:p>
            <w:pPr>
              <w:ind w:leftChars="0" w:left="0" w:right="0"/>
            </w:pPr>
            <w:r>
              <w:t>EQTB</w:t>
            </w:r>
          </w:p>
        </w:tc>
        <w:tc>
          <w:tcPr>
            <w:cnfStyle w:evenVBand="false" w:oddVBand="true" w:firstColumn="false"/>
            <w:tcW w:w="25.000000%" w:type="pct"/>
          </w:tcPr>
          <w:p>
            <w:pPr>
              <w:ind w:leftChars="0" w:left="0" w:right="0"/>
            </w:pPr>
            <w:r>
              <w:t>BOERSE BERLIN EQUIDUCT TRADING - BERLIN SECOND REGULATED MARKET</w:t>
            </w:r>
          </w:p>
        </w:tc>
        <w:tc>
          <w:tcPr>
            <w:cnfStyle w:evenVBand="true" w:oddVBand="false" w:firstColumn="false"/>
            <w:tcW w:w="25.000000%" w:type="pct"/>
          </w:tcPr>
          <w:p>
            <w:pPr>
              <w:ind w:leftChars="0" w:left="0" w:right="0"/>
            </w:pPr>
            <w:r>
              <w:t>642</w:t>
            </w:r>
          </w:p>
        </w:tc>
      </w:tr>
      <w:tr>
        <w:trPr>
          <w:cnfStyle w:evenHBand="true" w:oddHBand="false" w:firstRow="false"/>
        </w:trPr>
        <w:tc>
          <w:tcPr>
            <w:cnfStyle w:evenVBand="false" w:oddVBand="true" w:firstColumn="false"/>
            <w:tcW w:w="25.000000%" w:type="pct"/>
          </w:tcPr>
          <w:p>
            <w:pPr>
              <w:ind w:leftChars="0" w:left="0" w:right="0"/>
            </w:pPr>
            <w:r>
              <w:t>EQTC</w:t>
            </w:r>
          </w:p>
        </w:tc>
        <w:tc>
          <w:tcPr>
            <w:cnfStyle w:evenVBand="true" w:oddVBand="false" w:firstColumn="false"/>
            <w:tcW w:w="25.000000%" w:type="pct"/>
          </w:tcPr>
          <w:p>
            <w:pPr>
              <w:ind w:leftChars="0" w:left="0" w:right="0"/>
            </w:pPr>
            <w:r>
              <w:t>EQTC</w:t>
            </w:r>
          </w:p>
        </w:tc>
        <w:tc>
          <w:tcPr>
            <w:cnfStyle w:evenVBand="false" w:oddVBand="true" w:firstColumn="false"/>
            <w:tcW w:w="25.000000%" w:type="pct"/>
          </w:tcPr>
          <w:p>
            <w:pPr>
              <w:ind w:leftChars="0" w:left="0" w:right="0"/>
            </w:pPr>
            <w:r>
              <w:t>BOERSE BERLIN EQUIDUCT TRADING - FREIVERKEHR</w:t>
            </w:r>
          </w:p>
        </w:tc>
        <w:tc>
          <w:tcPr>
            <w:cnfStyle w:evenVBand="true" w:oddVBand="false" w:firstColumn="false"/>
            <w:tcW w:w="25.000000%" w:type="pct"/>
          </w:tcPr>
          <w:p>
            <w:pPr>
              <w:ind w:leftChars="0" w:left="0" w:right="0"/>
            </w:pPr>
            <w:r>
              <w:t>643</w:t>
            </w:r>
          </w:p>
        </w:tc>
      </w:tr>
      <w:tr>
        <w:trPr>
          <w:cnfStyle w:evenHBand="false" w:oddHBand="true" w:firstRow="false"/>
        </w:trPr>
        <w:tc>
          <w:tcPr>
            <w:cnfStyle w:evenVBand="false" w:oddVBand="true" w:firstColumn="false"/>
            <w:tcW w:w="25.000000%" w:type="pct"/>
          </w:tcPr>
          <w:p>
            <w:pPr>
              <w:ind w:leftChars="0" w:left="0" w:right="0"/>
            </w:pPr>
            <w:r>
              <w:t>EQTD</w:t>
            </w:r>
          </w:p>
        </w:tc>
        <w:tc>
          <w:tcPr>
            <w:cnfStyle w:evenVBand="true" w:oddVBand="false" w:firstColumn="false"/>
            <w:tcW w:w="25.000000%" w:type="pct"/>
          </w:tcPr>
          <w:p>
            <w:pPr>
              <w:ind w:leftChars="0" w:left="0" w:right="0"/>
            </w:pPr>
            <w:r>
              <w:t>EQTD</w:t>
            </w:r>
          </w:p>
        </w:tc>
        <w:tc>
          <w:tcPr>
            <w:cnfStyle w:evenVBand="false" w:oddVBand="true" w:firstColumn="false"/>
            <w:tcW w:w="25.000000%" w:type="pct"/>
          </w:tcPr>
          <w:p>
            <w:pPr>
              <w:ind w:leftChars="0" w:left="0" w:right="0"/>
            </w:pPr>
            <w:r>
              <w:t>BOERSE BERLIN EQUIDUCT TRADING - OTC</w:t>
            </w:r>
          </w:p>
        </w:tc>
        <w:tc>
          <w:tcPr>
            <w:cnfStyle w:evenVBand="true" w:oddVBand="false" w:firstColumn="false"/>
            <w:tcW w:w="25.000000%" w:type="pct"/>
          </w:tcPr>
          <w:p>
            <w:pPr>
              <w:ind w:leftChars="0" w:left="0" w:right="0"/>
            </w:pPr>
            <w:r>
              <w:t>644</w:t>
            </w:r>
          </w:p>
        </w:tc>
      </w:tr>
      <w:tr>
        <w:trPr>
          <w:cnfStyle w:evenHBand="true" w:oddHBand="false" w:firstRow="false"/>
        </w:trPr>
        <w:tc>
          <w:tcPr>
            <w:cnfStyle w:evenVBand="false" w:oddVBand="true" w:firstColumn="false"/>
            <w:tcW w:w="25.000000%" w:type="pct"/>
          </w:tcPr>
          <w:p>
            <w:pPr>
              <w:ind w:leftChars="0" w:left="0" w:right="0"/>
            </w:pPr>
            <w:r>
              <w:t>EQUS</w:t>
            </w:r>
          </w:p>
        </w:tc>
        <w:tc>
          <w:tcPr>
            <w:cnfStyle w:evenVBand="true" w:oddVBand="false" w:firstColumn="false"/>
            <w:tcW w:w="25.000000%" w:type="pct"/>
          </w:tcPr>
          <w:p>
            <w:pPr>
              <w:ind w:leftChars="0" w:left="0" w:right="0"/>
            </w:pPr>
            <w:r>
              <w:t>EQUS</w:t>
            </w:r>
          </w:p>
        </w:tc>
        <w:tc>
          <w:tcPr>
            <w:cnfStyle w:evenVBand="false" w:oddVBand="true" w:firstColumn="false"/>
            <w:tcW w:w="25.000000%" w:type="pct"/>
          </w:tcPr>
          <w:p>
            <w:pPr>
              <w:ind w:leftChars="0" w:left="0" w:right="0"/>
            </w:pPr>
            <w:r>
              <w:t>EQUILEND LLC</w:t>
            </w:r>
          </w:p>
        </w:tc>
        <w:tc>
          <w:tcPr>
            <w:cnfStyle w:evenVBand="true" w:oddVBand="false" w:firstColumn="false"/>
            <w:tcW w:w="25.000000%" w:type="pct"/>
          </w:tcPr>
          <w:p>
            <w:pPr>
              <w:ind w:leftChars="0" w:left="0" w:right="0"/>
            </w:pPr>
            <w:r>
              <w:t>645</w:t>
            </w:r>
          </w:p>
        </w:tc>
      </w:tr>
      <w:tr>
        <w:trPr>
          <w:cnfStyle w:evenHBand="false" w:oddHBand="true" w:firstRow="false"/>
        </w:trPr>
        <w:tc>
          <w:tcPr>
            <w:cnfStyle w:evenVBand="false" w:oddVBand="true" w:firstColumn="false"/>
            <w:tcW w:w="25.000000%" w:type="pct"/>
          </w:tcPr>
          <w:p>
            <w:pPr>
              <w:ind w:leftChars="0" w:left="0" w:right="0"/>
            </w:pPr>
            <w:r>
              <w:t>EQWB</w:t>
            </w:r>
          </w:p>
        </w:tc>
        <w:tc>
          <w:tcPr>
            <w:cnfStyle w:evenVBand="true" w:oddVBand="false" w:firstColumn="false"/>
            <w:tcW w:w="25.000000%" w:type="pct"/>
          </w:tcPr>
          <w:p>
            <w:pPr>
              <w:ind w:leftChars="0" w:left="0" w:right="0"/>
            </w:pPr>
            <w:r>
              <w:t>EQWB</w:t>
            </w:r>
          </w:p>
        </w:tc>
        <w:tc>
          <w:tcPr>
            <w:cnfStyle w:evenVBand="false" w:oddVBand="true" w:firstColumn="false"/>
            <w:tcW w:w="25.000000%" w:type="pct"/>
          </w:tcPr>
          <w:p>
            <w:pPr>
              <w:ind w:leftChars="0" w:left="0" w:right="0"/>
            </w:pPr>
            <w:r>
              <w:t>BX WORLDCAPS</w:t>
            </w:r>
          </w:p>
        </w:tc>
        <w:tc>
          <w:tcPr>
            <w:cnfStyle w:evenVBand="true" w:oddVBand="false" w:firstColumn="false"/>
            <w:tcW w:w="25.000000%" w:type="pct"/>
          </w:tcPr>
          <w:p>
            <w:pPr>
              <w:ind w:leftChars="0" w:left="0" w:right="0"/>
            </w:pPr>
            <w:r>
              <w:t>646</w:t>
            </w:r>
          </w:p>
        </w:tc>
      </w:tr>
      <w:tr>
        <w:trPr>
          <w:cnfStyle w:evenHBand="true" w:oddHBand="false" w:firstRow="false"/>
        </w:trPr>
        <w:tc>
          <w:tcPr>
            <w:cnfStyle w:evenVBand="false" w:oddVBand="true" w:firstColumn="false"/>
            <w:tcW w:w="25.000000%" w:type="pct"/>
          </w:tcPr>
          <w:p>
            <w:pPr>
              <w:ind w:leftChars="0" w:left="0" w:right="0"/>
            </w:pPr>
            <w:r>
              <w:t>ERBX</w:t>
            </w:r>
          </w:p>
        </w:tc>
        <w:tc>
          <w:tcPr>
            <w:cnfStyle w:evenVBand="true" w:oddVBand="false" w:firstColumn="false"/>
            <w:tcW w:w="25.000000%" w:type="pct"/>
          </w:tcPr>
          <w:p>
            <w:pPr>
              <w:ind w:leftChars="0" w:left="0" w:right="0"/>
            </w:pPr>
            <w:r>
              <w:t>ERBX</w:t>
            </w:r>
          </w:p>
        </w:tc>
        <w:tc>
          <w:tcPr>
            <w:cnfStyle w:evenVBand="false" w:oddVBand="true" w:firstColumn="false"/>
            <w:tcW w:w="25.000000%" w:type="pct"/>
          </w:tcPr>
          <w:p>
            <w:pPr>
              <w:ind w:leftChars="0" w:left="0" w:right="0"/>
            </w:pPr>
            <w:r>
              <w:t>EUROBANK - SYSTEMATIC INTERNALISER</w:t>
            </w:r>
          </w:p>
        </w:tc>
        <w:tc>
          <w:tcPr>
            <w:cnfStyle w:evenVBand="true" w:oddVBand="false" w:firstColumn="false"/>
            <w:tcW w:w="25.000000%" w:type="pct"/>
          </w:tcPr>
          <w:p>
            <w:pPr>
              <w:ind w:leftChars="0" w:left="0" w:right="0"/>
            </w:pPr>
            <w:r>
              <w:t>647</w:t>
            </w:r>
          </w:p>
        </w:tc>
      </w:tr>
      <w:tr>
        <w:trPr>
          <w:cnfStyle w:evenHBand="false" w:oddHBand="true" w:firstRow="false"/>
        </w:trPr>
        <w:tc>
          <w:tcPr>
            <w:cnfStyle w:evenVBand="false" w:oddVBand="true" w:firstColumn="false"/>
            <w:tcW w:w="25.000000%" w:type="pct"/>
          </w:tcPr>
          <w:p>
            <w:pPr>
              <w:ind w:leftChars="0" w:left="0" w:right="0"/>
            </w:pPr>
            <w:r>
              <w:t>ERFQ</w:t>
            </w:r>
          </w:p>
        </w:tc>
        <w:tc>
          <w:tcPr>
            <w:cnfStyle w:evenVBand="true" w:oddVBand="false" w:firstColumn="false"/>
            <w:tcW w:w="25.000000%" w:type="pct"/>
          </w:tcPr>
          <w:p>
            <w:pPr>
              <w:ind w:leftChars="0" w:left="0" w:right="0"/>
            </w:pPr>
            <w:r>
              <w:t>ERFQ</w:t>
            </w:r>
          </w:p>
        </w:tc>
        <w:tc>
          <w:tcPr>
            <w:cnfStyle w:evenVBand="false" w:oddVBand="true" w:firstColumn="false"/>
            <w:tcW w:w="25.000000%" w:type="pct"/>
          </w:tcPr>
          <w:p>
            <w:pPr>
              <w:ind w:leftChars="0" w:left="0" w:right="0"/>
            </w:pPr>
            <w:r>
              <w:t>BLOCKMATCH EUROPE RFQ</w:t>
            </w:r>
          </w:p>
        </w:tc>
        <w:tc>
          <w:tcPr>
            <w:cnfStyle w:evenVBand="true" w:oddVBand="false" w:firstColumn="false"/>
            <w:tcW w:w="25.000000%" w:type="pct"/>
          </w:tcPr>
          <w:p>
            <w:pPr>
              <w:ind w:leftChars="0" w:left="0" w:right="0"/>
            </w:pPr>
            <w:r>
              <w:t>648</w:t>
            </w:r>
          </w:p>
        </w:tc>
      </w:tr>
      <w:tr>
        <w:trPr>
          <w:cnfStyle w:evenHBand="true" w:oddHBand="false" w:firstRow="false"/>
        </w:trPr>
        <w:tc>
          <w:tcPr>
            <w:cnfStyle w:evenVBand="false" w:oddVBand="true" w:firstColumn="false"/>
            <w:tcW w:w="25.000000%" w:type="pct"/>
          </w:tcPr>
          <w:p>
            <w:pPr>
              <w:ind w:leftChars="0" w:left="0" w:right="0"/>
            </w:pPr>
            <w:r>
              <w:t>ERIS</w:t>
            </w:r>
          </w:p>
        </w:tc>
        <w:tc>
          <w:tcPr>
            <w:cnfStyle w:evenVBand="true" w:oddVBand="false" w:firstColumn="false"/>
            <w:tcW w:w="25.000000%" w:type="pct"/>
          </w:tcPr>
          <w:p>
            <w:pPr>
              <w:ind w:leftChars="0" w:left="0" w:right="0"/>
            </w:pPr>
            <w:r>
              <w:t>ERIS</w:t>
            </w:r>
          </w:p>
        </w:tc>
        <w:tc>
          <w:tcPr>
            <w:cnfStyle w:evenVBand="false" w:oddVBand="true" w:firstColumn="false"/>
            <w:tcW w:w="25.000000%" w:type="pct"/>
          </w:tcPr>
          <w:p>
            <w:pPr>
              <w:ind w:leftChars="0" w:left="0" w:right="0"/>
            </w:pPr>
            <w:r>
              <w:t>ERSX</w:t>
            </w:r>
          </w:p>
        </w:tc>
        <w:tc>
          <w:tcPr>
            <w:cnfStyle w:evenVBand="true" w:oddVBand="false" w:firstColumn="false"/>
            <w:tcW w:w="25.000000%" w:type="pct"/>
          </w:tcPr>
          <w:p>
            <w:pPr>
              <w:ind w:leftChars="0" w:left="0" w:right="0"/>
            </w:pPr>
            <w:r>
              <w:t>649</w:t>
            </w:r>
          </w:p>
        </w:tc>
      </w:tr>
      <w:tr>
        <w:trPr>
          <w:cnfStyle w:evenHBand="false" w:oddHBand="true" w:firstRow="false"/>
        </w:trPr>
        <w:tc>
          <w:tcPr>
            <w:cnfStyle w:evenVBand="false" w:oddVBand="true" w:firstColumn="false"/>
            <w:tcW w:w="25.000000%" w:type="pct"/>
          </w:tcPr>
          <w:p>
            <w:pPr>
              <w:ind w:leftChars="0" w:left="0" w:right="0"/>
            </w:pPr>
            <w:r>
              <w:t>ERST</w:t>
            </w:r>
          </w:p>
        </w:tc>
        <w:tc>
          <w:tcPr>
            <w:cnfStyle w:evenVBand="true" w:oddVBand="false" w:firstColumn="false"/>
            <w:tcW w:w="25.000000%" w:type="pct"/>
          </w:tcPr>
          <w:p>
            <w:pPr>
              <w:ind w:leftChars="0" w:left="0" w:right="0"/>
            </w:pPr>
            <w:r>
              <w:t>ERST</w:t>
            </w:r>
          </w:p>
        </w:tc>
        <w:tc>
          <w:tcPr>
            <w:cnfStyle w:evenVBand="false" w:oddVBand="true" w:firstColumn="false"/>
            <w:tcW w:w="25.000000%" w:type="pct"/>
          </w:tcPr>
          <w:p>
            <w:pPr>
              <w:ind w:leftChars="0" w:left="0" w:right="0"/>
            </w:pPr>
            <w:r>
              <w:t>ERSTE BEFEKTETESI ZRT - SYSTEMATIC INTERNALISER</w:t>
            </w:r>
          </w:p>
        </w:tc>
        <w:tc>
          <w:tcPr>
            <w:cnfStyle w:evenVBand="true" w:oddVBand="false" w:firstColumn="false"/>
            <w:tcW w:w="25.000000%" w:type="pct"/>
          </w:tcPr>
          <w:p>
            <w:pPr>
              <w:ind w:leftChars="0" w:left="0" w:right="0"/>
            </w:pPr>
            <w:r>
              <w:t>650</w:t>
            </w:r>
          </w:p>
        </w:tc>
      </w:tr>
      <w:tr>
        <w:trPr>
          <w:cnfStyle w:evenHBand="true" w:oddHBand="false" w:firstRow="false"/>
        </w:trPr>
        <w:tc>
          <w:tcPr>
            <w:cnfStyle w:evenVBand="false" w:oddVBand="true" w:firstColumn="false"/>
            <w:tcW w:w="25.000000%" w:type="pct"/>
          </w:tcPr>
          <w:p>
            <w:pPr>
              <w:ind w:leftChars="0" w:left="0" w:right="0"/>
            </w:pPr>
            <w:r>
              <w:t>ESLO</w:t>
            </w:r>
          </w:p>
        </w:tc>
        <w:tc>
          <w:tcPr>
            <w:cnfStyle w:evenVBand="true" w:oddVBand="false" w:firstColumn="false"/>
            <w:tcW w:w="25.000000%" w:type="pct"/>
          </w:tcPr>
          <w:p>
            <w:pPr>
              <w:ind w:leftChars="0" w:left="0" w:right="0"/>
            </w:pPr>
            <w:r>
              <w:t>ESLO</w:t>
            </w:r>
          </w:p>
        </w:tc>
        <w:tc>
          <w:tcPr>
            <w:cnfStyle w:evenVBand="false" w:oddVBand="true" w:firstColumn="false"/>
            <w:tcW w:w="25.000000%" w:type="pct"/>
          </w:tcPr>
          <w:p>
            <w:pPr>
              <w:ind w:leftChars="0" w:left="0" w:right="0"/>
            </w:pPr>
            <w:r>
              <w:t>ENGNSOL</w:t>
            </w:r>
          </w:p>
        </w:tc>
        <w:tc>
          <w:tcPr>
            <w:cnfStyle w:evenVBand="true" w:oddVBand="false" w:firstColumn="false"/>
            <w:tcW w:w="25.000000%" w:type="pct"/>
          </w:tcPr>
          <w:p>
            <w:pPr>
              <w:ind w:leftChars="0" w:left="0" w:right="0"/>
            </w:pPr>
            <w:r>
              <w:t>651</w:t>
            </w:r>
          </w:p>
        </w:tc>
      </w:tr>
      <w:tr>
        <w:trPr>
          <w:cnfStyle w:evenHBand="false" w:oddHBand="true" w:firstRow="false"/>
        </w:trPr>
        <w:tc>
          <w:tcPr>
            <w:cnfStyle w:evenVBand="false" w:oddVBand="true" w:firstColumn="false"/>
            <w:tcW w:w="25.000000%" w:type="pct"/>
          </w:tcPr>
          <w:p>
            <w:pPr>
              <w:ind w:leftChars="0" w:left="0" w:right="0"/>
            </w:pPr>
            <w:r>
              <w:t>ESPD</w:t>
            </w:r>
          </w:p>
        </w:tc>
        <w:tc>
          <w:tcPr>
            <w:cnfStyle w:evenVBand="true" w:oddVBand="false" w:firstColumn="false"/>
            <w:tcW w:w="25.000000%" w:type="pct"/>
          </w:tcPr>
          <w:p>
            <w:pPr>
              <w:ind w:leftChars="0" w:left="0" w:right="0"/>
            </w:pPr>
            <w:r>
              <w:t>ESPD</w:t>
            </w:r>
          </w:p>
        </w:tc>
        <w:tc>
          <w:tcPr>
            <w:cnfStyle w:evenVBand="false" w:oddVBand="true" w:firstColumn="false"/>
            <w:tcW w:w="25.000000%" w:type="pct"/>
          </w:tcPr>
          <w:p>
            <w:pPr>
              <w:ind w:leftChars="0" w:left="0" w:right="0"/>
            </w:pPr>
            <w:r>
              <w:t>NASDAQ OMX ESPEED</w:t>
            </w:r>
          </w:p>
        </w:tc>
        <w:tc>
          <w:tcPr>
            <w:cnfStyle w:evenVBand="true" w:oddVBand="false" w:firstColumn="false"/>
            <w:tcW w:w="25.000000%" w:type="pct"/>
          </w:tcPr>
          <w:p>
            <w:pPr>
              <w:ind w:leftChars="0" w:left="0" w:right="0"/>
            </w:pPr>
            <w:r>
              <w:t>652</w:t>
            </w:r>
          </w:p>
        </w:tc>
      </w:tr>
      <w:tr>
        <w:trPr>
          <w:cnfStyle w:evenHBand="true" w:oddHBand="false" w:firstRow="false"/>
        </w:trPr>
        <w:tc>
          <w:tcPr>
            <w:cnfStyle w:evenVBand="false" w:oddVBand="true" w:firstColumn="false"/>
            <w:tcW w:w="25.000000%" w:type="pct"/>
          </w:tcPr>
          <w:p>
            <w:pPr>
              <w:ind w:leftChars="0" w:left="0" w:right="0"/>
            </w:pPr>
            <w:r>
              <w:t>ESTO</w:t>
            </w:r>
          </w:p>
        </w:tc>
        <w:tc>
          <w:tcPr>
            <w:cnfStyle w:evenVBand="true" w:oddVBand="false" w:firstColumn="false"/>
            <w:tcW w:w="25.000000%" w:type="pct"/>
          </w:tcPr>
          <w:p>
            <w:pPr>
              <w:ind w:leftChars="0" w:left="0" w:right="0"/>
            </w:pPr>
            <w:r>
              <w:t>ESTO</w:t>
            </w:r>
          </w:p>
        </w:tc>
        <w:tc>
          <w:tcPr>
            <w:cnfStyle w:evenVBand="false" w:oddVBand="true" w:firstColumn="false"/>
            <w:tcW w:w="25.000000%" w:type="pct"/>
          </w:tcPr>
          <w:p>
            <w:pPr>
              <w:ind w:leftChars="0" w:left="0" w:right="0"/>
            </w:pPr>
            <w:r>
              <w:t>NASDAQ STOCKHOLM AB - NORWAY ETF</w:t>
            </w:r>
          </w:p>
        </w:tc>
        <w:tc>
          <w:tcPr>
            <w:cnfStyle w:evenVBand="true" w:oddVBand="false" w:firstColumn="false"/>
            <w:tcW w:w="25.000000%" w:type="pct"/>
          </w:tcPr>
          <w:p>
            <w:pPr>
              <w:ind w:leftChars="0" w:left="0" w:right="0"/>
            </w:pPr>
            <w:r>
              <w:t>653</w:t>
            </w:r>
          </w:p>
        </w:tc>
      </w:tr>
      <w:tr>
        <w:trPr>
          <w:cnfStyle w:evenHBand="false" w:oddHBand="true" w:firstRow="false"/>
        </w:trPr>
        <w:tc>
          <w:tcPr>
            <w:cnfStyle w:evenVBand="false" w:oddVBand="true" w:firstColumn="false"/>
            <w:tcW w:w="25.000000%" w:type="pct"/>
          </w:tcPr>
          <w:p>
            <w:pPr>
              <w:ind w:leftChars="0" w:left="0" w:right="0"/>
            </w:pPr>
            <w:r>
              <w:t>ETFP</w:t>
            </w:r>
          </w:p>
        </w:tc>
        <w:tc>
          <w:tcPr>
            <w:cnfStyle w:evenVBand="true" w:oddVBand="false" w:firstColumn="false"/>
            <w:tcW w:w="25.000000%" w:type="pct"/>
          </w:tcPr>
          <w:p>
            <w:pPr>
              <w:ind w:leftChars="0" w:left="0" w:right="0"/>
            </w:pPr>
            <w:r>
              <w:t>ETFP</w:t>
            </w:r>
          </w:p>
        </w:tc>
        <w:tc>
          <w:tcPr>
            <w:cnfStyle w:evenVBand="false" w:oddVBand="true" w:firstColumn="false"/>
            <w:tcW w:w="25.000000%" w:type="pct"/>
          </w:tcPr>
          <w:p>
            <w:pPr>
              <w:ind w:leftChars="0" w:left="0" w:right="0"/>
            </w:pPr>
            <w:r>
              <w:t>ELECTRONIC ETF, ETC/ETN AND OPEN-END FUNDS MARKET</w:t>
            </w:r>
          </w:p>
        </w:tc>
        <w:tc>
          <w:tcPr>
            <w:cnfStyle w:evenVBand="true" w:oddVBand="false" w:firstColumn="false"/>
            <w:tcW w:w="25.000000%" w:type="pct"/>
          </w:tcPr>
          <w:p>
            <w:pPr>
              <w:ind w:leftChars="0" w:left="0" w:right="0"/>
            </w:pPr>
            <w:r>
              <w:t>654</w:t>
            </w:r>
          </w:p>
        </w:tc>
      </w:tr>
      <w:tr>
        <w:trPr>
          <w:cnfStyle w:evenHBand="true" w:oddHBand="false" w:firstRow="false"/>
        </w:trPr>
        <w:tc>
          <w:tcPr>
            <w:cnfStyle w:evenVBand="false" w:oddVBand="true" w:firstColumn="false"/>
            <w:tcW w:w="25.000000%" w:type="pct"/>
          </w:tcPr>
          <w:p>
            <w:pPr>
              <w:ind w:leftChars="0" w:left="0" w:right="0"/>
            </w:pPr>
            <w:r>
              <w:t>ETLX</w:t>
            </w:r>
          </w:p>
        </w:tc>
        <w:tc>
          <w:tcPr>
            <w:cnfStyle w:evenVBand="true" w:oddVBand="false" w:firstColumn="false"/>
            <w:tcW w:w="25.000000%" w:type="pct"/>
          </w:tcPr>
          <w:p>
            <w:pPr>
              <w:ind w:leftChars="0" w:left="0" w:right="0"/>
            </w:pPr>
            <w:r>
              <w:t>ETLX</w:t>
            </w:r>
          </w:p>
        </w:tc>
        <w:tc>
          <w:tcPr>
            <w:cnfStyle w:evenVBand="false" w:oddVBand="true" w:firstColumn="false"/>
            <w:tcW w:w="25.000000%" w:type="pct"/>
          </w:tcPr>
          <w:p>
            <w:pPr>
              <w:ind w:leftChars="0" w:left="0" w:right="0"/>
            </w:pPr>
            <w:r>
              <w:t>EUROTLX</w:t>
            </w:r>
          </w:p>
        </w:tc>
        <w:tc>
          <w:tcPr>
            <w:cnfStyle w:evenVBand="true" w:oddVBand="false" w:firstColumn="false"/>
            <w:tcW w:w="25.000000%" w:type="pct"/>
          </w:tcPr>
          <w:p>
            <w:pPr>
              <w:ind w:leftChars="0" w:left="0" w:right="0"/>
            </w:pPr>
            <w:r>
              <w:t>655</w:t>
            </w:r>
          </w:p>
        </w:tc>
      </w:tr>
      <w:tr>
        <w:trPr>
          <w:cnfStyle w:evenHBand="false" w:oddHBand="true" w:firstRow="false"/>
        </w:trPr>
        <w:tc>
          <w:tcPr>
            <w:cnfStyle w:evenVBand="false" w:oddVBand="true" w:firstColumn="false"/>
            <w:tcW w:w="25.000000%" w:type="pct"/>
          </w:tcPr>
          <w:p>
            <w:pPr>
              <w:ind w:leftChars="0" w:left="0" w:right="0"/>
            </w:pPr>
            <w:r>
              <w:t>ETPA</w:t>
            </w:r>
          </w:p>
        </w:tc>
        <w:tc>
          <w:tcPr>
            <w:cnfStyle w:evenVBand="true" w:oddVBand="false" w:firstColumn="false"/>
            <w:tcW w:w="25.000000%" w:type="pct"/>
          </w:tcPr>
          <w:p>
            <w:pPr>
              <w:ind w:leftChars="0" w:left="0" w:right="0"/>
            </w:pPr>
            <w:r>
              <w:t>ETPA</w:t>
            </w:r>
          </w:p>
        </w:tc>
        <w:tc>
          <w:tcPr>
            <w:cnfStyle w:evenVBand="false" w:oddVBand="true" w:firstColumn="false"/>
            <w:tcW w:w="25.000000%" w:type="pct"/>
          </w:tcPr>
          <w:p>
            <w:pPr>
              <w:ind w:leftChars="0" w:left="0" w:right="0"/>
            </w:pPr>
            <w:r>
              <w:t>ENERGY TRADING PLATFORM AMSTERDAM</w:t>
            </w:r>
          </w:p>
        </w:tc>
        <w:tc>
          <w:tcPr>
            <w:cnfStyle w:evenVBand="true" w:oddVBand="false" w:firstColumn="false"/>
            <w:tcW w:w="25.000000%" w:type="pct"/>
          </w:tcPr>
          <w:p>
            <w:pPr>
              <w:ind w:leftChars="0" w:left="0" w:right="0"/>
            </w:pPr>
            <w:r>
              <w:t>656</w:t>
            </w:r>
          </w:p>
        </w:tc>
      </w:tr>
      <w:tr>
        <w:trPr>
          <w:cnfStyle w:evenHBand="true" w:oddHBand="false" w:firstRow="false"/>
        </w:trPr>
        <w:tc>
          <w:tcPr>
            <w:cnfStyle w:evenVBand="false" w:oddVBand="true" w:firstColumn="false"/>
            <w:tcW w:w="25.000000%" w:type="pct"/>
          </w:tcPr>
          <w:p>
            <w:pPr>
              <w:ind w:leftChars="0" w:left="0" w:right="0"/>
            </w:pPr>
            <w:r>
              <w:t>ETSC</w:t>
            </w:r>
          </w:p>
        </w:tc>
        <w:tc>
          <w:tcPr>
            <w:cnfStyle w:evenVBand="true" w:oddVBand="false" w:firstColumn="false"/>
            <w:tcW w:w="25.000000%" w:type="pct"/>
          </w:tcPr>
          <w:p>
            <w:pPr>
              <w:ind w:leftChars="0" w:left="0" w:right="0"/>
            </w:pPr>
            <w:r>
              <w:t>ETSC</w:t>
            </w:r>
          </w:p>
        </w:tc>
        <w:tc>
          <w:tcPr>
            <w:cnfStyle w:evenVBand="false" w:oddVBand="true" w:firstColumn="false"/>
            <w:tcW w:w="25.000000%" w:type="pct"/>
          </w:tcPr>
          <w:p>
            <w:pPr>
              <w:ind w:leftChars="0" w:left="0" w:right="0"/>
            </w:pPr>
            <w:r>
              <w:t>ETS EURASIAN TRADING SYSTEM COMMODITY EXCHANGE</w:t>
            </w:r>
          </w:p>
        </w:tc>
        <w:tc>
          <w:tcPr>
            <w:cnfStyle w:evenVBand="true" w:oddVBand="false" w:firstColumn="false"/>
            <w:tcW w:w="25.000000%" w:type="pct"/>
          </w:tcPr>
          <w:p>
            <w:pPr>
              <w:ind w:leftChars="0" w:left="0" w:right="0"/>
            </w:pPr>
            <w:r>
              <w:t>657</w:t>
            </w:r>
          </w:p>
        </w:tc>
      </w:tr>
      <w:tr>
        <w:trPr>
          <w:cnfStyle w:evenHBand="false" w:oddHBand="true" w:firstRow="false"/>
        </w:trPr>
        <w:tc>
          <w:tcPr>
            <w:cnfStyle w:evenVBand="false" w:oddVBand="true" w:firstColumn="false"/>
            <w:tcW w:w="25.000000%" w:type="pct"/>
          </w:tcPr>
          <w:p>
            <w:pPr>
              <w:ind w:leftChars="0" w:left="0" w:right="0"/>
            </w:pPr>
            <w:r>
              <w:t>EUAX</w:t>
            </w:r>
          </w:p>
        </w:tc>
        <w:tc>
          <w:tcPr>
            <w:cnfStyle w:evenVBand="true" w:oddVBand="false" w:firstColumn="false"/>
            <w:tcW w:w="25.000000%" w:type="pct"/>
          </w:tcPr>
          <w:p>
            <w:pPr>
              <w:ind w:leftChars="0" w:left="0" w:right="0"/>
            </w:pPr>
            <w:r>
              <w:t>EUAX</w:t>
            </w:r>
          </w:p>
        </w:tc>
        <w:tc>
          <w:tcPr>
            <w:cnfStyle w:evenVBand="false" w:oddVBand="true" w:firstColumn="false"/>
            <w:tcW w:w="25.000000%" w:type="pct"/>
          </w:tcPr>
          <w:p>
            <w:pPr>
              <w:ind w:leftChars="0" w:left="0" w:right="0"/>
            </w:pPr>
            <w:r>
              <w:t>ATHENS EXCHANGE EUAS MARKET</w:t>
            </w:r>
          </w:p>
        </w:tc>
        <w:tc>
          <w:tcPr>
            <w:cnfStyle w:evenVBand="true" w:oddVBand="false" w:firstColumn="false"/>
            <w:tcW w:w="25.000000%" w:type="pct"/>
          </w:tcPr>
          <w:p>
            <w:pPr>
              <w:ind w:leftChars="0" w:left="0" w:right="0"/>
            </w:pPr>
            <w:r>
              <w:t>658</w:t>
            </w:r>
          </w:p>
        </w:tc>
      </w:tr>
      <w:tr>
        <w:trPr>
          <w:cnfStyle w:evenHBand="true" w:oddHBand="false" w:firstRow="false"/>
        </w:trPr>
        <w:tc>
          <w:tcPr>
            <w:cnfStyle w:evenVBand="false" w:oddVBand="true" w:firstColumn="false"/>
            <w:tcW w:w="25.000000%" w:type="pct"/>
          </w:tcPr>
          <w:p>
            <w:pPr>
              <w:ind w:leftChars="0" w:left="0" w:right="0"/>
            </w:pPr>
            <w:r>
              <w:t>EUCC</w:t>
            </w:r>
          </w:p>
        </w:tc>
        <w:tc>
          <w:tcPr>
            <w:cnfStyle w:evenVBand="true" w:oddVBand="false" w:firstColumn="false"/>
            <w:tcW w:w="25.000000%" w:type="pct"/>
          </w:tcPr>
          <w:p>
            <w:pPr>
              <w:ind w:leftChars="0" w:left="0" w:right="0"/>
            </w:pPr>
            <w:r>
              <w:t>EUCC</w:t>
            </w:r>
          </w:p>
        </w:tc>
        <w:tc>
          <w:tcPr>
            <w:cnfStyle w:evenVBand="false" w:oddVBand="true" w:firstColumn="false"/>
            <w:tcW w:w="25.000000%" w:type="pct"/>
          </w:tcPr>
          <w:p>
            <w:pPr>
              <w:ind w:leftChars="0" w:left="0" w:right="0"/>
            </w:pPr>
            <w:r>
              <w:t>CITADEL CONNECT EUROPE - EU - SYSTEMATIC INTERNALISER</w:t>
            </w:r>
          </w:p>
        </w:tc>
        <w:tc>
          <w:tcPr>
            <w:cnfStyle w:evenVBand="true" w:oddVBand="false" w:firstColumn="false"/>
            <w:tcW w:w="25.000000%" w:type="pct"/>
          </w:tcPr>
          <w:p>
            <w:pPr>
              <w:ind w:leftChars="0" w:left="0" w:right="0"/>
            </w:pPr>
            <w:r>
              <w:t>659</w:t>
            </w:r>
          </w:p>
        </w:tc>
      </w:tr>
      <w:tr>
        <w:trPr>
          <w:cnfStyle w:evenHBand="false" w:oddHBand="true" w:firstRow="false"/>
        </w:trPr>
        <w:tc>
          <w:tcPr>
            <w:cnfStyle w:evenVBand="false" w:oddVBand="true" w:firstColumn="false"/>
            <w:tcW w:w="25.000000%" w:type="pct"/>
          </w:tcPr>
          <w:p>
            <w:pPr>
              <w:ind w:leftChars="0" w:left="0" w:right="0"/>
            </w:pPr>
            <w:r>
              <w:t>EUCH</w:t>
            </w:r>
          </w:p>
        </w:tc>
        <w:tc>
          <w:tcPr>
            <w:cnfStyle w:evenVBand="true" w:oddVBand="false" w:firstColumn="false"/>
            <w:tcW w:w="25.000000%" w:type="pct"/>
          </w:tcPr>
          <w:p>
            <w:pPr>
              <w:ind w:leftChars="0" w:left="0" w:right="0"/>
            </w:pPr>
            <w:r>
              <w:t>EUCH</w:t>
            </w:r>
          </w:p>
        </w:tc>
        <w:tc>
          <w:tcPr>
            <w:cnfStyle w:evenVBand="false" w:oddVBand="true" w:firstColumn="false"/>
            <w:tcW w:w="25.000000%" w:type="pct"/>
          </w:tcPr>
          <w:p>
            <w:pPr>
              <w:ind w:leftChars="0" w:left="0" w:right="0"/>
            </w:pPr>
            <w:r>
              <w:t>EUREX ZURICH</w:t>
            </w:r>
          </w:p>
        </w:tc>
        <w:tc>
          <w:tcPr>
            <w:cnfStyle w:evenVBand="true" w:oddVBand="false" w:firstColumn="false"/>
            <w:tcW w:w="25.000000%" w:type="pct"/>
          </w:tcPr>
          <w:p>
            <w:pPr>
              <w:ind w:leftChars="0" w:left="0" w:right="0"/>
            </w:pPr>
            <w:r>
              <w:t>660</w:t>
            </w:r>
          </w:p>
        </w:tc>
      </w:tr>
      <w:tr>
        <w:trPr>
          <w:cnfStyle w:evenHBand="true" w:oddHBand="false" w:firstRow="false"/>
        </w:trPr>
        <w:tc>
          <w:tcPr>
            <w:cnfStyle w:evenVBand="false" w:oddVBand="true" w:firstColumn="false"/>
            <w:tcW w:w="25.000000%" w:type="pct"/>
          </w:tcPr>
          <w:p>
            <w:pPr>
              <w:ind w:leftChars="0" w:left="0" w:right="0"/>
            </w:pPr>
            <w:r>
              <w:t>EUFN</w:t>
            </w:r>
          </w:p>
        </w:tc>
        <w:tc>
          <w:tcPr>
            <w:cnfStyle w:evenVBand="true" w:oddVBand="false" w:firstColumn="false"/>
            <w:tcW w:w="25.000000%" w:type="pct"/>
          </w:tcPr>
          <w:p>
            <w:pPr>
              <w:ind w:leftChars="0" w:left="0" w:right="0"/>
            </w:pPr>
            <w:r>
              <w:t>EUFN</w:t>
            </w:r>
          </w:p>
        </w:tc>
        <w:tc>
          <w:tcPr>
            <w:cnfStyle w:evenVBand="false" w:oddVBand="true" w:firstColumn="false"/>
            <w:tcW w:w="25.000000%" w:type="pct"/>
          </w:tcPr>
          <w:p>
            <w:pPr>
              <w:ind w:leftChars="0" w:left="0" w:right="0"/>
            </w:pPr>
            <w:r>
              <w:t>EURO-FINANCE AD</w:t>
            </w:r>
          </w:p>
        </w:tc>
        <w:tc>
          <w:tcPr>
            <w:cnfStyle w:evenVBand="true" w:oddVBand="false" w:firstColumn="false"/>
            <w:tcW w:w="25.000000%" w:type="pct"/>
          </w:tcPr>
          <w:p>
            <w:pPr>
              <w:ind w:leftChars="0" w:left="0" w:right="0"/>
            </w:pPr>
            <w:r>
              <w:t>661</w:t>
            </w:r>
          </w:p>
        </w:tc>
      </w:tr>
      <w:tr>
        <w:trPr>
          <w:cnfStyle w:evenHBand="false" w:oddHBand="true" w:firstRow="false"/>
        </w:trPr>
        <w:tc>
          <w:tcPr>
            <w:cnfStyle w:evenVBand="false" w:oddVBand="true" w:firstColumn="false"/>
            <w:tcW w:w="25.000000%" w:type="pct"/>
          </w:tcPr>
          <w:p>
            <w:pPr>
              <w:ind w:leftChars="0" w:left="0" w:right="0"/>
            </w:pPr>
            <w:r>
              <w:t>EUOB</w:t>
            </w:r>
          </w:p>
        </w:tc>
        <w:tc>
          <w:tcPr>
            <w:cnfStyle w:evenVBand="true" w:oddVBand="false" w:firstColumn="false"/>
            <w:tcW w:w="25.000000%" w:type="pct"/>
          </w:tcPr>
          <w:p>
            <w:pPr>
              <w:ind w:leftChars="0" w:left="0" w:right="0"/>
            </w:pPr>
            <w:r>
              <w:t>EUOB</w:t>
            </w:r>
          </w:p>
        </w:tc>
        <w:tc>
          <w:tcPr>
            <w:cnfStyle w:evenVBand="false" w:oddVBand="true" w:firstColumn="false"/>
            <w:tcW w:w="25.000000%" w:type="pct"/>
          </w:tcPr>
          <w:p>
            <w:pPr>
              <w:ind w:leftChars="0" w:left="0" w:right="0"/>
            </w:pPr>
            <w:r>
              <w:t>NASDAQ STOCKHOLM AB - OTC EUR WB EQ DERIVATIVES</w:t>
            </w:r>
          </w:p>
        </w:tc>
        <w:tc>
          <w:tcPr>
            <w:cnfStyle w:evenVBand="true" w:oddVBand="false" w:firstColumn="false"/>
            <w:tcW w:w="25.000000%" w:type="pct"/>
          </w:tcPr>
          <w:p>
            <w:pPr>
              <w:ind w:leftChars="0" w:left="0" w:right="0"/>
            </w:pPr>
            <w:r>
              <w:t>662</w:t>
            </w:r>
          </w:p>
        </w:tc>
      </w:tr>
      <w:tr>
        <w:trPr>
          <w:cnfStyle w:evenHBand="true" w:oddHBand="false" w:firstRow="false"/>
        </w:trPr>
        <w:tc>
          <w:tcPr>
            <w:cnfStyle w:evenVBand="false" w:oddVBand="true" w:firstColumn="false"/>
            <w:tcW w:w="25.000000%" w:type="pct"/>
          </w:tcPr>
          <w:p>
            <w:pPr>
              <w:ind w:leftChars="0" w:left="0" w:right="0"/>
            </w:pPr>
            <w:r>
              <w:t>EURM</w:t>
            </w:r>
          </w:p>
        </w:tc>
        <w:tc>
          <w:tcPr>
            <w:cnfStyle w:evenVBand="true" w:oddVBand="false" w:firstColumn="false"/>
            <w:tcW w:w="25.000000%" w:type="pct"/>
          </w:tcPr>
          <w:p>
            <w:pPr>
              <w:ind w:leftChars="0" w:left="0" w:right="0"/>
            </w:pPr>
            <w:r>
              <w:t>EURM</w:t>
            </w:r>
          </w:p>
        </w:tc>
        <w:tc>
          <w:tcPr>
            <w:cnfStyle w:evenVBand="false" w:oddVBand="true" w:firstColumn="false"/>
            <w:tcW w:w="25.000000%" w:type="pct"/>
          </w:tcPr>
          <w:p>
            <w:pPr>
              <w:ind w:leftChars="0" w:left="0" w:right="0"/>
            </w:pPr>
            <w:r>
              <w:t>EUREX REPO MARKET</w:t>
            </w:r>
          </w:p>
        </w:tc>
        <w:tc>
          <w:tcPr>
            <w:cnfStyle w:evenVBand="true" w:oddVBand="false" w:firstColumn="false"/>
            <w:tcW w:w="25.000000%" w:type="pct"/>
          </w:tcPr>
          <w:p>
            <w:pPr>
              <w:ind w:leftChars="0" w:left="0" w:right="0"/>
            </w:pPr>
            <w:r>
              <w:t>663</w:t>
            </w:r>
          </w:p>
        </w:tc>
      </w:tr>
      <w:tr>
        <w:trPr>
          <w:cnfStyle w:evenHBand="false" w:oddHBand="true" w:firstRow="false"/>
        </w:trPr>
        <w:tc>
          <w:tcPr>
            <w:cnfStyle w:evenVBand="false" w:oddVBand="true" w:firstColumn="false"/>
            <w:tcW w:w="25.000000%" w:type="pct"/>
          </w:tcPr>
          <w:p>
            <w:pPr>
              <w:ind w:leftChars="0" w:left="0" w:right="0"/>
            </w:pPr>
            <w:r>
              <w:t>EUSC</w:t>
            </w:r>
          </w:p>
        </w:tc>
        <w:tc>
          <w:tcPr>
            <w:cnfStyle w:evenVBand="true" w:oddVBand="false" w:firstColumn="false"/>
            <w:tcW w:w="25.000000%" w:type="pct"/>
          </w:tcPr>
          <w:p>
            <w:pPr>
              <w:ind w:leftChars="0" w:left="0" w:right="0"/>
            </w:pPr>
            <w:r>
              <w:t>EUSC</w:t>
            </w:r>
          </w:p>
        </w:tc>
        <w:tc>
          <w:tcPr>
            <w:cnfStyle w:evenVBand="false" w:oddVBand="true" w:firstColumn="false"/>
            <w:tcW w:w="25.000000%" w:type="pct"/>
          </w:tcPr>
          <w:p>
            <w:pPr>
              <w:ind w:leftChars="0" w:left="0" w:right="0"/>
            </w:pPr>
            <w:r>
              <w:t>EUREX CH SECLEND MARKET</w:t>
            </w:r>
          </w:p>
        </w:tc>
        <w:tc>
          <w:tcPr>
            <w:cnfStyle w:evenVBand="true" w:oddVBand="false" w:firstColumn="false"/>
            <w:tcW w:w="25.000000%" w:type="pct"/>
          </w:tcPr>
          <w:p>
            <w:pPr>
              <w:ind w:leftChars="0" w:left="0" w:right="0"/>
            </w:pPr>
            <w:r>
              <w:t>664</w:t>
            </w:r>
          </w:p>
        </w:tc>
      </w:tr>
      <w:tr>
        <w:trPr>
          <w:cnfStyle w:evenHBand="true" w:oddHBand="false" w:firstRow="false"/>
        </w:trPr>
        <w:tc>
          <w:tcPr>
            <w:cnfStyle w:evenVBand="false" w:oddVBand="true" w:firstColumn="false"/>
            <w:tcW w:w="25.000000%" w:type="pct"/>
          </w:tcPr>
          <w:p>
            <w:pPr>
              <w:ind w:leftChars="0" w:left="0" w:right="0"/>
            </w:pPr>
            <w:r>
              <w:t>EUSP</w:t>
            </w:r>
          </w:p>
        </w:tc>
        <w:tc>
          <w:tcPr>
            <w:cnfStyle w:evenVBand="true" w:oddVBand="false" w:firstColumn="false"/>
            <w:tcW w:w="25.000000%" w:type="pct"/>
          </w:tcPr>
          <w:p>
            <w:pPr>
              <w:ind w:leftChars="0" w:left="0" w:right="0"/>
            </w:pPr>
            <w:r>
              <w:t>EUSP</w:t>
            </w:r>
          </w:p>
        </w:tc>
        <w:tc>
          <w:tcPr>
            <w:cnfStyle w:evenVBand="false" w:oddVBand="true" w:firstColumn="false"/>
            <w:tcW w:w="25.000000%" w:type="pct"/>
          </w:tcPr>
          <w:p>
            <w:pPr>
              <w:ind w:leftChars="0" w:left="0" w:right="0"/>
            </w:pPr>
            <w:r>
              <w:t>EUREX OTC SPOT MARKET</w:t>
            </w:r>
          </w:p>
        </w:tc>
        <w:tc>
          <w:tcPr>
            <w:cnfStyle w:evenVBand="true" w:oddVBand="false" w:firstColumn="false"/>
            <w:tcW w:w="25.000000%" w:type="pct"/>
          </w:tcPr>
          <w:p>
            <w:pPr>
              <w:ind w:leftChars="0" w:left="0" w:right="0"/>
            </w:pPr>
            <w:r>
              <w:t>665</w:t>
            </w:r>
          </w:p>
        </w:tc>
      </w:tr>
      <w:tr>
        <w:trPr>
          <w:cnfStyle w:evenHBand="false" w:oddHBand="true" w:firstRow="false"/>
        </w:trPr>
        <w:tc>
          <w:tcPr>
            <w:cnfStyle w:evenVBand="false" w:oddVBand="true" w:firstColumn="false"/>
            <w:tcW w:w="25.000000%" w:type="pct"/>
          </w:tcPr>
          <w:p>
            <w:pPr>
              <w:ind w:leftChars="0" w:left="0" w:right="0"/>
            </w:pPr>
            <w:r>
              <w:t>EUWA</w:t>
            </w:r>
          </w:p>
        </w:tc>
        <w:tc>
          <w:tcPr>
            <w:cnfStyle w:evenVBand="true" w:oddVBand="false" w:firstColumn="false"/>
            <w:tcW w:w="25.000000%" w:type="pct"/>
          </w:tcPr>
          <w:p>
            <w:pPr>
              <w:ind w:leftChars="0" w:left="0" w:right="0"/>
            </w:pPr>
            <w:r>
              <w:t>EUWA</w:t>
            </w:r>
          </w:p>
        </w:tc>
        <w:tc>
          <w:tcPr>
            <w:cnfStyle w:evenVBand="false" w:oddVBand="true" w:firstColumn="false"/>
            <w:tcW w:w="25.000000%" w:type="pct"/>
          </w:tcPr>
          <w:p>
            <w:pPr>
              <w:ind w:leftChars="0" w:left="0" w:right="0"/>
            </w:pPr>
            <w:r>
              <w:t>EUWAX AG - SYSTEMATIC INTERNALISER</w:t>
            </w:r>
          </w:p>
        </w:tc>
        <w:tc>
          <w:tcPr>
            <w:cnfStyle w:evenVBand="true" w:oddVBand="false" w:firstColumn="false"/>
            <w:tcW w:w="25.000000%" w:type="pct"/>
          </w:tcPr>
          <w:p>
            <w:pPr>
              <w:ind w:leftChars="0" w:left="0" w:right="0"/>
            </w:pPr>
            <w:r>
              <w:t>666</w:t>
            </w:r>
          </w:p>
        </w:tc>
      </w:tr>
      <w:tr>
        <w:trPr>
          <w:cnfStyle w:evenHBand="true" w:oddHBand="false" w:firstRow="false"/>
        </w:trPr>
        <w:tc>
          <w:tcPr>
            <w:cnfStyle w:evenVBand="false" w:oddVBand="true" w:firstColumn="false"/>
            <w:tcW w:w="25.000000%" w:type="pct"/>
          </w:tcPr>
          <w:p>
            <w:pPr>
              <w:ind w:leftChars="0" w:left="0" w:right="0"/>
            </w:pPr>
            <w:r>
              <w:t>EUWB</w:t>
            </w:r>
          </w:p>
        </w:tc>
        <w:tc>
          <w:tcPr>
            <w:cnfStyle w:evenVBand="true" w:oddVBand="false" w:firstColumn="false"/>
            <w:tcW w:w="25.000000%" w:type="pct"/>
          </w:tcPr>
          <w:p>
            <w:pPr>
              <w:ind w:leftChars="0" w:left="0" w:right="0"/>
            </w:pPr>
            <w:r>
              <w:t>EUWB</w:t>
            </w:r>
          </w:p>
        </w:tc>
        <w:tc>
          <w:tcPr>
            <w:cnfStyle w:evenVBand="false" w:oddVBand="true" w:firstColumn="false"/>
            <w:tcW w:w="25.000000%" w:type="pct"/>
          </w:tcPr>
          <w:p>
            <w:pPr>
              <w:ind w:leftChars="0" w:left="0" w:right="0"/>
            </w:pPr>
            <w:r>
              <w:t>NASDAQ STOCKHOLM AB - EUR WB EQ DERIVATIVES</w:t>
            </w:r>
          </w:p>
        </w:tc>
        <w:tc>
          <w:tcPr>
            <w:cnfStyle w:evenVBand="true" w:oddVBand="false" w:firstColumn="false"/>
            <w:tcW w:w="25.000000%" w:type="pct"/>
          </w:tcPr>
          <w:p>
            <w:pPr>
              <w:ind w:leftChars="0" w:left="0" w:right="0"/>
            </w:pPr>
            <w:r>
              <w:t>667</w:t>
            </w:r>
          </w:p>
        </w:tc>
      </w:tr>
      <w:tr>
        <w:trPr>
          <w:cnfStyle w:evenHBand="false" w:oddHBand="true" w:firstRow="false"/>
        </w:trPr>
        <w:tc>
          <w:tcPr>
            <w:cnfStyle w:evenVBand="false" w:oddVBand="true" w:firstColumn="false"/>
            <w:tcW w:w="25.000000%" w:type="pct"/>
          </w:tcPr>
          <w:p>
            <w:pPr>
              <w:ind w:leftChars="0" w:left="0" w:right="0"/>
            </w:pPr>
            <w:r>
              <w:t>EUWX</w:t>
            </w:r>
          </w:p>
        </w:tc>
        <w:tc>
          <w:tcPr>
            <w:cnfStyle w:evenVBand="true" w:oddVBand="false" w:firstColumn="false"/>
            <w:tcW w:w="25.000000%" w:type="pct"/>
          </w:tcPr>
          <w:p>
            <w:pPr>
              <w:ind w:leftChars="0" w:left="0" w:right="0"/>
            </w:pPr>
            <w:r>
              <w:t>EUWX</w:t>
            </w:r>
          </w:p>
        </w:tc>
        <w:tc>
          <w:tcPr>
            <w:cnfStyle w:evenVBand="false" w:oddVBand="true" w:firstColumn="false"/>
            <w:tcW w:w="25.000000%" w:type="pct"/>
          </w:tcPr>
          <w:p>
            <w:pPr>
              <w:ind w:leftChars="0" w:left="0" w:right="0"/>
            </w:pPr>
            <w:r>
              <w:t>EUWAX</w:t>
            </w:r>
          </w:p>
        </w:tc>
        <w:tc>
          <w:tcPr>
            <w:cnfStyle w:evenVBand="true" w:oddVBand="false" w:firstColumn="false"/>
            <w:tcW w:w="25.000000%" w:type="pct"/>
          </w:tcPr>
          <w:p>
            <w:pPr>
              <w:ind w:leftChars="0" w:left="0" w:right="0"/>
            </w:pPr>
            <w:r>
              <w:t>668</w:t>
            </w:r>
          </w:p>
        </w:tc>
      </w:tr>
      <w:tr>
        <w:trPr>
          <w:cnfStyle w:evenHBand="true" w:oddHBand="false" w:firstRow="false"/>
        </w:trPr>
        <w:tc>
          <w:tcPr>
            <w:cnfStyle w:evenVBand="false" w:oddVBand="true" w:firstColumn="false"/>
            <w:tcW w:w="25.000000%" w:type="pct"/>
          </w:tcPr>
          <w:p>
            <w:pPr>
              <w:ind w:leftChars="0" w:left="0" w:right="0"/>
            </w:pPr>
            <w:r>
              <w:t>EVOL</w:t>
            </w:r>
          </w:p>
        </w:tc>
        <w:tc>
          <w:tcPr>
            <w:cnfStyle w:evenVBand="true" w:oddVBand="false" w:firstColumn="false"/>
            <w:tcW w:w="25.000000%" w:type="pct"/>
          </w:tcPr>
          <w:p>
            <w:pPr>
              <w:ind w:leftChars="0" w:left="0" w:right="0"/>
            </w:pPr>
            <w:r>
              <w:t>EVOL</w:t>
            </w:r>
          </w:p>
        </w:tc>
        <w:tc>
          <w:tcPr>
            <w:cnfStyle w:evenVBand="false" w:oddVBand="true" w:firstColumn="false"/>
            <w:tcW w:w="25.000000%" w:type="pct"/>
          </w:tcPr>
          <w:p>
            <w:pPr>
              <w:ind w:leftChars="0" w:left="0" w:right="0"/>
            </w:pPr>
            <w:r>
              <w:t>EVOLUTION MARKETS</w:t>
            </w:r>
          </w:p>
        </w:tc>
        <w:tc>
          <w:tcPr>
            <w:cnfStyle w:evenVBand="true" w:oddVBand="false" w:firstColumn="false"/>
            <w:tcW w:w="25.000000%" w:type="pct"/>
          </w:tcPr>
          <w:p>
            <w:pPr>
              <w:ind w:leftChars="0" w:left="0" w:right="0"/>
            </w:pPr>
            <w:r>
              <w:t>669</w:t>
            </w:r>
          </w:p>
        </w:tc>
      </w:tr>
      <w:tr>
        <w:trPr>
          <w:cnfStyle w:evenHBand="false" w:oddHBand="true" w:firstRow="false"/>
        </w:trPr>
        <w:tc>
          <w:tcPr>
            <w:cnfStyle w:evenVBand="false" w:oddVBand="true" w:firstColumn="false"/>
            <w:tcW w:w="25.000000%" w:type="pct"/>
          </w:tcPr>
          <w:p>
            <w:pPr>
              <w:ind w:leftChars="0" w:left="0" w:right="0"/>
            </w:pPr>
            <w:r>
              <w:t>EWRM</w:t>
            </w:r>
          </w:p>
        </w:tc>
        <w:tc>
          <w:tcPr>
            <w:cnfStyle w:evenVBand="true" w:oddVBand="false" w:firstColumn="false"/>
            <w:tcW w:w="25.000000%" w:type="pct"/>
          </w:tcPr>
          <w:p>
            <w:pPr>
              <w:ind w:leftChars="0" w:left="0" w:right="0"/>
            </w:pPr>
            <w:r>
              <w:t>EWRM</w:t>
            </w:r>
          </w:p>
        </w:tc>
        <w:tc>
          <w:tcPr>
            <w:cnfStyle w:evenVBand="false" w:oddVBand="true" w:firstColumn="false"/>
            <w:tcW w:w="25.000000%" w:type="pct"/>
          </w:tcPr>
          <w:p>
            <w:pPr>
              <w:ind w:leftChars="0" w:left="0" w:right="0"/>
            </w:pPr>
            <w:r>
              <w:t>TURKISH MERCANTILE EXCHANGE - ELECTRONIC WAREHOUSE RECEIPT MARKET</w:t>
            </w:r>
          </w:p>
        </w:tc>
        <w:tc>
          <w:tcPr>
            <w:cnfStyle w:evenVBand="true" w:oddVBand="false" w:firstColumn="false"/>
            <w:tcW w:w="25.000000%" w:type="pct"/>
          </w:tcPr>
          <w:p>
            <w:pPr>
              <w:ind w:leftChars="0" w:left="0" w:right="0"/>
            </w:pPr>
            <w:r>
              <w:t>670</w:t>
            </w:r>
          </w:p>
        </w:tc>
      </w:tr>
      <w:tr>
        <w:trPr>
          <w:cnfStyle w:evenHBand="true" w:oddHBand="false" w:firstRow="false"/>
        </w:trPr>
        <w:tc>
          <w:tcPr>
            <w:cnfStyle w:evenVBand="false" w:oddVBand="true" w:firstColumn="false"/>
            <w:tcW w:w="25.000000%" w:type="pct"/>
          </w:tcPr>
          <w:p>
            <w:pPr>
              <w:ind w:leftChars="0" w:left="0" w:right="0"/>
            </w:pPr>
            <w:r>
              <w:t>EWSM</w:t>
            </w:r>
          </w:p>
        </w:tc>
        <w:tc>
          <w:tcPr>
            <w:cnfStyle w:evenVBand="true" w:oddVBand="false" w:firstColumn="false"/>
            <w:tcW w:w="25.000000%" w:type="pct"/>
          </w:tcPr>
          <w:p>
            <w:pPr>
              <w:ind w:leftChars="0" w:left="0" w:right="0"/>
            </w:pPr>
            <w:r>
              <w:t>EWSM</w:t>
            </w:r>
          </w:p>
        </w:tc>
        <w:tc>
          <w:tcPr>
            <w:cnfStyle w:evenVBand="false" w:oddVBand="true" w:firstColumn="false"/>
            <w:tcW w:w="25.000000%" w:type="pct"/>
          </w:tcPr>
          <w:p>
            <w:pPr>
              <w:ind w:leftChars="0" w:left="0" w:right="0"/>
            </w:pPr>
            <w:r>
              <w:t>EUROPEAN WHOLESALE SECURITIES MARKET</w:t>
            </w:r>
          </w:p>
        </w:tc>
        <w:tc>
          <w:tcPr>
            <w:cnfStyle w:evenVBand="true" w:oddVBand="false" w:firstColumn="false"/>
            <w:tcW w:w="25.000000%" w:type="pct"/>
          </w:tcPr>
          <w:p>
            <w:pPr>
              <w:ind w:leftChars="0" w:left="0" w:right="0"/>
            </w:pPr>
            <w:r>
              <w:t>671</w:t>
            </w:r>
          </w:p>
        </w:tc>
      </w:tr>
      <w:tr>
        <w:trPr>
          <w:cnfStyle w:evenHBand="false" w:oddHBand="true" w:firstRow="false"/>
        </w:trPr>
        <w:tc>
          <w:tcPr>
            <w:cnfStyle w:evenVBand="false" w:oddVBand="true" w:firstColumn="false"/>
            <w:tcW w:w="25.000000%" w:type="pct"/>
          </w:tcPr>
          <w:p>
            <w:pPr>
              <w:ind w:leftChars="0" w:left="0" w:right="0"/>
            </w:pPr>
            <w:r>
              <w:t>EXAA</w:t>
            </w:r>
          </w:p>
        </w:tc>
        <w:tc>
          <w:tcPr>
            <w:cnfStyle w:evenVBand="true" w:oddVBand="false" w:firstColumn="false"/>
            <w:tcW w:w="25.000000%" w:type="pct"/>
          </w:tcPr>
          <w:p>
            <w:pPr>
              <w:ind w:leftChars="0" w:left="0" w:right="0"/>
            </w:pPr>
            <w:r>
              <w:t>EXAA</w:t>
            </w:r>
          </w:p>
        </w:tc>
        <w:tc>
          <w:tcPr>
            <w:cnfStyle w:evenVBand="false" w:oddVBand="true" w:firstColumn="false"/>
            <w:tcW w:w="25.000000%" w:type="pct"/>
          </w:tcPr>
          <w:p>
            <w:pPr>
              <w:ind w:leftChars="0" w:left="0" w:right="0"/>
            </w:pPr>
            <w:r>
              <w:t>WIENER BOERSE AG, AUSTRIAN ENERGY EXCHANGE</w:t>
            </w:r>
          </w:p>
        </w:tc>
        <w:tc>
          <w:tcPr>
            <w:cnfStyle w:evenVBand="true" w:oddVBand="false" w:firstColumn="false"/>
            <w:tcW w:w="25.000000%" w:type="pct"/>
          </w:tcPr>
          <w:p>
            <w:pPr>
              <w:ind w:leftChars="0" w:left="0" w:right="0"/>
            </w:pPr>
            <w:r>
              <w:t>672</w:t>
            </w:r>
          </w:p>
        </w:tc>
      </w:tr>
      <w:tr>
        <w:trPr>
          <w:cnfStyle w:evenHBand="true" w:oddHBand="false" w:firstRow="false"/>
        </w:trPr>
        <w:tc>
          <w:tcPr>
            <w:cnfStyle w:evenVBand="false" w:oddVBand="true" w:firstColumn="false"/>
            <w:tcW w:w="25.000000%" w:type="pct"/>
          </w:tcPr>
          <w:p>
            <w:pPr>
              <w:ind w:leftChars="0" w:left="0" w:right="0"/>
            </w:pPr>
            <w:r>
              <w:t>EXBO</w:t>
            </w:r>
          </w:p>
        </w:tc>
        <w:tc>
          <w:tcPr>
            <w:cnfStyle w:evenVBand="true" w:oddVBand="false" w:firstColumn="false"/>
            <w:tcW w:w="25.000000%" w:type="pct"/>
          </w:tcPr>
          <w:p>
            <w:pPr>
              <w:ind w:leftChars="0" w:left="0" w:right="0"/>
            </w:pPr>
            <w:r>
              <w:t>EXBO</w:t>
            </w:r>
          </w:p>
        </w:tc>
        <w:tc>
          <w:tcPr>
            <w:cnfStyle w:evenVBand="false" w:oddVBand="true" w:firstColumn="false"/>
            <w:tcW w:w="25.000000%" w:type="pct"/>
          </w:tcPr>
          <w:p>
            <w:pPr>
              <w:ind w:leftChars="0" w:left="0" w:right="0"/>
            </w:pPr>
            <w:r>
              <w:t>EXANE BNP PARIBAS - BID-OFFER CROSSING</w:t>
            </w:r>
          </w:p>
        </w:tc>
        <w:tc>
          <w:tcPr>
            <w:cnfStyle w:evenVBand="true" w:oddVBand="false" w:firstColumn="false"/>
            <w:tcW w:w="25.000000%" w:type="pct"/>
          </w:tcPr>
          <w:p>
            <w:pPr>
              <w:ind w:leftChars="0" w:left="0" w:right="0"/>
            </w:pPr>
            <w:r>
              <w:t>673</w:t>
            </w:r>
          </w:p>
        </w:tc>
      </w:tr>
      <w:tr>
        <w:trPr>
          <w:cnfStyle w:evenHBand="false" w:oddHBand="true" w:firstRow="false"/>
        </w:trPr>
        <w:tc>
          <w:tcPr>
            <w:cnfStyle w:evenVBand="false" w:oddVBand="true" w:firstColumn="false"/>
            <w:tcW w:w="25.000000%" w:type="pct"/>
          </w:tcPr>
          <w:p>
            <w:pPr>
              <w:ind w:leftChars="0" w:left="0" w:right="0"/>
            </w:pPr>
            <w:r>
              <w:t>EXCP</w:t>
            </w:r>
          </w:p>
        </w:tc>
        <w:tc>
          <w:tcPr>
            <w:cnfStyle w:evenVBand="true" w:oddVBand="false" w:firstColumn="false"/>
            <w:tcW w:w="25.000000%" w:type="pct"/>
          </w:tcPr>
          <w:p>
            <w:pPr>
              <w:ind w:leftChars="0" w:left="0" w:right="0"/>
            </w:pPr>
            <w:r>
              <w:t>EXCP</w:t>
            </w:r>
          </w:p>
        </w:tc>
        <w:tc>
          <w:tcPr>
            <w:cnfStyle w:evenVBand="false" w:oddVBand="true" w:firstColumn="false"/>
            <w:tcW w:w="25.000000%" w:type="pct"/>
          </w:tcPr>
          <w:p>
            <w:pPr>
              <w:ind w:leftChars="0" w:left="0" w:right="0"/>
            </w:pPr>
            <w:r>
              <w:t>EXANE BNP PARIBAS - CLOSING PRICE</w:t>
            </w:r>
          </w:p>
        </w:tc>
        <w:tc>
          <w:tcPr>
            <w:cnfStyle w:evenVBand="true" w:oddVBand="false" w:firstColumn="false"/>
            <w:tcW w:w="25.000000%" w:type="pct"/>
          </w:tcPr>
          <w:p>
            <w:pPr>
              <w:ind w:leftChars="0" w:left="0" w:right="0"/>
            </w:pPr>
            <w:r>
              <w:t>674</w:t>
            </w:r>
          </w:p>
        </w:tc>
      </w:tr>
      <w:tr>
        <w:trPr>
          <w:cnfStyle w:evenHBand="true" w:oddHBand="false" w:firstRow="false"/>
        </w:trPr>
        <w:tc>
          <w:tcPr>
            <w:cnfStyle w:evenVBand="false" w:oddVBand="true" w:firstColumn="false"/>
            <w:tcW w:w="25.000000%" w:type="pct"/>
          </w:tcPr>
          <w:p>
            <w:pPr>
              <w:ind w:leftChars="0" w:left="0" w:right="0"/>
            </w:pPr>
            <w:r>
              <w:t>EXDC</w:t>
            </w:r>
          </w:p>
        </w:tc>
        <w:tc>
          <w:tcPr>
            <w:cnfStyle w:evenVBand="true" w:oddVBand="false" w:firstColumn="false"/>
            <w:tcW w:w="25.000000%" w:type="pct"/>
          </w:tcPr>
          <w:p>
            <w:pPr>
              <w:ind w:leftChars="0" w:left="0" w:right="0"/>
            </w:pPr>
            <w:r>
              <w:t>EXDC</w:t>
            </w:r>
          </w:p>
        </w:tc>
        <w:tc>
          <w:tcPr>
            <w:cnfStyle w:evenVBand="false" w:oddVBand="true" w:firstColumn="false"/>
            <w:tcW w:w="25.000000%" w:type="pct"/>
          </w:tcPr>
          <w:p>
            <w:pPr>
              <w:ind w:leftChars="0" w:left="0" w:right="0"/>
            </w:pPr>
            <w:r>
              <w:t>EXANE BNP PARIBAS - DIRECT CAPITAL ACCESS</w:t>
            </w:r>
          </w:p>
        </w:tc>
        <w:tc>
          <w:tcPr>
            <w:cnfStyle w:evenVBand="true" w:oddVBand="false" w:firstColumn="false"/>
            <w:tcW w:w="25.000000%" w:type="pct"/>
          </w:tcPr>
          <w:p>
            <w:pPr>
              <w:ind w:leftChars="0" w:left="0" w:right="0"/>
            </w:pPr>
            <w:r>
              <w:t>675</w:t>
            </w:r>
          </w:p>
        </w:tc>
      </w:tr>
      <w:tr>
        <w:trPr>
          <w:cnfStyle w:evenHBand="false" w:oddHBand="true" w:firstRow="false"/>
        </w:trPr>
        <w:tc>
          <w:tcPr>
            <w:cnfStyle w:evenVBand="false" w:oddVBand="true" w:firstColumn="false"/>
            <w:tcW w:w="25.000000%" w:type="pct"/>
          </w:tcPr>
          <w:p>
            <w:pPr>
              <w:ind w:leftChars="0" w:left="0" w:right="0"/>
            </w:pPr>
            <w:r>
              <w:t>EXEU</w:t>
            </w:r>
          </w:p>
        </w:tc>
        <w:tc>
          <w:tcPr>
            <w:cnfStyle w:evenVBand="true" w:oddVBand="false" w:firstColumn="false"/>
            <w:tcW w:w="25.000000%" w:type="pct"/>
          </w:tcPr>
          <w:p>
            <w:pPr>
              <w:ind w:leftChars="0" w:left="0" w:right="0"/>
            </w:pPr>
            <w:r>
              <w:t>EXEU</w:t>
            </w:r>
          </w:p>
        </w:tc>
        <w:tc>
          <w:tcPr>
            <w:cnfStyle w:evenVBand="false" w:oddVBand="true" w:firstColumn="false"/>
            <w:tcW w:w="25.000000%" w:type="pct"/>
          </w:tcPr>
          <w:p>
            <w:pPr>
              <w:ind w:leftChars="0" w:left="0" w:right="0"/>
            </w:pPr>
            <w:r>
              <w:t>EXANE BNP PARIBAS</w:t>
            </w:r>
          </w:p>
        </w:tc>
        <w:tc>
          <w:tcPr>
            <w:cnfStyle w:evenVBand="true" w:oddVBand="false" w:firstColumn="false"/>
            <w:tcW w:w="25.000000%" w:type="pct"/>
          </w:tcPr>
          <w:p>
            <w:pPr>
              <w:ind w:leftChars="0" w:left="0" w:right="0"/>
            </w:pPr>
            <w:r>
              <w:t>676</w:t>
            </w:r>
          </w:p>
        </w:tc>
      </w:tr>
      <w:tr>
        <w:trPr>
          <w:cnfStyle w:evenHBand="true" w:oddHBand="false" w:firstRow="false"/>
        </w:trPr>
        <w:tc>
          <w:tcPr>
            <w:cnfStyle w:evenVBand="false" w:oddVBand="true" w:firstColumn="false"/>
            <w:tcW w:w="25.000000%" w:type="pct"/>
          </w:tcPr>
          <w:p>
            <w:pPr>
              <w:ind w:leftChars="0" w:left="0" w:right="0"/>
            </w:pPr>
            <w:r>
              <w:t>EXGM</w:t>
            </w:r>
          </w:p>
        </w:tc>
        <w:tc>
          <w:tcPr>
            <w:cnfStyle w:evenVBand="true" w:oddVBand="false" w:firstColumn="false"/>
            <w:tcW w:w="25.000000%" w:type="pct"/>
          </w:tcPr>
          <w:p>
            <w:pPr>
              <w:ind w:leftChars="0" w:left="0" w:right="0"/>
            </w:pPr>
            <w:r>
              <w:t>EXGM</w:t>
            </w:r>
          </w:p>
        </w:tc>
        <w:tc>
          <w:tcPr>
            <w:cnfStyle w:evenVBand="false" w:oddVBand="true" w:firstColumn="false"/>
            <w:tcW w:w="25.000000%" w:type="pct"/>
          </w:tcPr>
          <w:p>
            <w:pPr>
              <w:ind w:leftChars="0" w:left="0" w:right="0"/>
            </w:pPr>
            <w:r>
              <w:t>EURONEXT GROWTH MILAN</w:t>
            </w:r>
          </w:p>
        </w:tc>
        <w:tc>
          <w:tcPr>
            <w:cnfStyle w:evenVBand="true" w:oddVBand="false" w:firstColumn="false"/>
            <w:tcW w:w="25.000000%" w:type="pct"/>
          </w:tcPr>
          <w:p>
            <w:pPr>
              <w:ind w:leftChars="0" w:left="0" w:right="0"/>
            </w:pPr>
            <w:r>
              <w:t>677</w:t>
            </w:r>
          </w:p>
        </w:tc>
      </w:tr>
      <w:tr>
        <w:trPr>
          <w:cnfStyle w:evenHBand="false" w:oddHBand="true" w:firstRow="false"/>
        </w:trPr>
        <w:tc>
          <w:tcPr>
            <w:cnfStyle w:evenVBand="false" w:oddVBand="true" w:firstColumn="false"/>
            <w:tcW w:w="25.000000%" w:type="pct"/>
          </w:tcPr>
          <w:p>
            <w:pPr>
              <w:ind w:leftChars="0" w:left="0" w:right="0"/>
            </w:pPr>
            <w:r>
              <w:t>EXLP</w:t>
            </w:r>
          </w:p>
        </w:tc>
        <w:tc>
          <w:tcPr>
            <w:cnfStyle w:evenVBand="true" w:oddVBand="false" w:firstColumn="false"/>
            <w:tcW w:w="25.000000%" w:type="pct"/>
          </w:tcPr>
          <w:p>
            <w:pPr>
              <w:ind w:leftChars="0" w:left="0" w:right="0"/>
            </w:pPr>
            <w:r>
              <w:t>EXLP</w:t>
            </w:r>
          </w:p>
        </w:tc>
        <w:tc>
          <w:tcPr>
            <w:cnfStyle w:evenVBand="false" w:oddVBand="true" w:firstColumn="false"/>
            <w:tcW w:w="25.000000%" w:type="pct"/>
          </w:tcPr>
          <w:p>
            <w:pPr>
              <w:ind w:leftChars="0" w:left="0" w:right="0"/>
            </w:pPr>
            <w:r>
              <w:t>EXANE BNP PARIBAS - LIQUIDITY PROVISION</w:t>
            </w:r>
          </w:p>
        </w:tc>
        <w:tc>
          <w:tcPr>
            <w:cnfStyle w:evenVBand="true" w:oddVBand="false" w:firstColumn="false"/>
            <w:tcW w:w="25.000000%" w:type="pct"/>
          </w:tcPr>
          <w:p>
            <w:pPr>
              <w:ind w:leftChars="0" w:left="0" w:right="0"/>
            </w:pPr>
            <w:r>
              <w:t>678</w:t>
            </w:r>
          </w:p>
        </w:tc>
      </w:tr>
      <w:tr>
        <w:trPr>
          <w:cnfStyle w:evenHBand="true" w:oddHBand="false" w:firstRow="false"/>
        </w:trPr>
        <w:tc>
          <w:tcPr>
            <w:cnfStyle w:evenVBand="false" w:oddVBand="true" w:firstColumn="false"/>
            <w:tcW w:w="25.000000%" w:type="pct"/>
          </w:tcPr>
          <w:p>
            <w:pPr>
              <w:ind w:leftChars="0" w:left="0" w:right="0"/>
            </w:pPr>
            <w:r>
              <w:t>EXMP</w:t>
            </w:r>
          </w:p>
        </w:tc>
        <w:tc>
          <w:tcPr>
            <w:cnfStyle w:evenVBand="true" w:oddVBand="false" w:firstColumn="false"/>
            <w:tcW w:w="25.000000%" w:type="pct"/>
          </w:tcPr>
          <w:p>
            <w:pPr>
              <w:ind w:leftChars="0" w:left="0" w:right="0"/>
            </w:pPr>
            <w:r>
              <w:t>EXMP</w:t>
            </w:r>
          </w:p>
        </w:tc>
        <w:tc>
          <w:tcPr>
            <w:cnfStyle w:evenVBand="false" w:oddVBand="true" w:firstColumn="false"/>
            <w:tcW w:w="25.000000%" w:type="pct"/>
          </w:tcPr>
          <w:p>
            <w:pPr>
              <w:ind w:leftChars="0" w:left="0" w:right="0"/>
            </w:pPr>
            <w:r>
              <w:t>EXANE BNP PARIBAS - MID POINT</w:t>
            </w:r>
          </w:p>
        </w:tc>
        <w:tc>
          <w:tcPr>
            <w:cnfStyle w:evenVBand="true" w:oddVBand="false" w:firstColumn="false"/>
            <w:tcW w:w="25.000000%" w:type="pct"/>
          </w:tcPr>
          <w:p>
            <w:pPr>
              <w:ind w:leftChars="0" w:left="0" w:right="0"/>
            </w:pPr>
            <w:r>
              <w:t>679</w:t>
            </w:r>
          </w:p>
        </w:tc>
      </w:tr>
      <w:tr>
        <w:trPr>
          <w:cnfStyle w:evenHBand="false" w:oddHBand="true" w:firstRow="false"/>
        </w:trPr>
        <w:tc>
          <w:tcPr>
            <w:cnfStyle w:evenVBand="false" w:oddVBand="true" w:firstColumn="false"/>
            <w:tcW w:w="25.000000%" w:type="pct"/>
          </w:tcPr>
          <w:p>
            <w:pPr>
              <w:ind w:leftChars="0" w:left="0" w:right="0"/>
            </w:pPr>
            <w:r>
              <w:t>EXOR</w:t>
            </w:r>
          </w:p>
        </w:tc>
        <w:tc>
          <w:tcPr>
            <w:cnfStyle w:evenVBand="true" w:oddVBand="false" w:firstColumn="false"/>
            <w:tcW w:w="25.000000%" w:type="pct"/>
          </w:tcPr>
          <w:p>
            <w:pPr>
              <w:ind w:leftChars="0" w:left="0" w:right="0"/>
            </w:pPr>
            <w:r>
              <w:t>EXOR</w:t>
            </w:r>
          </w:p>
        </w:tc>
        <w:tc>
          <w:tcPr>
            <w:cnfStyle w:evenVBand="false" w:oddVBand="true" w:firstColumn="false"/>
            <w:tcW w:w="25.000000%" w:type="pct"/>
          </w:tcPr>
          <w:p>
            <w:pPr>
              <w:ind w:leftChars="0" w:left="0" w:right="0"/>
            </w:pPr>
            <w:r>
              <w:t>EXANE BNP PARIBAS - CHILD ORDER CROSSING</w:t>
            </w:r>
          </w:p>
        </w:tc>
        <w:tc>
          <w:tcPr>
            <w:cnfStyle w:evenVBand="true" w:oddVBand="false" w:firstColumn="false"/>
            <w:tcW w:w="25.000000%" w:type="pct"/>
          </w:tcPr>
          <w:p>
            <w:pPr>
              <w:ind w:leftChars="0" w:left="0" w:right="0"/>
            </w:pPr>
            <w:r>
              <w:t>680</w:t>
            </w:r>
          </w:p>
        </w:tc>
      </w:tr>
      <w:tr>
        <w:trPr>
          <w:cnfStyle w:evenHBand="true" w:oddHBand="false" w:firstRow="false"/>
        </w:trPr>
        <w:tc>
          <w:tcPr>
            <w:cnfStyle w:evenVBand="false" w:oddVBand="true" w:firstColumn="false"/>
            <w:tcW w:w="25.000000%" w:type="pct"/>
          </w:tcPr>
          <w:p>
            <w:pPr>
              <w:ind w:leftChars="0" w:left="0" w:right="0"/>
            </w:pPr>
            <w:r>
              <w:t>EXOT</w:t>
            </w:r>
          </w:p>
        </w:tc>
        <w:tc>
          <w:tcPr>
            <w:cnfStyle w:evenVBand="true" w:oddVBand="false" w:firstColumn="false"/>
            <w:tcW w:w="25.000000%" w:type="pct"/>
          </w:tcPr>
          <w:p>
            <w:pPr>
              <w:ind w:leftChars="0" w:left="0" w:right="0"/>
            </w:pPr>
            <w:r>
              <w:t>EXOT</w:t>
            </w:r>
          </w:p>
        </w:tc>
        <w:tc>
          <w:tcPr>
            <w:cnfStyle w:evenVBand="false" w:oddVBand="true" w:firstColumn="false"/>
            <w:tcW w:w="25.000000%" w:type="pct"/>
          </w:tcPr>
          <w:p>
            <w:pPr>
              <w:ind w:leftChars="0" w:left="0" w:right="0"/>
            </w:pPr>
            <w:r>
              <w:t>EXOTIX CAPITAL  - OTF</w:t>
            </w:r>
          </w:p>
        </w:tc>
        <w:tc>
          <w:tcPr>
            <w:cnfStyle w:evenVBand="true" w:oddVBand="false" w:firstColumn="false"/>
            <w:tcW w:w="25.000000%" w:type="pct"/>
          </w:tcPr>
          <w:p>
            <w:pPr>
              <w:ind w:leftChars="0" w:left="0" w:right="0"/>
            </w:pPr>
            <w:r>
              <w:t>681</w:t>
            </w:r>
          </w:p>
        </w:tc>
      </w:tr>
      <w:tr>
        <w:trPr>
          <w:cnfStyle w:evenHBand="false" w:oddHBand="true" w:firstRow="false"/>
        </w:trPr>
        <w:tc>
          <w:tcPr>
            <w:cnfStyle w:evenVBand="false" w:oddVBand="true" w:firstColumn="false"/>
            <w:tcW w:w="25.000000%" w:type="pct"/>
          </w:tcPr>
          <w:p>
            <w:pPr>
              <w:ind w:leftChars="0" w:left="0" w:right="0"/>
            </w:pPr>
            <w:r>
              <w:t>EXPA</w:t>
            </w:r>
          </w:p>
        </w:tc>
        <w:tc>
          <w:tcPr>
            <w:cnfStyle w:evenVBand="true" w:oddVBand="false" w:firstColumn="false"/>
            <w:tcW w:w="25.000000%" w:type="pct"/>
          </w:tcPr>
          <w:p>
            <w:pPr>
              <w:ind w:leftChars="0" w:left="0" w:right="0"/>
            </w:pPr>
            <w:r>
              <w:t>EXPA</w:t>
            </w:r>
          </w:p>
        </w:tc>
        <w:tc>
          <w:tcPr>
            <w:cnfStyle w:evenVBand="false" w:oddVBand="true" w:firstColumn="false"/>
            <w:tcW w:w="25.000000%" w:type="pct"/>
          </w:tcPr>
          <w:p>
            <w:pPr>
              <w:ind w:leftChars="0" w:left="0" w:right="0"/>
            </w:pPr>
            <w:r>
              <w:t>EXPANDI MARKET</w:t>
            </w:r>
          </w:p>
        </w:tc>
        <w:tc>
          <w:tcPr>
            <w:cnfStyle w:evenVBand="true" w:oddVBand="false" w:firstColumn="false"/>
            <w:tcW w:w="25.000000%" w:type="pct"/>
          </w:tcPr>
          <w:p>
            <w:pPr>
              <w:ind w:leftChars="0" w:left="0" w:right="0"/>
            </w:pPr>
            <w:r>
              <w:t>682</w:t>
            </w:r>
          </w:p>
        </w:tc>
      </w:tr>
      <w:tr>
        <w:trPr>
          <w:cnfStyle w:evenHBand="true" w:oddHBand="false" w:firstRow="false"/>
        </w:trPr>
        <w:tc>
          <w:tcPr>
            <w:cnfStyle w:evenVBand="false" w:oddVBand="true" w:firstColumn="false"/>
            <w:tcW w:w="25.000000%" w:type="pct"/>
          </w:tcPr>
          <w:p>
            <w:pPr>
              <w:ind w:leftChars="0" w:left="0" w:right="0"/>
            </w:pPr>
            <w:r>
              <w:t>EXPM</w:t>
            </w:r>
          </w:p>
        </w:tc>
        <w:tc>
          <w:tcPr>
            <w:cnfStyle w:evenVBand="true" w:oddVBand="false" w:firstColumn="false"/>
            <w:tcW w:w="25.000000%" w:type="pct"/>
          </w:tcPr>
          <w:p>
            <w:pPr>
              <w:ind w:leftChars="0" w:left="0" w:right="0"/>
            </w:pPr>
            <w:r>
              <w:t>EXPM</w:t>
            </w:r>
          </w:p>
        </w:tc>
        <w:tc>
          <w:tcPr>
            <w:cnfStyle w:evenVBand="false" w:oddVBand="true" w:firstColumn="false"/>
            <w:tcW w:w="25.000000%" w:type="pct"/>
          </w:tcPr>
          <w:p>
            <w:pPr>
              <w:ind w:leftChars="0" w:left="0" w:right="0"/>
            </w:pPr>
            <w:r>
              <w:t>EXPERT MARKET</w:t>
            </w:r>
          </w:p>
        </w:tc>
        <w:tc>
          <w:tcPr>
            <w:cnfStyle w:evenVBand="true" w:oddVBand="false" w:firstColumn="false"/>
            <w:tcW w:w="25.000000%" w:type="pct"/>
          </w:tcPr>
          <w:p>
            <w:pPr>
              <w:ind w:leftChars="0" w:left="0" w:right="0"/>
            </w:pPr>
            <w:r>
              <w:t>683</w:t>
            </w:r>
          </w:p>
        </w:tc>
      </w:tr>
      <w:tr>
        <w:trPr>
          <w:cnfStyle w:evenHBand="false" w:oddHBand="true" w:firstRow="false"/>
        </w:trPr>
        <w:tc>
          <w:tcPr>
            <w:cnfStyle w:evenVBand="false" w:oddVBand="true" w:firstColumn="false"/>
            <w:tcW w:w="25.000000%" w:type="pct"/>
          </w:tcPr>
          <w:p>
            <w:pPr>
              <w:ind w:leftChars="0" w:left="0" w:right="0"/>
            </w:pPr>
            <w:r>
              <w:t>EXSB</w:t>
            </w:r>
          </w:p>
        </w:tc>
        <w:tc>
          <w:tcPr>
            <w:cnfStyle w:evenVBand="true" w:oddVBand="false" w:firstColumn="false"/>
            <w:tcW w:w="25.000000%" w:type="pct"/>
          </w:tcPr>
          <w:p>
            <w:pPr>
              <w:ind w:leftChars="0" w:left="0" w:right="0"/>
            </w:pPr>
            <w:r>
              <w:t>EXSB</w:t>
            </w:r>
          </w:p>
        </w:tc>
        <w:tc>
          <w:tcPr>
            <w:cnfStyle w:evenVBand="false" w:oddVBand="true" w:firstColumn="false"/>
            <w:tcW w:w="25.000000%" w:type="pct"/>
          </w:tcPr>
          <w:p>
            <w:pPr>
              <w:ind w:leftChars="0" w:left="0" w:right="0"/>
            </w:pPr>
            <w:r>
              <w:t>EXANE DERIVATIVES - SYSTEMATIC INTERNALISER CORPORATE BONDS</w:t>
            </w:r>
          </w:p>
        </w:tc>
        <w:tc>
          <w:tcPr>
            <w:cnfStyle w:evenVBand="true" w:oddVBand="false" w:firstColumn="false"/>
            <w:tcW w:w="25.000000%" w:type="pct"/>
          </w:tcPr>
          <w:p>
            <w:pPr>
              <w:ind w:leftChars="0" w:left="0" w:right="0"/>
            </w:pPr>
            <w:r>
              <w:t>684</w:t>
            </w:r>
          </w:p>
        </w:tc>
      </w:tr>
      <w:tr>
        <w:trPr>
          <w:cnfStyle w:evenHBand="true" w:oddHBand="false" w:firstRow="false"/>
        </w:trPr>
        <w:tc>
          <w:tcPr>
            <w:cnfStyle w:evenVBand="false" w:oddVBand="true" w:firstColumn="false"/>
            <w:tcW w:w="25.000000%" w:type="pct"/>
          </w:tcPr>
          <w:p>
            <w:pPr>
              <w:ind w:leftChars="0" w:left="0" w:right="0"/>
            </w:pPr>
            <w:r>
              <w:t>EXSD</w:t>
            </w:r>
          </w:p>
        </w:tc>
        <w:tc>
          <w:tcPr>
            <w:cnfStyle w:evenVBand="true" w:oddVBand="false" w:firstColumn="false"/>
            <w:tcW w:w="25.000000%" w:type="pct"/>
          </w:tcPr>
          <w:p>
            <w:pPr>
              <w:ind w:leftChars="0" w:left="0" w:right="0"/>
            </w:pPr>
            <w:r>
              <w:t>EXSD</w:t>
            </w:r>
          </w:p>
        </w:tc>
        <w:tc>
          <w:tcPr>
            <w:cnfStyle w:evenVBand="false" w:oddVBand="true" w:firstColumn="false"/>
            <w:tcW w:w="25.000000%" w:type="pct"/>
          </w:tcPr>
          <w:p>
            <w:pPr>
              <w:ind w:leftChars="0" w:left="0" w:right="0"/>
            </w:pPr>
            <w:r>
              <w:t>EXANE DERIVATIVES - SYSTEMATIC INTERNALISER OTC DERIVATIVES</w:t>
            </w:r>
          </w:p>
        </w:tc>
        <w:tc>
          <w:tcPr>
            <w:cnfStyle w:evenVBand="true" w:oddVBand="false" w:firstColumn="false"/>
            <w:tcW w:w="25.000000%" w:type="pct"/>
          </w:tcPr>
          <w:p>
            <w:pPr>
              <w:ind w:leftChars="0" w:left="0" w:right="0"/>
            </w:pPr>
            <w:r>
              <w:t>685</w:t>
            </w:r>
          </w:p>
        </w:tc>
      </w:tr>
      <w:tr>
        <w:trPr>
          <w:cnfStyle w:evenHBand="false" w:oddHBand="true" w:firstRow="false"/>
        </w:trPr>
        <w:tc>
          <w:tcPr>
            <w:cnfStyle w:evenVBand="false" w:oddVBand="true" w:firstColumn="false"/>
            <w:tcW w:w="25.000000%" w:type="pct"/>
          </w:tcPr>
          <w:p>
            <w:pPr>
              <w:ind w:leftChars="0" w:left="0" w:right="0"/>
            </w:pPr>
            <w:r>
              <w:t>EXSE</w:t>
            </w:r>
          </w:p>
        </w:tc>
        <w:tc>
          <w:tcPr>
            <w:cnfStyle w:evenVBand="true" w:oddVBand="false" w:firstColumn="false"/>
            <w:tcW w:w="25.000000%" w:type="pct"/>
          </w:tcPr>
          <w:p>
            <w:pPr>
              <w:ind w:leftChars="0" w:left="0" w:right="0"/>
            </w:pPr>
            <w:r>
              <w:t>EXSE</w:t>
            </w:r>
          </w:p>
        </w:tc>
        <w:tc>
          <w:tcPr>
            <w:cnfStyle w:evenVBand="false" w:oddVBand="true" w:firstColumn="false"/>
            <w:tcW w:w="25.000000%" w:type="pct"/>
          </w:tcPr>
          <w:p>
            <w:pPr>
              <w:ind w:leftChars="0" w:left="0" w:right="0"/>
            </w:pPr>
            <w:r>
              <w:t>EXANE BNP PARIBAS - SYSTEMATIC INTERNALISER</w:t>
            </w:r>
          </w:p>
        </w:tc>
        <w:tc>
          <w:tcPr>
            <w:cnfStyle w:evenVBand="true" w:oddVBand="false" w:firstColumn="false"/>
            <w:tcW w:w="25.000000%" w:type="pct"/>
          </w:tcPr>
          <w:p>
            <w:pPr>
              <w:ind w:leftChars="0" w:left="0" w:right="0"/>
            </w:pPr>
            <w:r>
              <w:t>686</w:t>
            </w:r>
          </w:p>
        </w:tc>
      </w:tr>
      <w:tr>
        <w:trPr>
          <w:cnfStyle w:evenHBand="true" w:oddHBand="false" w:firstRow="false"/>
        </w:trPr>
        <w:tc>
          <w:tcPr>
            <w:cnfStyle w:evenVBand="false" w:oddVBand="true" w:firstColumn="false"/>
            <w:tcW w:w="25.000000%" w:type="pct"/>
          </w:tcPr>
          <w:p>
            <w:pPr>
              <w:ind w:leftChars="0" w:left="0" w:right="0"/>
            </w:pPr>
            <w:r>
              <w:t>EXSF</w:t>
            </w:r>
          </w:p>
        </w:tc>
        <w:tc>
          <w:tcPr>
            <w:cnfStyle w:evenVBand="true" w:oddVBand="false" w:firstColumn="false"/>
            <w:tcW w:w="25.000000%" w:type="pct"/>
          </w:tcPr>
          <w:p>
            <w:pPr>
              <w:ind w:leftChars="0" w:left="0" w:right="0"/>
            </w:pPr>
            <w:r>
              <w:t>EXSF</w:t>
            </w:r>
          </w:p>
        </w:tc>
        <w:tc>
          <w:tcPr>
            <w:cnfStyle w:evenVBand="false" w:oddVBand="true" w:firstColumn="false"/>
            <w:tcW w:w="25.000000%" w:type="pct"/>
          </w:tcPr>
          <w:p>
            <w:pPr>
              <w:ind w:leftChars="0" w:left="0" w:right="0"/>
            </w:pPr>
            <w:r>
              <w:t>EXANE DERIVATIVES - SYSTEMATIC INTERNALISER OTHER BONDS</w:t>
            </w:r>
          </w:p>
        </w:tc>
        <w:tc>
          <w:tcPr>
            <w:cnfStyle w:evenVBand="true" w:oddVBand="false" w:firstColumn="false"/>
            <w:tcW w:w="25.000000%" w:type="pct"/>
          </w:tcPr>
          <w:p>
            <w:pPr>
              <w:ind w:leftChars="0" w:left="0" w:right="0"/>
            </w:pPr>
            <w:r>
              <w:t>687</w:t>
            </w:r>
          </w:p>
        </w:tc>
      </w:tr>
      <w:tr>
        <w:trPr>
          <w:cnfStyle w:evenHBand="false" w:oddHBand="true" w:firstRow="false"/>
        </w:trPr>
        <w:tc>
          <w:tcPr>
            <w:cnfStyle w:evenVBand="false" w:oddVBand="true" w:firstColumn="false"/>
            <w:tcW w:w="25.000000%" w:type="pct"/>
          </w:tcPr>
          <w:p>
            <w:pPr>
              <w:ind w:leftChars="0" w:left="0" w:right="0"/>
            </w:pPr>
            <w:r>
              <w:t>EXSH</w:t>
            </w:r>
          </w:p>
        </w:tc>
        <w:tc>
          <w:tcPr>
            <w:cnfStyle w:evenVBand="true" w:oddVBand="false" w:firstColumn="false"/>
            <w:tcW w:w="25.000000%" w:type="pct"/>
          </w:tcPr>
          <w:p>
            <w:pPr>
              <w:ind w:leftChars="0" w:left="0" w:right="0"/>
            </w:pPr>
            <w:r>
              <w:t>EXSH</w:t>
            </w:r>
          </w:p>
        </w:tc>
        <w:tc>
          <w:tcPr>
            <w:cnfStyle w:evenVBand="false" w:oddVBand="true" w:firstColumn="false"/>
            <w:tcW w:w="25.000000%" w:type="pct"/>
          </w:tcPr>
          <w:p>
            <w:pPr>
              <w:ind w:leftChars="0" w:left="0" w:right="0"/>
            </w:pPr>
            <w:r>
              <w:t>EXANE DERIVATIVES - SYSTEMATIC INTERNALISER SHARES</w:t>
            </w:r>
          </w:p>
        </w:tc>
        <w:tc>
          <w:tcPr>
            <w:cnfStyle w:evenVBand="true" w:oddVBand="false" w:firstColumn="false"/>
            <w:tcW w:w="25.000000%" w:type="pct"/>
          </w:tcPr>
          <w:p>
            <w:pPr>
              <w:ind w:leftChars="0" w:left="0" w:right="0"/>
            </w:pPr>
            <w:r>
              <w:t>688</w:t>
            </w:r>
          </w:p>
        </w:tc>
      </w:tr>
      <w:tr>
        <w:trPr>
          <w:cnfStyle w:evenHBand="true" w:oddHBand="false" w:firstRow="false"/>
        </w:trPr>
        <w:tc>
          <w:tcPr>
            <w:cnfStyle w:evenVBand="false" w:oddVBand="true" w:firstColumn="false"/>
            <w:tcW w:w="25.000000%" w:type="pct"/>
          </w:tcPr>
          <w:p>
            <w:pPr>
              <w:ind w:leftChars="0" w:left="0" w:right="0"/>
            </w:pPr>
            <w:r>
              <w:t>EXSI</w:t>
            </w:r>
          </w:p>
        </w:tc>
        <w:tc>
          <w:tcPr>
            <w:cnfStyle w:evenVBand="true" w:oddVBand="false" w:firstColumn="false"/>
            <w:tcW w:w="25.000000%" w:type="pct"/>
          </w:tcPr>
          <w:p>
            <w:pPr>
              <w:ind w:leftChars="0" w:left="0" w:right="0"/>
            </w:pPr>
            <w:r>
              <w:t>EXSI</w:t>
            </w:r>
          </w:p>
        </w:tc>
        <w:tc>
          <w:tcPr>
            <w:cnfStyle w:evenVBand="false" w:oddVBand="true" w:firstColumn="false"/>
            <w:tcW w:w="25.000000%" w:type="pct"/>
          </w:tcPr>
          <w:p>
            <w:pPr>
              <w:ind w:leftChars="0" w:left="0" w:right="0"/>
            </w:pPr>
            <w:r>
              <w:t>EXANE BNP PARIBAS - GB - SYSTEMATIC INTERNALISER</w:t>
            </w:r>
          </w:p>
        </w:tc>
        <w:tc>
          <w:tcPr>
            <w:cnfStyle w:evenVBand="true" w:oddVBand="false" w:firstColumn="false"/>
            <w:tcW w:w="25.000000%" w:type="pct"/>
          </w:tcPr>
          <w:p>
            <w:pPr>
              <w:ind w:leftChars="0" w:left="0" w:right="0"/>
            </w:pPr>
            <w:r>
              <w:t>689</w:t>
            </w:r>
          </w:p>
        </w:tc>
      </w:tr>
      <w:tr>
        <w:trPr>
          <w:cnfStyle w:evenHBand="false" w:oddHBand="true" w:firstRow="false"/>
        </w:trPr>
        <w:tc>
          <w:tcPr>
            <w:cnfStyle w:evenVBand="false" w:oddVBand="true" w:firstColumn="false"/>
            <w:tcW w:w="25.000000%" w:type="pct"/>
          </w:tcPr>
          <w:p>
            <w:pPr>
              <w:ind w:leftChars="0" w:left="0" w:right="0"/>
            </w:pPr>
            <w:r>
              <w:t>EXSP</w:t>
            </w:r>
          </w:p>
        </w:tc>
        <w:tc>
          <w:tcPr>
            <w:cnfStyle w:evenVBand="true" w:oddVBand="false" w:firstColumn="false"/>
            <w:tcW w:w="25.000000%" w:type="pct"/>
          </w:tcPr>
          <w:p>
            <w:pPr>
              <w:ind w:leftChars="0" w:left="0" w:right="0"/>
            </w:pPr>
            <w:r>
              <w:t>EXSP</w:t>
            </w:r>
          </w:p>
        </w:tc>
        <w:tc>
          <w:tcPr>
            <w:cnfStyle w:evenVBand="false" w:oddVBand="true" w:firstColumn="false"/>
            <w:tcW w:w="25.000000%" w:type="pct"/>
          </w:tcPr>
          <w:p>
            <w:pPr>
              <w:ind w:leftChars="0" w:left="0" w:right="0"/>
            </w:pPr>
            <w:r>
              <w:t>EXANE DERIVATIVES - SYSTEMATIC INTERNALISER STRUCTURED PRODUCTS</w:t>
            </w:r>
          </w:p>
        </w:tc>
        <w:tc>
          <w:tcPr>
            <w:cnfStyle w:evenVBand="true" w:oddVBand="false" w:firstColumn="false"/>
            <w:tcW w:w="25.000000%" w:type="pct"/>
          </w:tcPr>
          <w:p>
            <w:pPr>
              <w:ind w:leftChars="0" w:left="0" w:right="0"/>
            </w:pPr>
            <w:r>
              <w:t>690</w:t>
            </w:r>
          </w:p>
        </w:tc>
      </w:tr>
      <w:tr>
        <w:trPr>
          <w:cnfStyle w:evenHBand="true" w:oddHBand="false" w:firstRow="false"/>
        </w:trPr>
        <w:tc>
          <w:tcPr>
            <w:cnfStyle w:evenVBand="false" w:oddVBand="true" w:firstColumn="false"/>
            <w:tcW w:w="25.000000%" w:type="pct"/>
          </w:tcPr>
          <w:p>
            <w:pPr>
              <w:ind w:leftChars="0" w:left="0" w:right="0"/>
            </w:pPr>
            <w:r>
              <w:t>EXSY</w:t>
            </w:r>
          </w:p>
        </w:tc>
        <w:tc>
          <w:tcPr>
            <w:cnfStyle w:evenVBand="true" w:oddVBand="false" w:firstColumn="false"/>
            <w:tcW w:w="25.000000%" w:type="pct"/>
          </w:tcPr>
          <w:p>
            <w:pPr>
              <w:ind w:leftChars="0" w:left="0" w:right="0"/>
            </w:pPr>
            <w:r>
              <w:t>EXSY</w:t>
            </w:r>
          </w:p>
        </w:tc>
        <w:tc>
          <w:tcPr>
            <w:cnfStyle w:evenVBand="false" w:oddVBand="true" w:firstColumn="false"/>
            <w:tcW w:w="25.000000%" w:type="pct"/>
          </w:tcPr>
          <w:p>
            <w:pPr>
              <w:ind w:leftChars="0" w:left="0" w:right="0"/>
            </w:pPr>
            <w:r>
              <w:t>EXANE DERIVATIVES - SYSTEMATIC INTERNALISER</w:t>
            </w:r>
          </w:p>
        </w:tc>
        <w:tc>
          <w:tcPr>
            <w:cnfStyle w:evenVBand="true" w:oddVBand="false" w:firstColumn="false"/>
            <w:tcW w:w="25.000000%" w:type="pct"/>
          </w:tcPr>
          <w:p>
            <w:pPr>
              <w:ind w:leftChars="0" w:left="0" w:right="0"/>
            </w:pPr>
            <w:r>
              <w:t>691</w:t>
            </w:r>
          </w:p>
        </w:tc>
      </w:tr>
      <w:tr>
        <w:trPr>
          <w:cnfStyle w:evenHBand="false" w:oddHBand="true" w:firstRow="false"/>
        </w:trPr>
        <w:tc>
          <w:tcPr>
            <w:cnfStyle w:evenVBand="false" w:oddVBand="true" w:firstColumn="false"/>
            <w:tcW w:w="25.000000%" w:type="pct"/>
          </w:tcPr>
          <w:p>
            <w:pPr>
              <w:ind w:leftChars="0" w:left="0" w:right="0"/>
            </w:pPr>
            <w:r>
              <w:t>EXTR</w:t>
            </w:r>
          </w:p>
        </w:tc>
        <w:tc>
          <w:tcPr>
            <w:cnfStyle w:evenVBand="true" w:oddVBand="false" w:firstColumn="false"/>
            <w:tcW w:w="25.000000%" w:type="pct"/>
          </w:tcPr>
          <w:p>
            <w:pPr>
              <w:ind w:leftChars="0" w:left="0" w:right="0"/>
            </w:pPr>
            <w:r>
              <w:t>EXTR</w:t>
            </w:r>
          </w:p>
        </w:tc>
        <w:tc>
          <w:tcPr>
            <w:cnfStyle w:evenVBand="false" w:oddVBand="true" w:firstColumn="false"/>
            <w:tcW w:w="25.000000%" w:type="pct"/>
          </w:tcPr>
          <w:p>
            <w:pPr>
              <w:ind w:leftChars="0" w:left="0" w:right="0"/>
            </w:pPr>
            <w:r>
              <w:t>ENERGY EXCHANGE ISTANBUL</w:t>
            </w:r>
          </w:p>
        </w:tc>
        <w:tc>
          <w:tcPr>
            <w:cnfStyle w:evenVBand="true" w:oddVBand="false" w:firstColumn="false"/>
            <w:tcW w:w="25.000000%" w:type="pct"/>
          </w:tcPr>
          <w:p>
            <w:pPr>
              <w:ind w:leftChars="0" w:left="0" w:right="0"/>
            </w:pPr>
            <w:r>
              <w:t>692</w:t>
            </w:r>
          </w:p>
        </w:tc>
      </w:tr>
      <w:tr>
        <w:trPr>
          <w:cnfStyle w:evenHBand="true" w:oddHBand="false" w:firstRow="false"/>
        </w:trPr>
        <w:tc>
          <w:tcPr>
            <w:cnfStyle w:evenVBand="false" w:oddVBand="true" w:firstColumn="false"/>
            <w:tcW w:w="25.000000%" w:type="pct"/>
          </w:tcPr>
          <w:p>
            <w:pPr>
              <w:ind w:leftChars="0" w:left="0" w:right="0"/>
            </w:pPr>
            <w:r>
              <w:t>EXVP</w:t>
            </w:r>
          </w:p>
        </w:tc>
        <w:tc>
          <w:tcPr>
            <w:cnfStyle w:evenVBand="true" w:oddVBand="false" w:firstColumn="false"/>
            <w:tcW w:w="25.000000%" w:type="pct"/>
          </w:tcPr>
          <w:p>
            <w:pPr>
              <w:ind w:leftChars="0" w:left="0" w:right="0"/>
            </w:pPr>
            <w:r>
              <w:t>EXVP</w:t>
            </w:r>
          </w:p>
        </w:tc>
        <w:tc>
          <w:tcPr>
            <w:cnfStyle w:evenVBand="false" w:oddVBand="true" w:firstColumn="false"/>
            <w:tcW w:w="25.000000%" w:type="pct"/>
          </w:tcPr>
          <w:p>
            <w:pPr>
              <w:ind w:leftChars="0" w:left="0" w:right="0"/>
            </w:pPr>
            <w:r>
              <w:t>EXANE BNP PARIBAS - VOLUME PROFILE CROSSING</w:t>
            </w:r>
          </w:p>
        </w:tc>
        <w:tc>
          <w:tcPr>
            <w:cnfStyle w:evenVBand="true" w:oddVBand="false" w:firstColumn="false"/>
            <w:tcW w:w="25.000000%" w:type="pct"/>
          </w:tcPr>
          <w:p>
            <w:pPr>
              <w:ind w:leftChars="0" w:left="0" w:right="0"/>
            </w:pPr>
            <w:r>
              <w:t>693</w:t>
            </w:r>
          </w:p>
        </w:tc>
      </w:tr>
      <w:tr>
        <w:trPr>
          <w:cnfStyle w:evenHBand="false" w:oddHBand="true" w:firstRow="false"/>
        </w:trPr>
        <w:tc>
          <w:tcPr>
            <w:cnfStyle w:evenVBand="false" w:oddVBand="true" w:firstColumn="false"/>
            <w:tcW w:w="25.000000%" w:type="pct"/>
          </w:tcPr>
          <w:p>
            <w:pPr>
              <w:ind w:leftChars="0" w:left="0" w:right="0"/>
            </w:pPr>
            <w:r>
              <w:t>EXYY</w:t>
            </w:r>
          </w:p>
        </w:tc>
        <w:tc>
          <w:tcPr>
            <w:cnfStyle w:evenVBand="true" w:oddVBand="false" w:firstColumn="false"/>
            <w:tcW w:w="25.000000%" w:type="pct"/>
          </w:tcPr>
          <w:p>
            <w:pPr>
              <w:ind w:leftChars="0" w:left="0" w:right="0"/>
            </w:pPr>
            <w:r>
              <w:t>EXYY</w:t>
            </w:r>
          </w:p>
        </w:tc>
        <w:tc>
          <w:tcPr>
            <w:cnfStyle w:evenVBand="false" w:oddVBand="true" w:firstColumn="false"/>
            <w:tcW w:w="25.000000%" w:type="pct"/>
          </w:tcPr>
          <w:p>
            <w:pPr>
              <w:ind w:leftChars="0" w:left="0" w:right="0"/>
            </w:pPr>
            <w:r>
              <w:t>EXANE DERIVATIVES - SYSTEMATIC INTERNALISER CONVERTIBLES</w:t>
            </w:r>
          </w:p>
        </w:tc>
        <w:tc>
          <w:tcPr>
            <w:cnfStyle w:evenVBand="true" w:oddVBand="false" w:firstColumn="false"/>
            <w:tcW w:w="25.000000%" w:type="pct"/>
          </w:tcPr>
          <w:p>
            <w:pPr>
              <w:ind w:leftChars="0" w:left="0" w:right="0"/>
            </w:pPr>
            <w:r>
              <w:t>694</w:t>
            </w:r>
          </w:p>
        </w:tc>
      </w:tr>
      <w:tr>
        <w:trPr>
          <w:cnfStyle w:evenHBand="true" w:oddHBand="false" w:firstRow="false"/>
        </w:trPr>
        <w:tc>
          <w:tcPr>
            <w:cnfStyle w:evenVBand="false" w:oddVBand="true" w:firstColumn="false"/>
            <w:tcW w:w="25.000000%" w:type="pct"/>
          </w:tcPr>
          <w:p>
            <w:pPr>
              <w:ind w:leftChars="0" w:left="0" w:right="0"/>
            </w:pPr>
            <w:r>
              <w:t>FAIR</w:t>
            </w:r>
          </w:p>
        </w:tc>
        <w:tc>
          <w:tcPr>
            <w:cnfStyle w:evenVBand="true" w:oddVBand="false" w:firstColumn="false"/>
            <w:tcW w:w="25.000000%" w:type="pct"/>
          </w:tcPr>
          <w:p>
            <w:pPr>
              <w:ind w:leftChars="0" w:left="0" w:right="0"/>
            </w:pPr>
            <w:r>
              <w:t>FAIR</w:t>
            </w:r>
          </w:p>
        </w:tc>
        <w:tc>
          <w:tcPr>
            <w:cnfStyle w:evenVBand="false" w:oddVBand="true" w:firstColumn="false"/>
            <w:tcW w:w="25.000000%" w:type="pct"/>
          </w:tcPr>
          <w:p>
            <w:pPr>
              <w:ind w:leftChars="0" w:left="0" w:right="0"/>
            </w:pPr>
            <w:r>
              <w:t>CANTOR SPREADFAIR</w:t>
            </w:r>
          </w:p>
        </w:tc>
        <w:tc>
          <w:tcPr>
            <w:cnfStyle w:evenVBand="true" w:oddVBand="false" w:firstColumn="false"/>
            <w:tcW w:w="25.000000%" w:type="pct"/>
          </w:tcPr>
          <w:p>
            <w:pPr>
              <w:ind w:leftChars="0" w:left="0" w:right="0"/>
            </w:pPr>
            <w:r>
              <w:t>695</w:t>
            </w:r>
          </w:p>
        </w:tc>
      </w:tr>
      <w:tr>
        <w:trPr>
          <w:cnfStyle w:evenHBand="false" w:oddHBand="true" w:firstRow="false"/>
        </w:trPr>
        <w:tc>
          <w:tcPr>
            <w:cnfStyle w:evenVBand="false" w:oddVBand="true" w:firstColumn="false"/>
            <w:tcW w:w="25.000000%" w:type="pct"/>
          </w:tcPr>
          <w:p>
            <w:pPr>
              <w:ind w:leftChars="0" w:left="0" w:right="0"/>
            </w:pPr>
            <w:r>
              <w:t>FAST</w:t>
            </w:r>
          </w:p>
        </w:tc>
        <w:tc>
          <w:tcPr>
            <w:cnfStyle w:evenVBand="true" w:oddVBand="false" w:firstColumn="false"/>
            <w:tcW w:w="25.000000%" w:type="pct"/>
          </w:tcPr>
          <w:p>
            <w:pPr>
              <w:ind w:leftChars="0" w:left="0" w:right="0"/>
            </w:pPr>
            <w:r>
              <w:t>FAST</w:t>
            </w:r>
          </w:p>
        </w:tc>
        <w:tc>
          <w:tcPr>
            <w:cnfStyle w:evenVBand="false" w:oddVBand="true" w:firstColumn="false"/>
            <w:tcW w:w="25.000000%" w:type="pct"/>
          </w:tcPr>
          <w:p>
            <w:pPr>
              <w:ind w:leftChars="0" w:left="0" w:right="0"/>
            </w:pPr>
            <w:r>
              <w:t>EURONEXT FX</w:t>
            </w:r>
          </w:p>
        </w:tc>
        <w:tc>
          <w:tcPr>
            <w:cnfStyle w:evenVBand="true" w:oddVBand="false" w:firstColumn="false"/>
            <w:tcW w:w="25.000000%" w:type="pct"/>
          </w:tcPr>
          <w:p>
            <w:pPr>
              <w:ind w:leftChars="0" w:left="0" w:right="0"/>
            </w:pPr>
            <w:r>
              <w:t>696</w:t>
            </w:r>
          </w:p>
        </w:tc>
      </w:tr>
      <w:tr>
        <w:trPr>
          <w:cnfStyle w:evenHBand="true" w:oddHBand="false" w:firstRow="false"/>
        </w:trPr>
        <w:tc>
          <w:tcPr>
            <w:cnfStyle w:evenVBand="false" w:oddVBand="true" w:firstColumn="false"/>
            <w:tcW w:w="25.000000%" w:type="pct"/>
          </w:tcPr>
          <w:p>
            <w:pPr>
              <w:ind w:leftChars="0" w:left="0" w:right="0"/>
            </w:pPr>
            <w:r>
              <w:t>FBSI</w:t>
            </w:r>
          </w:p>
        </w:tc>
        <w:tc>
          <w:tcPr>
            <w:cnfStyle w:evenVBand="true" w:oddVBand="false" w:firstColumn="false"/>
            <w:tcW w:w="25.000000%" w:type="pct"/>
          </w:tcPr>
          <w:p>
            <w:pPr>
              <w:ind w:leftChars="0" w:left="0" w:right="0"/>
            </w:pPr>
            <w:r>
              <w:t>FBSI</w:t>
            </w:r>
          </w:p>
        </w:tc>
        <w:tc>
          <w:tcPr>
            <w:cnfStyle w:evenVBand="false" w:oddVBand="true" w:firstColumn="false"/>
            <w:tcW w:w="25.000000%" w:type="pct"/>
          </w:tcPr>
          <w:p>
            <w:pPr>
              <w:ind w:leftChars="0" w:left="0" w:right="0"/>
            </w:pPr>
            <w:r>
              <w:t>FINECO BANK - SYSTEMATIC INTERNALISER</w:t>
            </w:r>
          </w:p>
        </w:tc>
        <w:tc>
          <w:tcPr>
            <w:cnfStyle w:evenVBand="true" w:oddVBand="false" w:firstColumn="false"/>
            <w:tcW w:w="25.000000%" w:type="pct"/>
          </w:tcPr>
          <w:p>
            <w:pPr>
              <w:ind w:leftChars="0" w:left="0" w:right="0"/>
            </w:pPr>
            <w:r>
              <w:t>697</w:t>
            </w:r>
          </w:p>
        </w:tc>
      </w:tr>
      <w:tr>
        <w:trPr>
          <w:cnfStyle w:evenHBand="false" w:oddHBand="true" w:firstRow="false"/>
        </w:trPr>
        <w:tc>
          <w:tcPr>
            <w:cnfStyle w:evenVBand="false" w:oddVBand="true" w:firstColumn="false"/>
            <w:tcW w:w="25.000000%" w:type="pct"/>
          </w:tcPr>
          <w:p>
            <w:pPr>
              <w:ind w:leftChars="0" w:left="0" w:right="0"/>
            </w:pPr>
            <w:r>
              <w:t>FCBT</w:t>
            </w:r>
          </w:p>
        </w:tc>
        <w:tc>
          <w:tcPr>
            <w:cnfStyle w:evenVBand="true" w:oddVBand="false" w:firstColumn="false"/>
            <w:tcW w:w="25.000000%" w:type="pct"/>
          </w:tcPr>
          <w:p>
            <w:pPr>
              <w:ind w:leftChars="0" w:left="0" w:right="0"/>
            </w:pPr>
            <w:r>
              <w:t>FCBT</w:t>
            </w:r>
          </w:p>
        </w:tc>
        <w:tc>
          <w:tcPr>
            <w:cnfStyle w:evenVBand="false" w:oddVBand="true" w:firstColumn="false"/>
            <w:tcW w:w="25.000000%" w:type="pct"/>
          </w:tcPr>
          <w:p>
            <w:pPr>
              <w:ind w:leftChars="0" w:left="0" w:right="0"/>
            </w:pPr>
            <w:r>
              <w:t>CHICAGO BOARD OF TRADE (FLOOR)</w:t>
            </w:r>
          </w:p>
        </w:tc>
        <w:tc>
          <w:tcPr>
            <w:cnfStyle w:evenVBand="true" w:oddVBand="false" w:firstColumn="false"/>
            <w:tcW w:w="25.000000%" w:type="pct"/>
          </w:tcPr>
          <w:p>
            <w:pPr>
              <w:ind w:leftChars="0" w:left="0" w:right="0"/>
            </w:pPr>
            <w:r>
              <w:t>698</w:t>
            </w:r>
          </w:p>
        </w:tc>
      </w:tr>
      <w:tr>
        <w:trPr>
          <w:cnfStyle w:evenHBand="true" w:oddHBand="false" w:firstRow="false"/>
        </w:trPr>
        <w:tc>
          <w:tcPr>
            <w:cnfStyle w:evenVBand="false" w:oddVBand="true" w:firstColumn="false"/>
            <w:tcW w:w="25.000000%" w:type="pct"/>
          </w:tcPr>
          <w:p>
            <w:pPr>
              <w:ind w:leftChars="0" w:left="0" w:right="0"/>
            </w:pPr>
            <w:r>
              <w:t>FCME</w:t>
            </w:r>
          </w:p>
        </w:tc>
        <w:tc>
          <w:tcPr>
            <w:cnfStyle w:evenVBand="true" w:oddVBand="false" w:firstColumn="false"/>
            <w:tcW w:w="25.000000%" w:type="pct"/>
          </w:tcPr>
          <w:p>
            <w:pPr>
              <w:ind w:leftChars="0" w:left="0" w:right="0"/>
            </w:pPr>
            <w:r>
              <w:t>FCME</w:t>
            </w:r>
          </w:p>
        </w:tc>
        <w:tc>
          <w:tcPr>
            <w:cnfStyle w:evenVBand="false" w:oddVBand="true" w:firstColumn="false"/>
            <w:tcW w:w="25.000000%" w:type="pct"/>
          </w:tcPr>
          <w:p>
            <w:pPr>
              <w:ind w:leftChars="0" w:left="0" w:right="0"/>
            </w:pPr>
            <w:r>
              <w:t>CHICAGO MERCANTILE EXCHANGE (FLOOR)</w:t>
            </w:r>
          </w:p>
        </w:tc>
        <w:tc>
          <w:tcPr>
            <w:cnfStyle w:evenVBand="true" w:oddVBand="false" w:firstColumn="false"/>
            <w:tcW w:w="25.000000%" w:type="pct"/>
          </w:tcPr>
          <w:p>
            <w:pPr>
              <w:ind w:leftChars="0" w:left="0" w:right="0"/>
            </w:pPr>
            <w:r>
              <w:t>699</w:t>
            </w:r>
          </w:p>
        </w:tc>
      </w:tr>
      <w:tr>
        <w:trPr>
          <w:cnfStyle w:evenHBand="false" w:oddHBand="true" w:firstRow="false"/>
        </w:trPr>
        <w:tc>
          <w:tcPr>
            <w:cnfStyle w:evenVBand="false" w:oddVBand="true" w:firstColumn="false"/>
            <w:tcW w:w="25.000000%" w:type="pct"/>
          </w:tcPr>
          <w:p>
            <w:pPr>
              <w:ind w:leftChars="0" w:left="0" w:right="0"/>
            </w:pPr>
            <w:r>
              <w:t>FGEX</w:t>
            </w:r>
          </w:p>
        </w:tc>
        <w:tc>
          <w:tcPr>
            <w:cnfStyle w:evenVBand="true" w:oddVBand="false" w:firstColumn="false"/>
            <w:tcW w:w="25.000000%" w:type="pct"/>
          </w:tcPr>
          <w:p>
            <w:pPr>
              <w:ind w:leftChars="0" w:left="0" w:right="0"/>
            </w:pPr>
            <w:r>
              <w:t>FGEX</w:t>
            </w:r>
          </w:p>
        </w:tc>
        <w:tc>
          <w:tcPr>
            <w:cnfStyle w:evenVBand="false" w:oddVBand="true" w:firstColumn="false"/>
            <w:tcW w:w="25.000000%" w:type="pct"/>
          </w:tcPr>
          <w:p>
            <w:pPr>
              <w:ind w:leftChars="0" w:left="0" w:right="0"/>
            </w:pPr>
            <w:r>
              <w:t>KAASUPORSSI - FINNISH GAS EXCHANGE</w:t>
            </w:r>
          </w:p>
        </w:tc>
        <w:tc>
          <w:tcPr>
            <w:cnfStyle w:evenVBand="true" w:oddVBand="false" w:firstColumn="false"/>
            <w:tcW w:w="25.000000%" w:type="pct"/>
          </w:tcPr>
          <w:p>
            <w:pPr>
              <w:ind w:leftChars="0" w:left="0" w:right="0"/>
            </w:pPr>
            <w:r>
              <w:t>700</w:t>
            </w:r>
          </w:p>
        </w:tc>
      </w:tr>
      <w:tr>
        <w:trPr>
          <w:cnfStyle w:evenHBand="true" w:oddHBand="false" w:firstRow="false"/>
        </w:trPr>
        <w:tc>
          <w:tcPr>
            <w:cnfStyle w:evenVBand="false" w:oddVBand="true" w:firstColumn="false"/>
            <w:tcW w:w="25.000000%" w:type="pct"/>
          </w:tcPr>
          <w:p>
            <w:pPr>
              <w:ind w:leftChars="0" w:left="0" w:right="0"/>
            </w:pPr>
            <w:r>
              <w:t>FICO</w:t>
            </w:r>
          </w:p>
        </w:tc>
        <w:tc>
          <w:tcPr>
            <w:cnfStyle w:evenVBand="true" w:oddVBand="false" w:firstColumn="false"/>
            <w:tcW w:w="25.000000%" w:type="pct"/>
          </w:tcPr>
          <w:p>
            <w:pPr>
              <w:ind w:leftChars="0" w:left="0" w:right="0"/>
            </w:pPr>
            <w:r>
              <w:t>FICO</w:t>
            </w:r>
          </w:p>
        </w:tc>
        <w:tc>
          <w:tcPr>
            <w:cnfStyle w:evenVBand="false" w:oddVBand="true" w:firstColumn="false"/>
            <w:tcW w:w="25.000000%" w:type="pct"/>
          </w:tcPr>
          <w:p>
            <w:pPr>
              <w:ind w:leftChars="0" w:left="0" w:right="0"/>
            </w:pPr>
            <w:r>
              <w:t>FINANCIALCONTENT</w:t>
            </w:r>
          </w:p>
        </w:tc>
        <w:tc>
          <w:tcPr>
            <w:cnfStyle w:evenVBand="true" w:oddVBand="false" w:firstColumn="false"/>
            <w:tcW w:w="25.000000%" w:type="pct"/>
          </w:tcPr>
          <w:p>
            <w:pPr>
              <w:ind w:leftChars="0" w:left="0" w:right="0"/>
            </w:pPr>
            <w:r>
              <w:t>701</w:t>
            </w:r>
          </w:p>
        </w:tc>
      </w:tr>
      <w:tr>
        <w:trPr>
          <w:cnfStyle w:evenHBand="false" w:oddHBand="true" w:firstRow="false"/>
        </w:trPr>
        <w:tc>
          <w:tcPr>
            <w:cnfStyle w:evenVBand="false" w:oddVBand="true" w:firstColumn="false"/>
            <w:tcW w:w="25.000000%" w:type="pct"/>
          </w:tcPr>
          <w:p>
            <w:pPr>
              <w:ind w:leftChars="0" w:left="0" w:right="0"/>
            </w:pPr>
            <w:r>
              <w:t>FICX</w:t>
            </w:r>
          </w:p>
        </w:tc>
        <w:tc>
          <w:tcPr>
            <w:cnfStyle w:evenVBand="true" w:oddVBand="false" w:firstColumn="false"/>
            <w:tcW w:w="25.000000%" w:type="pct"/>
          </w:tcPr>
          <w:p>
            <w:pPr>
              <w:ind w:leftChars="0" w:left="0" w:right="0"/>
            </w:pPr>
            <w:r>
              <w:t>FICX</w:t>
            </w:r>
          </w:p>
        </w:tc>
        <w:tc>
          <w:tcPr>
            <w:cnfStyle w:evenVBand="false" w:oddVBand="true" w:firstColumn="false"/>
            <w:tcW w:w="25.000000%" w:type="pct"/>
          </w:tcPr>
          <w:p>
            <w:pPr>
              <w:ind w:leftChars="0" w:left="0" w:right="0"/>
            </w:pPr>
            <w:r>
              <w:t>FINANCIAL INFORMATION CONTRIBUTORS EXCHANGE</w:t>
            </w:r>
          </w:p>
        </w:tc>
        <w:tc>
          <w:tcPr>
            <w:cnfStyle w:evenVBand="true" w:oddVBand="false" w:firstColumn="false"/>
            <w:tcW w:w="25.000000%" w:type="pct"/>
          </w:tcPr>
          <w:p>
            <w:pPr>
              <w:ind w:leftChars="0" w:left="0" w:right="0"/>
            </w:pPr>
            <w:r>
              <w:t>702</w:t>
            </w:r>
          </w:p>
        </w:tc>
      </w:tr>
      <w:tr>
        <w:trPr>
          <w:cnfStyle w:evenHBand="true" w:oddHBand="false" w:firstRow="false"/>
        </w:trPr>
        <w:tc>
          <w:tcPr>
            <w:cnfStyle w:evenVBand="false" w:oddVBand="true" w:firstColumn="false"/>
            <w:tcW w:w="25.000000%" w:type="pct"/>
          </w:tcPr>
          <w:p>
            <w:pPr>
              <w:ind w:leftChars="0" w:left="0" w:right="0"/>
            </w:pPr>
            <w:r>
              <w:t>FIED</w:t>
            </w:r>
          </w:p>
        </w:tc>
        <w:tc>
          <w:tcPr>
            <w:cnfStyle w:evenVBand="true" w:oddVBand="false" w:firstColumn="false"/>
            <w:tcW w:w="25.000000%" w:type="pct"/>
          </w:tcPr>
          <w:p>
            <w:pPr>
              <w:ind w:leftChars="0" w:left="0" w:right="0"/>
            </w:pPr>
            <w:r>
              <w:t>FIED</w:t>
            </w:r>
          </w:p>
        </w:tc>
        <w:tc>
          <w:tcPr>
            <w:cnfStyle w:evenVBand="false" w:oddVBand="true" w:firstColumn="false"/>
            <w:tcW w:w="25.000000%" w:type="pct"/>
          </w:tcPr>
          <w:p>
            <w:pPr>
              <w:ind w:leftChars="0" w:left="0" w:right="0"/>
            </w:pPr>
            <w:r>
              <w:t>NASDAQ STOCKHOLM AB - FINNISH EQ DERIVATIVES</w:t>
            </w:r>
          </w:p>
        </w:tc>
        <w:tc>
          <w:tcPr>
            <w:cnfStyle w:evenVBand="true" w:oddVBand="false" w:firstColumn="false"/>
            <w:tcW w:w="25.000000%" w:type="pct"/>
          </w:tcPr>
          <w:p>
            <w:pPr>
              <w:ind w:leftChars="0" w:left="0" w:right="0"/>
            </w:pPr>
            <w:r>
              <w:t>703</w:t>
            </w:r>
          </w:p>
        </w:tc>
      </w:tr>
      <w:tr>
        <w:trPr>
          <w:cnfStyle w:evenHBand="false" w:oddHBand="true" w:firstRow="false"/>
        </w:trPr>
        <w:tc>
          <w:tcPr>
            <w:cnfStyle w:evenVBand="false" w:oddVBand="true" w:firstColumn="false"/>
            <w:tcW w:w="25.000000%" w:type="pct"/>
          </w:tcPr>
          <w:p>
            <w:pPr>
              <w:ind w:leftChars="0" w:left="0" w:right="0"/>
            </w:pPr>
            <w:r>
              <w:t>FINC</w:t>
            </w:r>
          </w:p>
        </w:tc>
        <w:tc>
          <w:tcPr>
            <w:cnfStyle w:evenVBand="true" w:oddVBand="false" w:firstColumn="false"/>
            <w:tcW w:w="25.000000%" w:type="pct"/>
          </w:tcPr>
          <w:p>
            <w:pPr>
              <w:ind w:leftChars="0" w:left="0" w:right="0"/>
            </w:pPr>
            <w:r>
              <w:t>FINC</w:t>
            </w:r>
          </w:p>
        </w:tc>
        <w:tc>
          <w:tcPr>
            <w:cnfStyle w:evenVBand="false" w:oddVBand="true" w:firstColumn="false"/>
            <w:tcW w:w="25.000000%" w:type="pct"/>
          </w:tcPr>
          <w:p>
            <w:pPr>
              <w:ind w:leftChars="0" w:left="0" w:right="0"/>
            </w:pPr>
            <w:r>
              <w:t>FINRA/NASDAQ TRF CHICAGO (TRADE REPORTING FACILITY)</w:t>
            </w:r>
          </w:p>
        </w:tc>
        <w:tc>
          <w:tcPr>
            <w:cnfStyle w:evenVBand="true" w:oddVBand="false" w:firstColumn="false"/>
            <w:tcW w:w="25.000000%" w:type="pct"/>
          </w:tcPr>
          <w:p>
            <w:pPr>
              <w:ind w:leftChars="0" w:left="0" w:right="0"/>
            </w:pPr>
            <w:r>
              <w:t>704</w:t>
            </w:r>
          </w:p>
        </w:tc>
      </w:tr>
      <w:tr>
        <w:trPr>
          <w:cnfStyle w:evenHBand="true" w:oddHBand="false" w:firstRow="false"/>
        </w:trPr>
        <w:tc>
          <w:tcPr>
            <w:cnfStyle w:evenVBand="false" w:oddVBand="true" w:firstColumn="false"/>
            <w:tcW w:w="25.000000%" w:type="pct"/>
          </w:tcPr>
          <w:p>
            <w:pPr>
              <w:ind w:leftChars="0" w:left="0" w:right="0"/>
            </w:pPr>
            <w:r>
              <w:t>FINN</w:t>
            </w:r>
          </w:p>
        </w:tc>
        <w:tc>
          <w:tcPr>
            <w:cnfStyle w:evenVBand="true" w:oddVBand="false" w:firstColumn="false"/>
            <w:tcW w:w="25.000000%" w:type="pct"/>
          </w:tcPr>
          <w:p>
            <w:pPr>
              <w:ind w:leftChars="0" w:left="0" w:right="0"/>
            </w:pPr>
            <w:r>
              <w:t>FINN</w:t>
            </w:r>
          </w:p>
        </w:tc>
        <w:tc>
          <w:tcPr>
            <w:cnfStyle w:evenVBand="false" w:oddVBand="true" w:firstColumn="false"/>
            <w:tcW w:w="25.000000%" w:type="pct"/>
          </w:tcPr>
          <w:p>
            <w:pPr>
              <w:ind w:leftChars="0" w:left="0" w:right="0"/>
            </w:pPr>
            <w:r>
              <w:t>FINRA/NASDAQ TRF CARTERET (TRADE REPORTING FACILITY)</w:t>
            </w:r>
          </w:p>
        </w:tc>
        <w:tc>
          <w:tcPr>
            <w:cnfStyle w:evenVBand="true" w:oddVBand="false" w:firstColumn="false"/>
            <w:tcW w:w="25.000000%" w:type="pct"/>
          </w:tcPr>
          <w:p>
            <w:pPr>
              <w:ind w:leftChars="0" w:left="0" w:right="0"/>
            </w:pPr>
            <w:r>
              <w:t>705</w:t>
            </w:r>
          </w:p>
        </w:tc>
      </w:tr>
      <w:tr>
        <w:trPr>
          <w:cnfStyle w:evenHBand="false" w:oddHBand="true" w:firstRow="false"/>
        </w:trPr>
        <w:tc>
          <w:tcPr>
            <w:cnfStyle w:evenVBand="false" w:oddVBand="true" w:firstColumn="false"/>
            <w:tcW w:w="25.000000%" w:type="pct"/>
          </w:tcPr>
          <w:p>
            <w:pPr>
              <w:ind w:leftChars="0" w:left="0" w:right="0"/>
            </w:pPr>
            <w:r>
              <w:t>FINO</w:t>
            </w:r>
          </w:p>
        </w:tc>
        <w:tc>
          <w:tcPr>
            <w:cnfStyle w:evenVBand="true" w:oddVBand="false" w:firstColumn="false"/>
            <w:tcW w:w="25.000000%" w:type="pct"/>
          </w:tcPr>
          <w:p>
            <w:pPr>
              <w:ind w:leftChars="0" w:left="0" w:right="0"/>
            </w:pPr>
            <w:r>
              <w:t>FINO</w:t>
            </w:r>
          </w:p>
        </w:tc>
        <w:tc>
          <w:tcPr>
            <w:cnfStyle w:evenVBand="false" w:oddVBand="true" w:firstColumn="false"/>
            <w:tcW w:w="25.000000%" w:type="pct"/>
          </w:tcPr>
          <w:p>
            <w:pPr>
              <w:ind w:leftChars="0" w:left="0" w:right="0"/>
            </w:pPr>
            <w:r>
              <w:t>FINRA ORF (TRADE REPORTING FACILITY)</w:t>
            </w:r>
          </w:p>
        </w:tc>
        <w:tc>
          <w:tcPr>
            <w:cnfStyle w:evenVBand="true" w:oddVBand="false" w:firstColumn="false"/>
            <w:tcW w:w="25.000000%" w:type="pct"/>
          </w:tcPr>
          <w:p>
            <w:pPr>
              <w:ind w:leftChars="0" w:left="0" w:right="0"/>
            </w:pPr>
            <w:r>
              <w:t>706</w:t>
            </w:r>
          </w:p>
        </w:tc>
      </w:tr>
      <w:tr>
        <w:trPr>
          <w:cnfStyle w:evenHBand="true" w:oddHBand="false" w:firstRow="false"/>
        </w:trPr>
        <w:tc>
          <w:tcPr>
            <w:cnfStyle w:evenVBand="false" w:oddVBand="true" w:firstColumn="false"/>
            <w:tcW w:w="25.000000%" w:type="pct"/>
          </w:tcPr>
          <w:p>
            <w:pPr>
              <w:ind w:leftChars="0" w:left="0" w:right="0"/>
            </w:pPr>
            <w:r>
              <w:t>FINR</w:t>
            </w:r>
          </w:p>
        </w:tc>
        <w:tc>
          <w:tcPr>
            <w:cnfStyle w:evenVBand="true" w:oddVBand="false" w:firstColumn="false"/>
            <w:tcW w:w="25.000000%" w:type="pct"/>
          </w:tcPr>
          <w:p>
            <w:pPr>
              <w:ind w:leftChars="0" w:left="0" w:right="0"/>
            </w:pPr>
            <w:r>
              <w:t>FINR</w:t>
            </w:r>
          </w:p>
        </w:tc>
        <w:tc>
          <w:tcPr>
            <w:cnfStyle w:evenVBand="false" w:oddVBand="true" w:firstColumn="false"/>
            <w:tcW w:w="25.000000%" w:type="pct"/>
          </w:tcPr>
          <w:p>
            <w:pPr>
              <w:ind w:leftChars="0" w:left="0" w:right="0"/>
            </w:pPr>
            <w:r>
              <w:t>FINRA</w:t>
            </w:r>
          </w:p>
        </w:tc>
        <w:tc>
          <w:tcPr>
            <w:cnfStyle w:evenVBand="true" w:oddVBand="false" w:firstColumn="false"/>
            <w:tcW w:w="25.000000%" w:type="pct"/>
          </w:tcPr>
          <w:p>
            <w:pPr>
              <w:ind w:leftChars="0" w:left="0" w:right="0"/>
            </w:pPr>
            <w:r>
              <w:t>707</w:t>
            </w:r>
          </w:p>
        </w:tc>
      </w:tr>
      <w:tr>
        <w:trPr>
          <w:cnfStyle w:evenHBand="false" w:oddHBand="true" w:firstRow="false"/>
        </w:trPr>
        <w:tc>
          <w:tcPr>
            <w:cnfStyle w:evenVBand="false" w:oddVBand="true" w:firstColumn="false"/>
            <w:tcW w:w="25.000000%" w:type="pct"/>
          </w:tcPr>
          <w:p>
            <w:pPr>
              <w:ind w:leftChars="0" w:left="0" w:right="0"/>
            </w:pPr>
            <w:r>
              <w:t>FINY</w:t>
            </w:r>
          </w:p>
        </w:tc>
        <w:tc>
          <w:tcPr>
            <w:cnfStyle w:evenVBand="true" w:oddVBand="false" w:firstColumn="false"/>
            <w:tcW w:w="25.000000%" w:type="pct"/>
          </w:tcPr>
          <w:p>
            <w:pPr>
              <w:ind w:leftChars="0" w:left="0" w:right="0"/>
            </w:pPr>
            <w:r>
              <w:t>FINY</w:t>
            </w:r>
          </w:p>
        </w:tc>
        <w:tc>
          <w:tcPr>
            <w:cnfStyle w:evenVBand="false" w:oddVBand="true" w:firstColumn="false"/>
            <w:tcW w:w="25.000000%" w:type="pct"/>
          </w:tcPr>
          <w:p>
            <w:pPr>
              <w:ind w:leftChars="0" w:left="0" w:right="0"/>
            </w:pPr>
            <w:r>
              <w:t>FINRA/NYSE TRF (TRADE REPORTING FACILITY)</w:t>
            </w:r>
          </w:p>
        </w:tc>
        <w:tc>
          <w:tcPr>
            <w:cnfStyle w:evenVBand="true" w:oddVBand="false" w:firstColumn="false"/>
            <w:tcW w:w="25.000000%" w:type="pct"/>
          </w:tcPr>
          <w:p>
            <w:pPr>
              <w:ind w:leftChars="0" w:left="0" w:right="0"/>
            </w:pPr>
            <w:r>
              <w:t>708</w:t>
            </w:r>
          </w:p>
        </w:tc>
      </w:tr>
      <w:tr>
        <w:trPr>
          <w:cnfStyle w:evenHBand="true" w:oddHBand="false" w:firstRow="false"/>
        </w:trPr>
        <w:tc>
          <w:tcPr>
            <w:cnfStyle w:evenVBand="false" w:oddVBand="true" w:firstColumn="false"/>
            <w:tcW w:w="25.000000%" w:type="pct"/>
          </w:tcPr>
          <w:p>
            <w:pPr>
              <w:ind w:leftChars="0" w:left="0" w:right="0"/>
            </w:pPr>
            <w:r>
              <w:t>FISH</w:t>
            </w:r>
          </w:p>
        </w:tc>
        <w:tc>
          <w:tcPr>
            <w:cnfStyle w:evenVBand="true" w:oddVBand="false" w:firstColumn="false"/>
            <w:tcW w:w="25.000000%" w:type="pct"/>
          </w:tcPr>
          <w:p>
            <w:pPr>
              <w:ind w:leftChars="0" w:left="0" w:right="0"/>
            </w:pPr>
            <w:r>
              <w:t>FISH</w:t>
            </w:r>
          </w:p>
        </w:tc>
        <w:tc>
          <w:tcPr>
            <w:cnfStyle w:evenVBand="false" w:oddVBand="true" w:firstColumn="false"/>
            <w:tcW w:w="25.000000%" w:type="pct"/>
          </w:tcPr>
          <w:p>
            <w:pPr>
              <w:ind w:leftChars="0" w:left="0" w:right="0"/>
            </w:pPr>
            <w:r>
              <w:t>FISH POOL ASA</w:t>
            </w:r>
          </w:p>
        </w:tc>
        <w:tc>
          <w:tcPr>
            <w:cnfStyle w:evenVBand="true" w:oddVBand="false" w:firstColumn="false"/>
            <w:tcW w:w="25.000000%" w:type="pct"/>
          </w:tcPr>
          <w:p>
            <w:pPr>
              <w:ind w:leftChars="0" w:left="0" w:right="0"/>
            </w:pPr>
            <w:r>
              <w:t>709</w:t>
            </w:r>
          </w:p>
        </w:tc>
      </w:tr>
      <w:tr>
        <w:trPr>
          <w:cnfStyle w:evenHBand="false" w:oddHBand="true" w:firstRow="false"/>
        </w:trPr>
        <w:tc>
          <w:tcPr>
            <w:cnfStyle w:evenVBand="false" w:oddVBand="true" w:firstColumn="false"/>
            <w:tcW w:w="25.000000%" w:type="pct"/>
          </w:tcPr>
          <w:p>
            <w:pPr>
              <w:ind w:leftChars="0" w:left="0" w:right="0"/>
            </w:pPr>
            <w:r>
              <w:t>FISU</w:t>
            </w:r>
          </w:p>
        </w:tc>
        <w:tc>
          <w:tcPr>
            <w:cnfStyle w:evenVBand="true" w:oddVBand="false" w:firstColumn="false"/>
            <w:tcW w:w="25.000000%" w:type="pct"/>
          </w:tcPr>
          <w:p>
            <w:pPr>
              <w:ind w:leftChars="0" w:left="0" w:right="0"/>
            </w:pPr>
            <w:r>
              <w:t>FISU</w:t>
            </w:r>
          </w:p>
        </w:tc>
        <w:tc>
          <w:tcPr>
            <w:cnfStyle w:evenVBand="false" w:oddVBand="true" w:firstColumn="false"/>
            <w:tcW w:w="25.000000%" w:type="pct"/>
          </w:tcPr>
          <w:p>
            <w:pPr>
              <w:ind w:leftChars="0" w:left="0" w:right="0"/>
            </w:pPr>
            <w:r>
              <w:t>FREIGHT INVESTOR SERVICES LIMITED</w:t>
            </w:r>
          </w:p>
        </w:tc>
        <w:tc>
          <w:tcPr>
            <w:cnfStyle w:evenVBand="true" w:oddVBand="false" w:firstColumn="false"/>
            <w:tcW w:w="25.000000%" w:type="pct"/>
          </w:tcPr>
          <w:p>
            <w:pPr>
              <w:ind w:leftChars="0" w:left="0" w:right="0"/>
            </w:pPr>
            <w:r>
              <w:t>710</w:t>
            </w:r>
          </w:p>
        </w:tc>
      </w:tr>
      <w:tr>
        <w:trPr>
          <w:cnfStyle w:evenHBand="true" w:oddHBand="false" w:firstRow="false"/>
        </w:trPr>
        <w:tc>
          <w:tcPr>
            <w:cnfStyle w:evenVBand="false" w:oddVBand="true" w:firstColumn="false"/>
            <w:tcW w:w="25.000000%" w:type="pct"/>
          </w:tcPr>
          <w:p>
            <w:pPr>
              <w:ind w:leftChars="0" w:left="0" w:right="0"/>
            </w:pPr>
            <w:r>
              <w:t>FLTB</w:t>
            </w:r>
          </w:p>
        </w:tc>
        <w:tc>
          <w:tcPr>
            <w:cnfStyle w:evenVBand="true" w:oddVBand="false" w:firstColumn="false"/>
            <w:tcW w:w="25.000000%" w:type="pct"/>
          </w:tcPr>
          <w:p>
            <w:pPr>
              <w:ind w:leftChars="0" w:left="0" w:right="0"/>
            </w:pPr>
            <w:r>
              <w:t>FLTB</w:t>
            </w:r>
          </w:p>
        </w:tc>
        <w:tc>
          <w:tcPr>
            <w:cnfStyle w:evenVBand="false" w:oddVBand="true" w:firstColumn="false"/>
            <w:tcW w:w="25.000000%" w:type="pct"/>
          </w:tcPr>
          <w:p>
            <w:pPr>
              <w:ind w:leftChars="0" w:left="0" w:right="0"/>
            </w:pPr>
            <w:r>
              <w:t>FLOW TRADERS B.V. - SYSTEMATIC INTERNALISER BONDS</w:t>
            </w:r>
          </w:p>
        </w:tc>
        <w:tc>
          <w:tcPr>
            <w:cnfStyle w:evenVBand="true" w:oddVBand="false" w:firstColumn="false"/>
            <w:tcW w:w="25.000000%" w:type="pct"/>
          </w:tcPr>
          <w:p>
            <w:pPr>
              <w:ind w:leftChars="0" w:left="0" w:right="0"/>
            </w:pPr>
            <w:r>
              <w:t>711</w:t>
            </w:r>
          </w:p>
        </w:tc>
      </w:tr>
      <w:tr>
        <w:trPr>
          <w:cnfStyle w:evenHBand="false" w:oddHBand="true" w:firstRow="false"/>
        </w:trPr>
        <w:tc>
          <w:tcPr>
            <w:cnfStyle w:evenVBand="false" w:oddVBand="true" w:firstColumn="false"/>
            <w:tcW w:w="25.000000%" w:type="pct"/>
          </w:tcPr>
          <w:p>
            <w:pPr>
              <w:ind w:leftChars="0" w:left="0" w:right="0"/>
            </w:pPr>
            <w:r>
              <w:t>FLTR</w:t>
            </w:r>
          </w:p>
        </w:tc>
        <w:tc>
          <w:tcPr>
            <w:cnfStyle w:evenVBand="true" w:oddVBand="false" w:firstColumn="false"/>
            <w:tcW w:w="25.000000%" w:type="pct"/>
          </w:tcPr>
          <w:p>
            <w:pPr>
              <w:ind w:leftChars="0" w:left="0" w:right="0"/>
            </w:pPr>
            <w:r>
              <w:t>FLTR</w:t>
            </w:r>
          </w:p>
        </w:tc>
        <w:tc>
          <w:tcPr>
            <w:cnfStyle w:evenVBand="false" w:oddVBand="true" w:firstColumn="false"/>
            <w:tcW w:w="25.000000%" w:type="pct"/>
          </w:tcPr>
          <w:p>
            <w:pPr>
              <w:ind w:leftChars="0" w:left="0" w:right="0"/>
            </w:pPr>
            <w:r>
              <w:t>FLOW TRADERS - SYSTEMATIC INTERNALISER</w:t>
            </w:r>
          </w:p>
        </w:tc>
        <w:tc>
          <w:tcPr>
            <w:cnfStyle w:evenVBand="true" w:oddVBand="false" w:firstColumn="false"/>
            <w:tcW w:w="25.000000%" w:type="pct"/>
          </w:tcPr>
          <w:p>
            <w:pPr>
              <w:ind w:leftChars="0" w:left="0" w:right="0"/>
            </w:pPr>
            <w:r>
              <w:t>712</w:t>
            </w:r>
          </w:p>
        </w:tc>
      </w:tr>
      <w:tr>
        <w:trPr>
          <w:cnfStyle w:evenHBand="true" w:oddHBand="false" w:firstRow="false"/>
        </w:trPr>
        <w:tc>
          <w:tcPr>
            <w:cnfStyle w:evenVBand="false" w:oddVBand="true" w:firstColumn="false"/>
            <w:tcW w:w="25.000000%" w:type="pct"/>
          </w:tcPr>
          <w:p>
            <w:pPr>
              <w:ind w:leftChars="0" w:left="0" w:right="0"/>
            </w:pPr>
            <w:r>
              <w:t>FLWX</w:t>
            </w:r>
          </w:p>
        </w:tc>
        <w:tc>
          <w:tcPr>
            <w:cnfStyle w:evenVBand="true" w:oddVBand="false" w:firstColumn="false"/>
            <w:tcW w:w="25.000000%" w:type="pct"/>
          </w:tcPr>
          <w:p>
            <w:pPr>
              <w:ind w:leftChars="0" w:left="0" w:right="0"/>
            </w:pPr>
            <w:r>
              <w:t>FLWX</w:t>
            </w:r>
          </w:p>
        </w:tc>
        <w:tc>
          <w:tcPr>
            <w:cnfStyle w:evenVBand="false" w:oddVBand="true" w:firstColumn="false"/>
            <w:tcW w:w="25.000000%" w:type="pct"/>
          </w:tcPr>
          <w:p>
            <w:pPr>
              <w:ind w:leftChars="0" w:left="0" w:right="0"/>
            </w:pPr>
            <w:r>
              <w:t>FLOW TRADERS</w:t>
            </w:r>
          </w:p>
        </w:tc>
        <w:tc>
          <w:tcPr>
            <w:cnfStyle w:evenVBand="true" w:oddVBand="false" w:firstColumn="false"/>
            <w:tcW w:w="25.000000%" w:type="pct"/>
          </w:tcPr>
          <w:p>
            <w:pPr>
              <w:ind w:leftChars="0" w:left="0" w:right="0"/>
            </w:pPr>
            <w:r>
              <w:t>713</w:t>
            </w:r>
          </w:p>
        </w:tc>
      </w:tr>
      <w:tr>
        <w:trPr>
          <w:cnfStyle w:evenHBand="false" w:oddHBand="true" w:firstRow="false"/>
        </w:trPr>
        <w:tc>
          <w:tcPr>
            <w:cnfStyle w:evenVBand="false" w:oddVBand="true" w:firstColumn="false"/>
            <w:tcW w:w="25.000000%" w:type="pct"/>
          </w:tcPr>
          <w:p>
            <w:pPr>
              <w:ind w:leftChars="0" w:left="0" w:right="0"/>
            </w:pPr>
            <w:r>
              <w:t>FMTS</w:t>
            </w:r>
          </w:p>
        </w:tc>
        <w:tc>
          <w:tcPr>
            <w:cnfStyle w:evenVBand="true" w:oddVBand="false" w:firstColumn="false"/>
            <w:tcW w:w="25.000000%" w:type="pct"/>
          </w:tcPr>
          <w:p>
            <w:pPr>
              <w:ind w:leftChars="0" w:left="0" w:right="0"/>
            </w:pPr>
            <w:r>
              <w:t>FMTS</w:t>
            </w:r>
          </w:p>
        </w:tc>
        <w:tc>
          <w:tcPr>
            <w:cnfStyle w:evenVBand="false" w:oddVBand="true" w:firstColumn="false"/>
            <w:tcW w:w="25.000000%" w:type="pct"/>
          </w:tcPr>
          <w:p>
            <w:pPr>
              <w:ind w:leftChars="0" w:left="0" w:right="0"/>
            </w:pPr>
            <w:r>
              <w:t>MTS FRANCE SAS</w:t>
            </w:r>
          </w:p>
        </w:tc>
        <w:tc>
          <w:tcPr>
            <w:cnfStyle w:evenVBand="true" w:oddVBand="false" w:firstColumn="false"/>
            <w:tcW w:w="25.000000%" w:type="pct"/>
          </w:tcPr>
          <w:p>
            <w:pPr>
              <w:ind w:leftChars="0" w:left="0" w:right="0"/>
            </w:pPr>
            <w:r>
              <w:t>714</w:t>
            </w:r>
          </w:p>
        </w:tc>
      </w:tr>
      <w:tr>
        <w:trPr>
          <w:cnfStyle w:evenHBand="true" w:oddHBand="false" w:firstRow="false"/>
        </w:trPr>
        <w:tc>
          <w:tcPr>
            <w:cnfStyle w:evenVBand="false" w:oddVBand="true" w:firstColumn="false"/>
            <w:tcW w:w="25.000000%" w:type="pct"/>
          </w:tcPr>
          <w:p>
            <w:pPr>
              <w:ind w:leftChars="0" w:left="0" w:right="0"/>
            </w:pPr>
            <w:r>
              <w:t>FNCS</w:t>
            </w:r>
          </w:p>
        </w:tc>
        <w:tc>
          <w:tcPr>
            <w:cnfStyle w:evenVBand="true" w:oddVBand="false" w:firstColumn="false"/>
            <w:tcW w:w="25.000000%" w:type="pct"/>
          </w:tcPr>
          <w:p>
            <w:pPr>
              <w:ind w:leftChars="0" w:left="0" w:right="0"/>
            </w:pPr>
            <w:r>
              <w:t>FNCS</w:t>
            </w:r>
          </w:p>
        </w:tc>
        <w:tc>
          <w:tcPr>
            <w:cnfStyle w:evenVBand="false" w:oddVBand="true" w:firstColumn="false"/>
            <w:tcW w:w="25.000000%" w:type="pct"/>
          </w:tcPr>
          <w:p>
            <w:pPr>
              <w:ind w:leftChars="0" w:left="0" w:right="0"/>
            </w:pPr>
            <w:r>
              <w:t>FENICS - US TREASURIES</w:t>
            </w:r>
          </w:p>
        </w:tc>
        <w:tc>
          <w:tcPr>
            <w:cnfStyle w:evenVBand="true" w:oddVBand="false" w:firstColumn="false"/>
            <w:tcW w:w="25.000000%" w:type="pct"/>
          </w:tcPr>
          <w:p>
            <w:pPr>
              <w:ind w:leftChars="0" w:left="0" w:right="0"/>
            </w:pPr>
            <w:r>
              <w:t>715</w:t>
            </w:r>
          </w:p>
        </w:tc>
      </w:tr>
      <w:tr>
        <w:trPr>
          <w:cnfStyle w:evenHBand="false" w:oddHBand="true" w:firstRow="false"/>
        </w:trPr>
        <w:tc>
          <w:tcPr>
            <w:cnfStyle w:evenVBand="false" w:oddVBand="true" w:firstColumn="false"/>
            <w:tcW w:w="25.000000%" w:type="pct"/>
          </w:tcPr>
          <w:p>
            <w:pPr>
              <w:ind w:leftChars="0" w:left="0" w:right="0"/>
            </w:pPr>
            <w:r>
              <w:t>FNDK</w:t>
            </w:r>
          </w:p>
        </w:tc>
        <w:tc>
          <w:tcPr>
            <w:cnfStyle w:evenVBand="true" w:oddVBand="false" w:firstColumn="false"/>
            <w:tcW w:w="25.000000%" w:type="pct"/>
          </w:tcPr>
          <w:p>
            <w:pPr>
              <w:ind w:leftChars="0" w:left="0" w:right="0"/>
            </w:pPr>
            <w:r>
              <w:t>FNDK</w:t>
            </w:r>
          </w:p>
        </w:tc>
        <w:tc>
          <w:tcPr>
            <w:cnfStyle w:evenVBand="false" w:oddVBand="true" w:firstColumn="false"/>
            <w:tcW w:w="25.000000%" w:type="pct"/>
          </w:tcPr>
          <w:p>
            <w:pPr>
              <w:ind w:leftChars="0" w:left="0" w:right="0"/>
            </w:pPr>
            <w:r>
              <w:t>FIRST NORTH DENMARK</w:t>
            </w:r>
          </w:p>
        </w:tc>
        <w:tc>
          <w:tcPr>
            <w:cnfStyle w:evenVBand="true" w:oddVBand="false" w:firstColumn="false"/>
            <w:tcW w:w="25.000000%" w:type="pct"/>
          </w:tcPr>
          <w:p>
            <w:pPr>
              <w:ind w:leftChars="0" w:left="0" w:right="0"/>
            </w:pPr>
            <w:r>
              <w:t>716</w:t>
            </w:r>
          </w:p>
        </w:tc>
      </w:tr>
      <w:tr>
        <w:trPr>
          <w:cnfStyle w:evenHBand="true" w:oddHBand="false" w:firstRow="false"/>
        </w:trPr>
        <w:tc>
          <w:tcPr>
            <w:cnfStyle w:evenVBand="false" w:oddVBand="true" w:firstColumn="false"/>
            <w:tcW w:w="25.000000%" w:type="pct"/>
          </w:tcPr>
          <w:p>
            <w:pPr>
              <w:ind w:leftChars="0" w:left="0" w:right="0"/>
            </w:pPr>
            <w:r>
              <w:t>FNEE</w:t>
            </w:r>
          </w:p>
        </w:tc>
        <w:tc>
          <w:tcPr>
            <w:cnfStyle w:evenVBand="true" w:oddVBand="false" w:firstColumn="false"/>
            <w:tcW w:w="25.000000%" w:type="pct"/>
          </w:tcPr>
          <w:p>
            <w:pPr>
              <w:ind w:leftChars="0" w:left="0" w:right="0"/>
            </w:pPr>
            <w:r>
              <w:t>FNEE</w:t>
            </w:r>
          </w:p>
        </w:tc>
        <w:tc>
          <w:tcPr>
            <w:cnfStyle w:evenVBand="false" w:oddVBand="true" w:firstColumn="false"/>
            <w:tcW w:w="25.000000%" w:type="pct"/>
          </w:tcPr>
          <w:p>
            <w:pPr>
              <w:ind w:leftChars="0" w:left="0" w:right="0"/>
            </w:pPr>
            <w:r>
              <w:t>FIRST NORTH ESTONIA</w:t>
            </w:r>
          </w:p>
        </w:tc>
        <w:tc>
          <w:tcPr>
            <w:cnfStyle w:evenVBand="true" w:oddVBand="false" w:firstColumn="false"/>
            <w:tcW w:w="25.000000%" w:type="pct"/>
          </w:tcPr>
          <w:p>
            <w:pPr>
              <w:ind w:leftChars="0" w:left="0" w:right="0"/>
            </w:pPr>
            <w:r>
              <w:t>717</w:t>
            </w:r>
          </w:p>
        </w:tc>
      </w:tr>
      <w:tr>
        <w:trPr>
          <w:cnfStyle w:evenHBand="false" w:oddHBand="true" w:firstRow="false"/>
        </w:trPr>
        <w:tc>
          <w:tcPr>
            <w:cnfStyle w:evenVBand="false" w:oddVBand="true" w:firstColumn="false"/>
            <w:tcW w:w="25.000000%" w:type="pct"/>
          </w:tcPr>
          <w:p>
            <w:pPr>
              <w:ind w:leftChars="0" w:left="0" w:right="0"/>
            </w:pPr>
            <w:r>
              <w:t>FNFI</w:t>
            </w:r>
          </w:p>
        </w:tc>
        <w:tc>
          <w:tcPr>
            <w:cnfStyle w:evenVBand="true" w:oddVBand="false" w:firstColumn="false"/>
            <w:tcW w:w="25.000000%" w:type="pct"/>
          </w:tcPr>
          <w:p>
            <w:pPr>
              <w:ind w:leftChars="0" w:left="0" w:right="0"/>
            </w:pPr>
            <w:r>
              <w:t>FNFI</w:t>
            </w:r>
          </w:p>
        </w:tc>
        <w:tc>
          <w:tcPr>
            <w:cnfStyle w:evenVBand="false" w:oddVBand="true" w:firstColumn="false"/>
            <w:tcW w:w="25.000000%" w:type="pct"/>
          </w:tcPr>
          <w:p>
            <w:pPr>
              <w:ind w:leftChars="0" w:left="0" w:right="0"/>
            </w:pPr>
            <w:r>
              <w:t>FIRST NORTH FINLAND</w:t>
            </w:r>
          </w:p>
        </w:tc>
        <w:tc>
          <w:tcPr>
            <w:cnfStyle w:evenVBand="true" w:oddVBand="false" w:firstColumn="false"/>
            <w:tcW w:w="25.000000%" w:type="pct"/>
          </w:tcPr>
          <w:p>
            <w:pPr>
              <w:ind w:leftChars="0" w:left="0" w:right="0"/>
            </w:pPr>
            <w:r>
              <w:t>718</w:t>
            </w:r>
          </w:p>
        </w:tc>
      </w:tr>
      <w:tr>
        <w:trPr>
          <w:cnfStyle w:evenHBand="true" w:oddHBand="false" w:firstRow="false"/>
        </w:trPr>
        <w:tc>
          <w:tcPr>
            <w:cnfStyle w:evenVBand="false" w:oddVBand="true" w:firstColumn="false"/>
            <w:tcW w:w="25.000000%" w:type="pct"/>
          </w:tcPr>
          <w:p>
            <w:pPr>
              <w:ind w:leftChars="0" w:left="0" w:right="0"/>
            </w:pPr>
            <w:r>
              <w:t>FNFT</w:t>
            </w:r>
          </w:p>
        </w:tc>
        <w:tc>
          <w:tcPr>
            <w:cnfStyle w:evenVBand="true" w:oddVBand="false" w:firstColumn="false"/>
            <w:tcW w:w="25.000000%" w:type="pct"/>
          </w:tcPr>
          <w:p>
            <w:pPr>
              <w:ind w:leftChars="0" w:left="0" w:right="0"/>
            </w:pPr>
            <w:r>
              <w:t>FNFT</w:t>
            </w:r>
          </w:p>
        </w:tc>
        <w:tc>
          <w:tcPr>
            <w:cnfStyle w:evenVBand="false" w:oddVBand="true" w:firstColumn="false"/>
            <w:tcW w:w="25.000000%" w:type="pct"/>
          </w:tcPr>
          <w:p>
            <w:pPr>
              <w:ind w:leftChars="0" w:left="0" w:right="0"/>
            </w:pPr>
            <w:r>
              <w:t>FENICS FUTURES</w:t>
            </w:r>
          </w:p>
        </w:tc>
        <w:tc>
          <w:tcPr>
            <w:cnfStyle w:evenVBand="true" w:oddVBand="false" w:firstColumn="false"/>
            <w:tcW w:w="25.000000%" w:type="pct"/>
          </w:tcPr>
          <w:p>
            <w:pPr>
              <w:ind w:leftChars="0" w:left="0" w:right="0"/>
            </w:pPr>
            <w:r>
              <w:t>719</w:t>
            </w:r>
          </w:p>
        </w:tc>
      </w:tr>
      <w:tr>
        <w:trPr>
          <w:cnfStyle w:evenHBand="false" w:oddHBand="true" w:firstRow="false"/>
        </w:trPr>
        <w:tc>
          <w:tcPr>
            <w:cnfStyle w:evenVBand="false" w:oddVBand="true" w:firstColumn="false"/>
            <w:tcW w:w="25.000000%" w:type="pct"/>
          </w:tcPr>
          <w:p>
            <w:pPr>
              <w:ind w:leftChars="0" w:left="0" w:right="0"/>
            </w:pPr>
            <w:r>
              <w:t>FNFX</w:t>
            </w:r>
          </w:p>
        </w:tc>
        <w:tc>
          <w:tcPr>
            <w:cnfStyle w:evenVBand="true" w:oddVBand="false" w:firstColumn="false"/>
            <w:tcW w:w="25.000000%" w:type="pct"/>
          </w:tcPr>
          <w:p>
            <w:pPr>
              <w:ind w:leftChars="0" w:left="0" w:right="0"/>
            </w:pPr>
            <w:r>
              <w:t>FNFX</w:t>
            </w:r>
          </w:p>
        </w:tc>
        <w:tc>
          <w:tcPr>
            <w:cnfStyle w:evenVBand="false" w:oddVBand="true" w:firstColumn="false"/>
            <w:tcW w:w="25.000000%" w:type="pct"/>
          </w:tcPr>
          <w:p>
            <w:pPr>
              <w:ind w:leftChars="0" w:left="0" w:right="0"/>
            </w:pPr>
            <w:r>
              <w:t>FENICS FX ECN</w:t>
            </w:r>
          </w:p>
        </w:tc>
        <w:tc>
          <w:tcPr>
            <w:cnfStyle w:evenVBand="true" w:oddVBand="false" w:firstColumn="false"/>
            <w:tcW w:w="25.000000%" w:type="pct"/>
          </w:tcPr>
          <w:p>
            <w:pPr>
              <w:ind w:leftChars="0" w:left="0" w:right="0"/>
            </w:pPr>
            <w:r>
              <w:t>720</w:t>
            </w:r>
          </w:p>
        </w:tc>
      </w:tr>
      <w:tr>
        <w:trPr>
          <w:cnfStyle w:evenHBand="true" w:oddHBand="false" w:firstRow="false"/>
        </w:trPr>
        <w:tc>
          <w:tcPr>
            <w:cnfStyle w:evenVBand="false" w:oddVBand="true" w:firstColumn="false"/>
            <w:tcW w:w="25.000000%" w:type="pct"/>
          </w:tcPr>
          <w:p>
            <w:pPr>
              <w:ind w:leftChars="0" w:left="0" w:right="0"/>
            </w:pPr>
            <w:r>
              <w:t>FNIS</w:t>
            </w:r>
          </w:p>
        </w:tc>
        <w:tc>
          <w:tcPr>
            <w:cnfStyle w:evenVBand="true" w:oddVBand="false" w:firstColumn="false"/>
            <w:tcW w:w="25.000000%" w:type="pct"/>
          </w:tcPr>
          <w:p>
            <w:pPr>
              <w:ind w:leftChars="0" w:left="0" w:right="0"/>
            </w:pPr>
            <w:r>
              <w:t>FNIS</w:t>
            </w:r>
          </w:p>
        </w:tc>
        <w:tc>
          <w:tcPr>
            <w:cnfStyle w:evenVBand="false" w:oddVBand="true" w:firstColumn="false"/>
            <w:tcW w:w="25.000000%" w:type="pct"/>
          </w:tcPr>
          <w:p>
            <w:pPr>
              <w:ind w:leftChars="0" w:left="0" w:right="0"/>
            </w:pPr>
            <w:r>
              <w:t>FIRST NORTH ICELAND</w:t>
            </w:r>
          </w:p>
        </w:tc>
        <w:tc>
          <w:tcPr>
            <w:cnfStyle w:evenVBand="true" w:oddVBand="false" w:firstColumn="false"/>
            <w:tcW w:w="25.000000%" w:type="pct"/>
          </w:tcPr>
          <w:p>
            <w:pPr>
              <w:ind w:leftChars="0" w:left="0" w:right="0"/>
            </w:pPr>
            <w:r>
              <w:t>721</w:t>
            </w:r>
          </w:p>
        </w:tc>
      </w:tr>
      <w:tr>
        <w:trPr>
          <w:cnfStyle w:evenHBand="false" w:oddHBand="true" w:firstRow="false"/>
        </w:trPr>
        <w:tc>
          <w:tcPr>
            <w:cnfStyle w:evenVBand="false" w:oddVBand="true" w:firstColumn="false"/>
            <w:tcW w:w="25.000000%" w:type="pct"/>
          </w:tcPr>
          <w:p>
            <w:pPr>
              <w:ind w:leftChars="0" w:left="0" w:right="0"/>
            </w:pPr>
            <w:r>
              <w:t>FNIX</w:t>
            </w:r>
          </w:p>
        </w:tc>
        <w:tc>
          <w:tcPr>
            <w:cnfStyle w:evenVBand="true" w:oddVBand="false" w:firstColumn="false"/>
            <w:tcW w:w="25.000000%" w:type="pct"/>
          </w:tcPr>
          <w:p>
            <w:pPr>
              <w:ind w:leftChars="0" w:left="0" w:right="0"/>
            </w:pPr>
            <w:r>
              <w:t>FNIX</w:t>
            </w:r>
          </w:p>
        </w:tc>
        <w:tc>
          <w:tcPr>
            <w:cnfStyle w:evenVBand="false" w:oddVBand="true" w:firstColumn="false"/>
            <w:tcW w:w="25.000000%" w:type="pct"/>
          </w:tcPr>
          <w:p>
            <w:pPr>
              <w:ind w:leftChars="0" w:left="0" w:right="0"/>
            </w:pPr>
            <w:r>
              <w:t>GFI SECURITIES LLC - FENICS DELTA X</w:t>
            </w:r>
          </w:p>
        </w:tc>
        <w:tc>
          <w:tcPr>
            <w:cnfStyle w:evenVBand="true" w:oddVBand="false" w:firstColumn="false"/>
            <w:tcW w:w="25.000000%" w:type="pct"/>
          </w:tcPr>
          <w:p>
            <w:pPr>
              <w:ind w:leftChars="0" w:left="0" w:right="0"/>
            </w:pPr>
            <w:r>
              <w:t>722</w:t>
            </w:r>
          </w:p>
        </w:tc>
      </w:tr>
      <w:tr>
        <w:trPr>
          <w:cnfStyle w:evenHBand="true" w:oddHBand="false" w:firstRow="false"/>
        </w:trPr>
        <w:tc>
          <w:tcPr>
            <w:cnfStyle w:evenVBand="false" w:oddVBand="true" w:firstColumn="false"/>
            <w:tcW w:w="25.000000%" w:type="pct"/>
          </w:tcPr>
          <w:p>
            <w:pPr>
              <w:ind w:leftChars="0" w:left="0" w:right="0"/>
            </w:pPr>
            <w:r>
              <w:t>FNLT</w:t>
            </w:r>
          </w:p>
        </w:tc>
        <w:tc>
          <w:tcPr>
            <w:cnfStyle w:evenVBand="true" w:oddVBand="false" w:firstColumn="false"/>
            <w:tcW w:w="25.000000%" w:type="pct"/>
          </w:tcPr>
          <w:p>
            <w:pPr>
              <w:ind w:leftChars="0" w:left="0" w:right="0"/>
            </w:pPr>
            <w:r>
              <w:t>FNLT</w:t>
            </w:r>
          </w:p>
        </w:tc>
        <w:tc>
          <w:tcPr>
            <w:cnfStyle w:evenVBand="false" w:oddVBand="true" w:firstColumn="false"/>
            <w:tcW w:w="25.000000%" w:type="pct"/>
          </w:tcPr>
          <w:p>
            <w:pPr>
              <w:ind w:leftChars="0" w:left="0" w:right="0"/>
            </w:pPr>
            <w:r>
              <w:t>FIRST NORTH LITHUANIA</w:t>
            </w:r>
          </w:p>
        </w:tc>
        <w:tc>
          <w:tcPr>
            <w:cnfStyle w:evenVBand="true" w:oddVBand="false" w:firstColumn="false"/>
            <w:tcW w:w="25.000000%" w:type="pct"/>
          </w:tcPr>
          <w:p>
            <w:pPr>
              <w:ind w:leftChars="0" w:left="0" w:right="0"/>
            </w:pPr>
            <w:r>
              <w:t>723</w:t>
            </w:r>
          </w:p>
        </w:tc>
      </w:tr>
      <w:tr>
        <w:trPr>
          <w:cnfStyle w:evenHBand="false" w:oddHBand="true" w:firstRow="false"/>
        </w:trPr>
        <w:tc>
          <w:tcPr>
            <w:cnfStyle w:evenVBand="false" w:oddVBand="true" w:firstColumn="false"/>
            <w:tcW w:w="25.000000%" w:type="pct"/>
          </w:tcPr>
          <w:p>
            <w:pPr>
              <w:ind w:leftChars="0" w:left="0" w:right="0"/>
            </w:pPr>
            <w:r>
              <w:t>FNLV</w:t>
            </w:r>
          </w:p>
        </w:tc>
        <w:tc>
          <w:tcPr>
            <w:cnfStyle w:evenVBand="true" w:oddVBand="false" w:firstColumn="false"/>
            <w:tcW w:w="25.000000%" w:type="pct"/>
          </w:tcPr>
          <w:p>
            <w:pPr>
              <w:ind w:leftChars="0" w:left="0" w:right="0"/>
            </w:pPr>
            <w:r>
              <w:t>FNLV</w:t>
            </w:r>
          </w:p>
        </w:tc>
        <w:tc>
          <w:tcPr>
            <w:cnfStyle w:evenVBand="false" w:oddVBand="true" w:firstColumn="false"/>
            <w:tcW w:w="25.000000%" w:type="pct"/>
          </w:tcPr>
          <w:p>
            <w:pPr>
              <w:ind w:leftChars="0" w:left="0" w:right="0"/>
            </w:pPr>
            <w:r>
              <w:t>FIRST NORTH LATVIA</w:t>
            </w:r>
          </w:p>
        </w:tc>
        <w:tc>
          <w:tcPr>
            <w:cnfStyle w:evenVBand="true" w:oddVBand="false" w:firstColumn="false"/>
            <w:tcW w:w="25.000000%" w:type="pct"/>
          </w:tcPr>
          <w:p>
            <w:pPr>
              <w:ind w:leftChars="0" w:left="0" w:right="0"/>
            </w:pPr>
            <w:r>
              <w:t>724</w:t>
            </w:r>
          </w:p>
        </w:tc>
      </w:tr>
      <w:tr>
        <w:trPr>
          <w:cnfStyle w:evenHBand="true" w:oddHBand="false" w:firstRow="false"/>
        </w:trPr>
        <w:tc>
          <w:tcPr>
            <w:cnfStyle w:evenVBand="false" w:oddVBand="true" w:firstColumn="false"/>
            <w:tcW w:w="25.000000%" w:type="pct"/>
          </w:tcPr>
          <w:p>
            <w:pPr>
              <w:ind w:leftChars="0" w:left="0" w:right="0"/>
            </w:pPr>
            <w:r>
              <w:t>FNSE</w:t>
            </w:r>
          </w:p>
        </w:tc>
        <w:tc>
          <w:tcPr>
            <w:cnfStyle w:evenVBand="true" w:oddVBand="false" w:firstColumn="false"/>
            <w:tcW w:w="25.000000%" w:type="pct"/>
          </w:tcPr>
          <w:p>
            <w:pPr>
              <w:ind w:leftChars="0" w:left="0" w:right="0"/>
            </w:pPr>
            <w:r>
              <w:t>FNSE</w:t>
            </w:r>
          </w:p>
        </w:tc>
        <w:tc>
          <w:tcPr>
            <w:cnfStyle w:evenVBand="false" w:oddVBand="true" w:firstColumn="false"/>
            <w:tcW w:w="25.000000%" w:type="pct"/>
          </w:tcPr>
          <w:p>
            <w:pPr>
              <w:ind w:leftChars="0" w:left="0" w:right="0"/>
            </w:pPr>
            <w:r>
              <w:t>FIRST NORTH SWEDEN</w:t>
            </w:r>
          </w:p>
        </w:tc>
        <w:tc>
          <w:tcPr>
            <w:cnfStyle w:evenVBand="true" w:oddVBand="false" w:firstColumn="false"/>
            <w:tcW w:w="25.000000%" w:type="pct"/>
          </w:tcPr>
          <w:p>
            <w:pPr>
              <w:ind w:leftChars="0" w:left="0" w:right="0"/>
            </w:pPr>
            <w:r>
              <w:t>725</w:t>
            </w:r>
          </w:p>
        </w:tc>
      </w:tr>
      <w:tr>
        <w:trPr>
          <w:cnfStyle w:evenHBand="false" w:oddHBand="true" w:firstRow="false"/>
        </w:trPr>
        <w:tc>
          <w:tcPr>
            <w:cnfStyle w:evenVBand="false" w:oddVBand="true" w:firstColumn="false"/>
            <w:tcW w:w="25.000000%" w:type="pct"/>
          </w:tcPr>
          <w:p>
            <w:pPr>
              <w:ind w:leftChars="0" w:left="0" w:right="0"/>
            </w:pPr>
            <w:r>
              <w:t>FNUK</w:t>
            </w:r>
          </w:p>
        </w:tc>
        <w:tc>
          <w:tcPr>
            <w:cnfStyle w:evenVBand="true" w:oddVBand="false" w:firstColumn="false"/>
            <w:tcW w:w="25.000000%" w:type="pct"/>
          </w:tcPr>
          <w:p>
            <w:pPr>
              <w:ind w:leftChars="0" w:left="0" w:right="0"/>
            </w:pPr>
            <w:r>
              <w:t>FNUK</w:t>
            </w:r>
          </w:p>
        </w:tc>
        <w:tc>
          <w:tcPr>
            <w:cnfStyle w:evenVBand="false" w:oddVBand="true" w:firstColumn="false"/>
            <w:tcW w:w="25.000000%" w:type="pct"/>
          </w:tcPr>
          <w:p>
            <w:pPr>
              <w:ind w:leftChars="0" w:left="0" w:right="0"/>
            </w:pPr>
            <w:r>
              <w:t>FINANTIA UK LIMITED - SYSTEMATIC INTERNALISER</w:t>
            </w:r>
          </w:p>
        </w:tc>
        <w:tc>
          <w:tcPr>
            <w:cnfStyle w:evenVBand="true" w:oddVBand="false" w:firstColumn="false"/>
            <w:tcW w:w="25.000000%" w:type="pct"/>
          </w:tcPr>
          <w:p>
            <w:pPr>
              <w:ind w:leftChars="0" w:left="0" w:right="0"/>
            </w:pPr>
            <w:r>
              <w:t>726</w:t>
            </w:r>
          </w:p>
        </w:tc>
      </w:tr>
      <w:tr>
        <w:trPr>
          <w:cnfStyle w:evenHBand="true" w:oddHBand="false" w:firstRow="false"/>
        </w:trPr>
        <w:tc>
          <w:tcPr>
            <w:cnfStyle w:evenVBand="false" w:oddVBand="true" w:firstColumn="false"/>
            <w:tcW w:w="25.000000%" w:type="pct"/>
          </w:tcPr>
          <w:p>
            <w:pPr>
              <w:ind w:leftChars="0" w:left="0" w:right="0"/>
            </w:pPr>
            <w:r>
              <w:t>FNXB</w:t>
            </w:r>
          </w:p>
        </w:tc>
        <w:tc>
          <w:tcPr>
            <w:cnfStyle w:evenVBand="true" w:oddVBand="false" w:firstColumn="false"/>
            <w:tcW w:w="25.000000%" w:type="pct"/>
          </w:tcPr>
          <w:p>
            <w:pPr>
              <w:ind w:leftChars="0" w:left="0" w:right="0"/>
            </w:pPr>
            <w:r>
              <w:t>FNXB</w:t>
            </w:r>
          </w:p>
        </w:tc>
        <w:tc>
          <w:tcPr>
            <w:cnfStyle w:evenVBand="false" w:oddVBand="true" w:firstColumn="false"/>
            <w:tcW w:w="25.000000%" w:type="pct"/>
          </w:tcPr>
          <w:p>
            <w:pPr>
              <w:ind w:leftChars="0" w:left="0" w:right="0"/>
            </w:pPr>
            <w:r>
              <w:t>FENICS INVITATIONS</w:t>
            </w:r>
          </w:p>
        </w:tc>
        <w:tc>
          <w:tcPr>
            <w:cnfStyle w:evenVBand="true" w:oddVBand="false" w:firstColumn="false"/>
            <w:tcW w:w="25.000000%" w:type="pct"/>
          </w:tcPr>
          <w:p>
            <w:pPr>
              <w:ind w:leftChars="0" w:left="0" w:right="0"/>
            </w:pPr>
            <w:r>
              <w:t>727</w:t>
            </w:r>
          </w:p>
        </w:tc>
      </w:tr>
      <w:tr>
        <w:trPr>
          <w:cnfStyle w:evenHBand="false" w:oddHBand="true" w:firstRow="false"/>
        </w:trPr>
        <w:tc>
          <w:tcPr>
            <w:cnfStyle w:evenVBand="false" w:oddVBand="true" w:firstColumn="false"/>
            <w:tcW w:w="25.000000%" w:type="pct"/>
          </w:tcPr>
          <w:p>
            <w:pPr>
              <w:ind w:leftChars="0" w:left="0" w:right="0"/>
            </w:pPr>
            <w:r>
              <w:t>FPWB</w:t>
            </w:r>
          </w:p>
        </w:tc>
        <w:tc>
          <w:tcPr>
            <w:cnfStyle w:evenVBand="true" w:oddVBand="false" w:firstColumn="false"/>
            <w:tcW w:w="25.000000%" w:type="pct"/>
          </w:tcPr>
          <w:p>
            <w:pPr>
              <w:ind w:leftChars="0" w:left="0" w:right="0"/>
            </w:pPr>
            <w:r>
              <w:t>FPWB</w:t>
            </w:r>
          </w:p>
        </w:tc>
        <w:tc>
          <w:tcPr>
            <w:cnfStyle w:evenVBand="false" w:oddVBand="true" w:firstColumn="false"/>
            <w:tcW w:w="25.000000%" w:type="pct"/>
          </w:tcPr>
          <w:p>
            <w:pPr>
              <w:ind w:leftChars="0" w:left="0" w:right="0"/>
            </w:pPr>
            <w:r>
              <w:t>FIRSTPLACE WIENER BOERSE</w:t>
            </w:r>
          </w:p>
        </w:tc>
        <w:tc>
          <w:tcPr>
            <w:cnfStyle w:evenVBand="true" w:oddVBand="false" w:firstColumn="false"/>
            <w:tcW w:w="25.000000%" w:type="pct"/>
          </w:tcPr>
          <w:p>
            <w:pPr>
              <w:ind w:leftChars="0" w:left="0" w:right="0"/>
            </w:pPr>
            <w:r>
              <w:t>728</w:t>
            </w:r>
          </w:p>
        </w:tc>
      </w:tr>
      <w:tr>
        <w:trPr>
          <w:cnfStyle w:evenHBand="true" w:oddHBand="false" w:firstRow="false"/>
        </w:trPr>
        <w:tc>
          <w:tcPr>
            <w:cnfStyle w:evenVBand="false" w:oddVBand="true" w:firstColumn="false"/>
            <w:tcW w:w="25.000000%" w:type="pct"/>
          </w:tcPr>
          <w:p>
            <w:pPr>
              <w:ind w:leftChars="0" w:left="0" w:right="0"/>
            </w:pPr>
            <w:r>
              <w:t>FRAA</w:t>
            </w:r>
          </w:p>
        </w:tc>
        <w:tc>
          <w:tcPr>
            <w:cnfStyle w:evenVBand="true" w:oddVBand="false" w:firstColumn="false"/>
            <w:tcW w:w="25.000000%" w:type="pct"/>
          </w:tcPr>
          <w:p>
            <w:pPr>
              <w:ind w:leftChars="0" w:left="0" w:right="0"/>
            </w:pPr>
            <w:r>
              <w:t>FRAA</w:t>
            </w:r>
          </w:p>
        </w:tc>
        <w:tc>
          <w:tcPr>
            <w:cnfStyle w:evenVBand="false" w:oddVBand="true" w:firstColumn="false"/>
            <w:tcW w:w="25.000000%" w:type="pct"/>
          </w:tcPr>
          <w:p>
            <w:pPr>
              <w:ind w:leftChars="0" w:left="0" w:right="0"/>
            </w:pPr>
            <w:r>
              <w:t>BOERSE FRANKFURT - REGULIERTER MARKT</w:t>
            </w:r>
          </w:p>
        </w:tc>
        <w:tc>
          <w:tcPr>
            <w:cnfStyle w:evenVBand="true" w:oddVBand="false" w:firstColumn="false"/>
            <w:tcW w:w="25.000000%" w:type="pct"/>
          </w:tcPr>
          <w:p>
            <w:pPr>
              <w:ind w:leftChars="0" w:left="0" w:right="0"/>
            </w:pPr>
            <w:r>
              <w:t>729</w:t>
            </w:r>
          </w:p>
        </w:tc>
      </w:tr>
      <w:tr>
        <w:trPr>
          <w:cnfStyle w:evenHBand="false" w:oddHBand="true" w:firstRow="false"/>
        </w:trPr>
        <w:tc>
          <w:tcPr>
            <w:cnfStyle w:evenVBand="false" w:oddVBand="true" w:firstColumn="false"/>
            <w:tcW w:w="25.000000%" w:type="pct"/>
          </w:tcPr>
          <w:p>
            <w:pPr>
              <w:ind w:leftChars="0" w:left="0" w:right="0"/>
            </w:pPr>
            <w:r>
              <w:t>FRAB</w:t>
            </w:r>
          </w:p>
        </w:tc>
        <w:tc>
          <w:tcPr>
            <w:cnfStyle w:evenVBand="true" w:oddVBand="false" w:firstColumn="false"/>
            <w:tcW w:w="25.000000%" w:type="pct"/>
          </w:tcPr>
          <w:p>
            <w:pPr>
              <w:ind w:leftChars="0" w:left="0" w:right="0"/>
            </w:pPr>
            <w:r>
              <w:t>FRAB</w:t>
            </w:r>
          </w:p>
        </w:tc>
        <w:tc>
          <w:tcPr>
            <w:cnfStyle w:evenVBand="false" w:oddVBand="true" w:firstColumn="false"/>
            <w:tcW w:w="25.000000%" w:type="pct"/>
          </w:tcPr>
          <w:p>
            <w:pPr>
              <w:ind w:leftChars="0" w:left="0" w:right="0"/>
            </w:pPr>
            <w:r>
              <w:t>BOERSE FRANKFURT - FREIVERKEHR</w:t>
            </w:r>
          </w:p>
        </w:tc>
        <w:tc>
          <w:tcPr>
            <w:cnfStyle w:evenVBand="true" w:oddVBand="false" w:firstColumn="false"/>
            <w:tcW w:w="25.000000%" w:type="pct"/>
          </w:tcPr>
          <w:p>
            <w:pPr>
              <w:ind w:leftChars="0" w:left="0" w:right="0"/>
            </w:pPr>
            <w:r>
              <w:t>730</w:t>
            </w:r>
          </w:p>
        </w:tc>
      </w:tr>
      <w:tr>
        <w:trPr>
          <w:cnfStyle w:evenHBand="true" w:oddHBand="false" w:firstRow="false"/>
        </w:trPr>
        <w:tc>
          <w:tcPr>
            <w:cnfStyle w:evenVBand="false" w:oddVBand="true" w:firstColumn="false"/>
            <w:tcW w:w="25.000000%" w:type="pct"/>
          </w:tcPr>
          <w:p>
            <w:pPr>
              <w:ind w:leftChars="0" w:left="0" w:right="0"/>
            </w:pPr>
            <w:r>
              <w:t>FRAD</w:t>
            </w:r>
          </w:p>
        </w:tc>
        <w:tc>
          <w:tcPr>
            <w:cnfStyle w:evenVBand="true" w:oddVBand="false" w:firstColumn="false"/>
            <w:tcW w:w="25.000000%" w:type="pct"/>
          </w:tcPr>
          <w:p>
            <w:pPr>
              <w:ind w:leftChars="0" w:left="0" w:right="0"/>
            </w:pPr>
            <w:r>
              <w:t>FRAD</w:t>
            </w:r>
          </w:p>
        </w:tc>
        <w:tc>
          <w:tcPr>
            <w:cnfStyle w:evenVBand="false" w:oddVBand="true" w:firstColumn="false"/>
            <w:tcW w:w="25.000000%" w:type="pct"/>
          </w:tcPr>
          <w:p>
            <w:pPr>
              <w:ind w:leftChars="0" w:left="0" w:right="0"/>
            </w:pPr>
            <w:r>
              <w:t>DEUTSCHE BOERSE MID-POINT CROSS</w:t>
            </w:r>
          </w:p>
        </w:tc>
        <w:tc>
          <w:tcPr>
            <w:cnfStyle w:evenVBand="true" w:oddVBand="false" w:firstColumn="false"/>
            <w:tcW w:w="25.000000%" w:type="pct"/>
          </w:tcPr>
          <w:p>
            <w:pPr>
              <w:ind w:leftChars="0" w:left="0" w:right="0"/>
            </w:pPr>
            <w:r>
              <w:t>731</w:t>
            </w:r>
          </w:p>
        </w:tc>
      </w:tr>
      <w:tr>
        <w:trPr>
          <w:cnfStyle w:evenHBand="false" w:oddHBand="true" w:firstRow="false"/>
        </w:trPr>
        <w:tc>
          <w:tcPr>
            <w:cnfStyle w:evenVBand="false" w:oddVBand="true" w:firstColumn="false"/>
            <w:tcW w:w="25.000000%" w:type="pct"/>
          </w:tcPr>
          <w:p>
            <w:pPr>
              <w:ind w:leftChars="0" w:left="0" w:right="0"/>
            </w:pPr>
            <w:r>
              <w:t>FRAS</w:t>
            </w:r>
          </w:p>
        </w:tc>
        <w:tc>
          <w:tcPr>
            <w:cnfStyle w:evenVBand="true" w:oddVBand="false" w:firstColumn="false"/>
            <w:tcW w:w="25.000000%" w:type="pct"/>
          </w:tcPr>
          <w:p>
            <w:pPr>
              <w:ind w:leftChars="0" w:left="0" w:right="0"/>
            </w:pPr>
            <w:r>
              <w:t>FRAS</w:t>
            </w:r>
          </w:p>
        </w:tc>
        <w:tc>
          <w:tcPr>
            <w:cnfStyle w:evenVBand="false" w:oddVBand="true" w:firstColumn="false"/>
            <w:tcW w:w="25.000000%" w:type="pct"/>
          </w:tcPr>
          <w:p>
            <w:pPr>
              <w:ind w:leftChars="0" w:left="0" w:right="0"/>
            </w:pPr>
            <w:r>
              <w:t>BOERSE FRANKFURT - SCALE</w:t>
            </w:r>
          </w:p>
        </w:tc>
        <w:tc>
          <w:tcPr>
            <w:cnfStyle w:evenVBand="true" w:oddVBand="false" w:firstColumn="false"/>
            <w:tcW w:w="25.000000%" w:type="pct"/>
          </w:tcPr>
          <w:p>
            <w:pPr>
              <w:ind w:leftChars="0" w:left="0" w:right="0"/>
            </w:pPr>
            <w:r>
              <w:t>732</w:t>
            </w:r>
          </w:p>
        </w:tc>
      </w:tr>
      <w:tr>
        <w:trPr>
          <w:cnfStyle w:evenHBand="true" w:oddHBand="false" w:firstRow="false"/>
        </w:trPr>
        <w:tc>
          <w:tcPr>
            <w:cnfStyle w:evenVBand="false" w:oddVBand="true" w:firstColumn="false"/>
            <w:tcW w:w="25.000000%" w:type="pct"/>
          </w:tcPr>
          <w:p>
            <w:pPr>
              <w:ind w:leftChars="0" w:left="0" w:right="0"/>
            </w:pPr>
            <w:r>
              <w:t>FRAU</w:t>
            </w:r>
          </w:p>
        </w:tc>
        <w:tc>
          <w:tcPr>
            <w:cnfStyle w:evenVBand="true" w:oddVBand="false" w:firstColumn="false"/>
            <w:tcW w:w="25.000000%" w:type="pct"/>
          </w:tcPr>
          <w:p>
            <w:pPr>
              <w:ind w:leftChars="0" w:left="0" w:right="0"/>
            </w:pPr>
            <w:r>
              <w:t>FRAU</w:t>
            </w:r>
          </w:p>
        </w:tc>
        <w:tc>
          <w:tcPr>
            <w:cnfStyle w:evenVBand="false" w:oddVBand="true" w:firstColumn="false"/>
            <w:tcW w:w="25.000000%" w:type="pct"/>
          </w:tcPr>
          <w:p>
            <w:pPr>
              <w:ind w:leftChars="0" w:left="0" w:right="0"/>
            </w:pPr>
            <w:r>
              <w:t>BOERSE FRANKFURT - REGULIERTERMARKT - OFF-BOOK</w:t>
            </w:r>
          </w:p>
        </w:tc>
        <w:tc>
          <w:tcPr>
            <w:cnfStyle w:evenVBand="true" w:oddVBand="false" w:firstColumn="false"/>
            <w:tcW w:w="25.000000%" w:type="pct"/>
          </w:tcPr>
          <w:p>
            <w:pPr>
              <w:ind w:leftChars="0" w:left="0" w:right="0"/>
            </w:pPr>
            <w:r>
              <w:t>733</w:t>
            </w:r>
          </w:p>
        </w:tc>
      </w:tr>
      <w:tr>
        <w:trPr>
          <w:cnfStyle w:evenHBand="false" w:oddHBand="true" w:firstRow="false"/>
        </w:trPr>
        <w:tc>
          <w:tcPr>
            <w:cnfStyle w:evenVBand="false" w:oddVBand="true" w:firstColumn="false"/>
            <w:tcW w:w="25.000000%" w:type="pct"/>
          </w:tcPr>
          <w:p>
            <w:pPr>
              <w:ind w:leftChars="0" w:left="0" w:right="0"/>
            </w:pPr>
            <w:r>
              <w:t>FRAV</w:t>
            </w:r>
          </w:p>
        </w:tc>
        <w:tc>
          <w:tcPr>
            <w:cnfStyle w:evenVBand="true" w:oddVBand="false" w:firstColumn="false"/>
            <w:tcW w:w="25.000000%" w:type="pct"/>
          </w:tcPr>
          <w:p>
            <w:pPr>
              <w:ind w:leftChars="0" w:left="0" w:right="0"/>
            </w:pPr>
            <w:r>
              <w:t>FRAV</w:t>
            </w:r>
          </w:p>
        </w:tc>
        <w:tc>
          <w:tcPr>
            <w:cnfStyle w:evenVBand="false" w:oddVBand="true" w:firstColumn="false"/>
            <w:tcW w:w="25.000000%" w:type="pct"/>
          </w:tcPr>
          <w:p>
            <w:pPr>
              <w:ind w:leftChars="0" w:left="0" w:right="0"/>
            </w:pPr>
            <w:r>
              <w:t>BOERSE FRANKFURT - FREIVERKEHR - OFF-BOOK</w:t>
            </w:r>
          </w:p>
        </w:tc>
        <w:tc>
          <w:tcPr>
            <w:cnfStyle w:evenVBand="true" w:oddVBand="false" w:firstColumn="false"/>
            <w:tcW w:w="25.000000%" w:type="pct"/>
          </w:tcPr>
          <w:p>
            <w:pPr>
              <w:ind w:leftChars="0" w:left="0" w:right="0"/>
            </w:pPr>
            <w:r>
              <w:t>734</w:t>
            </w:r>
          </w:p>
        </w:tc>
      </w:tr>
      <w:tr>
        <w:trPr>
          <w:cnfStyle w:evenHBand="true" w:oddHBand="false" w:firstRow="false"/>
        </w:trPr>
        <w:tc>
          <w:tcPr>
            <w:cnfStyle w:evenVBand="false" w:oddVBand="true" w:firstColumn="false"/>
            <w:tcW w:w="25.000000%" w:type="pct"/>
          </w:tcPr>
          <w:p>
            <w:pPr>
              <w:ind w:leftChars="0" w:left="0" w:right="0"/>
            </w:pPr>
            <w:r>
              <w:t>FRAW</w:t>
            </w:r>
          </w:p>
        </w:tc>
        <w:tc>
          <w:tcPr>
            <w:cnfStyle w:evenVBand="true" w:oddVBand="false" w:firstColumn="false"/>
            <w:tcW w:w="25.000000%" w:type="pct"/>
          </w:tcPr>
          <w:p>
            <w:pPr>
              <w:ind w:leftChars="0" w:left="0" w:right="0"/>
            </w:pPr>
            <w:r>
              <w:t>FRAW</w:t>
            </w:r>
          </w:p>
        </w:tc>
        <w:tc>
          <w:tcPr>
            <w:cnfStyle w:evenVBand="false" w:oddVBand="true" w:firstColumn="false"/>
            <w:tcW w:w="25.000000%" w:type="pct"/>
          </w:tcPr>
          <w:p>
            <w:pPr>
              <w:ind w:leftChars="0" w:left="0" w:right="0"/>
            </w:pPr>
            <w:r>
              <w:t>BOERSE FRANKFURT - SCALE - OFF-BOOK</w:t>
            </w:r>
          </w:p>
        </w:tc>
        <w:tc>
          <w:tcPr>
            <w:cnfStyle w:evenVBand="true" w:oddVBand="false" w:firstColumn="false"/>
            <w:tcW w:w="25.000000%" w:type="pct"/>
          </w:tcPr>
          <w:p>
            <w:pPr>
              <w:ind w:leftChars="0" w:left="0" w:right="0"/>
            </w:pPr>
            <w:r>
              <w:t>735</w:t>
            </w:r>
          </w:p>
        </w:tc>
      </w:tr>
      <w:tr>
        <w:trPr>
          <w:cnfStyle w:evenHBand="false" w:oddHBand="true" w:firstRow="false"/>
        </w:trPr>
        <w:tc>
          <w:tcPr>
            <w:cnfStyle w:evenVBand="false" w:oddVBand="true" w:firstColumn="false"/>
            <w:tcW w:w="25.000000%" w:type="pct"/>
          </w:tcPr>
          <w:p>
            <w:pPr>
              <w:ind w:leftChars="0" w:left="0" w:right="0"/>
            </w:pPr>
            <w:r>
              <w:t>FREI</w:t>
            </w:r>
          </w:p>
        </w:tc>
        <w:tc>
          <w:tcPr>
            <w:cnfStyle w:evenVBand="true" w:oddVBand="false" w:firstColumn="false"/>
            <w:tcW w:w="25.000000%" w:type="pct"/>
          </w:tcPr>
          <w:p>
            <w:pPr>
              <w:ind w:leftChars="0" w:left="0" w:right="0"/>
            </w:pPr>
            <w:r>
              <w:t>FREI</w:t>
            </w:r>
          </w:p>
        </w:tc>
        <w:tc>
          <w:tcPr>
            <w:cnfStyle w:evenVBand="false" w:oddVBand="true" w:firstColumn="false"/>
            <w:tcW w:w="25.000000%" w:type="pct"/>
          </w:tcPr>
          <w:p>
            <w:pPr>
              <w:ind w:leftChars="0" w:left="0" w:right="0"/>
            </w:pPr>
            <w:r>
              <w:t>NASDAQ COMMODITIES - FREIGHT COMMODITY</w:t>
            </w:r>
          </w:p>
        </w:tc>
        <w:tc>
          <w:tcPr>
            <w:cnfStyle w:evenVBand="true" w:oddVBand="false" w:firstColumn="false"/>
            <w:tcW w:w="25.000000%" w:type="pct"/>
          </w:tcPr>
          <w:p>
            <w:pPr>
              <w:ind w:leftChars="0" w:left="0" w:right="0"/>
            </w:pPr>
            <w:r>
              <w:t>736</w:t>
            </w:r>
          </w:p>
        </w:tc>
      </w:tr>
      <w:tr>
        <w:trPr>
          <w:cnfStyle w:evenHBand="true" w:oddHBand="false" w:firstRow="false"/>
        </w:trPr>
        <w:tc>
          <w:tcPr>
            <w:cnfStyle w:evenVBand="false" w:oddVBand="true" w:firstColumn="false"/>
            <w:tcW w:w="25.000000%" w:type="pct"/>
          </w:tcPr>
          <w:p>
            <w:pPr>
              <w:ind w:leftChars="0" w:left="0" w:right="0"/>
            </w:pPr>
            <w:r>
              <w:t>FREX</w:t>
            </w:r>
          </w:p>
        </w:tc>
        <w:tc>
          <w:tcPr>
            <w:cnfStyle w:evenVBand="true" w:oddVBand="false" w:firstColumn="false"/>
            <w:tcW w:w="25.000000%" w:type="pct"/>
          </w:tcPr>
          <w:p>
            <w:pPr>
              <w:ind w:leftChars="0" w:left="0" w:right="0"/>
            </w:pPr>
            <w:r>
              <w:t>FREX</w:t>
            </w:r>
          </w:p>
        </w:tc>
        <w:tc>
          <w:tcPr>
            <w:cnfStyle w:evenVBand="false" w:oddVBand="true" w:firstColumn="false"/>
            <w:tcW w:w="25.000000%" w:type="pct"/>
          </w:tcPr>
          <w:p>
            <w:pPr>
              <w:ind w:leftChars="0" w:left="0" w:right="0"/>
            </w:pPr>
            <w:r>
              <w:t>COINBASE DERIVATIVES</w:t>
            </w:r>
          </w:p>
        </w:tc>
        <w:tc>
          <w:tcPr>
            <w:cnfStyle w:evenVBand="true" w:oddVBand="false" w:firstColumn="false"/>
            <w:tcW w:w="25.000000%" w:type="pct"/>
          </w:tcPr>
          <w:p>
            <w:pPr>
              <w:ind w:leftChars="0" w:left="0" w:right="0"/>
            </w:pPr>
            <w:r>
              <w:t>737</w:t>
            </w:r>
          </w:p>
        </w:tc>
      </w:tr>
      <w:tr>
        <w:trPr>
          <w:cnfStyle w:evenHBand="false" w:oddHBand="true" w:firstRow="false"/>
        </w:trPr>
        <w:tc>
          <w:tcPr>
            <w:cnfStyle w:evenVBand="false" w:oddVBand="true" w:firstColumn="false"/>
            <w:tcW w:w="25.000000%" w:type="pct"/>
          </w:tcPr>
          <w:p>
            <w:pPr>
              <w:ind w:leftChars="0" w:left="0" w:right="0"/>
            </w:pPr>
            <w:r>
              <w:t>FRRF</w:t>
            </w:r>
          </w:p>
        </w:tc>
        <w:tc>
          <w:tcPr>
            <w:cnfStyle w:evenVBand="true" w:oddVBand="false" w:firstColumn="false"/>
            <w:tcW w:w="25.000000%" w:type="pct"/>
          </w:tcPr>
          <w:p>
            <w:pPr>
              <w:ind w:leftChars="0" w:left="0" w:right="0"/>
            </w:pPr>
            <w:r>
              <w:t>FRRF</w:t>
            </w:r>
          </w:p>
        </w:tc>
        <w:tc>
          <w:tcPr>
            <w:cnfStyle w:evenVBand="false" w:oddVBand="true" w:firstColumn="false"/>
            <w:tcW w:w="25.000000%" w:type="pct"/>
          </w:tcPr>
          <w:p>
            <w:pPr>
              <w:ind w:leftChars="0" w:left="0" w:right="0"/>
            </w:pPr>
            <w:r>
              <w:t>FONDS DES RENTES / RENTENFONDS</w:t>
            </w:r>
          </w:p>
        </w:tc>
        <w:tc>
          <w:tcPr>
            <w:cnfStyle w:evenVBand="true" w:oddVBand="false" w:firstColumn="false"/>
            <w:tcW w:w="25.000000%" w:type="pct"/>
          </w:tcPr>
          <w:p>
            <w:pPr>
              <w:ind w:leftChars="0" w:left="0" w:right="0"/>
            </w:pPr>
            <w:r>
              <w:t>738</w:t>
            </w:r>
          </w:p>
        </w:tc>
      </w:tr>
      <w:tr>
        <w:trPr>
          <w:cnfStyle w:evenHBand="true" w:oddHBand="false" w:firstRow="false"/>
        </w:trPr>
        <w:tc>
          <w:tcPr>
            <w:cnfStyle w:evenVBand="false" w:oddVBand="true" w:firstColumn="false"/>
            <w:tcW w:w="25.000000%" w:type="pct"/>
          </w:tcPr>
          <w:p>
            <w:pPr>
              <w:ind w:leftChars="0" w:left="0" w:right="0"/>
            </w:pPr>
            <w:r>
              <w:t>FRTE</w:t>
            </w:r>
          </w:p>
        </w:tc>
        <w:tc>
          <w:tcPr>
            <w:cnfStyle w:evenVBand="true" w:oddVBand="false" w:firstColumn="false"/>
            <w:tcW w:w="25.000000%" w:type="pct"/>
          </w:tcPr>
          <w:p>
            <w:pPr>
              <w:ind w:leftChars="0" w:left="0" w:right="0"/>
            </w:pPr>
            <w:r>
              <w:t>FRTE</w:t>
            </w:r>
          </w:p>
        </w:tc>
        <w:tc>
          <w:tcPr>
            <w:cnfStyle w:evenVBand="false" w:oddVBand="true" w:firstColumn="false"/>
            <w:tcW w:w="25.000000%" w:type="pct"/>
          </w:tcPr>
          <w:p>
            <w:pPr>
              <w:ind w:leftChars="0" w:left="0" w:right="0"/>
            </w:pPr>
            <w:r>
              <w:t>FORTE  - OTF</w:t>
            </w:r>
          </w:p>
        </w:tc>
        <w:tc>
          <w:tcPr>
            <w:cnfStyle w:evenVBand="true" w:oddVBand="false" w:firstColumn="false"/>
            <w:tcW w:w="25.000000%" w:type="pct"/>
          </w:tcPr>
          <w:p>
            <w:pPr>
              <w:ind w:leftChars="0" w:left="0" w:right="0"/>
            </w:pPr>
            <w:r>
              <w:t>739</w:t>
            </w:r>
          </w:p>
        </w:tc>
      </w:tr>
      <w:tr>
        <w:trPr>
          <w:cnfStyle w:evenHBand="false" w:oddHBand="true" w:firstRow="false"/>
        </w:trPr>
        <w:tc>
          <w:tcPr>
            <w:cnfStyle w:evenVBand="false" w:oddVBand="true" w:firstColumn="false"/>
            <w:tcW w:w="25.000000%" w:type="pct"/>
          </w:tcPr>
          <w:p>
            <w:pPr>
              <w:ind w:leftChars="0" w:left="0" w:right="0"/>
            </w:pPr>
            <w:r>
              <w:t>FSEF</w:t>
            </w:r>
          </w:p>
        </w:tc>
        <w:tc>
          <w:tcPr>
            <w:cnfStyle w:evenVBand="true" w:oddVBand="false" w:firstColumn="false"/>
            <w:tcW w:w="25.000000%" w:type="pct"/>
          </w:tcPr>
          <w:p>
            <w:pPr>
              <w:ind w:leftChars="0" w:left="0" w:right="0"/>
            </w:pPr>
            <w:r>
              <w:t>FSEF</w:t>
            </w:r>
          </w:p>
        </w:tc>
        <w:tc>
          <w:tcPr>
            <w:cnfStyle w:evenVBand="false" w:oddVBand="true" w:firstColumn="false"/>
            <w:tcW w:w="25.000000%" w:type="pct"/>
          </w:tcPr>
          <w:p>
            <w:pPr>
              <w:ind w:leftChars="0" w:left="0" w:right="0"/>
            </w:pPr>
            <w:r>
              <w:t>FTSEF LLC</w:t>
            </w:r>
          </w:p>
        </w:tc>
        <w:tc>
          <w:tcPr>
            <w:cnfStyle w:evenVBand="true" w:oddVBand="false" w:firstColumn="false"/>
            <w:tcW w:w="25.000000%" w:type="pct"/>
          </w:tcPr>
          <w:p>
            <w:pPr>
              <w:ind w:leftChars="0" w:left="0" w:right="0"/>
            </w:pPr>
            <w:r>
              <w:t>740</w:t>
            </w:r>
          </w:p>
        </w:tc>
      </w:tr>
      <w:tr>
        <w:trPr>
          <w:cnfStyle w:evenHBand="true" w:oddHBand="false" w:firstRow="false"/>
        </w:trPr>
        <w:tc>
          <w:tcPr>
            <w:cnfStyle w:evenVBand="false" w:oddVBand="true" w:firstColumn="false"/>
            <w:tcW w:w="25.000000%" w:type="pct"/>
          </w:tcPr>
          <w:p>
            <w:pPr>
              <w:ind w:leftChars="0" w:left="0" w:right="0"/>
            </w:pPr>
            <w:r>
              <w:t>FSHX</w:t>
            </w:r>
          </w:p>
        </w:tc>
        <w:tc>
          <w:tcPr>
            <w:cnfStyle w:evenVBand="true" w:oddVBand="false" w:firstColumn="false"/>
            <w:tcW w:w="25.000000%" w:type="pct"/>
          </w:tcPr>
          <w:p>
            <w:pPr>
              <w:ind w:leftChars="0" w:left="0" w:right="0"/>
            </w:pPr>
            <w:r>
              <w:t>FSHX</w:t>
            </w:r>
          </w:p>
        </w:tc>
        <w:tc>
          <w:tcPr>
            <w:cnfStyle w:evenVBand="false" w:oddVBand="true" w:firstColumn="false"/>
            <w:tcW w:w="25.000000%" w:type="pct"/>
          </w:tcPr>
          <w:p>
            <w:pPr>
              <w:ind w:leftChars="0" w:left="0" w:right="0"/>
            </w:pPr>
            <w:r>
              <w:t>FISHEX</w:t>
            </w:r>
          </w:p>
        </w:tc>
        <w:tc>
          <w:tcPr>
            <w:cnfStyle w:evenVBand="true" w:oddVBand="false" w:firstColumn="false"/>
            <w:tcW w:w="25.000000%" w:type="pct"/>
          </w:tcPr>
          <w:p>
            <w:pPr>
              <w:ind w:leftChars="0" w:left="0" w:right="0"/>
            </w:pPr>
            <w:r>
              <w:t>741</w:t>
            </w:r>
          </w:p>
        </w:tc>
      </w:tr>
      <w:tr>
        <w:trPr>
          <w:cnfStyle w:evenHBand="false" w:oddHBand="true" w:firstRow="false"/>
        </w:trPr>
        <w:tc>
          <w:tcPr>
            <w:cnfStyle w:evenVBand="false" w:oddVBand="true" w:firstColumn="false"/>
            <w:tcW w:w="25.000000%" w:type="pct"/>
          </w:tcPr>
          <w:p>
            <w:pPr>
              <w:ind w:leftChars="0" w:left="0" w:right="0"/>
            </w:pPr>
            <w:r>
              <w:t>FSME</w:t>
            </w:r>
          </w:p>
        </w:tc>
        <w:tc>
          <w:tcPr>
            <w:cnfStyle w:evenVBand="true" w:oddVBand="false" w:firstColumn="false"/>
            <w:tcW w:w="25.000000%" w:type="pct"/>
          </w:tcPr>
          <w:p>
            <w:pPr>
              <w:ind w:leftChars="0" w:left="0" w:right="0"/>
            </w:pPr>
            <w:r>
              <w:t>FSME</w:t>
            </w:r>
          </w:p>
        </w:tc>
        <w:tc>
          <w:tcPr>
            <w:cnfStyle w:evenVBand="false" w:oddVBand="true" w:firstColumn="false"/>
            <w:tcW w:w="25.000000%" w:type="pct"/>
          </w:tcPr>
          <w:p>
            <w:pPr>
              <w:ind w:leftChars="0" w:left="0" w:right="0"/>
            </w:pPr>
            <w:r>
              <w:t>FIRST NORTH FINLAND - SME GROWTH MARKET</w:t>
            </w:r>
          </w:p>
        </w:tc>
        <w:tc>
          <w:tcPr>
            <w:cnfStyle w:evenVBand="true" w:oddVBand="false" w:firstColumn="false"/>
            <w:tcW w:w="25.000000%" w:type="pct"/>
          </w:tcPr>
          <w:p>
            <w:pPr>
              <w:ind w:leftChars="0" w:left="0" w:right="0"/>
            </w:pPr>
            <w:r>
              <w:t>742</w:t>
            </w:r>
          </w:p>
        </w:tc>
      </w:tr>
      <w:tr>
        <w:trPr>
          <w:cnfStyle w:evenHBand="true" w:oddHBand="false" w:firstRow="false"/>
        </w:trPr>
        <w:tc>
          <w:tcPr>
            <w:cnfStyle w:evenVBand="false" w:oddVBand="true" w:firstColumn="false"/>
            <w:tcW w:w="25.000000%" w:type="pct"/>
          </w:tcPr>
          <w:p>
            <w:pPr>
              <w:ind w:leftChars="0" w:left="0" w:right="0"/>
            </w:pPr>
            <w:r>
              <w:t>FTFM</w:t>
            </w:r>
          </w:p>
        </w:tc>
        <w:tc>
          <w:tcPr>
            <w:cnfStyle w:evenVBand="true" w:oddVBand="false" w:firstColumn="false"/>
            <w:tcW w:w="25.000000%" w:type="pct"/>
          </w:tcPr>
          <w:p>
            <w:pPr>
              <w:ind w:leftChars="0" w:left="0" w:right="0"/>
            </w:pPr>
            <w:r>
              <w:t>FTFM</w:t>
            </w:r>
          </w:p>
        </w:tc>
        <w:tc>
          <w:tcPr>
            <w:cnfStyle w:evenVBand="false" w:oddVBand="true" w:firstColumn="false"/>
            <w:tcW w:w="25.000000%" w:type="pct"/>
          </w:tcPr>
          <w:p>
            <w:pPr>
              <w:ind w:leftChars="0" w:left="0" w:right="0"/>
            </w:pPr>
            <w:r>
              <w:t>42 FINANCIAL SERVICES - MTF</w:t>
            </w:r>
          </w:p>
        </w:tc>
        <w:tc>
          <w:tcPr>
            <w:cnfStyle w:evenVBand="true" w:oddVBand="false" w:firstColumn="false"/>
            <w:tcW w:w="25.000000%" w:type="pct"/>
          </w:tcPr>
          <w:p>
            <w:pPr>
              <w:ind w:leftChars="0" w:left="0" w:right="0"/>
            </w:pPr>
            <w:r>
              <w:t>743</w:t>
            </w:r>
          </w:p>
        </w:tc>
      </w:tr>
      <w:tr>
        <w:trPr>
          <w:cnfStyle w:evenHBand="false" w:oddHBand="true" w:firstRow="false"/>
        </w:trPr>
        <w:tc>
          <w:tcPr>
            <w:cnfStyle w:evenVBand="false" w:oddVBand="true" w:firstColumn="false"/>
            <w:tcW w:w="25.000000%" w:type="pct"/>
          </w:tcPr>
          <w:p>
            <w:pPr>
              <w:ind w:leftChars="0" w:left="0" w:right="0"/>
            </w:pPr>
            <w:r>
              <w:t>FTFS</w:t>
            </w:r>
          </w:p>
        </w:tc>
        <w:tc>
          <w:tcPr>
            <w:cnfStyle w:evenVBand="true" w:oddVBand="false" w:firstColumn="false"/>
            <w:tcW w:w="25.000000%" w:type="pct"/>
          </w:tcPr>
          <w:p>
            <w:pPr>
              <w:ind w:leftChars="0" w:left="0" w:right="0"/>
            </w:pPr>
            <w:r>
              <w:t>FTFS</w:t>
            </w:r>
          </w:p>
        </w:tc>
        <w:tc>
          <w:tcPr>
            <w:cnfStyle w:evenVBand="false" w:oddVBand="true" w:firstColumn="false"/>
            <w:tcW w:w="25.000000%" w:type="pct"/>
          </w:tcPr>
          <w:p>
            <w:pPr>
              <w:ind w:leftChars="0" w:left="0" w:right="0"/>
            </w:pPr>
            <w:r>
              <w:t>42 FINANCIAL SERVICES</w:t>
            </w:r>
          </w:p>
        </w:tc>
        <w:tc>
          <w:tcPr>
            <w:cnfStyle w:evenVBand="true" w:oddVBand="false" w:firstColumn="false"/>
            <w:tcW w:w="25.000000%" w:type="pct"/>
          </w:tcPr>
          <w:p>
            <w:pPr>
              <w:ind w:leftChars="0" w:left="0" w:right="0"/>
            </w:pPr>
            <w:r>
              <w:t>744</w:t>
            </w:r>
          </w:p>
        </w:tc>
      </w:tr>
      <w:tr>
        <w:trPr>
          <w:cnfStyle w:evenHBand="true" w:oddHBand="false" w:firstRow="false"/>
        </w:trPr>
        <w:tc>
          <w:tcPr>
            <w:cnfStyle w:evenVBand="false" w:oddVBand="true" w:firstColumn="false"/>
            <w:tcW w:w="25.000000%" w:type="pct"/>
          </w:tcPr>
          <w:p>
            <w:pPr>
              <w:ind w:leftChars="0" w:left="0" w:right="0"/>
            </w:pPr>
            <w:r>
              <w:t>FTUS</w:t>
            </w:r>
          </w:p>
        </w:tc>
        <w:tc>
          <w:tcPr>
            <w:cnfStyle w:evenVBand="true" w:oddVBand="false" w:firstColumn="false"/>
            <w:tcW w:w="25.000000%" w:type="pct"/>
          </w:tcPr>
          <w:p>
            <w:pPr>
              <w:ind w:leftChars="0" w:left="0" w:right="0"/>
            </w:pPr>
            <w:r>
              <w:t>FTUS</w:t>
            </w:r>
          </w:p>
        </w:tc>
        <w:tc>
          <w:tcPr>
            <w:cnfStyle w:evenVBand="false" w:oddVBand="true" w:firstColumn="false"/>
            <w:tcW w:w="25.000000%" w:type="pct"/>
          </w:tcPr>
          <w:p>
            <w:pPr>
              <w:ind w:leftChars="0" w:left="0" w:right="0"/>
            </w:pPr>
            <w:r>
              <w:t>FLOW TRADERS U.S LLC</w:t>
            </w:r>
          </w:p>
        </w:tc>
        <w:tc>
          <w:tcPr>
            <w:cnfStyle w:evenVBand="true" w:oddVBand="false" w:firstColumn="false"/>
            <w:tcW w:w="25.000000%" w:type="pct"/>
          </w:tcPr>
          <w:p>
            <w:pPr>
              <w:ind w:leftChars="0" w:left="0" w:right="0"/>
            </w:pPr>
            <w:r>
              <w:t>745</w:t>
            </w:r>
          </w:p>
        </w:tc>
      </w:tr>
      <w:tr>
        <w:trPr>
          <w:cnfStyle w:evenHBand="false" w:oddHBand="true" w:firstRow="false"/>
        </w:trPr>
        <w:tc>
          <w:tcPr>
            <w:cnfStyle w:evenVBand="false" w:oddVBand="true" w:firstColumn="false"/>
            <w:tcW w:w="25.000000%" w:type="pct"/>
          </w:tcPr>
          <w:p>
            <w:pPr>
              <w:ind w:leftChars="0" w:left="0" w:right="0"/>
            </w:pPr>
            <w:r>
              <w:t>FUSD</w:t>
            </w:r>
          </w:p>
        </w:tc>
        <w:tc>
          <w:tcPr>
            <w:cnfStyle w:evenVBand="true" w:oddVBand="false" w:firstColumn="false"/>
            <w:tcW w:w="25.000000%" w:type="pct"/>
          </w:tcPr>
          <w:p>
            <w:pPr>
              <w:ind w:leftChars="0" w:left="0" w:right="0"/>
            </w:pPr>
            <w:r>
              <w:t>FUSD</w:t>
            </w:r>
          </w:p>
        </w:tc>
        <w:tc>
          <w:tcPr>
            <w:cnfStyle w:evenVBand="false" w:oddVBand="true" w:firstColumn="false"/>
            <w:tcW w:w="25.000000%" w:type="pct"/>
          </w:tcPr>
          <w:p>
            <w:pPr>
              <w:ind w:leftChars="0" w:left="0" w:right="0"/>
            </w:pPr>
            <w:r>
              <w:t>FTX US DERIVATIVES</w:t>
            </w:r>
          </w:p>
        </w:tc>
        <w:tc>
          <w:tcPr>
            <w:cnfStyle w:evenVBand="true" w:oddVBand="false" w:firstColumn="false"/>
            <w:tcW w:w="25.000000%" w:type="pct"/>
          </w:tcPr>
          <w:p>
            <w:pPr>
              <w:ind w:leftChars="0" w:left="0" w:right="0"/>
            </w:pPr>
            <w:r>
              <w:t>746</w:t>
            </w:r>
          </w:p>
        </w:tc>
      </w:tr>
      <w:tr>
        <w:trPr>
          <w:cnfStyle w:evenHBand="true" w:oddHBand="false" w:firstRow="false"/>
        </w:trPr>
        <w:tc>
          <w:tcPr>
            <w:cnfStyle w:evenVBand="false" w:oddVBand="true" w:firstColumn="false"/>
            <w:tcW w:w="25.000000%" w:type="pct"/>
          </w:tcPr>
          <w:p>
            <w:pPr>
              <w:ind w:leftChars="0" w:left="0" w:right="0"/>
            </w:pPr>
            <w:r>
              <w:t>FXAL</w:t>
            </w:r>
          </w:p>
        </w:tc>
        <w:tc>
          <w:tcPr>
            <w:cnfStyle w:evenVBand="true" w:oddVBand="false" w:firstColumn="false"/>
            <w:tcW w:w="25.000000%" w:type="pct"/>
          </w:tcPr>
          <w:p>
            <w:pPr>
              <w:ind w:leftChars="0" w:left="0" w:right="0"/>
            </w:pPr>
            <w:r>
              <w:t>FXAL</w:t>
            </w:r>
          </w:p>
        </w:tc>
        <w:tc>
          <w:tcPr>
            <w:cnfStyle w:evenVBand="false" w:oddVBand="true" w:firstColumn="false"/>
            <w:tcW w:w="25.000000%" w:type="pct"/>
          </w:tcPr>
          <w:p>
            <w:pPr>
              <w:ind w:leftChars="0" w:left="0" w:right="0"/>
            </w:pPr>
            <w:r>
              <w:t>FXALL</w:t>
            </w:r>
          </w:p>
        </w:tc>
        <w:tc>
          <w:tcPr>
            <w:cnfStyle w:evenVBand="true" w:oddVBand="false" w:firstColumn="false"/>
            <w:tcW w:w="25.000000%" w:type="pct"/>
          </w:tcPr>
          <w:p>
            <w:pPr>
              <w:ind w:leftChars="0" w:left="0" w:right="0"/>
            </w:pPr>
            <w:r>
              <w:t>747</w:t>
            </w:r>
          </w:p>
        </w:tc>
      </w:tr>
      <w:tr>
        <w:trPr>
          <w:cnfStyle w:evenHBand="false" w:oddHBand="true" w:firstRow="false"/>
        </w:trPr>
        <w:tc>
          <w:tcPr>
            <w:cnfStyle w:evenVBand="false" w:oddVBand="true" w:firstColumn="false"/>
            <w:tcW w:w="25.000000%" w:type="pct"/>
          </w:tcPr>
          <w:p>
            <w:pPr>
              <w:ind w:leftChars="0" w:left="0" w:right="0"/>
            </w:pPr>
            <w:r>
              <w:t>FXCL</w:t>
            </w:r>
          </w:p>
        </w:tc>
        <w:tc>
          <w:tcPr>
            <w:cnfStyle w:evenVBand="true" w:oddVBand="false" w:firstColumn="false"/>
            <w:tcW w:w="25.000000%" w:type="pct"/>
          </w:tcPr>
          <w:p>
            <w:pPr>
              <w:ind w:leftChars="0" w:left="0" w:right="0"/>
            </w:pPr>
            <w:r>
              <w:t>FXCL</w:t>
            </w:r>
          </w:p>
        </w:tc>
        <w:tc>
          <w:tcPr>
            <w:cnfStyle w:evenVBand="false" w:oddVBand="true" w:firstColumn="false"/>
            <w:tcW w:w="25.000000%" w:type="pct"/>
          </w:tcPr>
          <w:p>
            <w:pPr>
              <w:ind w:leftChars="0" w:left="0" w:right="0"/>
            </w:pPr>
            <w:r>
              <w:t>CLEARCORP DEALING SYSTEMS INDIA LIMITED - FX-CLEAR</w:t>
            </w:r>
          </w:p>
        </w:tc>
        <w:tc>
          <w:tcPr>
            <w:cnfStyle w:evenVBand="true" w:oddVBand="false" w:firstColumn="false"/>
            <w:tcW w:w="25.000000%" w:type="pct"/>
          </w:tcPr>
          <w:p>
            <w:pPr>
              <w:ind w:leftChars="0" w:left="0" w:right="0"/>
            </w:pPr>
            <w:r>
              <w:t>748</w:t>
            </w:r>
          </w:p>
        </w:tc>
      </w:tr>
      <w:tr>
        <w:trPr>
          <w:cnfStyle w:evenHBand="true" w:oddHBand="false" w:firstRow="false"/>
        </w:trPr>
        <w:tc>
          <w:tcPr>
            <w:cnfStyle w:evenVBand="false" w:oddVBand="true" w:firstColumn="false"/>
            <w:tcW w:w="25.000000%" w:type="pct"/>
          </w:tcPr>
          <w:p>
            <w:pPr>
              <w:ind w:leftChars="0" w:left="0" w:right="0"/>
            </w:pPr>
            <w:r>
              <w:t>FXCM</w:t>
            </w:r>
          </w:p>
        </w:tc>
        <w:tc>
          <w:tcPr>
            <w:cnfStyle w:evenVBand="true" w:oddVBand="false" w:firstColumn="false"/>
            <w:tcW w:w="25.000000%" w:type="pct"/>
          </w:tcPr>
          <w:p>
            <w:pPr>
              <w:ind w:leftChars="0" w:left="0" w:right="0"/>
            </w:pPr>
            <w:r>
              <w:t>FXCM</w:t>
            </w:r>
          </w:p>
        </w:tc>
        <w:tc>
          <w:tcPr>
            <w:cnfStyle w:evenVBand="false" w:oddVBand="true" w:firstColumn="false"/>
            <w:tcW w:w="25.000000%" w:type="pct"/>
          </w:tcPr>
          <w:p>
            <w:pPr>
              <w:ind w:leftChars="0" w:left="0" w:right="0"/>
            </w:pPr>
            <w:r>
              <w:t>FXCM</w:t>
            </w:r>
          </w:p>
        </w:tc>
        <w:tc>
          <w:tcPr>
            <w:cnfStyle w:evenVBand="true" w:oddVBand="false" w:firstColumn="false"/>
            <w:tcW w:w="25.000000%" w:type="pct"/>
          </w:tcPr>
          <w:p>
            <w:pPr>
              <w:ind w:leftChars="0" w:left="0" w:right="0"/>
            </w:pPr>
            <w:r>
              <w:t>749</w:t>
            </w:r>
          </w:p>
        </w:tc>
      </w:tr>
      <w:tr>
        <w:trPr>
          <w:cnfStyle w:evenHBand="false" w:oddHBand="true" w:firstRow="false"/>
        </w:trPr>
        <w:tc>
          <w:tcPr>
            <w:cnfStyle w:evenVBand="false" w:oddVBand="true" w:firstColumn="false"/>
            <w:tcW w:w="25.000000%" w:type="pct"/>
          </w:tcPr>
          <w:p>
            <w:pPr>
              <w:ind w:leftChars="0" w:left="0" w:right="0"/>
            </w:pPr>
            <w:r>
              <w:t>FXFM</w:t>
            </w:r>
          </w:p>
        </w:tc>
        <w:tc>
          <w:tcPr>
            <w:cnfStyle w:evenVBand="true" w:oddVBand="false" w:firstColumn="false"/>
            <w:tcW w:w="25.000000%" w:type="pct"/>
          </w:tcPr>
          <w:p>
            <w:pPr>
              <w:ind w:leftChars="0" w:left="0" w:right="0"/>
            </w:pPr>
            <w:r>
              <w:t>FXFM</w:t>
            </w:r>
          </w:p>
        </w:tc>
        <w:tc>
          <w:tcPr>
            <w:cnfStyle w:evenVBand="false" w:oddVBand="true" w:firstColumn="false"/>
            <w:tcW w:w="25.000000%" w:type="pct"/>
          </w:tcPr>
          <w:p>
            <w:pPr>
              <w:ind w:leftChars="0" w:left="0" w:right="0"/>
            </w:pPr>
            <w:r>
              <w:t>FINANCIAL AND RISK TRANSACTIONS SERVICES IRELAND LIMITED - FORWARDS MATCHING</w:t>
            </w:r>
          </w:p>
        </w:tc>
        <w:tc>
          <w:tcPr>
            <w:cnfStyle w:evenVBand="true" w:oddVBand="false" w:firstColumn="false"/>
            <w:tcW w:w="25.000000%" w:type="pct"/>
          </w:tcPr>
          <w:p>
            <w:pPr>
              <w:ind w:leftChars="0" w:left="0" w:right="0"/>
            </w:pPr>
            <w:r>
              <w:t>750</w:t>
            </w:r>
          </w:p>
        </w:tc>
      </w:tr>
      <w:tr>
        <w:trPr>
          <w:cnfStyle w:evenHBand="true" w:oddHBand="false" w:firstRow="false"/>
        </w:trPr>
        <w:tc>
          <w:tcPr>
            <w:cnfStyle w:evenVBand="false" w:oddVBand="true" w:firstColumn="false"/>
            <w:tcW w:w="25.000000%" w:type="pct"/>
          </w:tcPr>
          <w:p>
            <w:pPr>
              <w:ind w:leftChars="0" w:left="0" w:right="0"/>
            </w:pPr>
            <w:r>
              <w:t>FXGB</w:t>
            </w:r>
          </w:p>
        </w:tc>
        <w:tc>
          <w:tcPr>
            <w:cnfStyle w:evenVBand="true" w:oddVBand="false" w:firstColumn="false"/>
            <w:tcW w:w="25.000000%" w:type="pct"/>
          </w:tcPr>
          <w:p>
            <w:pPr>
              <w:ind w:leftChars="0" w:left="0" w:right="0"/>
            </w:pPr>
            <w:r>
              <w:t>FXGB</w:t>
            </w:r>
          </w:p>
        </w:tc>
        <w:tc>
          <w:tcPr>
            <w:cnfStyle w:evenVBand="false" w:oddVBand="true" w:firstColumn="false"/>
            <w:tcW w:w="25.000000%" w:type="pct"/>
          </w:tcPr>
          <w:p>
            <w:pPr>
              <w:ind w:leftChars="0" w:left="0" w:right="0"/>
            </w:pPr>
            <w:r>
              <w:t>FXCM - MTF</w:t>
            </w:r>
          </w:p>
        </w:tc>
        <w:tc>
          <w:tcPr>
            <w:cnfStyle w:evenVBand="true" w:oddVBand="false" w:firstColumn="false"/>
            <w:tcW w:w="25.000000%" w:type="pct"/>
          </w:tcPr>
          <w:p>
            <w:pPr>
              <w:ind w:leftChars="0" w:left="0" w:right="0"/>
            </w:pPr>
            <w:r>
              <w:t>751</w:t>
            </w:r>
          </w:p>
        </w:tc>
      </w:tr>
      <w:tr>
        <w:trPr>
          <w:cnfStyle w:evenHBand="false" w:oddHBand="true" w:firstRow="false"/>
        </w:trPr>
        <w:tc>
          <w:tcPr>
            <w:cnfStyle w:evenVBand="false" w:oddVBand="true" w:firstColumn="false"/>
            <w:tcW w:w="25.000000%" w:type="pct"/>
          </w:tcPr>
          <w:p>
            <w:pPr>
              <w:ind w:leftChars="0" w:left="0" w:right="0"/>
            </w:pPr>
            <w:r>
              <w:t>FXMT</w:t>
            </w:r>
          </w:p>
        </w:tc>
        <w:tc>
          <w:tcPr>
            <w:cnfStyle w:evenVBand="true" w:oddVBand="false" w:firstColumn="false"/>
            <w:tcW w:w="25.000000%" w:type="pct"/>
          </w:tcPr>
          <w:p>
            <w:pPr>
              <w:ind w:leftChars="0" w:left="0" w:right="0"/>
            </w:pPr>
            <w:r>
              <w:t>FXMT</w:t>
            </w:r>
          </w:p>
        </w:tc>
        <w:tc>
          <w:tcPr>
            <w:cnfStyle w:evenVBand="false" w:oddVBand="true" w:firstColumn="false"/>
            <w:tcW w:w="25.000000%" w:type="pct"/>
          </w:tcPr>
          <w:p>
            <w:pPr>
              <w:ind w:leftChars="0" w:left="0" w:right="0"/>
            </w:pPr>
            <w:r>
              <w:t>FXMARKETSPACE LIMITED</w:t>
            </w:r>
          </w:p>
        </w:tc>
        <w:tc>
          <w:tcPr>
            <w:cnfStyle w:evenVBand="true" w:oddVBand="false" w:firstColumn="false"/>
            <w:tcW w:w="25.000000%" w:type="pct"/>
          </w:tcPr>
          <w:p>
            <w:pPr>
              <w:ind w:leftChars="0" w:left="0" w:right="0"/>
            </w:pPr>
            <w:r>
              <w:t>752</w:t>
            </w:r>
          </w:p>
        </w:tc>
      </w:tr>
      <w:tr>
        <w:trPr>
          <w:cnfStyle w:evenHBand="true" w:oddHBand="false" w:firstRow="false"/>
        </w:trPr>
        <w:tc>
          <w:tcPr>
            <w:cnfStyle w:evenVBand="false" w:oddVBand="true" w:firstColumn="false"/>
            <w:tcW w:w="25.000000%" w:type="pct"/>
          </w:tcPr>
          <w:p>
            <w:pPr>
              <w:ind w:leftChars="0" w:left="0" w:right="0"/>
            </w:pPr>
            <w:r>
              <w:t>FXNM</w:t>
            </w:r>
          </w:p>
        </w:tc>
        <w:tc>
          <w:tcPr>
            <w:cnfStyle w:evenVBand="true" w:oddVBand="false" w:firstColumn="false"/>
            <w:tcW w:w="25.000000%" w:type="pct"/>
          </w:tcPr>
          <w:p>
            <w:pPr>
              <w:ind w:leftChars="0" w:left="0" w:right="0"/>
            </w:pPr>
            <w:r>
              <w:t>FXNM</w:t>
            </w:r>
          </w:p>
        </w:tc>
        <w:tc>
          <w:tcPr>
            <w:cnfStyle w:evenVBand="false" w:oddVBand="true" w:firstColumn="false"/>
            <w:tcW w:w="25.000000%" w:type="pct"/>
          </w:tcPr>
          <w:p>
            <w:pPr>
              <w:ind w:leftChars="0" w:left="0" w:right="0"/>
            </w:pPr>
            <w:r>
              <w:t>REFINITIV MATCHING NDFS SEF</w:t>
            </w:r>
          </w:p>
        </w:tc>
        <w:tc>
          <w:tcPr>
            <w:cnfStyle w:evenVBand="true" w:oddVBand="false" w:firstColumn="false"/>
            <w:tcW w:w="25.000000%" w:type="pct"/>
          </w:tcPr>
          <w:p>
            <w:pPr>
              <w:ind w:leftChars="0" w:left="0" w:right="0"/>
            </w:pPr>
            <w:r>
              <w:t>753</w:t>
            </w:r>
          </w:p>
        </w:tc>
      </w:tr>
      <w:tr>
        <w:trPr>
          <w:cnfStyle w:evenHBand="false" w:oddHBand="true" w:firstRow="false"/>
        </w:trPr>
        <w:tc>
          <w:tcPr>
            <w:cnfStyle w:evenVBand="false" w:oddVBand="true" w:firstColumn="false"/>
            <w:tcW w:w="25.000000%" w:type="pct"/>
          </w:tcPr>
          <w:p>
            <w:pPr>
              <w:ind w:leftChars="0" w:left="0" w:right="0"/>
            </w:pPr>
            <w:r>
              <w:t>FXOP</w:t>
            </w:r>
          </w:p>
        </w:tc>
        <w:tc>
          <w:tcPr>
            <w:cnfStyle w:evenVBand="true" w:oddVBand="false" w:firstColumn="false"/>
            <w:tcW w:w="25.000000%" w:type="pct"/>
          </w:tcPr>
          <w:p>
            <w:pPr>
              <w:ind w:leftChars="0" w:left="0" w:right="0"/>
            </w:pPr>
            <w:r>
              <w:t>FXOP</w:t>
            </w:r>
          </w:p>
        </w:tc>
        <w:tc>
          <w:tcPr>
            <w:cnfStyle w:evenVBand="false" w:oddVBand="true" w:firstColumn="false"/>
            <w:tcW w:w="25.000000%" w:type="pct"/>
          </w:tcPr>
          <w:p>
            <w:pPr>
              <w:ind w:leftChars="0" w:left="0" w:right="0"/>
            </w:pPr>
            <w:r>
              <w:t>TRADITION-NEX OTF</w:t>
            </w:r>
          </w:p>
        </w:tc>
        <w:tc>
          <w:tcPr>
            <w:cnfStyle w:evenVBand="true" w:oddVBand="false" w:firstColumn="false"/>
            <w:tcW w:w="25.000000%" w:type="pct"/>
          </w:tcPr>
          <w:p>
            <w:pPr>
              <w:ind w:leftChars="0" w:left="0" w:right="0"/>
            </w:pPr>
            <w:r>
              <w:t>754</w:t>
            </w:r>
          </w:p>
        </w:tc>
      </w:tr>
      <w:tr>
        <w:trPr>
          <w:cnfStyle w:evenHBand="true" w:oddHBand="false" w:firstRow="false"/>
        </w:trPr>
        <w:tc>
          <w:tcPr>
            <w:cnfStyle w:evenVBand="false" w:oddVBand="true" w:firstColumn="false"/>
            <w:tcW w:w="25.000000%" w:type="pct"/>
          </w:tcPr>
          <w:p>
            <w:pPr>
              <w:ind w:leftChars="0" w:left="0" w:right="0"/>
            </w:pPr>
            <w:r>
              <w:t>FXPS</w:t>
            </w:r>
          </w:p>
        </w:tc>
        <w:tc>
          <w:tcPr>
            <w:cnfStyle w:evenVBand="true" w:oddVBand="false" w:firstColumn="false"/>
            <w:tcW w:w="25.000000%" w:type="pct"/>
          </w:tcPr>
          <w:p>
            <w:pPr>
              <w:ind w:leftChars="0" w:left="0" w:right="0"/>
            </w:pPr>
            <w:r>
              <w:t>FXPS</w:t>
            </w:r>
          </w:p>
        </w:tc>
        <w:tc>
          <w:tcPr>
            <w:cnfStyle w:evenVBand="false" w:oddVBand="true" w:firstColumn="false"/>
            <w:tcW w:w="25.000000%" w:type="pct"/>
          </w:tcPr>
          <w:p>
            <w:pPr>
              <w:ind w:leftChars="0" w:left="0" w:right="0"/>
            </w:pPr>
            <w:r>
              <w:t>REFINITIV SEF REQUEST FOR STREAM</w:t>
            </w:r>
          </w:p>
        </w:tc>
        <w:tc>
          <w:tcPr>
            <w:cnfStyle w:evenVBand="true" w:oddVBand="false" w:firstColumn="false"/>
            <w:tcW w:w="25.000000%" w:type="pct"/>
          </w:tcPr>
          <w:p>
            <w:pPr>
              <w:ind w:leftChars="0" w:left="0" w:right="0"/>
            </w:pPr>
            <w:r>
              <w:t>755</w:t>
            </w:r>
          </w:p>
        </w:tc>
      </w:tr>
      <w:tr>
        <w:trPr>
          <w:cnfStyle w:evenHBand="false" w:oddHBand="true" w:firstRow="false"/>
        </w:trPr>
        <w:tc>
          <w:tcPr>
            <w:cnfStyle w:evenVBand="false" w:oddVBand="true" w:firstColumn="false"/>
            <w:tcW w:w="25.000000%" w:type="pct"/>
          </w:tcPr>
          <w:p>
            <w:pPr>
              <w:ind w:leftChars="0" w:left="0" w:right="0"/>
            </w:pPr>
            <w:r>
              <w:t>FXRQ</w:t>
            </w:r>
          </w:p>
        </w:tc>
        <w:tc>
          <w:tcPr>
            <w:cnfStyle w:evenVBand="true" w:oddVBand="false" w:firstColumn="false"/>
            <w:tcW w:w="25.000000%" w:type="pct"/>
          </w:tcPr>
          <w:p>
            <w:pPr>
              <w:ind w:leftChars="0" w:left="0" w:right="0"/>
            </w:pPr>
            <w:r>
              <w:t>FXRQ</w:t>
            </w:r>
          </w:p>
        </w:tc>
        <w:tc>
          <w:tcPr>
            <w:cnfStyle w:evenVBand="false" w:oddVBand="true" w:firstColumn="false"/>
            <w:tcW w:w="25.000000%" w:type="pct"/>
          </w:tcPr>
          <w:p>
            <w:pPr>
              <w:ind w:leftChars="0" w:left="0" w:right="0"/>
            </w:pPr>
            <w:r>
              <w:t>FINANCIAL AND RISK TRANSACTIONS SERVICES IRELAND LIMITED - FXALL RFQ MTF</w:t>
            </w:r>
          </w:p>
        </w:tc>
        <w:tc>
          <w:tcPr>
            <w:cnfStyle w:evenVBand="true" w:oddVBand="false" w:firstColumn="false"/>
            <w:tcW w:w="25.000000%" w:type="pct"/>
          </w:tcPr>
          <w:p>
            <w:pPr>
              <w:ind w:leftChars="0" w:left="0" w:right="0"/>
            </w:pPr>
            <w:r>
              <w:t>756</w:t>
            </w:r>
          </w:p>
        </w:tc>
      </w:tr>
      <w:tr>
        <w:trPr>
          <w:cnfStyle w:evenHBand="true" w:oddHBand="false" w:firstRow="false"/>
        </w:trPr>
        <w:tc>
          <w:tcPr>
            <w:cnfStyle w:evenVBand="false" w:oddVBand="true" w:firstColumn="false"/>
            <w:tcW w:w="25.000000%" w:type="pct"/>
          </w:tcPr>
          <w:p>
            <w:pPr>
              <w:ind w:leftChars="0" w:left="0" w:right="0"/>
            </w:pPr>
            <w:r>
              <w:t>FXRS</w:t>
            </w:r>
          </w:p>
        </w:tc>
        <w:tc>
          <w:tcPr>
            <w:cnfStyle w:evenVBand="true" w:oddVBand="false" w:firstColumn="false"/>
            <w:tcW w:w="25.000000%" w:type="pct"/>
          </w:tcPr>
          <w:p>
            <w:pPr>
              <w:ind w:leftChars="0" w:left="0" w:right="0"/>
            </w:pPr>
            <w:r>
              <w:t>FXRS</w:t>
            </w:r>
          </w:p>
        </w:tc>
        <w:tc>
          <w:tcPr>
            <w:cnfStyle w:evenVBand="false" w:oddVBand="true" w:firstColumn="false"/>
            <w:tcW w:w="25.000000%" w:type="pct"/>
          </w:tcPr>
          <w:p>
            <w:pPr>
              <w:ind w:leftChars="0" w:left="0" w:right="0"/>
            </w:pPr>
            <w:r>
              <w:t>FINANCIAL AND RISK TRANSACTIONS SERVICES IRELAND LIMITED - FXALL RFS MTF</w:t>
            </w:r>
          </w:p>
        </w:tc>
        <w:tc>
          <w:tcPr>
            <w:cnfStyle w:evenVBand="true" w:oddVBand="false" w:firstColumn="false"/>
            <w:tcW w:w="25.000000%" w:type="pct"/>
          </w:tcPr>
          <w:p>
            <w:pPr>
              <w:ind w:leftChars="0" w:left="0" w:right="0"/>
            </w:pPr>
            <w:r>
              <w:t>757</w:t>
            </w:r>
          </w:p>
        </w:tc>
      </w:tr>
      <w:tr>
        <w:trPr>
          <w:cnfStyle w:evenHBand="false" w:oddHBand="true" w:firstRow="false"/>
        </w:trPr>
        <w:tc>
          <w:tcPr>
            <w:cnfStyle w:evenVBand="false" w:oddVBand="true" w:firstColumn="false"/>
            <w:tcW w:w="25.000000%" w:type="pct"/>
          </w:tcPr>
          <w:p>
            <w:pPr>
              <w:ind w:leftChars="0" w:left="0" w:right="0"/>
            </w:pPr>
            <w:r>
              <w:t>FXSM</w:t>
            </w:r>
          </w:p>
        </w:tc>
        <w:tc>
          <w:tcPr>
            <w:cnfStyle w:evenVBand="true" w:oddVBand="false" w:firstColumn="false"/>
            <w:tcW w:w="25.000000%" w:type="pct"/>
          </w:tcPr>
          <w:p>
            <w:pPr>
              <w:ind w:leftChars="0" w:left="0" w:right="0"/>
            </w:pPr>
            <w:r>
              <w:t>FXSM</w:t>
            </w:r>
          </w:p>
        </w:tc>
        <w:tc>
          <w:tcPr>
            <w:cnfStyle w:evenVBand="false" w:oddVBand="true" w:firstColumn="false"/>
            <w:tcW w:w="25.000000%" w:type="pct"/>
          </w:tcPr>
          <w:p>
            <w:pPr>
              <w:ind w:leftChars="0" w:left="0" w:right="0"/>
            </w:pPr>
            <w:r>
              <w:t>REFINITIV MATCHING NDFS SINGAPORE</w:t>
            </w:r>
          </w:p>
        </w:tc>
        <w:tc>
          <w:tcPr>
            <w:cnfStyle w:evenVBand="true" w:oddVBand="false" w:firstColumn="false"/>
            <w:tcW w:w="25.000000%" w:type="pct"/>
          </w:tcPr>
          <w:p>
            <w:pPr>
              <w:ind w:leftChars="0" w:left="0" w:right="0"/>
            </w:pPr>
            <w:r>
              <w:t>758</w:t>
            </w:r>
          </w:p>
        </w:tc>
      </w:tr>
      <w:tr>
        <w:trPr>
          <w:cnfStyle w:evenHBand="true" w:oddHBand="false" w:firstRow="false"/>
        </w:trPr>
        <w:tc>
          <w:tcPr>
            <w:cnfStyle w:evenVBand="false" w:oddVBand="true" w:firstColumn="false"/>
            <w:tcW w:w="25.000000%" w:type="pct"/>
          </w:tcPr>
          <w:p>
            <w:pPr>
              <w:ind w:leftChars="0" w:left="0" w:right="0"/>
            </w:pPr>
            <w:r>
              <w:t>FXSW</w:t>
            </w:r>
          </w:p>
        </w:tc>
        <w:tc>
          <w:tcPr>
            <w:cnfStyle w:evenVBand="true" w:oddVBand="false" w:firstColumn="false"/>
            <w:tcW w:w="25.000000%" w:type="pct"/>
          </w:tcPr>
          <w:p>
            <w:pPr>
              <w:ind w:leftChars="0" w:left="0" w:right="0"/>
            </w:pPr>
            <w:r>
              <w:t>FXSW</w:t>
            </w:r>
          </w:p>
        </w:tc>
        <w:tc>
          <w:tcPr>
            <w:cnfStyle w:evenVBand="false" w:oddVBand="true" w:firstColumn="false"/>
            <w:tcW w:w="25.000000%" w:type="pct"/>
          </w:tcPr>
          <w:p>
            <w:pPr>
              <w:ind w:leftChars="0" w:left="0" w:right="0"/>
            </w:pPr>
            <w:r>
              <w:t>CLEARCORP DEALING SYSTEMS INDIA LIMITED - FX-SWAP</w:t>
            </w:r>
          </w:p>
        </w:tc>
        <w:tc>
          <w:tcPr>
            <w:cnfStyle w:evenVBand="true" w:oddVBand="false" w:firstColumn="false"/>
            <w:tcW w:w="25.000000%" w:type="pct"/>
          </w:tcPr>
          <w:p>
            <w:pPr>
              <w:ind w:leftChars="0" w:left="0" w:right="0"/>
            </w:pPr>
            <w:r>
              <w:t>759</w:t>
            </w:r>
          </w:p>
        </w:tc>
      </w:tr>
      <w:tr>
        <w:trPr>
          <w:cnfStyle w:evenHBand="false" w:oddHBand="true" w:firstRow="false"/>
        </w:trPr>
        <w:tc>
          <w:tcPr>
            <w:cnfStyle w:evenVBand="false" w:oddVBand="true" w:firstColumn="false"/>
            <w:tcW w:w="25.000000%" w:type="pct"/>
          </w:tcPr>
          <w:p>
            <w:pPr>
              <w:ind w:leftChars="0" w:left="0" w:right="0"/>
            </w:pPr>
            <w:r>
              <w:t>G1XX</w:t>
            </w:r>
          </w:p>
        </w:tc>
        <w:tc>
          <w:tcPr>
            <w:cnfStyle w:evenVBand="true" w:oddVBand="false" w:firstColumn="false"/>
            <w:tcW w:w="25.000000%" w:type="pct"/>
          </w:tcPr>
          <w:p>
            <w:pPr>
              <w:ind w:leftChars="0" w:left="0" w:right="0"/>
            </w:pPr>
            <w:r>
              <w:t>G1XX</w:t>
            </w:r>
          </w:p>
        </w:tc>
        <w:tc>
          <w:tcPr>
            <w:cnfStyle w:evenVBand="false" w:oddVBand="true" w:firstColumn="false"/>
            <w:tcW w:w="25.000000%" w:type="pct"/>
          </w:tcPr>
          <w:p>
            <w:pPr>
              <w:ind w:leftChars="0" w:left="0" w:right="0"/>
            </w:pPr>
            <w:r>
              <w:t>G1 EXECUTION SERVICES</w:t>
            </w:r>
          </w:p>
        </w:tc>
        <w:tc>
          <w:tcPr>
            <w:cnfStyle w:evenVBand="true" w:oddVBand="false" w:firstColumn="false"/>
            <w:tcW w:w="25.000000%" w:type="pct"/>
          </w:tcPr>
          <w:p>
            <w:pPr>
              <w:ind w:leftChars="0" w:left="0" w:right="0"/>
            </w:pPr>
            <w:r>
              <w:t>760</w:t>
            </w:r>
          </w:p>
        </w:tc>
      </w:tr>
      <w:tr>
        <w:trPr>
          <w:cnfStyle w:evenHBand="true" w:oddHBand="false" w:firstRow="false"/>
        </w:trPr>
        <w:tc>
          <w:tcPr>
            <w:cnfStyle w:evenVBand="false" w:oddVBand="true" w:firstColumn="false"/>
            <w:tcW w:w="25.000000%" w:type="pct"/>
          </w:tcPr>
          <w:p>
            <w:pPr>
              <w:ind w:leftChars="0" w:left="0" w:right="0"/>
            </w:pPr>
            <w:r>
              <w:t>GBOB</w:t>
            </w:r>
          </w:p>
        </w:tc>
        <w:tc>
          <w:tcPr>
            <w:cnfStyle w:evenVBand="true" w:oddVBand="false" w:firstColumn="false"/>
            <w:tcW w:w="25.000000%" w:type="pct"/>
          </w:tcPr>
          <w:p>
            <w:pPr>
              <w:ind w:leftChars="0" w:left="0" w:right="0"/>
            </w:pPr>
            <w:r>
              <w:t>GBOB</w:t>
            </w:r>
          </w:p>
        </w:tc>
        <w:tc>
          <w:tcPr>
            <w:cnfStyle w:evenVBand="false" w:oddVBand="true" w:firstColumn="false"/>
            <w:tcW w:w="25.000000%" w:type="pct"/>
          </w:tcPr>
          <w:p>
            <w:pPr>
              <w:ind w:leftChars="0" w:left="0" w:right="0"/>
            </w:pPr>
            <w:r>
              <w:t>NASDAQ STOCKHOLM AB - OTC GBP WB EQ DERIVATIVES</w:t>
            </w:r>
          </w:p>
        </w:tc>
        <w:tc>
          <w:tcPr>
            <w:cnfStyle w:evenVBand="true" w:oddVBand="false" w:firstColumn="false"/>
            <w:tcW w:w="25.000000%" w:type="pct"/>
          </w:tcPr>
          <w:p>
            <w:pPr>
              <w:ind w:leftChars="0" w:left="0" w:right="0"/>
            </w:pPr>
            <w:r>
              <w:t>761</w:t>
            </w:r>
          </w:p>
        </w:tc>
      </w:tr>
      <w:tr>
        <w:trPr>
          <w:cnfStyle w:evenHBand="false" w:oddHBand="true" w:firstRow="false"/>
        </w:trPr>
        <w:tc>
          <w:tcPr>
            <w:cnfStyle w:evenVBand="false" w:oddVBand="true" w:firstColumn="false"/>
            <w:tcW w:w="25.000000%" w:type="pct"/>
          </w:tcPr>
          <w:p>
            <w:pPr>
              <w:ind w:leftChars="0" w:left="0" w:right="0"/>
            </w:pPr>
            <w:r>
              <w:t>GBOT</w:t>
            </w:r>
          </w:p>
        </w:tc>
        <w:tc>
          <w:tcPr>
            <w:cnfStyle w:evenVBand="true" w:oddVBand="false" w:firstColumn="false"/>
            <w:tcW w:w="25.000000%" w:type="pct"/>
          </w:tcPr>
          <w:p>
            <w:pPr>
              <w:ind w:leftChars="0" w:left="0" w:right="0"/>
            </w:pPr>
            <w:r>
              <w:t>GBOT</w:t>
            </w:r>
          </w:p>
        </w:tc>
        <w:tc>
          <w:tcPr>
            <w:cnfStyle w:evenVBand="false" w:oddVBand="true" w:firstColumn="false"/>
            <w:tcW w:w="25.000000%" w:type="pct"/>
          </w:tcPr>
          <w:p>
            <w:pPr>
              <w:ind w:leftChars="0" w:left="0" w:right="0"/>
            </w:pPr>
            <w:r>
              <w:t>BOURSE AFRICA LIMITED</w:t>
            </w:r>
          </w:p>
        </w:tc>
        <w:tc>
          <w:tcPr>
            <w:cnfStyle w:evenVBand="true" w:oddVBand="false" w:firstColumn="false"/>
            <w:tcW w:w="25.000000%" w:type="pct"/>
          </w:tcPr>
          <w:p>
            <w:pPr>
              <w:ind w:leftChars="0" w:left="0" w:right="0"/>
            </w:pPr>
            <w:r>
              <w:t>762</w:t>
            </w:r>
          </w:p>
        </w:tc>
      </w:tr>
      <w:tr>
        <w:trPr>
          <w:cnfStyle w:evenHBand="true" w:oddHBand="false" w:firstRow="false"/>
        </w:trPr>
        <w:tc>
          <w:tcPr>
            <w:cnfStyle w:evenVBand="false" w:oddVBand="true" w:firstColumn="false"/>
            <w:tcW w:w="25.000000%" w:type="pct"/>
          </w:tcPr>
          <w:p>
            <w:pPr>
              <w:ind w:leftChars="0" w:left="0" w:right="0"/>
            </w:pPr>
            <w:r>
              <w:t>GBSI</w:t>
            </w:r>
          </w:p>
        </w:tc>
        <w:tc>
          <w:tcPr>
            <w:cnfStyle w:evenVBand="true" w:oddVBand="false" w:firstColumn="false"/>
            <w:tcW w:w="25.000000%" w:type="pct"/>
          </w:tcPr>
          <w:p>
            <w:pPr>
              <w:ind w:leftChars="0" w:left="0" w:right="0"/>
            </w:pPr>
            <w:r>
              <w:t>GBSI</w:t>
            </w:r>
          </w:p>
        </w:tc>
        <w:tc>
          <w:tcPr>
            <w:cnfStyle w:evenVBand="false" w:oddVBand="true" w:firstColumn="false"/>
            <w:tcW w:w="25.000000%" w:type="pct"/>
          </w:tcPr>
          <w:p>
            <w:pPr>
              <w:ind w:leftChars="0" w:left="0" w:right="0"/>
            </w:pPr>
            <w:r>
              <w:t>GOODBODY STOCKBROKERS UC</w:t>
            </w:r>
          </w:p>
        </w:tc>
        <w:tc>
          <w:tcPr>
            <w:cnfStyle w:evenVBand="true" w:oddVBand="false" w:firstColumn="false"/>
            <w:tcW w:w="25.000000%" w:type="pct"/>
          </w:tcPr>
          <w:p>
            <w:pPr>
              <w:ind w:leftChars="0" w:left="0" w:right="0"/>
            </w:pPr>
            <w:r>
              <w:t>763</w:t>
            </w:r>
          </w:p>
        </w:tc>
      </w:tr>
      <w:tr>
        <w:trPr>
          <w:cnfStyle w:evenHBand="false" w:oddHBand="true" w:firstRow="false"/>
        </w:trPr>
        <w:tc>
          <w:tcPr>
            <w:cnfStyle w:evenVBand="false" w:oddVBand="true" w:firstColumn="false"/>
            <w:tcW w:w="25.000000%" w:type="pct"/>
          </w:tcPr>
          <w:p>
            <w:pPr>
              <w:ind w:leftChars="0" w:left="0" w:right="0"/>
            </w:pPr>
            <w:r>
              <w:t>GBUL</w:t>
            </w:r>
          </w:p>
        </w:tc>
        <w:tc>
          <w:tcPr>
            <w:cnfStyle w:evenVBand="true" w:oddVBand="false" w:firstColumn="false"/>
            <w:tcW w:w="25.000000%" w:type="pct"/>
          </w:tcPr>
          <w:p>
            <w:pPr>
              <w:ind w:leftChars="0" w:left="0" w:right="0"/>
            </w:pPr>
            <w:r>
              <w:t>GBUL</w:t>
            </w:r>
          </w:p>
        </w:tc>
        <w:tc>
          <w:tcPr>
            <w:cnfStyle w:evenVBand="false" w:oddVBand="true" w:firstColumn="false"/>
            <w:tcW w:w="25.000000%" w:type="pct"/>
          </w:tcPr>
          <w:p>
            <w:pPr>
              <w:ind w:leftChars="0" w:left="0" w:right="0"/>
            </w:pPr>
            <w:r>
              <w:t>BULGARIAN STOCK EXCHANGE - SME GROWTH MARKET BEAM</w:t>
            </w:r>
          </w:p>
        </w:tc>
        <w:tc>
          <w:tcPr>
            <w:cnfStyle w:evenVBand="true" w:oddVBand="false" w:firstColumn="false"/>
            <w:tcW w:w="25.000000%" w:type="pct"/>
          </w:tcPr>
          <w:p>
            <w:pPr>
              <w:ind w:leftChars="0" w:left="0" w:right="0"/>
            </w:pPr>
            <w:r>
              <w:t>764</w:t>
            </w:r>
          </w:p>
        </w:tc>
      </w:tr>
      <w:tr>
        <w:trPr>
          <w:cnfStyle w:evenHBand="true" w:oddHBand="false" w:firstRow="false"/>
        </w:trPr>
        <w:tc>
          <w:tcPr>
            <w:cnfStyle w:evenVBand="false" w:oddVBand="true" w:firstColumn="false"/>
            <w:tcW w:w="25.000000%" w:type="pct"/>
          </w:tcPr>
          <w:p>
            <w:pPr>
              <w:ind w:leftChars="0" w:left="0" w:right="0"/>
            </w:pPr>
            <w:r>
              <w:t>GBWB</w:t>
            </w:r>
          </w:p>
        </w:tc>
        <w:tc>
          <w:tcPr>
            <w:cnfStyle w:evenVBand="true" w:oddVBand="false" w:firstColumn="false"/>
            <w:tcW w:w="25.000000%" w:type="pct"/>
          </w:tcPr>
          <w:p>
            <w:pPr>
              <w:ind w:leftChars="0" w:left="0" w:right="0"/>
            </w:pPr>
            <w:r>
              <w:t>GBWB</w:t>
            </w:r>
          </w:p>
        </w:tc>
        <w:tc>
          <w:tcPr>
            <w:cnfStyle w:evenVBand="false" w:oddVBand="true" w:firstColumn="false"/>
            <w:tcW w:w="25.000000%" w:type="pct"/>
          </w:tcPr>
          <w:p>
            <w:pPr>
              <w:ind w:leftChars="0" w:left="0" w:right="0"/>
            </w:pPr>
            <w:r>
              <w:t>NASDAQ STOCKHOLM AB - GBP WB EQ DERIVATIVES</w:t>
            </w:r>
          </w:p>
        </w:tc>
        <w:tc>
          <w:tcPr>
            <w:cnfStyle w:evenVBand="true" w:oddVBand="false" w:firstColumn="false"/>
            <w:tcW w:w="25.000000%" w:type="pct"/>
          </w:tcPr>
          <w:p>
            <w:pPr>
              <w:ind w:leftChars="0" w:left="0" w:right="0"/>
            </w:pPr>
            <w:r>
              <w:t>765</w:t>
            </w:r>
          </w:p>
        </w:tc>
      </w:tr>
      <w:tr>
        <w:trPr>
          <w:cnfStyle w:evenHBand="false" w:oddHBand="true" w:firstRow="false"/>
        </w:trPr>
        <w:tc>
          <w:tcPr>
            <w:cnfStyle w:evenVBand="false" w:oddVBand="true" w:firstColumn="false"/>
            <w:tcW w:w="25.000000%" w:type="pct"/>
          </w:tcPr>
          <w:p>
            <w:pPr>
              <w:ind w:leftChars="0" w:left="0" w:right="0"/>
            </w:pPr>
            <w:r>
              <w:t>GEMX</w:t>
            </w:r>
          </w:p>
        </w:tc>
        <w:tc>
          <w:tcPr>
            <w:cnfStyle w:evenVBand="true" w:oddVBand="false" w:firstColumn="false"/>
            <w:tcW w:w="25.000000%" w:type="pct"/>
          </w:tcPr>
          <w:p>
            <w:pPr>
              <w:ind w:leftChars="0" w:left="0" w:right="0"/>
            </w:pPr>
            <w:r>
              <w:t>GEMX</w:t>
            </w:r>
          </w:p>
        </w:tc>
        <w:tc>
          <w:tcPr>
            <w:cnfStyle w:evenVBand="false" w:oddVBand="true" w:firstColumn="false"/>
            <w:tcW w:w="25.000000%" w:type="pct"/>
          </w:tcPr>
          <w:p>
            <w:pPr>
              <w:ind w:leftChars="0" w:left="0" w:right="0"/>
            </w:pPr>
            <w:r>
              <w:t>GEMMA (GILT EDGED MARKET MAKERS’ASSOCIATION)</w:t>
            </w:r>
          </w:p>
        </w:tc>
        <w:tc>
          <w:tcPr>
            <w:cnfStyle w:evenVBand="true" w:oddVBand="false" w:firstColumn="false"/>
            <w:tcW w:w="25.000000%" w:type="pct"/>
          </w:tcPr>
          <w:p>
            <w:pPr>
              <w:ind w:leftChars="0" w:left="0" w:right="0"/>
            </w:pPr>
            <w:r>
              <w:t>766</w:t>
            </w:r>
          </w:p>
        </w:tc>
      </w:tr>
      <w:tr>
        <w:trPr>
          <w:cnfStyle w:evenHBand="true" w:oddHBand="false" w:firstRow="false"/>
        </w:trPr>
        <w:tc>
          <w:tcPr>
            <w:cnfStyle w:evenVBand="false" w:oddVBand="true" w:firstColumn="false"/>
            <w:tcW w:w="25.000000%" w:type="pct"/>
          </w:tcPr>
          <w:p>
            <w:pPr>
              <w:ind w:leftChars="0" w:left="0" w:right="0"/>
            </w:pPr>
            <w:r>
              <w:t>GETB</w:t>
            </w:r>
          </w:p>
        </w:tc>
        <w:tc>
          <w:tcPr>
            <w:cnfStyle w:evenVBand="true" w:oddVBand="false" w:firstColumn="false"/>
            <w:tcW w:w="25.000000%" w:type="pct"/>
          </w:tcPr>
          <w:p>
            <w:pPr>
              <w:ind w:leftChars="0" w:left="0" w:right="0"/>
            </w:pPr>
            <w:r>
              <w:t>GETB</w:t>
            </w:r>
          </w:p>
        </w:tc>
        <w:tc>
          <w:tcPr>
            <w:cnfStyle w:evenVBand="false" w:oddVBand="true" w:firstColumn="false"/>
            <w:tcW w:w="25.000000%" w:type="pct"/>
          </w:tcPr>
          <w:p>
            <w:pPr>
              <w:ind w:leftChars="0" w:left="0" w:right="0"/>
            </w:pPr>
            <w:r>
              <w:t>LITHUANIAN NATURAL GAS EXCHANGE</w:t>
            </w:r>
          </w:p>
        </w:tc>
        <w:tc>
          <w:tcPr>
            <w:cnfStyle w:evenVBand="true" w:oddVBand="false" w:firstColumn="false"/>
            <w:tcW w:w="25.000000%" w:type="pct"/>
          </w:tcPr>
          <w:p>
            <w:pPr>
              <w:ind w:leftChars="0" w:left="0" w:right="0"/>
            </w:pPr>
            <w:r>
              <w:t>767</w:t>
            </w:r>
          </w:p>
        </w:tc>
      </w:tr>
      <w:tr>
        <w:trPr>
          <w:cnfStyle w:evenHBand="false" w:oddHBand="true" w:firstRow="false"/>
        </w:trPr>
        <w:tc>
          <w:tcPr>
            <w:cnfStyle w:evenVBand="false" w:oddVBand="true" w:firstColumn="false"/>
            <w:tcW w:w="25.000000%" w:type="pct"/>
          </w:tcPr>
          <w:p>
            <w:pPr>
              <w:ind w:leftChars="0" w:left="0" w:right="0"/>
            </w:pPr>
            <w:r>
              <w:t>GFAM</w:t>
            </w:r>
          </w:p>
        </w:tc>
        <w:tc>
          <w:tcPr>
            <w:cnfStyle w:evenVBand="true" w:oddVBand="false" w:firstColumn="false"/>
            <w:tcW w:w="25.000000%" w:type="pct"/>
          </w:tcPr>
          <w:p>
            <w:pPr>
              <w:ind w:leftChars="0" w:left="0" w:right="0"/>
            </w:pPr>
            <w:r>
              <w:t>GFAM</w:t>
            </w:r>
          </w:p>
        </w:tc>
        <w:tc>
          <w:tcPr>
            <w:cnfStyle w:evenVBand="false" w:oddVBand="true" w:firstColumn="false"/>
            <w:tcW w:w="25.000000%" w:type="pct"/>
          </w:tcPr>
          <w:p>
            <w:pPr>
              <w:ind w:leftChars="0" w:left="0" w:right="0"/>
            </w:pPr>
            <w:r>
              <w:t>GFI SECURITIES LLC - ALL MARKETS</w:t>
            </w:r>
          </w:p>
        </w:tc>
        <w:tc>
          <w:tcPr>
            <w:cnfStyle w:evenVBand="true" w:oddVBand="false" w:firstColumn="false"/>
            <w:tcW w:w="25.000000%" w:type="pct"/>
          </w:tcPr>
          <w:p>
            <w:pPr>
              <w:ind w:leftChars="0" w:left="0" w:right="0"/>
            </w:pPr>
            <w:r>
              <w:t>768</w:t>
            </w:r>
          </w:p>
        </w:tc>
      </w:tr>
      <w:tr>
        <w:trPr>
          <w:cnfStyle w:evenHBand="true" w:oddHBand="false" w:firstRow="false"/>
        </w:trPr>
        <w:tc>
          <w:tcPr>
            <w:cnfStyle w:evenVBand="false" w:oddVBand="true" w:firstColumn="false"/>
            <w:tcW w:w="25.000000%" w:type="pct"/>
          </w:tcPr>
          <w:p>
            <w:pPr>
              <w:ind w:leftChars="0" w:left="0" w:right="0"/>
            </w:pPr>
            <w:r>
              <w:t>GFAU</w:t>
            </w:r>
          </w:p>
        </w:tc>
        <w:tc>
          <w:tcPr>
            <w:cnfStyle w:evenVBand="true" w:oddVBand="false" w:firstColumn="false"/>
            <w:tcW w:w="25.000000%" w:type="pct"/>
          </w:tcPr>
          <w:p>
            <w:pPr>
              <w:ind w:leftChars="0" w:left="0" w:right="0"/>
            </w:pPr>
            <w:r>
              <w:t>GFAU</w:t>
            </w:r>
          </w:p>
        </w:tc>
        <w:tc>
          <w:tcPr>
            <w:cnfStyle w:evenVBand="false" w:oddVBand="true" w:firstColumn="false"/>
            <w:tcW w:w="25.000000%" w:type="pct"/>
          </w:tcPr>
          <w:p>
            <w:pPr>
              <w:ind w:leftChars="0" w:left="0" w:right="0"/>
            </w:pPr>
            <w:r>
              <w:t>GFI AUSTRALIA PTY LTD</w:t>
            </w:r>
          </w:p>
        </w:tc>
        <w:tc>
          <w:tcPr>
            <w:cnfStyle w:evenVBand="true" w:oddVBand="false" w:firstColumn="false"/>
            <w:tcW w:w="25.000000%" w:type="pct"/>
          </w:tcPr>
          <w:p>
            <w:pPr>
              <w:ind w:leftChars="0" w:left="0" w:right="0"/>
            </w:pPr>
            <w:r>
              <w:t>769</w:t>
            </w:r>
          </w:p>
        </w:tc>
      </w:tr>
      <w:tr>
        <w:trPr>
          <w:cnfStyle w:evenHBand="false" w:oddHBand="true" w:firstRow="false"/>
        </w:trPr>
        <w:tc>
          <w:tcPr>
            <w:cnfStyle w:evenVBand="false" w:oddVBand="true" w:firstColumn="false"/>
            <w:tcW w:w="25.000000%" w:type="pct"/>
          </w:tcPr>
          <w:p>
            <w:pPr>
              <w:ind w:leftChars="0" w:left="0" w:right="0"/>
            </w:pPr>
            <w:r>
              <w:t>GFBM</w:t>
            </w:r>
          </w:p>
        </w:tc>
        <w:tc>
          <w:tcPr>
            <w:cnfStyle w:evenVBand="true" w:oddVBand="false" w:firstColumn="false"/>
            <w:tcW w:w="25.000000%" w:type="pct"/>
          </w:tcPr>
          <w:p>
            <w:pPr>
              <w:ind w:leftChars="0" w:left="0" w:right="0"/>
            </w:pPr>
            <w:r>
              <w:t>GFBM</w:t>
            </w:r>
          </w:p>
        </w:tc>
        <w:tc>
          <w:tcPr>
            <w:cnfStyle w:evenVBand="false" w:oddVBand="true" w:firstColumn="false"/>
            <w:tcW w:w="25.000000%" w:type="pct"/>
          </w:tcPr>
          <w:p>
            <w:pPr>
              <w:ind w:leftChars="0" w:left="0" w:right="0"/>
            </w:pPr>
            <w:r>
              <w:t>GFI BROKERS - MTF</w:t>
            </w:r>
          </w:p>
        </w:tc>
        <w:tc>
          <w:tcPr>
            <w:cnfStyle w:evenVBand="true" w:oddVBand="false" w:firstColumn="false"/>
            <w:tcW w:w="25.000000%" w:type="pct"/>
          </w:tcPr>
          <w:p>
            <w:pPr>
              <w:ind w:leftChars="0" w:left="0" w:right="0"/>
            </w:pPr>
            <w:r>
              <w:t>770</w:t>
            </w:r>
          </w:p>
        </w:tc>
      </w:tr>
      <w:tr>
        <w:trPr>
          <w:cnfStyle w:evenHBand="true" w:oddHBand="false" w:firstRow="false"/>
        </w:trPr>
        <w:tc>
          <w:tcPr>
            <w:cnfStyle w:evenVBand="false" w:oddVBand="true" w:firstColumn="false"/>
            <w:tcW w:w="25.000000%" w:type="pct"/>
          </w:tcPr>
          <w:p>
            <w:pPr>
              <w:ind w:leftChars="0" w:left="0" w:right="0"/>
            </w:pPr>
            <w:r>
              <w:t>GFBO</w:t>
            </w:r>
          </w:p>
        </w:tc>
        <w:tc>
          <w:tcPr>
            <w:cnfStyle w:evenVBand="true" w:oddVBand="false" w:firstColumn="false"/>
            <w:tcW w:w="25.000000%" w:type="pct"/>
          </w:tcPr>
          <w:p>
            <w:pPr>
              <w:ind w:leftChars="0" w:left="0" w:right="0"/>
            </w:pPr>
            <w:r>
              <w:t>GFBO</w:t>
            </w:r>
          </w:p>
        </w:tc>
        <w:tc>
          <w:tcPr>
            <w:cnfStyle w:evenVBand="false" w:oddVBand="true" w:firstColumn="false"/>
            <w:tcW w:w="25.000000%" w:type="pct"/>
          </w:tcPr>
          <w:p>
            <w:pPr>
              <w:ind w:leftChars="0" w:left="0" w:right="0"/>
            </w:pPr>
            <w:r>
              <w:t>GFI BROKERS - OTF</w:t>
            </w:r>
          </w:p>
        </w:tc>
        <w:tc>
          <w:tcPr>
            <w:cnfStyle w:evenVBand="true" w:oddVBand="false" w:firstColumn="false"/>
            <w:tcW w:w="25.000000%" w:type="pct"/>
          </w:tcPr>
          <w:p>
            <w:pPr>
              <w:ind w:leftChars="0" w:left="0" w:right="0"/>
            </w:pPr>
            <w:r>
              <w:t>771</w:t>
            </w:r>
          </w:p>
        </w:tc>
      </w:tr>
      <w:tr>
        <w:trPr>
          <w:cnfStyle w:evenHBand="false" w:oddHBand="true" w:firstRow="false"/>
        </w:trPr>
        <w:tc>
          <w:tcPr>
            <w:cnfStyle w:evenVBand="false" w:oddVBand="true" w:firstColumn="false"/>
            <w:tcW w:w="25.000000%" w:type="pct"/>
          </w:tcPr>
          <w:p>
            <w:pPr>
              <w:ind w:leftChars="0" w:left="0" w:right="0"/>
            </w:pPr>
            <w:r>
              <w:t>GFIA</w:t>
            </w:r>
          </w:p>
        </w:tc>
        <w:tc>
          <w:tcPr>
            <w:cnfStyle w:evenVBand="true" w:oddVBand="false" w:firstColumn="false"/>
            <w:tcW w:w="25.000000%" w:type="pct"/>
          </w:tcPr>
          <w:p>
            <w:pPr>
              <w:ind w:leftChars="0" w:left="0" w:right="0"/>
            </w:pPr>
            <w:r>
              <w:t>GFIA</w:t>
            </w:r>
          </w:p>
        </w:tc>
        <w:tc>
          <w:tcPr>
            <w:cnfStyle w:evenVBand="false" w:oddVBand="true" w:firstColumn="false"/>
            <w:tcW w:w="25.000000%" w:type="pct"/>
          </w:tcPr>
          <w:p>
            <w:pPr>
              <w:ind w:leftChars="0" w:left="0" w:right="0"/>
            </w:pPr>
            <w:r>
              <w:t>GFI AUCTIONMATCH</w:t>
            </w:r>
          </w:p>
        </w:tc>
        <w:tc>
          <w:tcPr>
            <w:cnfStyle w:evenVBand="true" w:oddVBand="false" w:firstColumn="false"/>
            <w:tcW w:w="25.000000%" w:type="pct"/>
          </w:tcPr>
          <w:p>
            <w:pPr>
              <w:ind w:leftChars="0" w:left="0" w:right="0"/>
            </w:pPr>
            <w:r>
              <w:t>772</w:t>
            </w:r>
          </w:p>
        </w:tc>
      </w:tr>
      <w:tr>
        <w:trPr>
          <w:cnfStyle w:evenHBand="true" w:oddHBand="false" w:firstRow="false"/>
        </w:trPr>
        <w:tc>
          <w:tcPr>
            <w:cnfStyle w:evenVBand="false" w:oddVBand="true" w:firstColumn="false"/>
            <w:tcW w:w="25.000000%" w:type="pct"/>
          </w:tcPr>
          <w:p>
            <w:pPr>
              <w:ind w:leftChars="0" w:left="0" w:right="0"/>
            </w:pPr>
            <w:r>
              <w:t>GFIB</w:t>
            </w:r>
          </w:p>
        </w:tc>
        <w:tc>
          <w:tcPr>
            <w:cnfStyle w:evenVBand="true" w:oddVBand="false" w:firstColumn="false"/>
            <w:tcW w:w="25.000000%" w:type="pct"/>
          </w:tcPr>
          <w:p>
            <w:pPr>
              <w:ind w:leftChars="0" w:left="0" w:right="0"/>
            </w:pPr>
            <w:r>
              <w:t>GFIB</w:t>
            </w:r>
          </w:p>
        </w:tc>
        <w:tc>
          <w:tcPr>
            <w:cnfStyle w:evenVBand="false" w:oddVBand="true" w:firstColumn="false"/>
            <w:tcW w:w="25.000000%" w:type="pct"/>
          </w:tcPr>
          <w:p>
            <w:pPr>
              <w:ind w:leftChars="0" w:left="0" w:right="0"/>
            </w:pPr>
            <w:r>
              <w:t>GFI BROKERS</w:t>
            </w:r>
          </w:p>
        </w:tc>
        <w:tc>
          <w:tcPr>
            <w:cnfStyle w:evenVBand="true" w:oddVBand="false" w:firstColumn="false"/>
            <w:tcW w:w="25.000000%" w:type="pct"/>
          </w:tcPr>
          <w:p>
            <w:pPr>
              <w:ind w:leftChars="0" w:left="0" w:right="0"/>
            </w:pPr>
            <w:r>
              <w:t>773</w:t>
            </w:r>
          </w:p>
        </w:tc>
      </w:tr>
      <w:tr>
        <w:trPr>
          <w:cnfStyle w:evenHBand="false" w:oddHBand="true" w:firstRow="false"/>
        </w:trPr>
        <w:tc>
          <w:tcPr>
            <w:cnfStyle w:evenVBand="false" w:oddVBand="true" w:firstColumn="false"/>
            <w:tcW w:w="25.000000%" w:type="pct"/>
          </w:tcPr>
          <w:p>
            <w:pPr>
              <w:ind w:leftChars="0" w:left="0" w:right="0"/>
            </w:pPr>
            <w:r>
              <w:t>GFIC</w:t>
            </w:r>
          </w:p>
        </w:tc>
        <w:tc>
          <w:tcPr>
            <w:cnfStyle w:evenVBand="true" w:oddVBand="false" w:firstColumn="false"/>
            <w:tcW w:w="25.000000%" w:type="pct"/>
          </w:tcPr>
          <w:p>
            <w:pPr>
              <w:ind w:leftChars="0" w:left="0" w:right="0"/>
            </w:pPr>
            <w:r>
              <w:t>GFIC</w:t>
            </w:r>
          </w:p>
        </w:tc>
        <w:tc>
          <w:tcPr>
            <w:cnfStyle w:evenVBand="false" w:oddVBand="true" w:firstColumn="false"/>
            <w:tcW w:w="25.000000%" w:type="pct"/>
          </w:tcPr>
          <w:p>
            <w:pPr>
              <w:ind w:leftChars="0" w:left="0" w:right="0"/>
            </w:pPr>
            <w:r>
              <w:t>GFI SECURITIES LTD</w:t>
            </w:r>
          </w:p>
        </w:tc>
        <w:tc>
          <w:tcPr>
            <w:cnfStyle w:evenVBand="true" w:oddVBand="false" w:firstColumn="false"/>
            <w:tcW w:w="25.000000%" w:type="pct"/>
          </w:tcPr>
          <w:p>
            <w:pPr>
              <w:ind w:leftChars="0" w:left="0" w:right="0"/>
            </w:pPr>
            <w:r>
              <w:t>774</w:t>
            </w:r>
          </w:p>
        </w:tc>
      </w:tr>
      <w:tr>
        <w:trPr>
          <w:cnfStyle w:evenHBand="true" w:oddHBand="false" w:firstRow="false"/>
        </w:trPr>
        <w:tc>
          <w:tcPr>
            <w:cnfStyle w:evenVBand="false" w:oddVBand="true" w:firstColumn="false"/>
            <w:tcW w:w="25.000000%" w:type="pct"/>
          </w:tcPr>
          <w:p>
            <w:pPr>
              <w:ind w:leftChars="0" w:left="0" w:right="0"/>
            </w:pPr>
            <w:r>
              <w:t>GFIF</w:t>
            </w:r>
          </w:p>
        </w:tc>
        <w:tc>
          <w:tcPr>
            <w:cnfStyle w:evenVBand="true" w:oddVBand="false" w:firstColumn="false"/>
            <w:tcW w:w="25.000000%" w:type="pct"/>
          </w:tcPr>
          <w:p>
            <w:pPr>
              <w:ind w:leftChars="0" w:left="0" w:right="0"/>
            </w:pPr>
            <w:r>
              <w:t>GFIF</w:t>
            </w:r>
          </w:p>
        </w:tc>
        <w:tc>
          <w:tcPr>
            <w:cnfStyle w:evenVBand="false" w:oddVBand="true" w:firstColumn="false"/>
            <w:tcW w:w="25.000000%" w:type="pct"/>
          </w:tcPr>
          <w:p>
            <w:pPr>
              <w:ind w:leftChars="0" w:left="0" w:right="0"/>
            </w:pPr>
            <w:r>
              <w:t>GFI FOREXMATCH</w:t>
            </w:r>
          </w:p>
        </w:tc>
        <w:tc>
          <w:tcPr>
            <w:cnfStyle w:evenVBand="true" w:oddVBand="false" w:firstColumn="false"/>
            <w:tcW w:w="25.000000%" w:type="pct"/>
          </w:tcPr>
          <w:p>
            <w:pPr>
              <w:ind w:leftChars="0" w:left="0" w:right="0"/>
            </w:pPr>
            <w:r>
              <w:t>775</w:t>
            </w:r>
          </w:p>
        </w:tc>
      </w:tr>
      <w:tr>
        <w:trPr>
          <w:cnfStyle w:evenHBand="false" w:oddHBand="true" w:firstRow="false"/>
        </w:trPr>
        <w:tc>
          <w:tcPr>
            <w:cnfStyle w:evenVBand="false" w:oddVBand="true" w:firstColumn="false"/>
            <w:tcW w:w="25.000000%" w:type="pct"/>
          </w:tcPr>
          <w:p>
            <w:pPr>
              <w:ind w:leftChars="0" w:left="0" w:right="0"/>
            </w:pPr>
            <w:r>
              <w:t>GFIM</w:t>
            </w:r>
          </w:p>
        </w:tc>
        <w:tc>
          <w:tcPr>
            <w:cnfStyle w:evenVBand="true" w:oddVBand="false" w:firstColumn="false"/>
            <w:tcW w:w="25.000000%" w:type="pct"/>
          </w:tcPr>
          <w:p>
            <w:pPr>
              <w:ind w:leftChars="0" w:left="0" w:right="0"/>
            </w:pPr>
            <w:r>
              <w:t>GFIM</w:t>
            </w:r>
          </w:p>
        </w:tc>
        <w:tc>
          <w:tcPr>
            <w:cnfStyle w:evenVBand="false" w:oddVBand="true" w:firstColumn="false"/>
            <w:tcW w:w="25.000000%" w:type="pct"/>
          </w:tcPr>
          <w:p>
            <w:pPr>
              <w:ind w:leftChars="0" w:left="0" w:right="0"/>
            </w:pPr>
            <w:r>
              <w:t>GFI MARKETMATCH</w:t>
            </w:r>
          </w:p>
        </w:tc>
        <w:tc>
          <w:tcPr>
            <w:cnfStyle w:evenVBand="true" w:oddVBand="false" w:firstColumn="false"/>
            <w:tcW w:w="25.000000%" w:type="pct"/>
          </w:tcPr>
          <w:p>
            <w:pPr>
              <w:ind w:leftChars="0" w:left="0" w:right="0"/>
            </w:pPr>
            <w:r>
              <w:t>776</w:t>
            </w:r>
          </w:p>
        </w:tc>
      </w:tr>
      <w:tr>
        <w:trPr>
          <w:cnfStyle w:evenHBand="true" w:oddHBand="false" w:firstRow="false"/>
        </w:trPr>
        <w:tc>
          <w:tcPr>
            <w:cnfStyle w:evenVBand="false" w:oddVBand="true" w:firstColumn="false"/>
            <w:tcW w:w="25.000000%" w:type="pct"/>
          </w:tcPr>
          <w:p>
            <w:pPr>
              <w:ind w:leftChars="0" w:left="0" w:right="0"/>
            </w:pPr>
            <w:r>
              <w:t>GFIN</w:t>
            </w:r>
          </w:p>
        </w:tc>
        <w:tc>
          <w:tcPr>
            <w:cnfStyle w:evenVBand="true" w:oddVBand="false" w:firstColumn="false"/>
            <w:tcW w:w="25.000000%" w:type="pct"/>
          </w:tcPr>
          <w:p>
            <w:pPr>
              <w:ind w:leftChars="0" w:left="0" w:right="0"/>
            </w:pPr>
            <w:r>
              <w:t>GFIN</w:t>
            </w:r>
          </w:p>
        </w:tc>
        <w:tc>
          <w:tcPr>
            <w:cnfStyle w:evenVBand="false" w:oddVBand="true" w:firstColumn="false"/>
            <w:tcW w:w="25.000000%" w:type="pct"/>
          </w:tcPr>
          <w:p>
            <w:pPr>
              <w:ind w:leftChars="0" w:left="0" w:right="0"/>
            </w:pPr>
            <w:r>
              <w:t>GFI ENERGYMATCH</w:t>
            </w:r>
          </w:p>
        </w:tc>
        <w:tc>
          <w:tcPr>
            <w:cnfStyle w:evenVBand="true" w:oddVBand="false" w:firstColumn="false"/>
            <w:tcW w:w="25.000000%" w:type="pct"/>
          </w:tcPr>
          <w:p>
            <w:pPr>
              <w:ind w:leftChars="0" w:left="0" w:right="0"/>
            </w:pPr>
            <w:r>
              <w:t>777</w:t>
            </w:r>
          </w:p>
        </w:tc>
      </w:tr>
      <w:tr>
        <w:trPr>
          <w:cnfStyle w:evenHBand="false" w:oddHBand="true" w:firstRow="false"/>
        </w:trPr>
        <w:tc>
          <w:tcPr>
            <w:cnfStyle w:evenVBand="false" w:oddVBand="true" w:firstColumn="false"/>
            <w:tcW w:w="25.000000%" w:type="pct"/>
          </w:tcPr>
          <w:p>
            <w:pPr>
              <w:ind w:leftChars="0" w:left="0" w:right="0"/>
            </w:pPr>
            <w:r>
              <w:t>GFIR</w:t>
            </w:r>
          </w:p>
        </w:tc>
        <w:tc>
          <w:tcPr>
            <w:cnfStyle w:evenVBand="true" w:oddVBand="false" w:firstColumn="false"/>
            <w:tcW w:w="25.000000%" w:type="pct"/>
          </w:tcPr>
          <w:p>
            <w:pPr>
              <w:ind w:leftChars="0" w:left="0" w:right="0"/>
            </w:pPr>
            <w:r>
              <w:t>GFIR</w:t>
            </w:r>
          </w:p>
        </w:tc>
        <w:tc>
          <w:tcPr>
            <w:cnfStyle w:evenVBand="false" w:oddVBand="true" w:firstColumn="false"/>
            <w:tcW w:w="25.000000%" w:type="pct"/>
          </w:tcPr>
          <w:p>
            <w:pPr>
              <w:ind w:leftChars="0" w:left="0" w:right="0"/>
            </w:pPr>
            <w:r>
              <w:t>GFI RATESMATCH</w:t>
            </w:r>
          </w:p>
        </w:tc>
        <w:tc>
          <w:tcPr>
            <w:cnfStyle w:evenVBand="true" w:oddVBand="false" w:firstColumn="false"/>
            <w:tcW w:w="25.000000%" w:type="pct"/>
          </w:tcPr>
          <w:p>
            <w:pPr>
              <w:ind w:leftChars="0" w:left="0" w:right="0"/>
            </w:pPr>
            <w:r>
              <w:t>778</w:t>
            </w:r>
          </w:p>
        </w:tc>
      </w:tr>
      <w:tr>
        <w:trPr>
          <w:cnfStyle w:evenHBand="true" w:oddHBand="false" w:firstRow="false"/>
        </w:trPr>
        <w:tc>
          <w:tcPr>
            <w:cnfStyle w:evenVBand="false" w:oddVBand="true" w:firstColumn="false"/>
            <w:tcW w:w="25.000000%" w:type="pct"/>
          </w:tcPr>
          <w:p>
            <w:pPr>
              <w:ind w:leftChars="0" w:left="0" w:right="0"/>
            </w:pPr>
            <w:r>
              <w:t>GFKS</w:t>
            </w:r>
          </w:p>
        </w:tc>
        <w:tc>
          <w:tcPr>
            <w:cnfStyle w:evenVBand="true" w:oddVBand="false" w:firstColumn="false"/>
            <w:tcW w:w="25.000000%" w:type="pct"/>
          </w:tcPr>
          <w:p>
            <w:pPr>
              <w:ind w:leftChars="0" w:left="0" w:right="0"/>
            </w:pPr>
            <w:r>
              <w:t>GFKS</w:t>
            </w:r>
          </w:p>
        </w:tc>
        <w:tc>
          <w:tcPr>
            <w:cnfStyle w:evenVBand="false" w:oddVBand="true" w:firstColumn="false"/>
            <w:tcW w:w="25.000000%" w:type="pct"/>
          </w:tcPr>
          <w:p>
            <w:pPr>
              <w:ind w:leftChars="0" w:left="0" w:right="0"/>
            </w:pPr>
            <w:r>
              <w:t>GARANTUM FONDKOMMISSION AB - SYSTEMATIC INTERNALISER</w:t>
            </w:r>
          </w:p>
        </w:tc>
        <w:tc>
          <w:tcPr>
            <w:cnfStyle w:evenVBand="true" w:oddVBand="false" w:firstColumn="false"/>
            <w:tcW w:w="25.000000%" w:type="pct"/>
          </w:tcPr>
          <w:p>
            <w:pPr>
              <w:ind w:leftChars="0" w:left="0" w:right="0"/>
            </w:pPr>
            <w:r>
              <w:t>779</w:t>
            </w:r>
          </w:p>
        </w:tc>
      </w:tr>
      <w:tr>
        <w:trPr>
          <w:cnfStyle w:evenHBand="false" w:oddHBand="true" w:firstRow="false"/>
        </w:trPr>
        <w:tc>
          <w:tcPr>
            <w:cnfStyle w:evenVBand="false" w:oddVBand="true" w:firstColumn="false"/>
            <w:tcW w:w="25.000000%" w:type="pct"/>
          </w:tcPr>
          <w:p>
            <w:pPr>
              <w:ind w:leftChars="0" w:left="0" w:right="0"/>
            </w:pPr>
            <w:r>
              <w:t>GFOX</w:t>
            </w:r>
          </w:p>
        </w:tc>
        <w:tc>
          <w:tcPr>
            <w:cnfStyle w:evenVBand="true" w:oddVBand="false" w:firstColumn="false"/>
            <w:tcW w:w="25.000000%" w:type="pct"/>
          </w:tcPr>
          <w:p>
            <w:pPr>
              <w:ind w:leftChars="0" w:left="0" w:right="0"/>
            </w:pPr>
            <w:r>
              <w:t>GFOX</w:t>
            </w:r>
          </w:p>
        </w:tc>
        <w:tc>
          <w:tcPr>
            <w:cnfStyle w:evenVBand="false" w:oddVBand="true" w:firstColumn="false"/>
            <w:tcW w:w="25.000000%" w:type="pct"/>
          </w:tcPr>
          <w:p>
            <w:pPr>
              <w:ind w:leftChars="0" w:left="0" w:right="0"/>
            </w:pPr>
            <w:r>
              <w:t>GLOBAL FUTURES AND OPTIONS LTD</w:t>
            </w:r>
          </w:p>
        </w:tc>
        <w:tc>
          <w:tcPr>
            <w:cnfStyle w:evenVBand="true" w:oddVBand="false" w:firstColumn="false"/>
            <w:tcW w:w="25.000000%" w:type="pct"/>
          </w:tcPr>
          <w:p>
            <w:pPr>
              <w:ind w:leftChars="0" w:left="0" w:right="0"/>
            </w:pPr>
            <w:r>
              <w:t>780</w:t>
            </w:r>
          </w:p>
        </w:tc>
      </w:tr>
      <w:tr>
        <w:trPr>
          <w:cnfStyle w:evenHBand="true" w:oddHBand="false" w:firstRow="false"/>
        </w:trPr>
        <w:tc>
          <w:tcPr>
            <w:cnfStyle w:evenVBand="false" w:oddVBand="true" w:firstColumn="false"/>
            <w:tcW w:w="25.000000%" w:type="pct"/>
          </w:tcPr>
          <w:p>
            <w:pPr>
              <w:ind w:leftChars="0" w:left="0" w:right="0"/>
            </w:pPr>
            <w:r>
              <w:t>GFPO</w:t>
            </w:r>
          </w:p>
        </w:tc>
        <w:tc>
          <w:tcPr>
            <w:cnfStyle w:evenVBand="true" w:oddVBand="false" w:firstColumn="false"/>
            <w:tcW w:w="25.000000%" w:type="pct"/>
          </w:tcPr>
          <w:p>
            <w:pPr>
              <w:ind w:leftChars="0" w:left="0" w:right="0"/>
            </w:pPr>
            <w:r>
              <w:t>GFPO</w:t>
            </w:r>
          </w:p>
        </w:tc>
        <w:tc>
          <w:tcPr>
            <w:cnfStyle w:evenVBand="false" w:oddVBand="true" w:firstColumn="false"/>
            <w:tcW w:w="25.000000%" w:type="pct"/>
          </w:tcPr>
          <w:p>
            <w:pPr>
              <w:ind w:leftChars="0" w:left="0" w:right="0"/>
            </w:pPr>
            <w:r>
              <w:t>GFI PARIS - OTF</w:t>
            </w:r>
          </w:p>
        </w:tc>
        <w:tc>
          <w:tcPr>
            <w:cnfStyle w:evenVBand="true" w:oddVBand="false" w:firstColumn="false"/>
            <w:tcW w:w="25.000000%" w:type="pct"/>
          </w:tcPr>
          <w:p>
            <w:pPr>
              <w:ind w:leftChars="0" w:left="0" w:right="0"/>
            </w:pPr>
            <w:r>
              <w:t>781</w:t>
            </w:r>
          </w:p>
        </w:tc>
      </w:tr>
      <w:tr>
        <w:trPr>
          <w:cnfStyle w:evenHBand="false" w:oddHBand="true" w:firstRow="false"/>
        </w:trPr>
        <w:tc>
          <w:tcPr>
            <w:cnfStyle w:evenVBand="false" w:oddVBand="true" w:firstColumn="false"/>
            <w:tcW w:w="25.000000%" w:type="pct"/>
          </w:tcPr>
          <w:p>
            <w:pPr>
              <w:ind w:leftChars="0" w:left="0" w:right="0"/>
            </w:pPr>
            <w:r>
              <w:t>GFSM</w:t>
            </w:r>
          </w:p>
        </w:tc>
        <w:tc>
          <w:tcPr>
            <w:cnfStyle w:evenVBand="true" w:oddVBand="false" w:firstColumn="false"/>
            <w:tcW w:w="25.000000%" w:type="pct"/>
          </w:tcPr>
          <w:p>
            <w:pPr>
              <w:ind w:leftChars="0" w:left="0" w:right="0"/>
            </w:pPr>
            <w:r>
              <w:t>GFSM</w:t>
            </w:r>
          </w:p>
        </w:tc>
        <w:tc>
          <w:tcPr>
            <w:cnfStyle w:evenVBand="false" w:oddVBand="true" w:firstColumn="false"/>
            <w:tcW w:w="25.000000%" w:type="pct"/>
          </w:tcPr>
          <w:p>
            <w:pPr>
              <w:ind w:leftChars="0" w:left="0" w:right="0"/>
            </w:pPr>
            <w:r>
              <w:t>GFI SECURITIES LTD - MTF</w:t>
            </w:r>
          </w:p>
        </w:tc>
        <w:tc>
          <w:tcPr>
            <w:cnfStyle w:evenVBand="true" w:oddVBand="false" w:firstColumn="false"/>
            <w:tcW w:w="25.000000%" w:type="pct"/>
          </w:tcPr>
          <w:p>
            <w:pPr>
              <w:ind w:leftChars="0" w:left="0" w:right="0"/>
            </w:pPr>
            <w:r>
              <w:t>782</w:t>
            </w:r>
          </w:p>
        </w:tc>
      </w:tr>
      <w:tr>
        <w:trPr>
          <w:cnfStyle w:evenHBand="true" w:oddHBand="false" w:firstRow="false"/>
        </w:trPr>
        <w:tc>
          <w:tcPr>
            <w:cnfStyle w:evenVBand="false" w:oddVBand="true" w:firstColumn="false"/>
            <w:tcW w:w="25.000000%" w:type="pct"/>
          </w:tcPr>
          <w:p>
            <w:pPr>
              <w:ind w:leftChars="0" w:left="0" w:right="0"/>
            </w:pPr>
            <w:r>
              <w:t>GFSO</w:t>
            </w:r>
          </w:p>
        </w:tc>
        <w:tc>
          <w:tcPr>
            <w:cnfStyle w:evenVBand="true" w:oddVBand="false" w:firstColumn="false"/>
            <w:tcW w:w="25.000000%" w:type="pct"/>
          </w:tcPr>
          <w:p>
            <w:pPr>
              <w:ind w:leftChars="0" w:left="0" w:right="0"/>
            </w:pPr>
            <w:r>
              <w:t>GFSO</w:t>
            </w:r>
          </w:p>
        </w:tc>
        <w:tc>
          <w:tcPr>
            <w:cnfStyle w:evenVBand="false" w:oddVBand="true" w:firstColumn="false"/>
            <w:tcW w:w="25.000000%" w:type="pct"/>
          </w:tcPr>
          <w:p>
            <w:pPr>
              <w:ind w:leftChars="0" w:left="0" w:right="0"/>
            </w:pPr>
            <w:r>
              <w:t>GFI SECURITIES LTD - OTF</w:t>
            </w:r>
          </w:p>
        </w:tc>
        <w:tc>
          <w:tcPr>
            <w:cnfStyle w:evenVBand="true" w:oddVBand="false" w:firstColumn="false"/>
            <w:tcW w:w="25.000000%" w:type="pct"/>
          </w:tcPr>
          <w:p>
            <w:pPr>
              <w:ind w:leftChars="0" w:left="0" w:right="0"/>
            </w:pPr>
            <w:r>
              <w:t>783</w:t>
            </w:r>
          </w:p>
        </w:tc>
      </w:tr>
      <w:tr>
        <w:trPr>
          <w:cnfStyle w:evenHBand="false" w:oddHBand="true" w:firstRow="false"/>
        </w:trPr>
        <w:tc>
          <w:tcPr>
            <w:cnfStyle w:evenVBand="false" w:oddVBand="true" w:firstColumn="false"/>
            <w:tcW w:w="25.000000%" w:type="pct"/>
          </w:tcPr>
          <w:p>
            <w:pPr>
              <w:ind w:leftChars="0" w:left="0" w:right="0"/>
            </w:pPr>
            <w:r>
              <w:t>GIPB</w:t>
            </w:r>
          </w:p>
        </w:tc>
        <w:tc>
          <w:tcPr>
            <w:cnfStyle w:evenVBand="true" w:oddVBand="false" w:firstColumn="false"/>
            <w:tcW w:w="25.000000%" w:type="pct"/>
          </w:tcPr>
          <w:p>
            <w:pPr>
              <w:ind w:leftChars="0" w:left="0" w:right="0"/>
            </w:pPr>
            <w:r>
              <w:t>GIPB</w:t>
            </w:r>
          </w:p>
        </w:tc>
        <w:tc>
          <w:tcPr>
            <w:cnfStyle w:evenVBand="false" w:oddVBand="true" w:firstColumn="false"/>
            <w:tcW w:w="25.000000%" w:type="pct"/>
          </w:tcPr>
          <w:p>
            <w:pPr>
              <w:ind w:leftChars="0" w:left="0" w:right="0"/>
            </w:pPr>
            <w:r>
              <w:t>GOLDMAN SACHS INTERNATIONAL PARIS BRANCH</w:t>
            </w:r>
          </w:p>
        </w:tc>
        <w:tc>
          <w:tcPr>
            <w:cnfStyle w:evenVBand="true" w:oddVBand="false" w:firstColumn="false"/>
            <w:tcW w:w="25.000000%" w:type="pct"/>
          </w:tcPr>
          <w:p>
            <w:pPr>
              <w:ind w:leftChars="0" w:left="0" w:right="0"/>
            </w:pPr>
            <w:r>
              <w:t>784</w:t>
            </w:r>
          </w:p>
        </w:tc>
      </w:tr>
      <w:tr>
        <w:trPr>
          <w:cnfStyle w:evenHBand="true" w:oddHBand="false" w:firstRow="false"/>
        </w:trPr>
        <w:tc>
          <w:tcPr>
            <w:cnfStyle w:evenVBand="false" w:oddVBand="true" w:firstColumn="false"/>
            <w:tcW w:w="25.000000%" w:type="pct"/>
          </w:tcPr>
          <w:p>
            <w:pPr>
              <w:ind w:leftChars="0" w:left="0" w:right="0"/>
            </w:pPr>
            <w:r>
              <w:t>GLBX</w:t>
            </w:r>
          </w:p>
        </w:tc>
        <w:tc>
          <w:tcPr>
            <w:cnfStyle w:evenVBand="true" w:oddVBand="false" w:firstColumn="false"/>
            <w:tcW w:w="25.000000%" w:type="pct"/>
          </w:tcPr>
          <w:p>
            <w:pPr>
              <w:ind w:leftChars="0" w:left="0" w:right="0"/>
            </w:pPr>
            <w:r>
              <w:t>GLBX</w:t>
            </w:r>
          </w:p>
        </w:tc>
        <w:tc>
          <w:tcPr>
            <w:cnfStyle w:evenVBand="false" w:oddVBand="true" w:firstColumn="false"/>
            <w:tcW w:w="25.000000%" w:type="pct"/>
          </w:tcPr>
          <w:p>
            <w:pPr>
              <w:ind w:leftChars="0" w:left="0" w:right="0"/>
            </w:pPr>
            <w:r>
              <w:t>CME GLOBEX</w:t>
            </w:r>
          </w:p>
        </w:tc>
        <w:tc>
          <w:tcPr>
            <w:cnfStyle w:evenVBand="true" w:oddVBand="false" w:firstColumn="false"/>
            <w:tcW w:w="25.000000%" w:type="pct"/>
          </w:tcPr>
          <w:p>
            <w:pPr>
              <w:ind w:leftChars="0" w:left="0" w:right="0"/>
            </w:pPr>
            <w:r>
              <w:t>785</w:t>
            </w:r>
          </w:p>
        </w:tc>
      </w:tr>
      <w:tr>
        <w:trPr>
          <w:cnfStyle w:evenHBand="false" w:oddHBand="true" w:firstRow="false"/>
        </w:trPr>
        <w:tc>
          <w:tcPr>
            <w:cnfStyle w:evenVBand="false" w:oddVBand="true" w:firstColumn="false"/>
            <w:tcW w:w="25.000000%" w:type="pct"/>
          </w:tcPr>
          <w:p>
            <w:pPr>
              <w:ind w:leftChars="0" w:left="0" w:right="0"/>
            </w:pPr>
            <w:r>
              <w:t>GLLC</w:t>
            </w:r>
          </w:p>
        </w:tc>
        <w:tc>
          <w:tcPr>
            <w:cnfStyle w:evenVBand="true" w:oddVBand="false" w:firstColumn="false"/>
            <w:tcW w:w="25.000000%" w:type="pct"/>
          </w:tcPr>
          <w:p>
            <w:pPr>
              <w:ind w:leftChars="0" w:left="0" w:right="0"/>
            </w:pPr>
            <w:r>
              <w:t>GLLC</w:t>
            </w:r>
          </w:p>
        </w:tc>
        <w:tc>
          <w:tcPr>
            <w:cnfStyle w:evenVBand="false" w:oddVBand="true" w:firstColumn="false"/>
            <w:tcW w:w="25.000000%" w:type="pct"/>
          </w:tcPr>
          <w:p>
            <w:pPr>
              <w:ind w:leftChars="0" w:left="0" w:right="0"/>
            </w:pPr>
            <w:r>
              <w:t>GATE US LLC</w:t>
            </w:r>
          </w:p>
        </w:tc>
        <w:tc>
          <w:tcPr>
            <w:cnfStyle w:evenVBand="true" w:oddVBand="false" w:firstColumn="false"/>
            <w:tcW w:w="25.000000%" w:type="pct"/>
          </w:tcPr>
          <w:p>
            <w:pPr>
              <w:ind w:leftChars="0" w:left="0" w:right="0"/>
            </w:pPr>
            <w:r>
              <w:t>786</w:t>
            </w:r>
          </w:p>
        </w:tc>
      </w:tr>
      <w:tr>
        <w:trPr>
          <w:cnfStyle w:evenHBand="true" w:oddHBand="false" w:firstRow="false"/>
        </w:trPr>
        <w:tc>
          <w:tcPr>
            <w:cnfStyle w:evenVBand="false" w:oddVBand="true" w:firstColumn="false"/>
            <w:tcW w:w="25.000000%" w:type="pct"/>
          </w:tcPr>
          <w:p>
            <w:pPr>
              <w:ind w:leftChars="0" w:left="0" w:right="0"/>
            </w:pPr>
            <w:r>
              <w:t>GLMX</w:t>
            </w:r>
          </w:p>
        </w:tc>
        <w:tc>
          <w:tcPr>
            <w:cnfStyle w:evenVBand="true" w:oddVBand="false" w:firstColumn="false"/>
            <w:tcW w:w="25.000000%" w:type="pct"/>
          </w:tcPr>
          <w:p>
            <w:pPr>
              <w:ind w:leftChars="0" w:left="0" w:right="0"/>
            </w:pPr>
            <w:r>
              <w:t>GLMX</w:t>
            </w:r>
          </w:p>
        </w:tc>
        <w:tc>
          <w:tcPr>
            <w:cnfStyle w:evenVBand="false" w:oddVBand="true" w:firstColumn="false"/>
            <w:tcW w:w="25.000000%" w:type="pct"/>
          </w:tcPr>
          <w:p>
            <w:pPr>
              <w:ind w:leftChars="0" w:left="0" w:right="0"/>
            </w:pPr>
            <w:r>
              <w:t>GLMX</w:t>
            </w:r>
          </w:p>
        </w:tc>
        <w:tc>
          <w:tcPr>
            <w:cnfStyle w:evenVBand="true" w:oddVBand="false" w:firstColumn="false"/>
            <w:tcW w:w="25.000000%" w:type="pct"/>
          </w:tcPr>
          <w:p>
            <w:pPr>
              <w:ind w:leftChars="0" w:left="0" w:right="0"/>
            </w:pPr>
            <w:r>
              <w:t>787</w:t>
            </w:r>
          </w:p>
        </w:tc>
      </w:tr>
      <w:tr>
        <w:trPr>
          <w:cnfStyle w:evenHBand="false" w:oddHBand="true" w:firstRow="false"/>
        </w:trPr>
        <w:tc>
          <w:tcPr>
            <w:cnfStyle w:evenVBand="false" w:oddVBand="true" w:firstColumn="false"/>
            <w:tcW w:w="25.000000%" w:type="pct"/>
          </w:tcPr>
          <w:p>
            <w:pPr>
              <w:ind w:leftChars="0" w:left="0" w:right="0"/>
            </w:pPr>
            <w:r>
              <w:t>GLOM</w:t>
            </w:r>
          </w:p>
        </w:tc>
        <w:tc>
          <w:tcPr>
            <w:cnfStyle w:evenVBand="true" w:oddVBand="false" w:firstColumn="false"/>
            <w:tcW w:w="25.000000%" w:type="pct"/>
          </w:tcPr>
          <w:p>
            <w:pPr>
              <w:ind w:leftChars="0" w:left="0" w:right="0"/>
            </w:pPr>
            <w:r>
              <w:t>GLOM</w:t>
            </w:r>
          </w:p>
        </w:tc>
        <w:tc>
          <w:tcPr>
            <w:cnfStyle w:evenVBand="false" w:oddVBand="true" w:firstColumn="false"/>
            <w:tcW w:w="25.000000%" w:type="pct"/>
          </w:tcPr>
          <w:p>
            <w:pPr>
              <w:ind w:leftChars="0" w:left="0" w:right="0"/>
            </w:pPr>
            <w:r>
              <w:t>GLOMAX EXCHANGE LTD</w:t>
            </w:r>
          </w:p>
        </w:tc>
        <w:tc>
          <w:tcPr>
            <w:cnfStyle w:evenVBand="true" w:oddVBand="false" w:firstColumn="false"/>
            <w:tcW w:w="25.000000%" w:type="pct"/>
          </w:tcPr>
          <w:p>
            <w:pPr>
              <w:ind w:leftChars="0" w:left="0" w:right="0"/>
            </w:pPr>
            <w:r>
              <w:t>788</w:t>
            </w:r>
          </w:p>
        </w:tc>
      </w:tr>
      <w:tr>
        <w:trPr>
          <w:cnfStyle w:evenHBand="true" w:oddHBand="false" w:firstRow="false"/>
        </w:trPr>
        <w:tc>
          <w:tcPr>
            <w:cnfStyle w:evenVBand="false" w:oddVBand="true" w:firstColumn="false"/>
            <w:tcW w:w="25.000000%" w:type="pct"/>
          </w:tcPr>
          <w:p>
            <w:pPr>
              <w:ind w:leftChars="0" w:left="0" w:right="0"/>
            </w:pPr>
            <w:r>
              <w:t>GLPS</w:t>
            </w:r>
          </w:p>
        </w:tc>
        <w:tc>
          <w:tcPr>
            <w:cnfStyle w:evenVBand="true" w:oddVBand="false" w:firstColumn="false"/>
            <w:tcW w:w="25.000000%" w:type="pct"/>
          </w:tcPr>
          <w:p>
            <w:pPr>
              <w:ind w:leftChars="0" w:left="0" w:right="0"/>
            </w:pPr>
            <w:r>
              <w:t>GLPS</w:t>
            </w:r>
          </w:p>
        </w:tc>
        <w:tc>
          <w:tcPr>
            <w:cnfStyle w:evenVBand="false" w:oddVBand="true" w:firstColumn="false"/>
            <w:tcW w:w="25.000000%" w:type="pct"/>
          </w:tcPr>
          <w:p>
            <w:pPr>
              <w:ind w:leftChars="0" w:left="0" w:right="0"/>
            </w:pPr>
            <w:r>
              <w:t>ESSEX RADEZ, LLC</w:t>
            </w:r>
          </w:p>
        </w:tc>
        <w:tc>
          <w:tcPr>
            <w:cnfStyle w:evenVBand="true" w:oddVBand="false" w:firstColumn="false"/>
            <w:tcW w:w="25.000000%" w:type="pct"/>
          </w:tcPr>
          <w:p>
            <w:pPr>
              <w:ind w:leftChars="0" w:left="0" w:right="0"/>
            </w:pPr>
            <w:r>
              <w:t>789</w:t>
            </w:r>
          </w:p>
        </w:tc>
      </w:tr>
      <w:tr>
        <w:trPr>
          <w:cnfStyle w:evenHBand="false" w:oddHBand="true" w:firstRow="false"/>
        </w:trPr>
        <w:tc>
          <w:tcPr>
            <w:cnfStyle w:evenVBand="false" w:oddVBand="true" w:firstColumn="false"/>
            <w:tcW w:w="25.000000%" w:type="pct"/>
          </w:tcPr>
          <w:p>
            <w:pPr>
              <w:ind w:leftChars="0" w:left="0" w:right="0"/>
            </w:pPr>
            <w:r>
              <w:t>GLPX</w:t>
            </w:r>
          </w:p>
        </w:tc>
        <w:tc>
          <w:tcPr>
            <w:cnfStyle w:evenVBand="true" w:oddVBand="false" w:firstColumn="false"/>
            <w:tcW w:w="25.000000%" w:type="pct"/>
          </w:tcPr>
          <w:p>
            <w:pPr>
              <w:ind w:leftChars="0" w:left="0" w:right="0"/>
            </w:pPr>
            <w:r>
              <w:t>GLPX</w:t>
            </w:r>
          </w:p>
        </w:tc>
        <w:tc>
          <w:tcPr>
            <w:cnfStyle w:evenVBand="false" w:oddVBand="true" w:firstColumn="false"/>
            <w:tcW w:w="25.000000%" w:type="pct"/>
          </w:tcPr>
          <w:p>
            <w:pPr>
              <w:ind w:leftChars="0" w:left="0" w:right="0"/>
            </w:pPr>
            <w:r>
              <w:t>ACS EXECUTION SERVICES, LLC</w:t>
            </w:r>
          </w:p>
        </w:tc>
        <w:tc>
          <w:tcPr>
            <w:cnfStyle w:evenVBand="true" w:oddVBand="false" w:firstColumn="false"/>
            <w:tcW w:w="25.000000%" w:type="pct"/>
          </w:tcPr>
          <w:p>
            <w:pPr>
              <w:ind w:leftChars="0" w:left="0" w:right="0"/>
            </w:pPr>
            <w:r>
              <w:t>790</w:t>
            </w:r>
          </w:p>
        </w:tc>
      </w:tr>
      <w:tr>
        <w:trPr>
          <w:cnfStyle w:evenHBand="true" w:oddHBand="false" w:firstRow="false"/>
        </w:trPr>
        <w:tc>
          <w:tcPr>
            <w:cnfStyle w:evenVBand="false" w:oddVBand="true" w:firstColumn="false"/>
            <w:tcW w:w="25.000000%" w:type="pct"/>
          </w:tcPr>
          <w:p>
            <w:pPr>
              <w:ind w:leftChars="0" w:left="0" w:right="0"/>
            </w:pPr>
            <w:r>
              <w:t>GMBG</w:t>
            </w:r>
          </w:p>
        </w:tc>
        <w:tc>
          <w:tcPr>
            <w:cnfStyle w:evenVBand="true" w:oddVBand="false" w:firstColumn="false"/>
            <w:tcW w:w="25.000000%" w:type="pct"/>
          </w:tcPr>
          <w:p>
            <w:pPr>
              <w:ind w:leftChars="0" w:left="0" w:right="0"/>
            </w:pPr>
            <w:r>
              <w:t>GMBG</w:t>
            </w:r>
          </w:p>
        </w:tc>
        <w:tc>
          <w:tcPr>
            <w:cnfStyle w:evenVBand="false" w:oddVBand="true" w:firstColumn="false"/>
            <w:tcW w:w="25.000000%" w:type="pct"/>
          </w:tcPr>
          <w:p>
            <w:pPr>
              <w:ind w:leftChars="0" w:left="0" w:right="0"/>
            </w:pPr>
            <w:r>
              <w:t>MTF SOFIA - GROWTH MARKET</w:t>
            </w:r>
          </w:p>
        </w:tc>
        <w:tc>
          <w:tcPr>
            <w:cnfStyle w:evenVBand="true" w:oddVBand="false" w:firstColumn="false"/>
            <w:tcW w:w="25.000000%" w:type="pct"/>
          </w:tcPr>
          <w:p>
            <w:pPr>
              <w:ind w:leftChars="0" w:left="0" w:right="0"/>
            </w:pPr>
            <w:r>
              <w:t>791</w:t>
            </w:r>
          </w:p>
        </w:tc>
      </w:tr>
      <w:tr>
        <w:trPr>
          <w:cnfStyle w:evenHBand="false" w:oddHBand="true" w:firstRow="false"/>
        </w:trPr>
        <w:tc>
          <w:tcPr>
            <w:cnfStyle w:evenVBand="false" w:oddVBand="true" w:firstColumn="false"/>
            <w:tcW w:w="25.000000%" w:type="pct"/>
          </w:tcPr>
          <w:p>
            <w:pPr>
              <w:ind w:leftChars="0" w:left="0" w:right="0"/>
            </w:pPr>
            <w:r>
              <w:t>GMEG</w:t>
            </w:r>
          </w:p>
        </w:tc>
        <w:tc>
          <w:tcPr>
            <w:cnfStyle w:evenVBand="true" w:oddVBand="false" w:firstColumn="false"/>
            <w:tcW w:w="25.000000%" w:type="pct"/>
          </w:tcPr>
          <w:p>
            <w:pPr>
              <w:ind w:leftChars="0" w:left="0" w:right="0"/>
            </w:pPr>
            <w:r>
              <w:t>GMEG</w:t>
            </w:r>
          </w:p>
        </w:tc>
        <w:tc>
          <w:tcPr>
            <w:cnfStyle w:evenVBand="false" w:oddVBand="true" w:firstColumn="false"/>
            <w:tcW w:w="25.000000%" w:type="pct"/>
          </w:tcPr>
          <w:p>
            <w:pPr>
              <w:ind w:leftChars="0" w:left="0" w:right="0"/>
            </w:pPr>
            <w:r>
              <w:t>GMEX EXCHANGE</w:t>
            </w:r>
          </w:p>
        </w:tc>
        <w:tc>
          <w:tcPr>
            <w:cnfStyle w:evenVBand="true" w:oddVBand="false" w:firstColumn="false"/>
            <w:tcW w:w="25.000000%" w:type="pct"/>
          </w:tcPr>
          <w:p>
            <w:pPr>
              <w:ind w:leftChars="0" w:left="0" w:right="0"/>
            </w:pPr>
            <w:r>
              <w:t>792</w:t>
            </w:r>
          </w:p>
        </w:tc>
      </w:tr>
      <w:tr>
        <w:trPr>
          <w:cnfStyle w:evenHBand="true" w:oddHBand="false" w:firstRow="false"/>
        </w:trPr>
        <w:tc>
          <w:tcPr>
            <w:cnfStyle w:evenVBand="false" w:oddVBand="true" w:firstColumn="false"/>
            <w:tcW w:w="25.000000%" w:type="pct"/>
          </w:tcPr>
          <w:p>
            <w:pPr>
              <w:ind w:leftChars="0" w:left="0" w:right="0"/>
            </w:pPr>
            <w:r>
              <w:t>GMEO</w:t>
            </w:r>
          </w:p>
        </w:tc>
        <w:tc>
          <w:tcPr>
            <w:cnfStyle w:evenVBand="true" w:oddVBand="false" w:firstColumn="false"/>
            <w:tcW w:w="25.000000%" w:type="pct"/>
          </w:tcPr>
          <w:p>
            <w:pPr>
              <w:ind w:leftChars="0" w:left="0" w:right="0"/>
            </w:pPr>
            <w:r>
              <w:t>GMEO</w:t>
            </w:r>
          </w:p>
        </w:tc>
        <w:tc>
          <w:tcPr>
            <w:cnfStyle w:evenVBand="false" w:oddVBand="true" w:firstColumn="false"/>
            <w:tcW w:w="25.000000%" w:type="pct"/>
          </w:tcPr>
          <w:p>
            <w:pPr>
              <w:ind w:leftChars="0" w:left="0" w:right="0"/>
            </w:pPr>
            <w:r>
              <w:t>GRIFFIN MARKETS EUROPE - OTF</w:t>
            </w:r>
          </w:p>
        </w:tc>
        <w:tc>
          <w:tcPr>
            <w:cnfStyle w:evenVBand="true" w:oddVBand="false" w:firstColumn="false"/>
            <w:tcW w:w="25.000000%" w:type="pct"/>
          </w:tcPr>
          <w:p>
            <w:pPr>
              <w:ind w:leftChars="0" w:left="0" w:right="0"/>
            </w:pPr>
            <w:r>
              <w:t>793</w:t>
            </w:r>
          </w:p>
        </w:tc>
      </w:tr>
      <w:tr>
        <w:trPr>
          <w:cnfStyle w:evenHBand="false" w:oddHBand="true" w:firstRow="false"/>
        </w:trPr>
        <w:tc>
          <w:tcPr>
            <w:cnfStyle w:evenVBand="false" w:oddVBand="true" w:firstColumn="false"/>
            <w:tcW w:w="25.000000%" w:type="pct"/>
          </w:tcPr>
          <w:p>
            <w:pPr>
              <w:ind w:leftChars="0" w:left="0" w:right="0"/>
            </w:pPr>
            <w:r>
              <w:t>GMES</w:t>
            </w:r>
          </w:p>
        </w:tc>
        <w:tc>
          <w:tcPr>
            <w:cnfStyle w:evenVBand="true" w:oddVBand="false" w:firstColumn="false"/>
            <w:tcW w:w="25.000000%" w:type="pct"/>
          </w:tcPr>
          <w:p>
            <w:pPr>
              <w:ind w:leftChars="0" w:left="0" w:right="0"/>
            </w:pPr>
            <w:r>
              <w:t>GMES</w:t>
            </w:r>
          </w:p>
        </w:tc>
        <w:tc>
          <w:tcPr>
            <w:cnfStyle w:evenVBand="false" w:oddVBand="true" w:firstColumn="false"/>
            <w:tcW w:w="25.000000%" w:type="pct"/>
          </w:tcPr>
          <w:p>
            <w:pPr>
              <w:ind w:leftChars="0" w:left="0" w:right="0"/>
            </w:pPr>
            <w:r>
              <w:t>GRIFFIN MARKETS EUROPE</w:t>
            </w:r>
          </w:p>
        </w:tc>
        <w:tc>
          <w:tcPr>
            <w:cnfStyle w:evenVBand="true" w:oddVBand="false" w:firstColumn="false"/>
            <w:tcW w:w="25.000000%" w:type="pct"/>
          </w:tcPr>
          <w:p>
            <w:pPr>
              <w:ind w:leftChars="0" w:left="0" w:right="0"/>
            </w:pPr>
            <w:r>
              <w:t>794</w:t>
            </w:r>
          </w:p>
        </w:tc>
      </w:tr>
      <w:tr>
        <w:trPr>
          <w:cnfStyle w:evenHBand="true" w:oddHBand="false" w:firstRow="false"/>
        </w:trPr>
        <w:tc>
          <w:tcPr>
            <w:cnfStyle w:evenVBand="false" w:oddVBand="true" w:firstColumn="false"/>
            <w:tcW w:w="25.000000%" w:type="pct"/>
          </w:tcPr>
          <w:p>
            <w:pPr>
              <w:ind w:leftChars="0" w:left="0" w:right="0"/>
            </w:pPr>
            <w:r>
              <w:t>GMEX</w:t>
            </w:r>
          </w:p>
        </w:tc>
        <w:tc>
          <w:tcPr>
            <w:cnfStyle w:evenVBand="true" w:oddVBand="false" w:firstColumn="false"/>
            <w:tcW w:w="25.000000%" w:type="pct"/>
          </w:tcPr>
          <w:p>
            <w:pPr>
              <w:ind w:leftChars="0" w:left="0" w:right="0"/>
            </w:pPr>
            <w:r>
              <w:t>GMEX</w:t>
            </w:r>
          </w:p>
        </w:tc>
        <w:tc>
          <w:tcPr>
            <w:cnfStyle w:evenVBand="false" w:oddVBand="true" w:firstColumn="false"/>
            <w:tcW w:w="25.000000%" w:type="pct"/>
          </w:tcPr>
          <w:p>
            <w:pPr>
              <w:ind w:leftChars="0" w:left="0" w:right="0"/>
            </w:pPr>
            <w:r>
              <w:t>GREENMARKET EXCHANGE</w:t>
            </w:r>
          </w:p>
        </w:tc>
        <w:tc>
          <w:tcPr>
            <w:cnfStyle w:evenVBand="true" w:oddVBand="false" w:firstColumn="false"/>
            <w:tcW w:w="25.000000%" w:type="pct"/>
          </w:tcPr>
          <w:p>
            <w:pPr>
              <w:ind w:leftChars="0" w:left="0" w:right="0"/>
            </w:pPr>
            <w:r>
              <w:t>795</w:t>
            </w:r>
          </w:p>
        </w:tc>
      </w:tr>
      <w:tr>
        <w:trPr>
          <w:cnfStyle w:evenHBand="false" w:oddHBand="true" w:firstRow="false"/>
        </w:trPr>
        <w:tc>
          <w:tcPr>
            <w:cnfStyle w:evenVBand="false" w:oddVBand="true" w:firstColumn="false"/>
            <w:tcW w:w="25.000000%" w:type="pct"/>
          </w:tcPr>
          <w:p>
            <w:pPr>
              <w:ind w:leftChars="0" w:left="0" w:right="0"/>
            </w:pPr>
            <w:r>
              <w:t>GMGD</w:t>
            </w:r>
          </w:p>
        </w:tc>
        <w:tc>
          <w:tcPr>
            <w:cnfStyle w:evenVBand="true" w:oddVBand="false" w:firstColumn="false"/>
            <w:tcW w:w="25.000000%" w:type="pct"/>
          </w:tcPr>
          <w:p>
            <w:pPr>
              <w:ind w:leftChars="0" w:left="0" w:right="0"/>
            </w:pPr>
            <w:r>
              <w:t>GMGD</w:t>
            </w:r>
          </w:p>
        </w:tc>
        <w:tc>
          <w:tcPr>
            <w:cnfStyle w:evenVBand="false" w:oddVBand="true" w:firstColumn="false"/>
            <w:tcW w:w="25.000000%" w:type="pct"/>
          </w:tcPr>
          <w:p>
            <w:pPr>
              <w:ind w:leftChars="0" w:left="0" w:right="0"/>
            </w:pPr>
            <w:r>
              <w:t>GMG DUBAI LIMITED</w:t>
            </w:r>
          </w:p>
        </w:tc>
        <w:tc>
          <w:tcPr>
            <w:cnfStyle w:evenVBand="true" w:oddVBand="false" w:firstColumn="false"/>
            <w:tcW w:w="25.000000%" w:type="pct"/>
          </w:tcPr>
          <w:p>
            <w:pPr>
              <w:ind w:leftChars="0" w:left="0" w:right="0"/>
            </w:pPr>
            <w:r>
              <w:t>796</w:t>
            </w:r>
          </w:p>
        </w:tc>
      </w:tr>
      <w:tr>
        <w:trPr>
          <w:cnfStyle w:evenHBand="true" w:oddHBand="false" w:firstRow="false"/>
        </w:trPr>
        <w:tc>
          <w:tcPr>
            <w:cnfStyle w:evenVBand="false" w:oddVBand="true" w:firstColumn="false"/>
            <w:tcW w:w="25.000000%" w:type="pct"/>
          </w:tcPr>
          <w:p>
            <w:pPr>
              <w:ind w:leftChars="0" w:left="0" w:right="0"/>
            </w:pPr>
            <w:r>
              <w:t>GMGE</w:t>
            </w:r>
          </w:p>
        </w:tc>
        <w:tc>
          <w:tcPr>
            <w:cnfStyle w:evenVBand="true" w:oddVBand="false" w:firstColumn="false"/>
            <w:tcW w:w="25.000000%" w:type="pct"/>
          </w:tcPr>
          <w:p>
            <w:pPr>
              <w:ind w:leftChars="0" w:left="0" w:right="0"/>
            </w:pPr>
            <w:r>
              <w:t>GMGE</w:t>
            </w:r>
          </w:p>
        </w:tc>
        <w:tc>
          <w:tcPr>
            <w:cnfStyle w:evenVBand="false" w:oddVBand="true" w:firstColumn="false"/>
            <w:tcW w:w="25.000000%" w:type="pct"/>
          </w:tcPr>
          <w:p>
            <w:pPr>
              <w:ind w:leftChars="0" w:left="0" w:right="0"/>
            </w:pPr>
            <w:r>
              <w:t>GMG EUROPE B.V.</w:t>
            </w:r>
          </w:p>
        </w:tc>
        <w:tc>
          <w:tcPr>
            <w:cnfStyle w:evenVBand="true" w:oddVBand="false" w:firstColumn="false"/>
            <w:tcW w:w="25.000000%" w:type="pct"/>
          </w:tcPr>
          <w:p>
            <w:pPr>
              <w:ind w:leftChars="0" w:left="0" w:right="0"/>
            </w:pPr>
            <w:r>
              <w:t>797</w:t>
            </w:r>
          </w:p>
        </w:tc>
      </w:tr>
      <w:tr>
        <w:trPr>
          <w:cnfStyle w:evenHBand="false" w:oddHBand="true" w:firstRow="false"/>
        </w:trPr>
        <w:tc>
          <w:tcPr>
            <w:cnfStyle w:evenVBand="false" w:oddVBand="true" w:firstColumn="false"/>
            <w:tcW w:w="25.000000%" w:type="pct"/>
          </w:tcPr>
          <w:p>
            <w:pPr>
              <w:ind w:leftChars="0" w:left="0" w:right="0"/>
            </w:pPr>
            <w:r>
              <w:t>GMGL</w:t>
            </w:r>
          </w:p>
        </w:tc>
        <w:tc>
          <w:tcPr>
            <w:cnfStyle w:evenVBand="true" w:oddVBand="false" w:firstColumn="false"/>
            <w:tcW w:w="25.000000%" w:type="pct"/>
          </w:tcPr>
          <w:p>
            <w:pPr>
              <w:ind w:leftChars="0" w:left="0" w:right="0"/>
            </w:pPr>
            <w:r>
              <w:t>GMGL</w:t>
            </w:r>
          </w:p>
        </w:tc>
        <w:tc>
          <w:tcPr>
            <w:cnfStyle w:evenVBand="false" w:oddVBand="true" w:firstColumn="false"/>
            <w:tcW w:w="25.000000%" w:type="pct"/>
          </w:tcPr>
          <w:p>
            <w:pPr>
              <w:ind w:leftChars="0" w:left="0" w:right="0"/>
            </w:pPr>
            <w:r>
              <w:t>GMG BROKERS LIMITED</w:t>
            </w:r>
          </w:p>
        </w:tc>
        <w:tc>
          <w:tcPr>
            <w:cnfStyle w:evenVBand="true" w:oddVBand="false" w:firstColumn="false"/>
            <w:tcW w:w="25.000000%" w:type="pct"/>
          </w:tcPr>
          <w:p>
            <w:pPr>
              <w:ind w:leftChars="0" w:left="0" w:right="0"/>
            </w:pPr>
            <w:r>
              <w:t>798</w:t>
            </w:r>
          </w:p>
        </w:tc>
      </w:tr>
      <w:tr>
        <w:trPr>
          <w:cnfStyle w:evenHBand="true" w:oddHBand="false" w:firstRow="false"/>
        </w:trPr>
        <w:tc>
          <w:tcPr>
            <w:cnfStyle w:evenVBand="false" w:oddVBand="true" w:firstColumn="false"/>
            <w:tcW w:w="25.000000%" w:type="pct"/>
          </w:tcPr>
          <w:p>
            <w:pPr>
              <w:ind w:leftChars="0" w:left="0" w:right="0"/>
            </w:pPr>
            <w:r>
              <w:t>GMNI</w:t>
            </w:r>
          </w:p>
        </w:tc>
        <w:tc>
          <w:tcPr>
            <w:cnfStyle w:evenVBand="true" w:oddVBand="false" w:firstColumn="false"/>
            <w:tcW w:w="25.000000%" w:type="pct"/>
          </w:tcPr>
          <w:p>
            <w:pPr>
              <w:ind w:leftChars="0" w:left="0" w:right="0"/>
            </w:pPr>
            <w:r>
              <w:t>GMNI</w:t>
            </w:r>
          </w:p>
        </w:tc>
        <w:tc>
          <w:tcPr>
            <w:cnfStyle w:evenVBand="false" w:oddVBand="true" w:firstColumn="false"/>
            <w:tcW w:w="25.000000%" w:type="pct"/>
          </w:tcPr>
          <w:p>
            <w:pPr>
              <w:ind w:leftChars="0" w:left="0" w:right="0"/>
            </w:pPr>
            <w:r>
              <w:t>ISE GEMINI EXCHANGE</w:t>
            </w:r>
          </w:p>
        </w:tc>
        <w:tc>
          <w:tcPr>
            <w:cnfStyle w:evenVBand="true" w:oddVBand="false" w:firstColumn="false"/>
            <w:tcW w:w="25.000000%" w:type="pct"/>
          </w:tcPr>
          <w:p>
            <w:pPr>
              <w:ind w:leftChars="0" w:left="0" w:right="0"/>
            </w:pPr>
            <w:r>
              <w:t>799</w:t>
            </w:r>
          </w:p>
        </w:tc>
      </w:tr>
      <w:tr>
        <w:trPr>
          <w:cnfStyle w:evenHBand="false" w:oddHBand="true" w:firstRow="false"/>
        </w:trPr>
        <w:tc>
          <w:tcPr>
            <w:cnfStyle w:evenVBand="false" w:oddVBand="true" w:firstColumn="false"/>
            <w:tcW w:w="25.000000%" w:type="pct"/>
          </w:tcPr>
          <w:p>
            <w:pPr>
              <w:ind w:leftChars="0" w:left="0" w:right="0"/>
            </w:pPr>
            <w:r>
              <w:t>GMTF</w:t>
            </w:r>
          </w:p>
        </w:tc>
        <w:tc>
          <w:tcPr>
            <w:cnfStyle w:evenVBand="true" w:oddVBand="false" w:firstColumn="false"/>
            <w:tcW w:w="25.000000%" w:type="pct"/>
          </w:tcPr>
          <w:p>
            <w:pPr>
              <w:ind w:leftChars="0" w:left="0" w:right="0"/>
            </w:pPr>
            <w:r>
              <w:t>GMTF</w:t>
            </w:r>
          </w:p>
        </w:tc>
        <w:tc>
          <w:tcPr>
            <w:cnfStyle w:evenVBand="false" w:oddVBand="true" w:firstColumn="false"/>
            <w:tcW w:w="25.000000%" w:type="pct"/>
          </w:tcPr>
          <w:p>
            <w:pPr>
              <w:ind w:leftChars="0" w:left="0" w:right="0"/>
            </w:pPr>
            <w:r>
              <w:t>GALAXY</w:t>
            </w:r>
          </w:p>
        </w:tc>
        <w:tc>
          <w:tcPr>
            <w:cnfStyle w:evenVBand="true" w:oddVBand="false" w:firstColumn="false"/>
            <w:tcW w:w="25.000000%" w:type="pct"/>
          </w:tcPr>
          <w:p>
            <w:pPr>
              <w:ind w:leftChars="0" w:left="0" w:right="0"/>
            </w:pPr>
            <w:r>
              <w:t>800</w:t>
            </w:r>
          </w:p>
        </w:tc>
      </w:tr>
      <w:tr>
        <w:trPr>
          <w:cnfStyle w:evenHBand="true" w:oddHBand="false" w:firstRow="false"/>
        </w:trPr>
        <w:tc>
          <w:tcPr>
            <w:cnfStyle w:evenVBand="false" w:oddVBand="true" w:firstColumn="false"/>
            <w:tcW w:w="25.000000%" w:type="pct"/>
          </w:tcPr>
          <w:p>
            <w:pPr>
              <w:ind w:leftChars="0" w:left="0" w:right="0"/>
            </w:pPr>
            <w:r>
              <w:t>GMTS</w:t>
            </w:r>
          </w:p>
        </w:tc>
        <w:tc>
          <w:tcPr>
            <w:cnfStyle w:evenVBand="true" w:oddVBand="false" w:firstColumn="false"/>
            <w:tcW w:w="25.000000%" w:type="pct"/>
          </w:tcPr>
          <w:p>
            <w:pPr>
              <w:ind w:leftChars="0" w:left="0" w:right="0"/>
            </w:pPr>
            <w:r>
              <w:t>GMTS</w:t>
            </w:r>
          </w:p>
        </w:tc>
        <w:tc>
          <w:tcPr>
            <w:cnfStyle w:evenVBand="false" w:oddVBand="true" w:firstColumn="false"/>
            <w:tcW w:w="25.000000%" w:type="pct"/>
          </w:tcPr>
          <w:p>
            <w:pPr>
              <w:ind w:leftChars="0" w:left="0" w:right="0"/>
            </w:pPr>
            <w:r>
              <w:t>MTS GERMANY</w:t>
            </w:r>
          </w:p>
        </w:tc>
        <w:tc>
          <w:tcPr>
            <w:cnfStyle w:evenVBand="true" w:oddVBand="false" w:firstColumn="false"/>
            <w:tcW w:w="25.000000%" w:type="pct"/>
          </w:tcPr>
          <w:p>
            <w:pPr>
              <w:ind w:leftChars="0" w:left="0" w:right="0"/>
            </w:pPr>
            <w:r>
              <w:t>801</w:t>
            </w:r>
          </w:p>
        </w:tc>
      </w:tr>
      <w:tr>
        <w:trPr>
          <w:cnfStyle w:evenHBand="false" w:oddHBand="true" w:firstRow="false"/>
        </w:trPr>
        <w:tc>
          <w:tcPr>
            <w:cnfStyle w:evenVBand="false" w:oddVBand="true" w:firstColumn="false"/>
            <w:tcW w:w="25.000000%" w:type="pct"/>
          </w:tcPr>
          <w:p>
            <w:pPr>
              <w:ind w:leftChars="0" w:left="0" w:right="0"/>
            </w:pPr>
            <w:r>
              <w:t>GOTC</w:t>
            </w:r>
          </w:p>
        </w:tc>
        <w:tc>
          <w:tcPr>
            <w:cnfStyle w:evenVBand="true" w:oddVBand="false" w:firstColumn="false"/>
            <w:tcW w:w="25.000000%" w:type="pct"/>
          </w:tcPr>
          <w:p>
            <w:pPr>
              <w:ind w:leftChars="0" w:left="0" w:right="0"/>
            </w:pPr>
            <w:r>
              <w:t>GOTC</w:t>
            </w:r>
          </w:p>
        </w:tc>
        <w:tc>
          <w:tcPr>
            <w:cnfStyle w:evenVBand="false" w:oddVBand="true" w:firstColumn="false"/>
            <w:tcW w:w="25.000000%" w:type="pct"/>
          </w:tcPr>
          <w:p>
            <w:pPr>
              <w:ind w:leftChars="0" w:left="0" w:right="0"/>
            </w:pPr>
            <w:r>
              <w:t>GLOBAL OTC</w:t>
            </w:r>
          </w:p>
        </w:tc>
        <w:tc>
          <w:tcPr>
            <w:cnfStyle w:evenVBand="true" w:oddVBand="false" w:firstColumn="false"/>
            <w:tcW w:w="25.000000%" w:type="pct"/>
          </w:tcPr>
          <w:p>
            <w:pPr>
              <w:ind w:leftChars="0" w:left="0" w:right="0"/>
            </w:pPr>
            <w:r>
              <w:t>802</w:t>
            </w:r>
          </w:p>
        </w:tc>
      </w:tr>
      <w:tr>
        <w:trPr>
          <w:cnfStyle w:evenHBand="true" w:oddHBand="false" w:firstRow="false"/>
        </w:trPr>
        <w:tc>
          <w:tcPr>
            <w:cnfStyle w:evenVBand="false" w:oddVBand="true" w:firstColumn="false"/>
            <w:tcW w:w="25.000000%" w:type="pct"/>
          </w:tcPr>
          <w:p>
            <w:pPr>
              <w:ind w:leftChars="0" w:left="0" w:right="0"/>
            </w:pPr>
            <w:r>
              <w:t>GOVX</w:t>
            </w:r>
          </w:p>
        </w:tc>
        <w:tc>
          <w:tcPr>
            <w:cnfStyle w:evenVBand="true" w:oddVBand="false" w:firstColumn="false"/>
            <w:tcW w:w="25.000000%" w:type="pct"/>
          </w:tcPr>
          <w:p>
            <w:pPr>
              <w:ind w:leftChars="0" w:left="0" w:right="0"/>
            </w:pPr>
            <w:r>
              <w:t>GOVX</w:t>
            </w:r>
          </w:p>
        </w:tc>
        <w:tc>
          <w:tcPr>
            <w:cnfStyle w:evenVBand="false" w:oddVBand="true" w:firstColumn="false"/>
            <w:tcW w:w="25.000000%" w:type="pct"/>
          </w:tcPr>
          <w:p>
            <w:pPr>
              <w:ind w:leftChars="0" w:left="0" w:right="0"/>
            </w:pPr>
            <w:r>
              <w:t>GOVEX</w:t>
            </w:r>
          </w:p>
        </w:tc>
        <w:tc>
          <w:tcPr>
            <w:cnfStyle w:evenVBand="true" w:oddVBand="false" w:firstColumn="false"/>
            <w:tcW w:w="25.000000%" w:type="pct"/>
          </w:tcPr>
          <w:p>
            <w:pPr>
              <w:ind w:leftChars="0" w:left="0" w:right="0"/>
            </w:pPr>
            <w:r>
              <w:t>803</w:t>
            </w:r>
          </w:p>
        </w:tc>
      </w:tr>
      <w:tr>
        <w:trPr>
          <w:cnfStyle w:evenHBand="false" w:oddHBand="true" w:firstRow="false"/>
        </w:trPr>
        <w:tc>
          <w:tcPr>
            <w:cnfStyle w:evenVBand="false" w:oddVBand="true" w:firstColumn="false"/>
            <w:tcW w:w="25.000000%" w:type="pct"/>
          </w:tcPr>
          <w:p>
            <w:pPr>
              <w:ind w:leftChars="0" w:left="0" w:right="0"/>
            </w:pPr>
            <w:r>
              <w:t>GPBC</w:t>
            </w:r>
          </w:p>
        </w:tc>
        <w:tc>
          <w:tcPr>
            <w:cnfStyle w:evenVBand="true" w:oddVBand="false" w:firstColumn="false"/>
            <w:tcW w:w="25.000000%" w:type="pct"/>
          </w:tcPr>
          <w:p>
            <w:pPr>
              <w:ind w:leftChars="0" w:left="0" w:right="0"/>
            </w:pPr>
            <w:r>
              <w:t>GPBC</w:t>
            </w:r>
          </w:p>
        </w:tc>
        <w:tc>
          <w:tcPr>
            <w:cnfStyle w:evenVBand="false" w:oddVBand="true" w:firstColumn="false"/>
            <w:tcW w:w="25.000000%" w:type="pct"/>
          </w:tcPr>
          <w:p>
            <w:pPr>
              <w:ind w:leftChars="0" w:left="0" w:right="0"/>
            </w:pPr>
            <w:r>
              <w:t>GPB-FINANCIAL SERVICES LTD - SYSTEMATIC INTERNALISER</w:t>
            </w:r>
          </w:p>
        </w:tc>
        <w:tc>
          <w:tcPr>
            <w:cnfStyle w:evenVBand="true" w:oddVBand="false" w:firstColumn="false"/>
            <w:tcW w:w="25.000000%" w:type="pct"/>
          </w:tcPr>
          <w:p>
            <w:pPr>
              <w:ind w:leftChars="0" w:left="0" w:right="0"/>
            </w:pPr>
            <w:r>
              <w:t>804</w:t>
            </w:r>
          </w:p>
        </w:tc>
      </w:tr>
      <w:tr>
        <w:trPr>
          <w:cnfStyle w:evenHBand="true" w:oddHBand="false" w:firstRow="false"/>
        </w:trPr>
        <w:tc>
          <w:tcPr>
            <w:cnfStyle w:evenVBand="false" w:oddVBand="true" w:firstColumn="false"/>
            <w:tcW w:w="25.000000%" w:type="pct"/>
          </w:tcPr>
          <w:p>
            <w:pPr>
              <w:ind w:leftChars="0" w:left="0" w:right="0"/>
            </w:pPr>
            <w:r>
              <w:t>GREE</w:t>
            </w:r>
          </w:p>
        </w:tc>
        <w:tc>
          <w:tcPr>
            <w:cnfStyle w:evenVBand="true" w:oddVBand="false" w:firstColumn="false"/>
            <w:tcW w:w="25.000000%" w:type="pct"/>
          </w:tcPr>
          <w:p>
            <w:pPr>
              <w:ind w:leftChars="0" w:left="0" w:right="0"/>
            </w:pPr>
            <w:r>
              <w:t>GREE</w:t>
            </w:r>
          </w:p>
        </w:tc>
        <w:tc>
          <w:tcPr>
            <w:cnfStyle w:evenVBand="false" w:oddVBand="true" w:firstColumn="false"/>
            <w:tcW w:w="25.000000%" w:type="pct"/>
          </w:tcPr>
          <w:p>
            <w:pPr>
              <w:ind w:leftChars="0" w:left="0" w:right="0"/>
            </w:pPr>
            <w:r>
              <w:t>THE GREEN EXCHANGE</w:t>
            </w:r>
          </w:p>
        </w:tc>
        <w:tc>
          <w:tcPr>
            <w:cnfStyle w:evenVBand="true" w:oddVBand="false" w:firstColumn="false"/>
            <w:tcW w:w="25.000000%" w:type="pct"/>
          </w:tcPr>
          <w:p>
            <w:pPr>
              <w:ind w:leftChars="0" w:left="0" w:right="0"/>
            </w:pPr>
            <w:r>
              <w:t>805</w:t>
            </w:r>
          </w:p>
        </w:tc>
      </w:tr>
      <w:tr>
        <w:trPr>
          <w:cnfStyle w:evenHBand="false" w:oddHBand="true" w:firstRow="false"/>
        </w:trPr>
        <w:tc>
          <w:tcPr>
            <w:cnfStyle w:evenVBand="false" w:oddVBand="true" w:firstColumn="false"/>
            <w:tcW w:w="25.000000%" w:type="pct"/>
          </w:tcPr>
          <w:p>
            <w:pPr>
              <w:ind w:leftChars="0" w:left="0" w:right="0"/>
            </w:pPr>
            <w:r>
              <w:t>GRIF</w:t>
            </w:r>
          </w:p>
        </w:tc>
        <w:tc>
          <w:tcPr>
            <w:cnfStyle w:evenVBand="true" w:oddVBand="false" w:firstColumn="false"/>
            <w:tcW w:w="25.000000%" w:type="pct"/>
          </w:tcPr>
          <w:p>
            <w:pPr>
              <w:ind w:leftChars="0" w:left="0" w:right="0"/>
            </w:pPr>
            <w:r>
              <w:t>GRIF</w:t>
            </w:r>
          </w:p>
        </w:tc>
        <w:tc>
          <w:tcPr>
            <w:cnfStyle w:evenVBand="false" w:oddVBand="true" w:firstColumn="false"/>
            <w:tcW w:w="25.000000%" w:type="pct"/>
          </w:tcPr>
          <w:p>
            <w:pPr>
              <w:ind w:leftChars="0" w:left="0" w:right="0"/>
            </w:pPr>
            <w:r>
              <w:t>GRIFFIN MARKETS LIMITED</w:t>
            </w:r>
          </w:p>
        </w:tc>
        <w:tc>
          <w:tcPr>
            <w:cnfStyle w:evenVBand="true" w:oddVBand="false" w:firstColumn="false"/>
            <w:tcW w:w="25.000000%" w:type="pct"/>
          </w:tcPr>
          <w:p>
            <w:pPr>
              <w:ind w:leftChars="0" w:left="0" w:right="0"/>
            </w:pPr>
            <w:r>
              <w:t>806</w:t>
            </w:r>
          </w:p>
        </w:tc>
      </w:tr>
      <w:tr>
        <w:trPr>
          <w:cnfStyle w:evenHBand="true" w:oddHBand="false" w:firstRow="false"/>
        </w:trPr>
        <w:tc>
          <w:tcPr>
            <w:cnfStyle w:evenVBand="false" w:oddVBand="true" w:firstColumn="false"/>
            <w:tcW w:w="25.000000%" w:type="pct"/>
          </w:tcPr>
          <w:p>
            <w:pPr>
              <w:ind w:leftChars="0" w:left="0" w:right="0"/>
            </w:pPr>
            <w:r>
              <w:t>GRIO</w:t>
            </w:r>
          </w:p>
        </w:tc>
        <w:tc>
          <w:tcPr>
            <w:cnfStyle w:evenVBand="true" w:oddVBand="false" w:firstColumn="false"/>
            <w:tcW w:w="25.000000%" w:type="pct"/>
          </w:tcPr>
          <w:p>
            <w:pPr>
              <w:ind w:leftChars="0" w:left="0" w:right="0"/>
            </w:pPr>
            <w:r>
              <w:t>GRIO</w:t>
            </w:r>
          </w:p>
        </w:tc>
        <w:tc>
          <w:tcPr>
            <w:cnfStyle w:evenVBand="false" w:oddVBand="true" w:firstColumn="false"/>
            <w:tcW w:w="25.000000%" w:type="pct"/>
          </w:tcPr>
          <w:p>
            <w:pPr>
              <w:ind w:leftChars="0" w:left="0" w:right="0"/>
            </w:pPr>
            <w:r>
              <w:t>GRIFFIN MARKETS LIMITED - OTF</w:t>
            </w:r>
          </w:p>
        </w:tc>
        <w:tc>
          <w:tcPr>
            <w:cnfStyle w:evenVBand="true" w:oddVBand="false" w:firstColumn="false"/>
            <w:tcW w:w="25.000000%" w:type="pct"/>
          </w:tcPr>
          <w:p>
            <w:pPr>
              <w:ind w:leftChars="0" w:left="0" w:right="0"/>
            </w:pPr>
            <w:r>
              <w:t>807</w:t>
            </w:r>
          </w:p>
        </w:tc>
      </w:tr>
      <w:tr>
        <w:trPr>
          <w:cnfStyle w:evenHBand="false" w:oddHBand="true" w:firstRow="false"/>
        </w:trPr>
        <w:tc>
          <w:tcPr>
            <w:cnfStyle w:evenVBand="false" w:oddVBand="true" w:firstColumn="false"/>
            <w:tcW w:w="25.000000%" w:type="pct"/>
          </w:tcPr>
          <w:p>
            <w:pPr>
              <w:ind w:leftChars="0" w:left="0" w:right="0"/>
            </w:pPr>
            <w:r>
              <w:t>GROW</w:t>
            </w:r>
          </w:p>
        </w:tc>
        <w:tc>
          <w:tcPr>
            <w:cnfStyle w:evenVBand="true" w:oddVBand="false" w:firstColumn="false"/>
            <w:tcW w:w="25.000000%" w:type="pct"/>
          </w:tcPr>
          <w:p>
            <w:pPr>
              <w:ind w:leftChars="0" w:left="0" w:right="0"/>
            </w:pPr>
            <w:r>
              <w:t>GROW</w:t>
            </w:r>
          </w:p>
        </w:tc>
        <w:tc>
          <w:tcPr>
            <w:cnfStyle w:evenVBand="false" w:oddVBand="true" w:firstColumn="false"/>
            <w:tcW w:w="25.000000%" w:type="pct"/>
          </w:tcPr>
          <w:p>
            <w:pPr>
              <w:ind w:leftChars="0" w:left="0" w:right="0"/>
            </w:pPr>
            <w:r>
              <w:t>BME GROWTH MARKET</w:t>
            </w:r>
          </w:p>
        </w:tc>
        <w:tc>
          <w:tcPr>
            <w:cnfStyle w:evenVBand="true" w:oddVBand="false" w:firstColumn="false"/>
            <w:tcW w:w="25.000000%" w:type="pct"/>
          </w:tcPr>
          <w:p>
            <w:pPr>
              <w:ind w:leftChars="0" w:left="0" w:right="0"/>
            </w:pPr>
            <w:r>
              <w:t>808</w:t>
            </w:r>
          </w:p>
        </w:tc>
      </w:tr>
      <w:tr>
        <w:trPr>
          <w:cnfStyle w:evenHBand="true" w:oddHBand="false" w:firstRow="false"/>
        </w:trPr>
        <w:tc>
          <w:tcPr>
            <w:cnfStyle w:evenVBand="false" w:oddVBand="true" w:firstColumn="false"/>
            <w:tcW w:w="25.000000%" w:type="pct"/>
          </w:tcPr>
          <w:p>
            <w:pPr>
              <w:ind w:leftChars="0" w:left="0" w:right="0"/>
            </w:pPr>
            <w:r>
              <w:t>GRSE</w:t>
            </w:r>
          </w:p>
        </w:tc>
        <w:tc>
          <w:tcPr>
            <w:cnfStyle w:evenVBand="true" w:oddVBand="false" w:firstColumn="false"/>
            <w:tcW w:w="25.000000%" w:type="pct"/>
          </w:tcPr>
          <w:p>
            <w:pPr>
              <w:ind w:leftChars="0" w:left="0" w:right="0"/>
            </w:pPr>
            <w:r>
              <w:t>GRSE</w:t>
            </w:r>
          </w:p>
        </w:tc>
        <w:tc>
          <w:tcPr>
            <w:cnfStyle w:evenVBand="false" w:oddVBand="true" w:firstColumn="false"/>
            <w:tcW w:w="25.000000%" w:type="pct"/>
          </w:tcPr>
          <w:p>
            <w:pPr>
              <w:ind w:leftChars="0" w:left="0" w:right="0"/>
            </w:pPr>
            <w:r>
              <w:t>THE GREEN STOCK EXCHANGE - ACB IMPACT MARKETS</w:t>
            </w:r>
          </w:p>
        </w:tc>
        <w:tc>
          <w:tcPr>
            <w:cnfStyle w:evenVBand="true" w:oddVBand="false" w:firstColumn="false"/>
            <w:tcW w:w="25.000000%" w:type="pct"/>
          </w:tcPr>
          <w:p>
            <w:pPr>
              <w:ind w:leftChars="0" w:left="0" w:right="0"/>
            </w:pPr>
            <w:r>
              <w:t>809</w:t>
            </w:r>
          </w:p>
        </w:tc>
      </w:tr>
      <w:tr>
        <w:trPr>
          <w:cnfStyle w:evenHBand="false" w:oddHBand="true" w:firstRow="false"/>
        </w:trPr>
        <w:tc>
          <w:tcPr>
            <w:cnfStyle w:evenVBand="false" w:oddVBand="true" w:firstColumn="false"/>
            <w:tcW w:w="25.000000%" w:type="pct"/>
          </w:tcPr>
          <w:p>
            <w:pPr>
              <w:ind w:leftChars="0" w:left="0" w:right="0"/>
            </w:pPr>
            <w:r>
              <w:t>GSAL</w:t>
            </w:r>
          </w:p>
        </w:tc>
        <w:tc>
          <w:tcPr>
            <w:cnfStyle w:evenVBand="true" w:oddVBand="false" w:firstColumn="false"/>
            <w:tcW w:w="25.000000%" w:type="pct"/>
          </w:tcPr>
          <w:p>
            <w:pPr>
              <w:ind w:leftChars="0" w:left="0" w:right="0"/>
            </w:pPr>
            <w:r>
              <w:t>GSAL</w:t>
            </w:r>
          </w:p>
        </w:tc>
        <w:tc>
          <w:tcPr>
            <w:cnfStyle w:evenVBand="false" w:oddVBand="true" w:firstColumn="false"/>
            <w:tcW w:w="25.000000%" w:type="pct"/>
          </w:tcPr>
          <w:p>
            <w:pPr>
              <w:ind w:leftChars="0" w:left="0" w:right="0"/>
            </w:pPr>
            <w:r>
              <w:t>GOLDMAN SACHS (ASIA) LLC</w:t>
            </w:r>
          </w:p>
        </w:tc>
        <w:tc>
          <w:tcPr>
            <w:cnfStyle w:evenVBand="true" w:oddVBand="false" w:firstColumn="false"/>
            <w:tcW w:w="25.000000%" w:type="pct"/>
          </w:tcPr>
          <w:p>
            <w:pPr>
              <w:ind w:leftChars="0" w:left="0" w:right="0"/>
            </w:pPr>
            <w:r>
              <w:t>810</w:t>
            </w:r>
          </w:p>
        </w:tc>
      </w:tr>
      <w:tr>
        <w:trPr>
          <w:cnfStyle w:evenHBand="true" w:oddHBand="false" w:firstRow="false"/>
        </w:trPr>
        <w:tc>
          <w:tcPr>
            <w:cnfStyle w:evenVBand="false" w:oddVBand="true" w:firstColumn="false"/>
            <w:tcW w:w="25.000000%" w:type="pct"/>
          </w:tcPr>
          <w:p>
            <w:pPr>
              <w:ind w:leftChars="0" w:left="0" w:right="0"/>
            </w:pPr>
            <w:r>
              <w:t>GSBE</w:t>
            </w:r>
          </w:p>
        </w:tc>
        <w:tc>
          <w:tcPr>
            <w:cnfStyle w:evenVBand="true" w:oddVBand="false" w:firstColumn="false"/>
            <w:tcW w:w="25.000000%" w:type="pct"/>
          </w:tcPr>
          <w:p>
            <w:pPr>
              <w:ind w:leftChars="0" w:left="0" w:right="0"/>
            </w:pPr>
            <w:r>
              <w:t>GSBE</w:t>
            </w:r>
          </w:p>
        </w:tc>
        <w:tc>
          <w:tcPr>
            <w:cnfStyle w:evenVBand="false" w:oddVBand="true" w:firstColumn="false"/>
            <w:tcW w:w="25.000000%" w:type="pct"/>
          </w:tcPr>
          <w:p>
            <w:pPr>
              <w:ind w:leftChars="0" w:left="0" w:right="0"/>
            </w:pPr>
            <w:r>
              <w:t>GOLDMAN SACHS BANK EUROPE SE</w:t>
            </w:r>
          </w:p>
        </w:tc>
        <w:tc>
          <w:tcPr>
            <w:cnfStyle w:evenVBand="true" w:oddVBand="false" w:firstColumn="false"/>
            <w:tcW w:w="25.000000%" w:type="pct"/>
          </w:tcPr>
          <w:p>
            <w:pPr>
              <w:ind w:leftChars="0" w:left="0" w:right="0"/>
            </w:pPr>
            <w:r>
              <w:t>811</w:t>
            </w:r>
          </w:p>
        </w:tc>
      </w:tr>
      <w:tr>
        <w:trPr>
          <w:cnfStyle w:evenHBand="false" w:oddHBand="true" w:firstRow="false"/>
        </w:trPr>
        <w:tc>
          <w:tcPr>
            <w:cnfStyle w:evenVBand="false" w:oddVBand="true" w:firstColumn="false"/>
            <w:tcW w:w="25.000000%" w:type="pct"/>
          </w:tcPr>
          <w:p>
            <w:pPr>
              <w:ind w:leftChars="0" w:left="0" w:right="0"/>
            </w:pPr>
            <w:r>
              <w:t>GSBX</w:t>
            </w:r>
          </w:p>
        </w:tc>
        <w:tc>
          <w:tcPr>
            <w:cnfStyle w:evenVBand="true" w:oddVBand="false" w:firstColumn="false"/>
            <w:tcW w:w="25.000000%" w:type="pct"/>
          </w:tcPr>
          <w:p>
            <w:pPr>
              <w:ind w:leftChars="0" w:left="0" w:right="0"/>
            </w:pPr>
            <w:r>
              <w:t>GSBX</w:t>
            </w:r>
          </w:p>
        </w:tc>
        <w:tc>
          <w:tcPr>
            <w:cnfStyle w:evenVBand="false" w:oddVBand="true" w:firstColumn="false"/>
            <w:tcW w:w="25.000000%" w:type="pct"/>
          </w:tcPr>
          <w:p>
            <w:pPr>
              <w:ind w:leftChars="0" w:left="0" w:right="0"/>
            </w:pPr>
            <w:r>
              <w:t>GOLDMAN SACHS INTERNATIONAL - SIGMA BCN</w:t>
            </w:r>
          </w:p>
        </w:tc>
        <w:tc>
          <w:tcPr>
            <w:cnfStyle w:evenVBand="true" w:oddVBand="false" w:firstColumn="false"/>
            <w:tcW w:w="25.000000%" w:type="pct"/>
          </w:tcPr>
          <w:p>
            <w:pPr>
              <w:ind w:leftChars="0" w:left="0" w:right="0"/>
            </w:pPr>
            <w:r>
              <w:t>812</w:t>
            </w:r>
          </w:p>
        </w:tc>
      </w:tr>
      <w:tr>
        <w:trPr>
          <w:cnfStyle w:evenHBand="true" w:oddHBand="false" w:firstRow="false"/>
        </w:trPr>
        <w:tc>
          <w:tcPr>
            <w:cnfStyle w:evenVBand="false" w:oddVBand="true" w:firstColumn="false"/>
            <w:tcW w:w="25.000000%" w:type="pct"/>
          </w:tcPr>
          <w:p>
            <w:pPr>
              <w:ind w:leftChars="0" w:left="0" w:right="0"/>
            </w:pPr>
            <w:r>
              <w:t>GSCI</w:t>
            </w:r>
          </w:p>
        </w:tc>
        <w:tc>
          <w:tcPr>
            <w:cnfStyle w:evenVBand="true" w:oddVBand="false" w:firstColumn="false"/>
            <w:tcW w:w="25.000000%" w:type="pct"/>
          </w:tcPr>
          <w:p>
            <w:pPr>
              <w:ind w:leftChars="0" w:left="0" w:right="0"/>
            </w:pPr>
            <w:r>
              <w:t>GSCI</w:t>
            </w:r>
          </w:p>
        </w:tc>
        <w:tc>
          <w:tcPr>
            <w:cnfStyle w:evenVBand="false" w:oddVBand="true" w:firstColumn="false"/>
            <w:tcW w:w="25.000000%" w:type="pct"/>
          </w:tcPr>
          <w:p>
            <w:pPr>
              <w:ind w:leftChars="0" w:left="0" w:right="0"/>
            </w:pPr>
            <w:r>
              <w:t>THE GUYANA ASSOCIATION OF SECURITIES COMPANIES AND INTERMEDIARIES INC.</w:t>
            </w:r>
          </w:p>
        </w:tc>
        <w:tc>
          <w:tcPr>
            <w:cnfStyle w:evenVBand="true" w:oddVBand="false" w:firstColumn="false"/>
            <w:tcW w:w="25.000000%" w:type="pct"/>
          </w:tcPr>
          <w:p>
            <w:pPr>
              <w:ind w:leftChars="0" w:left="0" w:right="0"/>
            </w:pPr>
            <w:r>
              <w:t>813</w:t>
            </w:r>
          </w:p>
        </w:tc>
      </w:tr>
      <w:tr>
        <w:trPr>
          <w:cnfStyle w:evenHBand="false" w:oddHBand="true" w:firstRow="false"/>
        </w:trPr>
        <w:tc>
          <w:tcPr>
            <w:cnfStyle w:evenVBand="false" w:oddVBand="true" w:firstColumn="false"/>
            <w:tcW w:w="25.000000%" w:type="pct"/>
          </w:tcPr>
          <w:p>
            <w:pPr>
              <w:ind w:leftChars="0" w:left="0" w:right="0"/>
            </w:pPr>
            <w:r>
              <w:t>GSCO</w:t>
            </w:r>
          </w:p>
        </w:tc>
        <w:tc>
          <w:tcPr>
            <w:cnfStyle w:evenVBand="true" w:oddVBand="false" w:firstColumn="false"/>
            <w:tcW w:w="25.000000%" w:type="pct"/>
          </w:tcPr>
          <w:p>
            <w:pPr>
              <w:ind w:leftChars="0" w:left="0" w:right="0"/>
            </w:pPr>
            <w:r>
              <w:t>GSCO</w:t>
            </w:r>
          </w:p>
        </w:tc>
        <w:tc>
          <w:tcPr>
            <w:cnfStyle w:evenVBand="false" w:oddVBand="true" w:firstColumn="false"/>
            <w:tcW w:w="25.000000%" w:type="pct"/>
          </w:tcPr>
          <w:p>
            <w:pPr>
              <w:ind w:leftChars="0" w:left="0" w:right="0"/>
            </w:pPr>
            <w:r>
              <w:t>GOLDMAN SACHS AND CO.</w:t>
            </w:r>
          </w:p>
        </w:tc>
        <w:tc>
          <w:tcPr>
            <w:cnfStyle w:evenVBand="true" w:oddVBand="false" w:firstColumn="false"/>
            <w:tcW w:w="25.000000%" w:type="pct"/>
          </w:tcPr>
          <w:p>
            <w:pPr>
              <w:ind w:leftChars="0" w:left="0" w:right="0"/>
            </w:pPr>
            <w:r>
              <w:t>814</w:t>
            </w:r>
          </w:p>
        </w:tc>
      </w:tr>
      <w:tr>
        <w:trPr>
          <w:cnfStyle w:evenHBand="true" w:oddHBand="false" w:firstRow="false"/>
        </w:trPr>
        <w:tc>
          <w:tcPr>
            <w:cnfStyle w:evenVBand="false" w:oddVBand="true" w:firstColumn="false"/>
            <w:tcW w:w="25.000000%" w:type="pct"/>
          </w:tcPr>
          <w:p>
            <w:pPr>
              <w:ind w:leftChars="0" w:left="0" w:right="0"/>
            </w:pPr>
            <w:r>
              <w:t>GSEF</w:t>
            </w:r>
          </w:p>
        </w:tc>
        <w:tc>
          <w:tcPr>
            <w:cnfStyle w:evenVBand="true" w:oddVBand="false" w:firstColumn="false"/>
            <w:tcW w:w="25.000000%" w:type="pct"/>
          </w:tcPr>
          <w:p>
            <w:pPr>
              <w:ind w:leftChars="0" w:left="0" w:right="0"/>
            </w:pPr>
            <w:r>
              <w:t>GSEF</w:t>
            </w:r>
          </w:p>
        </w:tc>
        <w:tc>
          <w:tcPr>
            <w:cnfStyle w:evenVBand="false" w:oddVBand="true" w:firstColumn="false"/>
            <w:tcW w:w="25.000000%" w:type="pct"/>
          </w:tcPr>
          <w:p>
            <w:pPr>
              <w:ind w:leftChars="0" w:left="0" w:right="0"/>
            </w:pPr>
            <w:r>
              <w:t>GFI SWAPS EXCHANGE, LLC</w:t>
            </w:r>
          </w:p>
        </w:tc>
        <w:tc>
          <w:tcPr>
            <w:cnfStyle w:evenVBand="true" w:oddVBand="false" w:firstColumn="false"/>
            <w:tcW w:w="25.000000%" w:type="pct"/>
          </w:tcPr>
          <w:p>
            <w:pPr>
              <w:ind w:leftChars="0" w:left="0" w:right="0"/>
            </w:pPr>
            <w:r>
              <w:t>815</w:t>
            </w:r>
          </w:p>
        </w:tc>
      </w:tr>
      <w:tr>
        <w:trPr>
          <w:cnfStyle w:evenHBand="false" w:oddHBand="true" w:firstRow="false"/>
        </w:trPr>
        <w:tc>
          <w:tcPr>
            <w:cnfStyle w:evenVBand="false" w:oddVBand="true" w:firstColumn="false"/>
            <w:tcW w:w="25.000000%" w:type="pct"/>
          </w:tcPr>
          <w:p>
            <w:pPr>
              <w:ind w:leftChars="0" w:left="0" w:right="0"/>
            </w:pPr>
            <w:r>
              <w:t>GSEI</w:t>
            </w:r>
          </w:p>
        </w:tc>
        <w:tc>
          <w:tcPr>
            <w:cnfStyle w:evenVBand="true" w:oddVBand="false" w:firstColumn="false"/>
            <w:tcW w:w="25.000000%" w:type="pct"/>
          </w:tcPr>
          <w:p>
            <w:pPr>
              <w:ind w:leftChars="0" w:left="0" w:right="0"/>
            </w:pPr>
            <w:r>
              <w:t>GSEI</w:t>
            </w:r>
          </w:p>
        </w:tc>
        <w:tc>
          <w:tcPr>
            <w:cnfStyle w:evenVBand="false" w:oddVBand="true" w:firstColumn="false"/>
            <w:tcW w:w="25.000000%" w:type="pct"/>
          </w:tcPr>
          <w:p>
            <w:pPr>
              <w:ind w:leftChars="0" w:left="0" w:right="0"/>
            </w:pPr>
            <w:r>
              <w:t>GOLDMAN SACHS BANK EUROPE SE - SYSTEMATIC INTERNALISER</w:t>
            </w:r>
          </w:p>
        </w:tc>
        <w:tc>
          <w:tcPr>
            <w:cnfStyle w:evenVBand="true" w:oddVBand="false" w:firstColumn="false"/>
            <w:tcW w:w="25.000000%" w:type="pct"/>
          </w:tcPr>
          <w:p>
            <w:pPr>
              <w:ind w:leftChars="0" w:left="0" w:right="0"/>
            </w:pPr>
            <w:r>
              <w:t>816</w:t>
            </w:r>
          </w:p>
        </w:tc>
      </w:tr>
      <w:tr>
        <w:trPr>
          <w:cnfStyle w:evenHBand="true" w:oddHBand="false" w:firstRow="false"/>
        </w:trPr>
        <w:tc>
          <w:tcPr>
            <w:cnfStyle w:evenVBand="false" w:oddVBand="true" w:firstColumn="false"/>
            <w:tcW w:w="25.000000%" w:type="pct"/>
          </w:tcPr>
          <w:p>
            <w:pPr>
              <w:ind w:leftChars="0" w:left="0" w:right="0"/>
            </w:pPr>
            <w:r>
              <w:t>GSIB</w:t>
            </w:r>
          </w:p>
        </w:tc>
        <w:tc>
          <w:tcPr>
            <w:cnfStyle w:evenVBand="true" w:oddVBand="false" w:firstColumn="false"/>
            <w:tcW w:w="25.000000%" w:type="pct"/>
          </w:tcPr>
          <w:p>
            <w:pPr>
              <w:ind w:leftChars="0" w:left="0" w:right="0"/>
            </w:pPr>
            <w:r>
              <w:t>GSIB</w:t>
            </w:r>
          </w:p>
        </w:tc>
        <w:tc>
          <w:tcPr>
            <w:cnfStyle w:evenVBand="false" w:oddVBand="true" w:firstColumn="false"/>
            <w:tcW w:w="25.000000%" w:type="pct"/>
          </w:tcPr>
          <w:p>
            <w:pPr>
              <w:ind w:leftChars="0" w:left="0" w:right="0"/>
            </w:pPr>
            <w:r>
              <w:t>GOLDMAN SACHS INTERNATIONAL BANK</w:t>
            </w:r>
          </w:p>
        </w:tc>
        <w:tc>
          <w:tcPr>
            <w:cnfStyle w:evenVBand="true" w:oddVBand="false" w:firstColumn="false"/>
            <w:tcW w:w="25.000000%" w:type="pct"/>
          </w:tcPr>
          <w:p>
            <w:pPr>
              <w:ind w:leftChars="0" w:left="0" w:right="0"/>
            </w:pPr>
            <w:r>
              <w:t>817</w:t>
            </w:r>
          </w:p>
        </w:tc>
      </w:tr>
      <w:tr>
        <w:trPr>
          <w:cnfStyle w:evenHBand="false" w:oddHBand="true" w:firstRow="false"/>
        </w:trPr>
        <w:tc>
          <w:tcPr>
            <w:cnfStyle w:evenVBand="false" w:oddVBand="true" w:firstColumn="false"/>
            <w:tcW w:w="25.000000%" w:type="pct"/>
          </w:tcPr>
          <w:p>
            <w:pPr>
              <w:ind w:leftChars="0" w:left="0" w:right="0"/>
            </w:pPr>
            <w:r>
              <w:t>GSIL</w:t>
            </w:r>
          </w:p>
        </w:tc>
        <w:tc>
          <w:tcPr>
            <w:cnfStyle w:evenVBand="true" w:oddVBand="false" w:firstColumn="false"/>
            <w:tcW w:w="25.000000%" w:type="pct"/>
          </w:tcPr>
          <w:p>
            <w:pPr>
              <w:ind w:leftChars="0" w:left="0" w:right="0"/>
            </w:pPr>
            <w:r>
              <w:t>GSIL</w:t>
            </w:r>
          </w:p>
        </w:tc>
        <w:tc>
          <w:tcPr>
            <w:cnfStyle w:evenVBand="false" w:oddVBand="true" w:firstColumn="false"/>
            <w:tcW w:w="25.000000%" w:type="pct"/>
          </w:tcPr>
          <w:p>
            <w:pPr>
              <w:ind w:leftChars="0" w:left="0" w:right="0"/>
            </w:pPr>
            <w:r>
              <w:t>GOLDMAN SACHS INTERNATIONAL</w:t>
            </w:r>
          </w:p>
        </w:tc>
        <w:tc>
          <w:tcPr>
            <w:cnfStyle w:evenVBand="true" w:oddVBand="false" w:firstColumn="false"/>
            <w:tcW w:w="25.000000%" w:type="pct"/>
          </w:tcPr>
          <w:p>
            <w:pPr>
              <w:ind w:leftChars="0" w:left="0" w:right="0"/>
            </w:pPr>
            <w:r>
              <w:t>818</w:t>
            </w:r>
          </w:p>
        </w:tc>
      </w:tr>
      <w:tr>
        <w:trPr>
          <w:cnfStyle w:evenHBand="true" w:oddHBand="false" w:firstRow="false"/>
        </w:trPr>
        <w:tc>
          <w:tcPr>
            <w:cnfStyle w:evenVBand="false" w:oddVBand="true" w:firstColumn="false"/>
            <w:tcW w:w="25.000000%" w:type="pct"/>
          </w:tcPr>
          <w:p>
            <w:pPr>
              <w:ind w:leftChars="0" w:left="0" w:right="0"/>
            </w:pPr>
            <w:r>
              <w:t>GSPL</w:t>
            </w:r>
          </w:p>
        </w:tc>
        <w:tc>
          <w:tcPr>
            <w:cnfStyle w:evenVBand="true" w:oddVBand="false" w:firstColumn="false"/>
            <w:tcW w:w="25.000000%" w:type="pct"/>
          </w:tcPr>
          <w:p>
            <w:pPr>
              <w:ind w:leftChars="0" w:left="0" w:right="0"/>
            </w:pPr>
            <w:r>
              <w:t>GSPL</w:t>
            </w:r>
          </w:p>
        </w:tc>
        <w:tc>
          <w:tcPr>
            <w:cnfStyle w:evenVBand="false" w:oddVBand="true" w:firstColumn="false"/>
            <w:tcW w:w="25.000000%" w:type="pct"/>
          </w:tcPr>
          <w:p>
            <w:pPr>
              <w:ind w:leftChars="0" w:left="0" w:right="0"/>
            </w:pPr>
            <w:r>
              <w:t>GS PRINCIPAL LIQUIDITY ASIA</w:t>
            </w:r>
          </w:p>
        </w:tc>
        <w:tc>
          <w:tcPr>
            <w:cnfStyle w:evenVBand="true" w:oddVBand="false" w:firstColumn="false"/>
            <w:tcW w:w="25.000000%" w:type="pct"/>
          </w:tcPr>
          <w:p>
            <w:pPr>
              <w:ind w:leftChars="0" w:left="0" w:right="0"/>
            </w:pPr>
            <w:r>
              <w:t>819</w:t>
            </w:r>
          </w:p>
        </w:tc>
      </w:tr>
      <w:tr>
        <w:trPr>
          <w:cnfStyle w:evenHBand="false" w:oddHBand="true" w:firstRow="false"/>
        </w:trPr>
        <w:tc>
          <w:tcPr>
            <w:cnfStyle w:evenVBand="false" w:oddVBand="true" w:firstColumn="false"/>
            <w:tcW w:w="25.000000%" w:type="pct"/>
          </w:tcPr>
          <w:p>
            <w:pPr>
              <w:ind w:leftChars="0" w:left="0" w:right="0"/>
            </w:pPr>
            <w:r>
              <w:t>GSPX</w:t>
            </w:r>
          </w:p>
        </w:tc>
        <w:tc>
          <w:tcPr>
            <w:cnfStyle w:evenVBand="true" w:oddVBand="false" w:firstColumn="false"/>
            <w:tcW w:w="25.000000%" w:type="pct"/>
          </w:tcPr>
          <w:p>
            <w:pPr>
              <w:ind w:leftChars="0" w:left="0" w:right="0"/>
            </w:pPr>
            <w:r>
              <w:t>GSPX</w:t>
            </w:r>
          </w:p>
        </w:tc>
        <w:tc>
          <w:tcPr>
            <w:cnfStyle w:evenVBand="false" w:oddVBand="true" w:firstColumn="false"/>
            <w:tcW w:w="25.000000%" w:type="pct"/>
          </w:tcPr>
          <w:p>
            <w:pPr>
              <w:ind w:leftChars="0" w:left="0" w:right="0"/>
            </w:pPr>
            <w:r>
              <w:t>GOLDMAN SACHS INTERNATIONAL PARIS BRANCH - SYSTEMATIC INTERNALISER</w:t>
            </w:r>
          </w:p>
        </w:tc>
        <w:tc>
          <w:tcPr>
            <w:cnfStyle w:evenVBand="true" w:oddVBand="false" w:firstColumn="false"/>
            <w:tcW w:w="25.000000%" w:type="pct"/>
          </w:tcPr>
          <w:p>
            <w:pPr>
              <w:ind w:leftChars="0" w:left="0" w:right="0"/>
            </w:pPr>
            <w:r>
              <w:t>820</w:t>
            </w:r>
          </w:p>
        </w:tc>
      </w:tr>
      <w:tr>
        <w:trPr>
          <w:cnfStyle w:evenHBand="true" w:oddHBand="false" w:firstRow="false"/>
        </w:trPr>
        <w:tc>
          <w:tcPr>
            <w:cnfStyle w:evenVBand="false" w:oddVBand="true" w:firstColumn="false"/>
            <w:tcW w:w="25.000000%" w:type="pct"/>
          </w:tcPr>
          <w:p>
            <w:pPr>
              <w:ind w:leftChars="0" w:left="0" w:right="0"/>
            </w:pPr>
            <w:r>
              <w:t>GSSI</w:t>
            </w:r>
          </w:p>
        </w:tc>
        <w:tc>
          <w:tcPr>
            <w:cnfStyle w:evenVBand="true" w:oddVBand="false" w:firstColumn="false"/>
            <w:tcW w:w="25.000000%" w:type="pct"/>
          </w:tcPr>
          <w:p>
            <w:pPr>
              <w:ind w:leftChars="0" w:left="0" w:right="0"/>
            </w:pPr>
            <w:r>
              <w:t>GSSI</w:t>
            </w:r>
          </w:p>
        </w:tc>
        <w:tc>
          <w:tcPr>
            <w:cnfStyle w:evenVBand="false" w:oddVBand="true" w:firstColumn="false"/>
            <w:tcW w:w="25.000000%" w:type="pct"/>
          </w:tcPr>
          <w:p>
            <w:pPr>
              <w:ind w:leftChars="0" w:left="0" w:right="0"/>
            </w:pPr>
            <w:r>
              <w:t>GOLDMAN SACHS INTERNATIONAL - SYSTEMATIC INTERNALISER</w:t>
            </w:r>
          </w:p>
        </w:tc>
        <w:tc>
          <w:tcPr>
            <w:cnfStyle w:evenVBand="true" w:oddVBand="false" w:firstColumn="false"/>
            <w:tcW w:w="25.000000%" w:type="pct"/>
          </w:tcPr>
          <w:p>
            <w:pPr>
              <w:ind w:leftChars="0" w:left="0" w:right="0"/>
            </w:pPr>
            <w:r>
              <w:t>821</w:t>
            </w:r>
          </w:p>
        </w:tc>
      </w:tr>
      <w:tr>
        <w:trPr>
          <w:cnfStyle w:evenHBand="false" w:oddHBand="true" w:firstRow="false"/>
        </w:trPr>
        <w:tc>
          <w:tcPr>
            <w:cnfStyle w:evenVBand="false" w:oddVBand="true" w:firstColumn="false"/>
            <w:tcW w:w="25.000000%" w:type="pct"/>
          </w:tcPr>
          <w:p>
            <w:pPr>
              <w:ind w:leftChars="0" w:left="0" w:right="0"/>
            </w:pPr>
            <w:r>
              <w:t>GSXC</w:t>
            </w:r>
          </w:p>
        </w:tc>
        <w:tc>
          <w:tcPr>
            <w:cnfStyle w:evenVBand="true" w:oddVBand="false" w:firstColumn="false"/>
            <w:tcW w:w="25.000000%" w:type="pct"/>
          </w:tcPr>
          <w:p>
            <w:pPr>
              <w:ind w:leftChars="0" w:left="0" w:right="0"/>
            </w:pPr>
            <w:r>
              <w:t>GSXC</w:t>
            </w:r>
          </w:p>
        </w:tc>
        <w:tc>
          <w:tcPr>
            <w:cnfStyle w:evenVBand="false" w:oddVBand="true" w:firstColumn="false"/>
            <w:tcW w:w="25.000000%" w:type="pct"/>
          </w:tcPr>
          <w:p>
            <w:pPr>
              <w:ind w:leftChars="0" w:left="0" w:right="0"/>
            </w:pPr>
            <w:r>
              <w:t>GSX CHINA</w:t>
            </w:r>
          </w:p>
        </w:tc>
        <w:tc>
          <w:tcPr>
            <w:cnfStyle w:evenVBand="true" w:oddVBand="false" w:firstColumn="false"/>
            <w:tcW w:w="25.000000%" w:type="pct"/>
          </w:tcPr>
          <w:p>
            <w:pPr>
              <w:ind w:leftChars="0" w:left="0" w:right="0"/>
            </w:pPr>
            <w:r>
              <w:t>822</w:t>
            </w:r>
          </w:p>
        </w:tc>
      </w:tr>
      <w:tr>
        <w:trPr>
          <w:cnfStyle w:evenHBand="true" w:oddHBand="false" w:firstRow="false"/>
        </w:trPr>
        <w:tc>
          <w:tcPr>
            <w:cnfStyle w:evenVBand="false" w:oddVBand="true" w:firstColumn="false"/>
            <w:tcW w:w="25.000000%" w:type="pct"/>
          </w:tcPr>
          <w:p>
            <w:pPr>
              <w:ind w:leftChars="0" w:left="0" w:right="0"/>
            </w:pPr>
            <w:r>
              <w:t>GSXH</w:t>
            </w:r>
          </w:p>
        </w:tc>
        <w:tc>
          <w:tcPr>
            <w:cnfStyle w:evenVBand="true" w:oddVBand="false" w:firstColumn="false"/>
            <w:tcW w:w="25.000000%" w:type="pct"/>
          </w:tcPr>
          <w:p>
            <w:pPr>
              <w:ind w:leftChars="0" w:left="0" w:right="0"/>
            </w:pPr>
            <w:r>
              <w:t>GSXH</w:t>
            </w:r>
          </w:p>
        </w:tc>
        <w:tc>
          <w:tcPr>
            <w:cnfStyle w:evenVBand="false" w:oddVBand="true" w:firstColumn="false"/>
            <w:tcW w:w="25.000000%" w:type="pct"/>
          </w:tcPr>
          <w:p>
            <w:pPr>
              <w:ind w:leftChars="0" w:left="0" w:right="0"/>
            </w:pPr>
            <w:r>
              <w:t>GSX HONG KONG</w:t>
            </w:r>
          </w:p>
        </w:tc>
        <w:tc>
          <w:tcPr>
            <w:cnfStyle w:evenVBand="true" w:oddVBand="false" w:firstColumn="false"/>
            <w:tcW w:w="25.000000%" w:type="pct"/>
          </w:tcPr>
          <w:p>
            <w:pPr>
              <w:ind w:leftChars="0" w:left="0" w:right="0"/>
            </w:pPr>
            <w:r>
              <w:t>823</w:t>
            </w:r>
          </w:p>
        </w:tc>
      </w:tr>
      <w:tr>
        <w:trPr>
          <w:cnfStyle w:evenHBand="false" w:oddHBand="true" w:firstRow="false"/>
        </w:trPr>
        <w:tc>
          <w:tcPr>
            <w:cnfStyle w:evenVBand="false" w:oddVBand="true" w:firstColumn="false"/>
            <w:tcW w:w="25.000000%" w:type="pct"/>
          </w:tcPr>
          <w:p>
            <w:pPr>
              <w:ind w:leftChars="0" w:left="0" w:right="0"/>
            </w:pPr>
            <w:r>
              <w:t>GSXK</w:t>
            </w:r>
          </w:p>
        </w:tc>
        <w:tc>
          <w:tcPr>
            <w:cnfStyle w:evenVBand="true" w:oddVBand="false" w:firstColumn="false"/>
            <w:tcW w:w="25.000000%" w:type="pct"/>
          </w:tcPr>
          <w:p>
            <w:pPr>
              <w:ind w:leftChars="0" w:left="0" w:right="0"/>
            </w:pPr>
            <w:r>
              <w:t>GSXK</w:t>
            </w:r>
          </w:p>
        </w:tc>
        <w:tc>
          <w:tcPr>
            <w:cnfStyle w:evenVBand="false" w:oddVBand="true" w:firstColumn="false"/>
            <w:tcW w:w="25.000000%" w:type="pct"/>
          </w:tcPr>
          <w:p>
            <w:pPr>
              <w:ind w:leftChars="0" w:left="0" w:right="0"/>
            </w:pPr>
            <w:r>
              <w:t>GSX KOREA</w:t>
            </w:r>
          </w:p>
        </w:tc>
        <w:tc>
          <w:tcPr>
            <w:cnfStyle w:evenVBand="true" w:oddVBand="false" w:firstColumn="false"/>
            <w:tcW w:w="25.000000%" w:type="pct"/>
          </w:tcPr>
          <w:p>
            <w:pPr>
              <w:ind w:leftChars="0" w:left="0" w:right="0"/>
            </w:pPr>
            <w:r>
              <w:t>824</w:t>
            </w:r>
          </w:p>
        </w:tc>
      </w:tr>
      <w:tr>
        <w:trPr>
          <w:cnfStyle w:evenHBand="true" w:oddHBand="false" w:firstRow="false"/>
        </w:trPr>
        <w:tc>
          <w:tcPr>
            <w:cnfStyle w:evenVBand="false" w:oddVBand="true" w:firstColumn="false"/>
            <w:tcW w:w="25.000000%" w:type="pct"/>
          </w:tcPr>
          <w:p>
            <w:pPr>
              <w:ind w:leftChars="0" w:left="0" w:right="0"/>
            </w:pPr>
            <w:r>
              <w:t>GSXL</w:t>
            </w:r>
          </w:p>
        </w:tc>
        <w:tc>
          <w:tcPr>
            <w:cnfStyle w:evenVBand="true" w:oddVBand="false" w:firstColumn="false"/>
            <w:tcW w:w="25.000000%" w:type="pct"/>
          </w:tcPr>
          <w:p>
            <w:pPr>
              <w:ind w:leftChars="0" w:left="0" w:right="0"/>
            </w:pPr>
            <w:r>
              <w:t>GSXL</w:t>
            </w:r>
          </w:p>
        </w:tc>
        <w:tc>
          <w:tcPr>
            <w:cnfStyle w:evenVBand="false" w:oddVBand="true" w:firstColumn="false"/>
            <w:tcW w:w="25.000000%" w:type="pct"/>
          </w:tcPr>
          <w:p>
            <w:pPr>
              <w:ind w:leftChars="0" w:left="0" w:right="0"/>
            </w:pPr>
            <w:r>
              <w:t>THE GIBRALTAR STOCK EXCHANGE</w:t>
            </w:r>
          </w:p>
        </w:tc>
        <w:tc>
          <w:tcPr>
            <w:cnfStyle w:evenVBand="true" w:oddVBand="false" w:firstColumn="false"/>
            <w:tcW w:w="25.000000%" w:type="pct"/>
          </w:tcPr>
          <w:p>
            <w:pPr>
              <w:ind w:leftChars="0" w:left="0" w:right="0"/>
            </w:pPr>
            <w:r>
              <w:t>825</w:t>
            </w:r>
          </w:p>
        </w:tc>
      </w:tr>
      <w:tr>
        <w:trPr>
          <w:cnfStyle w:evenHBand="false" w:oddHBand="true" w:firstRow="false"/>
        </w:trPr>
        <w:tc>
          <w:tcPr>
            <w:cnfStyle w:evenVBand="false" w:oddVBand="true" w:firstColumn="false"/>
            <w:tcW w:w="25.000000%" w:type="pct"/>
          </w:tcPr>
          <w:p>
            <w:pPr>
              <w:ind w:leftChars="0" w:left="0" w:right="0"/>
            </w:pPr>
            <w:r>
              <w:t>GSXT</w:t>
            </w:r>
          </w:p>
        </w:tc>
        <w:tc>
          <w:tcPr>
            <w:cnfStyle w:evenVBand="true" w:oddVBand="false" w:firstColumn="false"/>
            <w:tcW w:w="25.000000%" w:type="pct"/>
          </w:tcPr>
          <w:p>
            <w:pPr>
              <w:ind w:leftChars="0" w:left="0" w:right="0"/>
            </w:pPr>
            <w:r>
              <w:t>GSXT</w:t>
            </w:r>
          </w:p>
        </w:tc>
        <w:tc>
          <w:tcPr>
            <w:cnfStyle w:evenVBand="false" w:oddVBand="true" w:firstColumn="false"/>
            <w:tcW w:w="25.000000%" w:type="pct"/>
          </w:tcPr>
          <w:p>
            <w:pPr>
              <w:ind w:leftChars="0" w:left="0" w:right="0"/>
            </w:pPr>
            <w:r>
              <w:t>GSX TAIWAN</w:t>
            </w:r>
          </w:p>
        </w:tc>
        <w:tc>
          <w:tcPr>
            <w:cnfStyle w:evenVBand="true" w:oddVBand="false" w:firstColumn="false"/>
            <w:tcW w:w="25.000000%" w:type="pct"/>
          </w:tcPr>
          <w:p>
            <w:pPr>
              <w:ind w:leftChars="0" w:left="0" w:right="0"/>
            </w:pPr>
            <w:r>
              <w:t>826</w:t>
            </w:r>
          </w:p>
        </w:tc>
      </w:tr>
      <w:tr>
        <w:trPr>
          <w:cnfStyle w:evenHBand="true" w:oddHBand="false" w:firstRow="false"/>
        </w:trPr>
        <w:tc>
          <w:tcPr>
            <w:cnfStyle w:evenVBand="false" w:oddVBand="true" w:firstColumn="false"/>
            <w:tcW w:w="25.000000%" w:type="pct"/>
          </w:tcPr>
          <w:p>
            <w:pPr>
              <w:ind w:leftChars="0" w:left="0" w:right="0"/>
            </w:pPr>
            <w:r>
              <w:t>GTCO</w:t>
            </w:r>
          </w:p>
        </w:tc>
        <w:tc>
          <w:tcPr>
            <w:cnfStyle w:evenVBand="true" w:oddVBand="false" w:firstColumn="false"/>
            <w:tcW w:w="25.000000%" w:type="pct"/>
          </w:tcPr>
          <w:p>
            <w:pPr>
              <w:ind w:leftChars="0" w:left="0" w:right="0"/>
            </w:pPr>
            <w:r>
              <w:t>GTCO</w:t>
            </w:r>
          </w:p>
        </w:tc>
        <w:tc>
          <w:tcPr>
            <w:cnfStyle w:evenVBand="false" w:oddVBand="true" w:firstColumn="false"/>
            <w:tcW w:w="25.000000%" w:type="pct"/>
          </w:tcPr>
          <w:p>
            <w:pPr>
              <w:ind w:leftChars="0" w:left="0" w:right="0"/>
            </w:pPr>
            <w:r>
              <w:t>KCG AMERICAS LLC</w:t>
            </w:r>
          </w:p>
        </w:tc>
        <w:tc>
          <w:tcPr>
            <w:cnfStyle w:evenVBand="true" w:oddVBand="false" w:firstColumn="false"/>
            <w:tcW w:w="25.000000%" w:type="pct"/>
          </w:tcPr>
          <w:p>
            <w:pPr>
              <w:ind w:leftChars="0" w:left="0" w:right="0"/>
            </w:pPr>
            <w:r>
              <w:t>827</w:t>
            </w:r>
          </w:p>
        </w:tc>
      </w:tr>
      <w:tr>
        <w:trPr>
          <w:cnfStyle w:evenHBand="false" w:oddHBand="true" w:firstRow="false"/>
        </w:trPr>
        <w:tc>
          <w:tcPr>
            <w:cnfStyle w:evenVBand="false" w:oddVBand="true" w:firstColumn="false"/>
            <w:tcW w:w="25.000000%" w:type="pct"/>
          </w:tcPr>
          <w:p>
            <w:pPr>
              <w:ind w:leftChars="0" w:left="0" w:right="0"/>
            </w:pPr>
            <w:r>
              <w:t>GTSX</w:t>
            </w:r>
          </w:p>
        </w:tc>
        <w:tc>
          <w:tcPr>
            <w:cnfStyle w:evenVBand="true" w:oddVBand="false" w:firstColumn="false"/>
            <w:tcW w:w="25.000000%" w:type="pct"/>
          </w:tcPr>
          <w:p>
            <w:pPr>
              <w:ind w:leftChars="0" w:left="0" w:right="0"/>
            </w:pPr>
            <w:r>
              <w:t>GTSX</w:t>
            </w:r>
          </w:p>
        </w:tc>
        <w:tc>
          <w:tcPr>
            <w:cnfStyle w:evenVBand="false" w:oddVBand="true" w:firstColumn="false"/>
            <w:tcW w:w="25.000000%" w:type="pct"/>
          </w:tcPr>
          <w:p>
            <w:pPr>
              <w:ind w:leftChars="0" w:left="0" w:right="0"/>
            </w:pPr>
            <w:r>
              <w:t>GTSX</w:t>
            </w:r>
          </w:p>
        </w:tc>
        <w:tc>
          <w:tcPr>
            <w:cnfStyle w:evenVBand="true" w:oddVBand="false" w:firstColumn="false"/>
            <w:tcW w:w="25.000000%" w:type="pct"/>
          </w:tcPr>
          <w:p>
            <w:pPr>
              <w:ind w:leftChars="0" w:left="0" w:right="0"/>
            </w:pPr>
            <w:r>
              <w:t>828</w:t>
            </w:r>
          </w:p>
        </w:tc>
      </w:tr>
      <w:tr>
        <w:trPr>
          <w:cnfStyle w:evenHBand="true" w:oddHBand="false" w:firstRow="false"/>
        </w:trPr>
        <w:tc>
          <w:tcPr>
            <w:cnfStyle w:evenVBand="false" w:oddVBand="true" w:firstColumn="false"/>
            <w:tcW w:w="25.000000%" w:type="pct"/>
          </w:tcPr>
          <w:p>
            <w:pPr>
              <w:ind w:leftChars="0" w:left="0" w:right="0"/>
            </w:pPr>
            <w:r>
              <w:t>GTXE</w:t>
            </w:r>
          </w:p>
        </w:tc>
        <w:tc>
          <w:tcPr>
            <w:cnfStyle w:evenVBand="true" w:oddVBand="false" w:firstColumn="false"/>
            <w:tcW w:w="25.000000%" w:type="pct"/>
          </w:tcPr>
          <w:p>
            <w:pPr>
              <w:ind w:leftChars="0" w:left="0" w:right="0"/>
            </w:pPr>
            <w:r>
              <w:t>GTXE</w:t>
            </w:r>
          </w:p>
        </w:tc>
        <w:tc>
          <w:tcPr>
            <w:cnfStyle w:evenVBand="false" w:oddVBand="true" w:firstColumn="false"/>
            <w:tcW w:w="25.000000%" w:type="pct"/>
          </w:tcPr>
          <w:p>
            <w:pPr>
              <w:ind w:leftChars="0" w:left="0" w:right="0"/>
            </w:pPr>
            <w:r>
              <w:t>GTX ECN</w:t>
            </w:r>
          </w:p>
        </w:tc>
        <w:tc>
          <w:tcPr>
            <w:cnfStyle w:evenVBand="true" w:oddVBand="false" w:firstColumn="false"/>
            <w:tcW w:w="25.000000%" w:type="pct"/>
          </w:tcPr>
          <w:p>
            <w:pPr>
              <w:ind w:leftChars="0" w:left="0" w:right="0"/>
            </w:pPr>
            <w:r>
              <w:t>829</w:t>
            </w:r>
          </w:p>
        </w:tc>
      </w:tr>
      <w:tr>
        <w:trPr>
          <w:cnfStyle w:evenHBand="false" w:oddHBand="true" w:firstRow="false"/>
        </w:trPr>
        <w:tc>
          <w:tcPr>
            <w:cnfStyle w:evenVBand="false" w:oddVBand="true" w:firstColumn="false"/>
            <w:tcW w:w="25.000000%" w:type="pct"/>
          </w:tcPr>
          <w:p>
            <w:pPr>
              <w:ind w:leftChars="0" w:left="0" w:right="0"/>
            </w:pPr>
            <w:r>
              <w:t>GTXS</w:t>
            </w:r>
          </w:p>
        </w:tc>
        <w:tc>
          <w:tcPr>
            <w:cnfStyle w:evenVBand="true" w:oddVBand="false" w:firstColumn="false"/>
            <w:tcW w:w="25.000000%" w:type="pct"/>
          </w:tcPr>
          <w:p>
            <w:pPr>
              <w:ind w:leftChars="0" w:left="0" w:right="0"/>
            </w:pPr>
            <w:r>
              <w:t>GTXS</w:t>
            </w:r>
          </w:p>
        </w:tc>
        <w:tc>
          <w:tcPr>
            <w:cnfStyle w:evenVBand="false" w:oddVBand="true" w:firstColumn="false"/>
            <w:tcW w:w="25.000000%" w:type="pct"/>
          </w:tcPr>
          <w:p>
            <w:pPr>
              <w:ind w:leftChars="0" w:left="0" w:right="0"/>
            </w:pPr>
            <w:r>
              <w:t>GTX SEF, LLC</w:t>
            </w:r>
          </w:p>
        </w:tc>
        <w:tc>
          <w:tcPr>
            <w:cnfStyle w:evenVBand="true" w:oddVBand="false" w:firstColumn="false"/>
            <w:tcW w:w="25.000000%" w:type="pct"/>
          </w:tcPr>
          <w:p>
            <w:pPr>
              <w:ind w:leftChars="0" w:left="0" w:right="0"/>
            </w:pPr>
            <w:r>
              <w:t>830</w:t>
            </w:r>
          </w:p>
        </w:tc>
      </w:tr>
      <w:tr>
        <w:trPr>
          <w:cnfStyle w:evenHBand="true" w:oddHBand="false" w:firstRow="false"/>
        </w:trPr>
        <w:tc>
          <w:tcPr>
            <w:cnfStyle w:evenVBand="false" w:oddVBand="true" w:firstColumn="false"/>
            <w:tcW w:w="25.000000%" w:type="pct"/>
          </w:tcPr>
          <w:p>
            <w:pPr>
              <w:ind w:leftChars="0" w:left="0" w:right="0"/>
            </w:pPr>
            <w:r>
              <w:t>GXGF</w:t>
            </w:r>
          </w:p>
        </w:tc>
        <w:tc>
          <w:tcPr>
            <w:cnfStyle w:evenVBand="true" w:oddVBand="false" w:firstColumn="false"/>
            <w:tcW w:w="25.000000%" w:type="pct"/>
          </w:tcPr>
          <w:p>
            <w:pPr>
              <w:ind w:leftChars="0" w:left="0" w:right="0"/>
            </w:pPr>
            <w:r>
              <w:t>GXGF</w:t>
            </w:r>
          </w:p>
        </w:tc>
        <w:tc>
          <w:tcPr>
            <w:cnfStyle w:evenVBand="false" w:oddVBand="true" w:firstColumn="false"/>
            <w:tcW w:w="25.000000%" w:type="pct"/>
          </w:tcPr>
          <w:p>
            <w:pPr>
              <w:ind w:leftChars="0" w:left="0" w:right="0"/>
            </w:pPr>
            <w:r>
              <w:t>GXG MTF FIRST QUOTE</w:t>
            </w:r>
          </w:p>
        </w:tc>
        <w:tc>
          <w:tcPr>
            <w:cnfStyle w:evenVBand="true" w:oddVBand="false" w:firstColumn="false"/>
            <w:tcW w:w="25.000000%" w:type="pct"/>
          </w:tcPr>
          <w:p>
            <w:pPr>
              <w:ind w:leftChars="0" w:left="0" w:right="0"/>
            </w:pPr>
            <w:r>
              <w:t>831</w:t>
            </w:r>
          </w:p>
        </w:tc>
      </w:tr>
      <w:tr>
        <w:trPr>
          <w:cnfStyle w:evenHBand="false" w:oddHBand="true" w:firstRow="false"/>
        </w:trPr>
        <w:tc>
          <w:tcPr>
            <w:cnfStyle w:evenVBand="false" w:oddVBand="true" w:firstColumn="false"/>
            <w:tcW w:w="25.000000%" w:type="pct"/>
          </w:tcPr>
          <w:p>
            <w:pPr>
              <w:ind w:leftChars="0" w:left="0" w:right="0"/>
            </w:pPr>
            <w:r>
              <w:t>GXGM</w:t>
            </w:r>
          </w:p>
        </w:tc>
        <w:tc>
          <w:tcPr>
            <w:cnfStyle w:evenVBand="true" w:oddVBand="false" w:firstColumn="false"/>
            <w:tcW w:w="25.000000%" w:type="pct"/>
          </w:tcPr>
          <w:p>
            <w:pPr>
              <w:ind w:leftChars="0" w:left="0" w:right="0"/>
            </w:pPr>
            <w:r>
              <w:t>GXGM</w:t>
            </w:r>
          </w:p>
        </w:tc>
        <w:tc>
          <w:tcPr>
            <w:cnfStyle w:evenVBand="false" w:oddVBand="true" w:firstColumn="false"/>
            <w:tcW w:w="25.000000%" w:type="pct"/>
          </w:tcPr>
          <w:p>
            <w:pPr>
              <w:ind w:leftChars="0" w:left="0" w:right="0"/>
            </w:pPr>
            <w:r>
              <w:t>GXG MTF</w:t>
            </w:r>
          </w:p>
        </w:tc>
        <w:tc>
          <w:tcPr>
            <w:cnfStyle w:evenVBand="true" w:oddVBand="false" w:firstColumn="false"/>
            <w:tcW w:w="25.000000%" w:type="pct"/>
          </w:tcPr>
          <w:p>
            <w:pPr>
              <w:ind w:leftChars="0" w:left="0" w:right="0"/>
            </w:pPr>
            <w:r>
              <w:t>832</w:t>
            </w:r>
          </w:p>
        </w:tc>
      </w:tr>
      <w:tr>
        <w:trPr>
          <w:cnfStyle w:evenHBand="true" w:oddHBand="false" w:firstRow="false"/>
        </w:trPr>
        <w:tc>
          <w:tcPr>
            <w:cnfStyle w:evenVBand="false" w:oddVBand="true" w:firstColumn="false"/>
            <w:tcW w:w="25.000000%" w:type="pct"/>
          </w:tcPr>
          <w:p>
            <w:pPr>
              <w:ind w:leftChars="0" w:left="0" w:right="0"/>
            </w:pPr>
            <w:r>
              <w:t>GXGR</w:t>
            </w:r>
          </w:p>
        </w:tc>
        <w:tc>
          <w:tcPr>
            <w:cnfStyle w:evenVBand="true" w:oddVBand="false" w:firstColumn="false"/>
            <w:tcW w:w="25.000000%" w:type="pct"/>
          </w:tcPr>
          <w:p>
            <w:pPr>
              <w:ind w:leftChars="0" w:left="0" w:right="0"/>
            </w:pPr>
            <w:r>
              <w:t>GXGR</w:t>
            </w:r>
          </w:p>
        </w:tc>
        <w:tc>
          <w:tcPr>
            <w:cnfStyle w:evenVBand="false" w:oddVBand="true" w:firstColumn="false"/>
            <w:tcW w:w="25.000000%" w:type="pct"/>
          </w:tcPr>
          <w:p>
            <w:pPr>
              <w:ind w:leftChars="0" w:left="0" w:right="0"/>
            </w:pPr>
            <w:r>
              <w:t>GXG MARKETS A/S</w:t>
            </w:r>
          </w:p>
        </w:tc>
        <w:tc>
          <w:tcPr>
            <w:cnfStyle w:evenVBand="true" w:oddVBand="false" w:firstColumn="false"/>
            <w:tcW w:w="25.000000%" w:type="pct"/>
          </w:tcPr>
          <w:p>
            <w:pPr>
              <w:ind w:leftChars="0" w:left="0" w:right="0"/>
            </w:pPr>
            <w:r>
              <w:t>833</w:t>
            </w:r>
          </w:p>
        </w:tc>
      </w:tr>
      <w:tr>
        <w:trPr>
          <w:cnfStyle w:evenHBand="false" w:oddHBand="true" w:firstRow="false"/>
        </w:trPr>
        <w:tc>
          <w:tcPr>
            <w:cnfStyle w:evenVBand="false" w:oddVBand="true" w:firstColumn="false"/>
            <w:tcW w:w="25.000000%" w:type="pct"/>
          </w:tcPr>
          <w:p>
            <w:pPr>
              <w:ind w:leftChars="0" w:left="0" w:right="0"/>
            </w:pPr>
            <w:r>
              <w:t>GXMA</w:t>
            </w:r>
          </w:p>
        </w:tc>
        <w:tc>
          <w:tcPr>
            <w:cnfStyle w:evenVBand="true" w:oddVBand="false" w:firstColumn="false"/>
            <w:tcW w:w="25.000000%" w:type="pct"/>
          </w:tcPr>
          <w:p>
            <w:pPr>
              <w:ind w:leftChars="0" w:left="0" w:right="0"/>
            </w:pPr>
            <w:r>
              <w:t>GXMA</w:t>
            </w:r>
          </w:p>
        </w:tc>
        <w:tc>
          <w:tcPr>
            <w:cnfStyle w:evenVBand="false" w:oddVBand="true" w:firstColumn="false"/>
            <w:tcW w:w="25.000000%" w:type="pct"/>
          </w:tcPr>
          <w:p>
            <w:pPr>
              <w:ind w:leftChars="0" w:left="0" w:right="0"/>
            </w:pPr>
            <w:r>
              <w:t>GX MARKETCENTER</w:t>
            </w:r>
          </w:p>
        </w:tc>
        <w:tc>
          <w:tcPr>
            <w:cnfStyle w:evenVBand="true" w:oddVBand="false" w:firstColumn="false"/>
            <w:tcW w:w="25.000000%" w:type="pct"/>
          </w:tcPr>
          <w:p>
            <w:pPr>
              <w:ind w:leftChars="0" w:left="0" w:right="0"/>
            </w:pPr>
            <w:r>
              <w:t>834</w:t>
            </w:r>
          </w:p>
        </w:tc>
      </w:tr>
      <w:tr>
        <w:trPr>
          <w:cnfStyle w:evenHBand="true" w:oddHBand="false" w:firstRow="false"/>
        </w:trPr>
        <w:tc>
          <w:tcPr>
            <w:cnfStyle w:evenVBand="false" w:oddVBand="true" w:firstColumn="false"/>
            <w:tcW w:w="25.000000%" w:type="pct"/>
          </w:tcPr>
          <w:p>
            <w:pPr>
              <w:ind w:leftChars="0" w:left="0" w:right="0"/>
            </w:pPr>
            <w:r>
              <w:t>HAMA</w:t>
            </w:r>
          </w:p>
        </w:tc>
        <w:tc>
          <w:tcPr>
            <w:cnfStyle w:evenVBand="true" w:oddVBand="false" w:firstColumn="false"/>
            <w:tcW w:w="25.000000%" w:type="pct"/>
          </w:tcPr>
          <w:p>
            <w:pPr>
              <w:ind w:leftChars="0" w:left="0" w:right="0"/>
            </w:pPr>
            <w:r>
              <w:t>HAMA</w:t>
            </w:r>
          </w:p>
        </w:tc>
        <w:tc>
          <w:tcPr>
            <w:cnfStyle w:evenVBand="false" w:oddVBand="true" w:firstColumn="false"/>
            <w:tcW w:w="25.000000%" w:type="pct"/>
          </w:tcPr>
          <w:p>
            <w:pPr>
              <w:ind w:leftChars="0" w:left="0" w:right="0"/>
            </w:pPr>
            <w:r>
              <w:t>BOERSE HAMBURG - REGULIERTER MARKT</w:t>
            </w:r>
          </w:p>
        </w:tc>
        <w:tc>
          <w:tcPr>
            <w:cnfStyle w:evenVBand="true" w:oddVBand="false" w:firstColumn="false"/>
            <w:tcW w:w="25.000000%" w:type="pct"/>
          </w:tcPr>
          <w:p>
            <w:pPr>
              <w:ind w:leftChars="0" w:left="0" w:right="0"/>
            </w:pPr>
            <w:r>
              <w:t>835</w:t>
            </w:r>
          </w:p>
        </w:tc>
      </w:tr>
      <w:tr>
        <w:trPr>
          <w:cnfStyle w:evenHBand="false" w:oddHBand="true" w:firstRow="false"/>
        </w:trPr>
        <w:tc>
          <w:tcPr>
            <w:cnfStyle w:evenVBand="false" w:oddVBand="true" w:firstColumn="false"/>
            <w:tcW w:w="25.000000%" w:type="pct"/>
          </w:tcPr>
          <w:p>
            <w:pPr>
              <w:ind w:leftChars="0" w:left="0" w:right="0"/>
            </w:pPr>
            <w:r>
              <w:t>HAMB</w:t>
            </w:r>
          </w:p>
        </w:tc>
        <w:tc>
          <w:tcPr>
            <w:cnfStyle w:evenVBand="true" w:oddVBand="false" w:firstColumn="false"/>
            <w:tcW w:w="25.000000%" w:type="pct"/>
          </w:tcPr>
          <w:p>
            <w:pPr>
              <w:ind w:leftChars="0" w:left="0" w:right="0"/>
            </w:pPr>
            <w:r>
              <w:t>HAMB</w:t>
            </w:r>
          </w:p>
        </w:tc>
        <w:tc>
          <w:tcPr>
            <w:cnfStyle w:evenVBand="false" w:oddVBand="true" w:firstColumn="false"/>
            <w:tcW w:w="25.000000%" w:type="pct"/>
          </w:tcPr>
          <w:p>
            <w:pPr>
              <w:ind w:leftChars="0" w:left="0" w:right="0"/>
            </w:pPr>
            <w:r>
              <w:t>BOERSE HAMBURG - FREIVERKEHR</w:t>
            </w:r>
          </w:p>
        </w:tc>
        <w:tc>
          <w:tcPr>
            <w:cnfStyle w:evenVBand="true" w:oddVBand="false" w:firstColumn="false"/>
            <w:tcW w:w="25.000000%" w:type="pct"/>
          </w:tcPr>
          <w:p>
            <w:pPr>
              <w:ind w:leftChars="0" w:left="0" w:right="0"/>
            </w:pPr>
            <w:r>
              <w:t>836</w:t>
            </w:r>
          </w:p>
        </w:tc>
      </w:tr>
      <w:tr>
        <w:trPr>
          <w:cnfStyle w:evenHBand="true" w:oddHBand="false" w:firstRow="false"/>
        </w:trPr>
        <w:tc>
          <w:tcPr>
            <w:cnfStyle w:evenVBand="false" w:oddVBand="true" w:firstColumn="false"/>
            <w:tcW w:w="25.000000%" w:type="pct"/>
          </w:tcPr>
          <w:p>
            <w:pPr>
              <w:ind w:leftChars="0" w:left="0" w:right="0"/>
            </w:pPr>
            <w:r>
              <w:t>HAML</w:t>
            </w:r>
          </w:p>
        </w:tc>
        <w:tc>
          <w:tcPr>
            <w:cnfStyle w:evenVBand="true" w:oddVBand="false" w:firstColumn="false"/>
            <w:tcW w:w="25.000000%" w:type="pct"/>
          </w:tcPr>
          <w:p>
            <w:pPr>
              <w:ind w:leftChars="0" w:left="0" w:right="0"/>
            </w:pPr>
            <w:r>
              <w:t>HAML</w:t>
            </w:r>
          </w:p>
        </w:tc>
        <w:tc>
          <w:tcPr>
            <w:cnfStyle w:evenVBand="false" w:oddVBand="true" w:firstColumn="false"/>
            <w:tcW w:w="25.000000%" w:type="pct"/>
          </w:tcPr>
          <w:p>
            <w:pPr>
              <w:ind w:leftChars="0" w:left="0" w:right="0"/>
            </w:pPr>
            <w:r>
              <w:t>BOERSE HAMBURG - LANG AND SCHWARZ EXCHANGE</w:t>
            </w:r>
          </w:p>
        </w:tc>
        <w:tc>
          <w:tcPr>
            <w:cnfStyle w:evenVBand="true" w:oddVBand="false" w:firstColumn="false"/>
            <w:tcW w:w="25.000000%" w:type="pct"/>
          </w:tcPr>
          <w:p>
            <w:pPr>
              <w:ind w:leftChars="0" w:left="0" w:right="0"/>
            </w:pPr>
            <w:r>
              <w:t>837</w:t>
            </w:r>
          </w:p>
        </w:tc>
      </w:tr>
      <w:tr>
        <w:trPr>
          <w:cnfStyle w:evenHBand="false" w:oddHBand="true" w:firstRow="false"/>
        </w:trPr>
        <w:tc>
          <w:tcPr>
            <w:cnfStyle w:evenVBand="false" w:oddVBand="true" w:firstColumn="false"/>
            <w:tcW w:w="25.000000%" w:type="pct"/>
          </w:tcPr>
          <w:p>
            <w:pPr>
              <w:ind w:leftChars="0" w:left="0" w:right="0"/>
            </w:pPr>
            <w:r>
              <w:t>HAMM</w:t>
            </w:r>
          </w:p>
        </w:tc>
        <w:tc>
          <w:tcPr>
            <w:cnfStyle w:evenVBand="true" w:oddVBand="false" w:firstColumn="false"/>
            <w:tcW w:w="25.000000%" w:type="pct"/>
          </w:tcPr>
          <w:p>
            <w:pPr>
              <w:ind w:leftChars="0" w:left="0" w:right="0"/>
            </w:pPr>
            <w:r>
              <w:t>HAMM</w:t>
            </w:r>
          </w:p>
        </w:tc>
        <w:tc>
          <w:tcPr>
            <w:cnfStyle w:evenVBand="false" w:oddVBand="true" w:firstColumn="false"/>
            <w:tcW w:w="25.000000%" w:type="pct"/>
          </w:tcPr>
          <w:p>
            <w:pPr>
              <w:ind w:leftChars="0" w:left="0" w:right="0"/>
            </w:pPr>
            <w:r>
              <w:t>BOERSE HAMBURG - LANG AND SCHWARZ EXCHANGE - REGULIERTER MARKT</w:t>
            </w:r>
          </w:p>
        </w:tc>
        <w:tc>
          <w:tcPr>
            <w:cnfStyle w:evenVBand="true" w:oddVBand="false" w:firstColumn="false"/>
            <w:tcW w:w="25.000000%" w:type="pct"/>
          </w:tcPr>
          <w:p>
            <w:pPr>
              <w:ind w:leftChars="0" w:left="0" w:right="0"/>
            </w:pPr>
            <w:r>
              <w:t>838</w:t>
            </w:r>
          </w:p>
        </w:tc>
      </w:tr>
      <w:tr>
        <w:trPr>
          <w:cnfStyle w:evenHBand="true" w:oddHBand="false" w:firstRow="false"/>
        </w:trPr>
        <w:tc>
          <w:tcPr>
            <w:cnfStyle w:evenVBand="false" w:oddVBand="true" w:firstColumn="false"/>
            <w:tcW w:w="25.000000%" w:type="pct"/>
          </w:tcPr>
          <w:p>
            <w:pPr>
              <w:ind w:leftChars="0" w:left="0" w:right="0"/>
            </w:pPr>
            <w:r>
              <w:t>HAMN</w:t>
            </w:r>
          </w:p>
        </w:tc>
        <w:tc>
          <w:tcPr>
            <w:cnfStyle w:evenVBand="true" w:oddVBand="false" w:firstColumn="false"/>
            <w:tcW w:w="25.000000%" w:type="pct"/>
          </w:tcPr>
          <w:p>
            <w:pPr>
              <w:ind w:leftChars="0" w:left="0" w:right="0"/>
            </w:pPr>
            <w:r>
              <w:t>HAMN</w:t>
            </w:r>
          </w:p>
        </w:tc>
        <w:tc>
          <w:tcPr>
            <w:cnfStyle w:evenVBand="false" w:oddVBand="true" w:firstColumn="false"/>
            <w:tcW w:w="25.000000%" w:type="pct"/>
          </w:tcPr>
          <w:p>
            <w:pPr>
              <w:ind w:leftChars="0" w:left="0" w:right="0"/>
            </w:pPr>
            <w:r>
              <w:t>BOERSE HAMBURG - LANG AND SCHWARZ EXCHANGE - FREIVERKEHR</w:t>
            </w:r>
          </w:p>
        </w:tc>
        <w:tc>
          <w:tcPr>
            <w:cnfStyle w:evenVBand="true" w:oddVBand="false" w:firstColumn="false"/>
            <w:tcW w:w="25.000000%" w:type="pct"/>
          </w:tcPr>
          <w:p>
            <w:pPr>
              <w:ind w:leftChars="0" w:left="0" w:right="0"/>
            </w:pPr>
            <w:r>
              <w:t>839</w:t>
            </w:r>
          </w:p>
        </w:tc>
      </w:tr>
      <w:tr>
        <w:trPr>
          <w:cnfStyle w:evenHBand="false" w:oddHBand="true" w:firstRow="false"/>
        </w:trPr>
        <w:tc>
          <w:tcPr>
            <w:cnfStyle w:evenVBand="false" w:oddVBand="true" w:firstColumn="false"/>
            <w:tcW w:w="25.000000%" w:type="pct"/>
          </w:tcPr>
          <w:p>
            <w:pPr>
              <w:ind w:leftChars="0" w:left="0" w:right="0"/>
            </w:pPr>
            <w:r>
              <w:t>HANA</w:t>
            </w:r>
          </w:p>
        </w:tc>
        <w:tc>
          <w:tcPr>
            <w:cnfStyle w:evenVBand="true" w:oddVBand="false" w:firstColumn="false"/>
            <w:tcW w:w="25.000000%" w:type="pct"/>
          </w:tcPr>
          <w:p>
            <w:pPr>
              <w:ind w:leftChars="0" w:left="0" w:right="0"/>
            </w:pPr>
            <w:r>
              <w:t>HANA</w:t>
            </w:r>
          </w:p>
        </w:tc>
        <w:tc>
          <w:tcPr>
            <w:cnfStyle w:evenVBand="false" w:oddVBand="true" w:firstColumn="false"/>
            <w:tcW w:w="25.000000%" w:type="pct"/>
          </w:tcPr>
          <w:p>
            <w:pPr>
              <w:ind w:leftChars="0" w:left="0" w:right="0"/>
            </w:pPr>
            <w:r>
              <w:t>BOERSE HANNOVER - REGULIERTER MARKT</w:t>
            </w:r>
          </w:p>
        </w:tc>
        <w:tc>
          <w:tcPr>
            <w:cnfStyle w:evenVBand="true" w:oddVBand="false" w:firstColumn="false"/>
            <w:tcW w:w="25.000000%" w:type="pct"/>
          </w:tcPr>
          <w:p>
            <w:pPr>
              <w:ind w:leftChars="0" w:left="0" w:right="0"/>
            </w:pPr>
            <w:r>
              <w:t>840</w:t>
            </w:r>
          </w:p>
        </w:tc>
      </w:tr>
      <w:tr>
        <w:trPr>
          <w:cnfStyle w:evenHBand="true" w:oddHBand="false" w:firstRow="false"/>
        </w:trPr>
        <w:tc>
          <w:tcPr>
            <w:cnfStyle w:evenVBand="false" w:oddVBand="true" w:firstColumn="false"/>
            <w:tcW w:w="25.000000%" w:type="pct"/>
          </w:tcPr>
          <w:p>
            <w:pPr>
              <w:ind w:leftChars="0" w:left="0" w:right="0"/>
            </w:pPr>
            <w:r>
              <w:t>HANB</w:t>
            </w:r>
          </w:p>
        </w:tc>
        <w:tc>
          <w:tcPr>
            <w:cnfStyle w:evenVBand="true" w:oddVBand="false" w:firstColumn="false"/>
            <w:tcW w:w="25.000000%" w:type="pct"/>
          </w:tcPr>
          <w:p>
            <w:pPr>
              <w:ind w:leftChars="0" w:left="0" w:right="0"/>
            </w:pPr>
            <w:r>
              <w:t>HANB</w:t>
            </w:r>
          </w:p>
        </w:tc>
        <w:tc>
          <w:tcPr>
            <w:cnfStyle w:evenVBand="false" w:oddVBand="true" w:firstColumn="false"/>
            <w:tcW w:w="25.000000%" w:type="pct"/>
          </w:tcPr>
          <w:p>
            <w:pPr>
              <w:ind w:leftChars="0" w:left="0" w:right="0"/>
            </w:pPr>
            <w:r>
              <w:t>BOERSE HANNOVER - FREIVERKEHR</w:t>
            </w:r>
          </w:p>
        </w:tc>
        <w:tc>
          <w:tcPr>
            <w:cnfStyle w:evenVBand="true" w:oddVBand="false" w:firstColumn="false"/>
            <w:tcW w:w="25.000000%" w:type="pct"/>
          </w:tcPr>
          <w:p>
            <w:pPr>
              <w:ind w:leftChars="0" w:left="0" w:right="0"/>
            </w:pPr>
            <w:r>
              <w:t>841</w:t>
            </w:r>
          </w:p>
        </w:tc>
      </w:tr>
      <w:tr>
        <w:trPr>
          <w:cnfStyle w:evenHBand="false" w:oddHBand="true" w:firstRow="false"/>
        </w:trPr>
        <w:tc>
          <w:tcPr>
            <w:cnfStyle w:evenVBand="false" w:oddVBand="true" w:firstColumn="false"/>
            <w:tcW w:w="25.000000%" w:type="pct"/>
          </w:tcPr>
          <w:p>
            <w:pPr>
              <w:ind w:leftChars="0" w:left="0" w:right="0"/>
            </w:pPr>
            <w:r>
              <w:t>HBFR</w:t>
            </w:r>
          </w:p>
        </w:tc>
        <w:tc>
          <w:tcPr>
            <w:cnfStyle w:evenVBand="true" w:oddVBand="false" w:firstColumn="false"/>
            <w:tcW w:w="25.000000%" w:type="pct"/>
          </w:tcPr>
          <w:p>
            <w:pPr>
              <w:ind w:leftChars="0" w:left="0" w:right="0"/>
            </w:pPr>
            <w:r>
              <w:t>HBFR</w:t>
            </w:r>
          </w:p>
        </w:tc>
        <w:tc>
          <w:tcPr>
            <w:cnfStyle w:evenVBand="false" w:oddVBand="true" w:firstColumn="false"/>
            <w:tcW w:w="25.000000%" w:type="pct"/>
          </w:tcPr>
          <w:p>
            <w:pPr>
              <w:ind w:leftChars="0" w:left="0" w:right="0"/>
            </w:pPr>
            <w:r>
              <w:t>HSBC CONTINENTAL EUROPE - SYSTEMATIC INTERNALISER</w:t>
            </w:r>
          </w:p>
        </w:tc>
        <w:tc>
          <w:tcPr>
            <w:cnfStyle w:evenVBand="true" w:oddVBand="false" w:firstColumn="false"/>
            <w:tcW w:w="25.000000%" w:type="pct"/>
          </w:tcPr>
          <w:p>
            <w:pPr>
              <w:ind w:leftChars="0" w:left="0" w:right="0"/>
            </w:pPr>
            <w:r>
              <w:t>842</w:t>
            </w:r>
          </w:p>
        </w:tc>
      </w:tr>
      <w:tr>
        <w:trPr>
          <w:cnfStyle w:evenHBand="true" w:oddHBand="false" w:firstRow="false"/>
        </w:trPr>
        <w:tc>
          <w:tcPr>
            <w:cnfStyle w:evenVBand="false" w:oddVBand="true" w:firstColumn="false"/>
            <w:tcW w:w="25.000000%" w:type="pct"/>
          </w:tcPr>
          <w:p>
            <w:pPr>
              <w:ind w:leftChars="0" w:left="0" w:right="0"/>
            </w:pPr>
            <w:r>
              <w:t>HBPL</w:t>
            </w:r>
          </w:p>
        </w:tc>
        <w:tc>
          <w:tcPr>
            <w:cnfStyle w:evenVBand="true" w:oddVBand="false" w:firstColumn="false"/>
            <w:tcW w:w="25.000000%" w:type="pct"/>
          </w:tcPr>
          <w:p>
            <w:pPr>
              <w:ind w:leftChars="0" w:left="0" w:right="0"/>
            </w:pPr>
            <w:r>
              <w:t>HBPL</w:t>
            </w:r>
          </w:p>
        </w:tc>
        <w:tc>
          <w:tcPr>
            <w:cnfStyle w:evenVBand="false" w:oddVBand="true" w:firstColumn="false"/>
            <w:tcW w:w="25.000000%" w:type="pct"/>
          </w:tcPr>
          <w:p>
            <w:pPr>
              <w:ind w:leftChars="0" w:left="0" w:right="0"/>
            </w:pPr>
            <w:r>
              <w:t>HSBC BANK POLSKA S.A. - SYSTEMATIC INTERNALISER</w:t>
            </w:r>
          </w:p>
        </w:tc>
        <w:tc>
          <w:tcPr>
            <w:cnfStyle w:evenVBand="true" w:oddVBand="false" w:firstColumn="false"/>
            <w:tcW w:w="25.000000%" w:type="pct"/>
          </w:tcPr>
          <w:p>
            <w:pPr>
              <w:ind w:leftChars="0" w:left="0" w:right="0"/>
            </w:pPr>
            <w:r>
              <w:t>843</w:t>
            </w:r>
          </w:p>
        </w:tc>
      </w:tr>
      <w:tr>
        <w:trPr>
          <w:cnfStyle w:evenHBand="false" w:oddHBand="true" w:firstRow="false"/>
        </w:trPr>
        <w:tc>
          <w:tcPr>
            <w:cnfStyle w:evenVBand="false" w:oddVBand="true" w:firstColumn="false"/>
            <w:tcW w:w="25.000000%" w:type="pct"/>
          </w:tcPr>
          <w:p>
            <w:pPr>
              <w:ind w:leftChars="0" w:left="0" w:right="0"/>
            </w:pPr>
            <w:r>
              <w:t>HCER</w:t>
            </w:r>
          </w:p>
        </w:tc>
        <w:tc>
          <w:tcPr>
            <w:cnfStyle w:evenVBand="true" w:oddVBand="false" w:firstColumn="false"/>
            <w:tcW w:w="25.000000%" w:type="pct"/>
          </w:tcPr>
          <w:p>
            <w:pPr>
              <w:ind w:leftChars="0" w:left="0" w:right="0"/>
            </w:pPr>
            <w:r>
              <w:t>HCER</w:t>
            </w:r>
          </w:p>
        </w:tc>
        <w:tc>
          <w:tcPr>
            <w:cnfStyle w:evenVBand="false" w:oddVBand="true" w:firstColumn="false"/>
            <w:tcW w:w="25.000000%" w:type="pct"/>
          </w:tcPr>
          <w:p>
            <w:pPr>
              <w:ind w:leftChars="0" w:left="0" w:right="0"/>
            </w:pPr>
            <w:r>
              <w:t>HI-CERT - MULTILATERAL TRADING FACILITY</w:t>
            </w:r>
          </w:p>
        </w:tc>
        <w:tc>
          <w:tcPr>
            <w:cnfStyle w:evenVBand="true" w:oddVBand="false" w:firstColumn="false"/>
            <w:tcW w:w="25.000000%" w:type="pct"/>
          </w:tcPr>
          <w:p>
            <w:pPr>
              <w:ind w:leftChars="0" w:left="0" w:right="0"/>
            </w:pPr>
            <w:r>
              <w:t>844</w:t>
            </w:r>
          </w:p>
        </w:tc>
      </w:tr>
      <w:tr>
        <w:trPr>
          <w:cnfStyle w:evenHBand="true" w:oddHBand="false" w:firstRow="false"/>
        </w:trPr>
        <w:tc>
          <w:tcPr>
            <w:cnfStyle w:evenVBand="false" w:oddVBand="true" w:firstColumn="false"/>
            <w:tcW w:w="25.000000%" w:type="pct"/>
          </w:tcPr>
          <w:p>
            <w:pPr>
              <w:ind w:leftChars="0" w:left="0" w:right="0"/>
            </w:pPr>
            <w:r>
              <w:t>HCHC</w:t>
            </w:r>
          </w:p>
        </w:tc>
        <w:tc>
          <w:tcPr>
            <w:cnfStyle w:evenVBand="true" w:oddVBand="false" w:firstColumn="false"/>
            <w:tcW w:w="25.000000%" w:type="pct"/>
          </w:tcPr>
          <w:p>
            <w:pPr>
              <w:ind w:leftChars="0" w:left="0" w:right="0"/>
            </w:pPr>
            <w:r>
              <w:t>HCHC</w:t>
            </w:r>
          </w:p>
        </w:tc>
        <w:tc>
          <w:tcPr>
            <w:cnfStyle w:evenVBand="false" w:oddVBand="true" w:firstColumn="false"/>
            <w:tcW w:w="25.000000%" w:type="pct"/>
          </w:tcPr>
          <w:p>
            <w:pPr>
              <w:ind w:leftChars="0" w:left="0" w:right="0"/>
            </w:pPr>
            <w:r>
              <w:t>ICE CLEAR NETHERLANDS B.V.</w:t>
            </w:r>
          </w:p>
        </w:tc>
        <w:tc>
          <w:tcPr>
            <w:cnfStyle w:evenVBand="true" w:oddVBand="false" w:firstColumn="false"/>
            <w:tcW w:w="25.000000%" w:type="pct"/>
          </w:tcPr>
          <w:p>
            <w:pPr>
              <w:ind w:leftChars="0" w:left="0" w:right="0"/>
            </w:pPr>
            <w:r>
              <w:t>845</w:t>
            </w:r>
          </w:p>
        </w:tc>
      </w:tr>
      <w:tr>
        <w:trPr>
          <w:cnfStyle w:evenHBand="false" w:oddHBand="true" w:firstRow="false"/>
        </w:trPr>
        <w:tc>
          <w:tcPr>
            <w:cnfStyle w:evenVBand="false" w:oddVBand="true" w:firstColumn="false"/>
            <w:tcW w:w="25.000000%" w:type="pct"/>
          </w:tcPr>
          <w:p>
            <w:pPr>
              <w:ind w:leftChars="0" w:left="0" w:right="0"/>
            </w:pPr>
            <w:r>
              <w:t>HDAT</w:t>
            </w:r>
          </w:p>
        </w:tc>
        <w:tc>
          <w:tcPr>
            <w:cnfStyle w:evenVBand="true" w:oddVBand="false" w:firstColumn="false"/>
            <w:tcW w:w="25.000000%" w:type="pct"/>
          </w:tcPr>
          <w:p>
            <w:pPr>
              <w:ind w:leftChars="0" w:left="0" w:right="0"/>
            </w:pPr>
            <w:r>
              <w:t>HDAT</w:t>
            </w:r>
          </w:p>
        </w:tc>
        <w:tc>
          <w:tcPr>
            <w:cnfStyle w:evenVBand="false" w:oddVBand="true" w:firstColumn="false"/>
            <w:tcW w:w="25.000000%" w:type="pct"/>
          </w:tcPr>
          <w:p>
            <w:pPr>
              <w:ind w:leftChars="0" w:left="0" w:right="0"/>
            </w:pPr>
            <w:r>
              <w:t>ELECTRONIC SECONDARY SECURITIES MARKET (HDAT)</w:t>
            </w:r>
          </w:p>
        </w:tc>
        <w:tc>
          <w:tcPr>
            <w:cnfStyle w:evenVBand="true" w:oddVBand="false" w:firstColumn="false"/>
            <w:tcW w:w="25.000000%" w:type="pct"/>
          </w:tcPr>
          <w:p>
            <w:pPr>
              <w:ind w:leftChars="0" w:left="0" w:right="0"/>
            </w:pPr>
            <w:r>
              <w:t>846</w:t>
            </w:r>
          </w:p>
        </w:tc>
      </w:tr>
      <w:tr>
        <w:trPr>
          <w:cnfStyle w:evenHBand="true" w:oddHBand="false" w:firstRow="false"/>
        </w:trPr>
        <w:tc>
          <w:tcPr>
            <w:cnfStyle w:evenVBand="false" w:oddVBand="true" w:firstColumn="false"/>
            <w:tcW w:w="25.000000%" w:type="pct"/>
          </w:tcPr>
          <w:p>
            <w:pPr>
              <w:ind w:leftChars="0" w:left="0" w:right="0"/>
            </w:pPr>
            <w:r>
              <w:t>HEDE</w:t>
            </w:r>
          </w:p>
        </w:tc>
        <w:tc>
          <w:tcPr>
            <w:cnfStyle w:evenVBand="true" w:oddVBand="false" w:firstColumn="false"/>
            <w:tcW w:w="25.000000%" w:type="pct"/>
          </w:tcPr>
          <w:p>
            <w:pPr>
              <w:ind w:leftChars="0" w:left="0" w:right="0"/>
            </w:pPr>
            <w:r>
              <w:t>HEDE</w:t>
            </w:r>
          </w:p>
        </w:tc>
        <w:tc>
          <w:tcPr>
            <w:cnfStyle w:evenVBand="false" w:oddVBand="true" w:firstColumn="false"/>
            <w:tcW w:w="25.000000%" w:type="pct"/>
          </w:tcPr>
          <w:p>
            <w:pPr>
              <w:ind w:leftChars="0" w:left="0" w:right="0"/>
            </w:pPr>
            <w:r>
              <w:t>HENEX FINANCIAL ENERGY MARKET - DERIVATIVES MARKET</w:t>
            </w:r>
          </w:p>
        </w:tc>
        <w:tc>
          <w:tcPr>
            <w:cnfStyle w:evenVBand="true" w:oddVBand="false" w:firstColumn="false"/>
            <w:tcW w:w="25.000000%" w:type="pct"/>
          </w:tcPr>
          <w:p>
            <w:pPr>
              <w:ind w:leftChars="0" w:left="0" w:right="0"/>
            </w:pPr>
            <w:r>
              <w:t>847</w:t>
            </w:r>
          </w:p>
        </w:tc>
      </w:tr>
      <w:tr>
        <w:trPr>
          <w:cnfStyle w:evenHBand="false" w:oddHBand="true" w:firstRow="false"/>
        </w:trPr>
        <w:tc>
          <w:tcPr>
            <w:cnfStyle w:evenVBand="false" w:oddVBand="true" w:firstColumn="false"/>
            <w:tcW w:w="25.000000%" w:type="pct"/>
          </w:tcPr>
          <w:p>
            <w:pPr>
              <w:ind w:leftChars="0" w:left="0" w:right="0"/>
            </w:pPr>
            <w:r>
              <w:t>HEGX</w:t>
            </w:r>
          </w:p>
        </w:tc>
        <w:tc>
          <w:tcPr>
            <w:cnfStyle w:evenVBand="true" w:oddVBand="false" w:firstColumn="false"/>
            <w:tcW w:w="25.000000%" w:type="pct"/>
          </w:tcPr>
          <w:p>
            <w:pPr>
              <w:ind w:leftChars="0" w:left="0" w:right="0"/>
            </w:pPr>
            <w:r>
              <w:t>HEGX</w:t>
            </w:r>
          </w:p>
        </w:tc>
        <w:tc>
          <w:tcPr>
            <w:cnfStyle w:evenVBand="false" w:oddVBand="true" w:firstColumn="false"/>
            <w:tcW w:w="25.000000%" w:type="pct"/>
          </w:tcPr>
          <w:p>
            <w:pPr>
              <w:ind w:leftChars="0" w:left="0" w:right="0"/>
            </w:pPr>
            <w:r>
              <w:t>NADEX</w:t>
            </w:r>
          </w:p>
        </w:tc>
        <w:tc>
          <w:tcPr>
            <w:cnfStyle w:evenVBand="true" w:oddVBand="false" w:firstColumn="false"/>
            <w:tcW w:w="25.000000%" w:type="pct"/>
          </w:tcPr>
          <w:p>
            <w:pPr>
              <w:ind w:leftChars="0" w:left="0" w:right="0"/>
            </w:pPr>
            <w:r>
              <w:t>848</w:t>
            </w:r>
          </w:p>
        </w:tc>
      </w:tr>
      <w:tr>
        <w:trPr>
          <w:cnfStyle w:evenHBand="true" w:oddHBand="false" w:firstRow="false"/>
        </w:trPr>
        <w:tc>
          <w:tcPr>
            <w:cnfStyle w:evenVBand="false" w:oddVBand="true" w:firstColumn="false"/>
            <w:tcW w:w="25.000000%" w:type="pct"/>
          </w:tcPr>
          <w:p>
            <w:pPr>
              <w:ind w:leftChars="0" w:left="0" w:right="0"/>
            </w:pPr>
            <w:r>
              <w:t>HELA</w:t>
            </w:r>
          </w:p>
        </w:tc>
        <w:tc>
          <w:tcPr>
            <w:cnfStyle w:evenVBand="true" w:oddVBand="false" w:firstColumn="false"/>
            <w:tcW w:w="25.000000%" w:type="pct"/>
          </w:tcPr>
          <w:p>
            <w:pPr>
              <w:ind w:leftChars="0" w:left="0" w:right="0"/>
            </w:pPr>
            <w:r>
              <w:t>HELA</w:t>
            </w:r>
          </w:p>
        </w:tc>
        <w:tc>
          <w:tcPr>
            <w:cnfStyle w:evenVBand="false" w:oddVBand="true" w:firstColumn="false"/>
            <w:tcW w:w="25.000000%" w:type="pct"/>
          </w:tcPr>
          <w:p>
            <w:pPr>
              <w:ind w:leftChars="0" w:left="0" w:right="0"/>
            </w:pPr>
            <w:r>
              <w:t>HELABA - SYSTEMATIC INTERNALISER</w:t>
            </w:r>
          </w:p>
        </w:tc>
        <w:tc>
          <w:tcPr>
            <w:cnfStyle w:evenVBand="true" w:oddVBand="false" w:firstColumn="false"/>
            <w:tcW w:w="25.000000%" w:type="pct"/>
          </w:tcPr>
          <w:p>
            <w:pPr>
              <w:ind w:leftChars="0" w:left="0" w:right="0"/>
            </w:pPr>
            <w:r>
              <w:t>849</w:t>
            </w:r>
          </w:p>
        </w:tc>
      </w:tr>
      <w:tr>
        <w:trPr>
          <w:cnfStyle w:evenHBand="false" w:oddHBand="true" w:firstRow="false"/>
        </w:trPr>
        <w:tc>
          <w:tcPr>
            <w:cnfStyle w:evenVBand="false" w:oddVBand="true" w:firstColumn="false"/>
            <w:tcW w:w="25.000000%" w:type="pct"/>
          </w:tcPr>
          <w:p>
            <w:pPr>
              <w:ind w:leftChars="0" w:left="0" w:right="0"/>
            </w:pPr>
            <w:r>
              <w:t>HEMO</w:t>
            </w:r>
          </w:p>
        </w:tc>
        <w:tc>
          <w:tcPr>
            <w:cnfStyle w:evenVBand="true" w:oddVBand="false" w:firstColumn="false"/>
            <w:tcW w:w="25.000000%" w:type="pct"/>
          </w:tcPr>
          <w:p>
            <w:pPr>
              <w:ind w:leftChars="0" w:left="0" w:right="0"/>
            </w:pPr>
            <w:r>
              <w:t>HEMO</w:t>
            </w:r>
          </w:p>
        </w:tc>
        <w:tc>
          <w:tcPr>
            <w:cnfStyle w:evenVBand="false" w:oddVBand="true" w:firstColumn="false"/>
            <w:tcW w:w="25.000000%" w:type="pct"/>
          </w:tcPr>
          <w:p>
            <w:pPr>
              <w:ind w:leftChars="0" w:left="0" w:right="0"/>
            </w:pPr>
            <w:r>
              <w:t>HENEX S.A.</w:t>
            </w:r>
          </w:p>
        </w:tc>
        <w:tc>
          <w:tcPr>
            <w:cnfStyle w:evenVBand="true" w:oddVBand="false" w:firstColumn="false"/>
            <w:tcW w:w="25.000000%" w:type="pct"/>
          </w:tcPr>
          <w:p>
            <w:pPr>
              <w:ind w:leftChars="0" w:left="0" w:right="0"/>
            </w:pPr>
            <w:r>
              <w:t>850</w:t>
            </w:r>
          </w:p>
        </w:tc>
      </w:tr>
      <w:tr>
        <w:trPr>
          <w:cnfStyle w:evenHBand="true" w:oddHBand="false" w:firstRow="false"/>
        </w:trPr>
        <w:tc>
          <w:tcPr>
            <w:cnfStyle w:evenVBand="false" w:oddVBand="true" w:firstColumn="false"/>
            <w:tcW w:w="25.000000%" w:type="pct"/>
          </w:tcPr>
          <w:p>
            <w:pPr>
              <w:ind w:leftChars="0" w:left="0" w:right="0"/>
            </w:pPr>
            <w:r>
              <w:t>HESP</w:t>
            </w:r>
          </w:p>
        </w:tc>
        <w:tc>
          <w:tcPr>
            <w:cnfStyle w:evenVBand="true" w:oddVBand="false" w:firstColumn="false"/>
            <w:tcW w:w="25.000000%" w:type="pct"/>
          </w:tcPr>
          <w:p>
            <w:pPr>
              <w:ind w:leftChars="0" w:left="0" w:right="0"/>
            </w:pPr>
            <w:r>
              <w:t>HESP</w:t>
            </w:r>
          </w:p>
        </w:tc>
        <w:tc>
          <w:tcPr>
            <w:cnfStyle w:evenVBand="false" w:oddVBand="true" w:firstColumn="false"/>
            <w:tcW w:w="25.000000%" w:type="pct"/>
          </w:tcPr>
          <w:p>
            <w:pPr>
              <w:ind w:leftChars="0" w:left="0" w:right="0"/>
            </w:pPr>
            <w:r>
              <w:t>HENEX ELECTRICITY SPOT MARKET</w:t>
            </w:r>
          </w:p>
        </w:tc>
        <w:tc>
          <w:tcPr>
            <w:cnfStyle w:evenVBand="true" w:oddVBand="false" w:firstColumn="false"/>
            <w:tcW w:w="25.000000%" w:type="pct"/>
          </w:tcPr>
          <w:p>
            <w:pPr>
              <w:ind w:leftChars="0" w:left="0" w:right="0"/>
            </w:pPr>
            <w:r>
              <w:t>851</w:t>
            </w:r>
          </w:p>
        </w:tc>
      </w:tr>
      <w:tr>
        <w:trPr>
          <w:cnfStyle w:evenHBand="false" w:oddHBand="true" w:firstRow="false"/>
        </w:trPr>
        <w:tc>
          <w:tcPr>
            <w:cnfStyle w:evenVBand="false" w:oddVBand="true" w:firstColumn="false"/>
            <w:tcW w:w="25.000000%" w:type="pct"/>
          </w:tcPr>
          <w:p>
            <w:pPr>
              <w:ind w:leftChars="0" w:left="0" w:right="0"/>
            </w:pPr>
            <w:r>
              <w:t>HGSP</w:t>
            </w:r>
          </w:p>
        </w:tc>
        <w:tc>
          <w:tcPr>
            <w:cnfStyle w:evenVBand="true" w:oddVBand="false" w:firstColumn="false"/>
            <w:tcW w:w="25.000000%" w:type="pct"/>
          </w:tcPr>
          <w:p>
            <w:pPr>
              <w:ind w:leftChars="0" w:left="0" w:right="0"/>
            </w:pPr>
            <w:r>
              <w:t>HGSP</w:t>
            </w:r>
          </w:p>
        </w:tc>
        <w:tc>
          <w:tcPr>
            <w:cnfStyle w:evenVBand="false" w:oddVBand="true" w:firstColumn="false"/>
            <w:tcW w:w="25.000000%" w:type="pct"/>
          </w:tcPr>
          <w:p>
            <w:pPr>
              <w:ind w:leftChars="0" w:left="0" w:right="0"/>
            </w:pPr>
            <w:r>
              <w:t>HENEX GAS SPOT MARKET</w:t>
            </w:r>
          </w:p>
        </w:tc>
        <w:tc>
          <w:tcPr>
            <w:cnfStyle w:evenVBand="true" w:oddVBand="false" w:firstColumn="false"/>
            <w:tcW w:w="25.000000%" w:type="pct"/>
          </w:tcPr>
          <w:p>
            <w:pPr>
              <w:ind w:leftChars="0" w:left="0" w:right="0"/>
            </w:pPr>
            <w:r>
              <w:t>852</w:t>
            </w:r>
          </w:p>
        </w:tc>
      </w:tr>
      <w:tr>
        <w:trPr>
          <w:cnfStyle w:evenHBand="true" w:oddHBand="false" w:firstRow="false"/>
        </w:trPr>
        <w:tc>
          <w:tcPr>
            <w:cnfStyle w:evenVBand="false" w:oddVBand="true" w:firstColumn="false"/>
            <w:tcW w:w="25.000000%" w:type="pct"/>
          </w:tcPr>
          <w:p>
            <w:pPr>
              <w:ind w:leftChars="0" w:left="0" w:right="0"/>
            </w:pPr>
            <w:r>
              <w:t>HKME</w:t>
            </w:r>
          </w:p>
        </w:tc>
        <w:tc>
          <w:tcPr>
            <w:cnfStyle w:evenVBand="true" w:oddVBand="false" w:firstColumn="false"/>
            <w:tcW w:w="25.000000%" w:type="pct"/>
          </w:tcPr>
          <w:p>
            <w:pPr>
              <w:ind w:leftChars="0" w:left="0" w:right="0"/>
            </w:pPr>
            <w:r>
              <w:t>HKME</w:t>
            </w:r>
          </w:p>
        </w:tc>
        <w:tc>
          <w:tcPr>
            <w:cnfStyle w:evenVBand="false" w:oddVBand="true" w:firstColumn="false"/>
            <w:tcW w:w="25.000000%" w:type="pct"/>
          </w:tcPr>
          <w:p>
            <w:pPr>
              <w:ind w:leftChars="0" w:left="0" w:right="0"/>
            </w:pPr>
            <w:r>
              <w:t>HONG KONG MERCANTILE EXCHANGE</w:t>
            </w:r>
          </w:p>
        </w:tc>
        <w:tc>
          <w:tcPr>
            <w:cnfStyle w:evenVBand="true" w:oddVBand="false" w:firstColumn="false"/>
            <w:tcW w:w="25.000000%" w:type="pct"/>
          </w:tcPr>
          <w:p>
            <w:pPr>
              <w:ind w:leftChars="0" w:left="0" w:right="0"/>
            </w:pPr>
            <w:r>
              <w:t>853</w:t>
            </w:r>
          </w:p>
        </w:tc>
      </w:tr>
      <w:tr>
        <w:trPr>
          <w:cnfStyle w:evenHBand="false" w:oddHBand="true" w:firstRow="false"/>
        </w:trPr>
        <w:tc>
          <w:tcPr>
            <w:cnfStyle w:evenVBand="false" w:oddVBand="true" w:firstColumn="false"/>
            <w:tcW w:w="25.000000%" w:type="pct"/>
          </w:tcPr>
          <w:p>
            <w:pPr>
              <w:ind w:leftChars="0" w:left="0" w:right="0"/>
            </w:pPr>
            <w:r>
              <w:t>HMOD</w:t>
            </w:r>
          </w:p>
        </w:tc>
        <w:tc>
          <w:tcPr>
            <w:cnfStyle w:evenVBand="true" w:oddVBand="false" w:firstColumn="false"/>
            <w:tcW w:w="25.000000%" w:type="pct"/>
          </w:tcPr>
          <w:p>
            <w:pPr>
              <w:ind w:leftChars="0" w:left="0" w:right="0"/>
            </w:pPr>
            <w:r>
              <w:t>HMOD</w:t>
            </w:r>
          </w:p>
        </w:tc>
        <w:tc>
          <w:tcPr>
            <w:cnfStyle w:evenVBand="false" w:oddVBand="true" w:firstColumn="false"/>
            <w:tcW w:w="25.000000%" w:type="pct"/>
          </w:tcPr>
          <w:p>
            <w:pPr>
              <w:ind w:leftChars="0" w:left="0" w:right="0"/>
            </w:pPr>
            <w:r>
              <w:t>HI-MTF ORDER DRIVEN</w:t>
            </w:r>
          </w:p>
        </w:tc>
        <w:tc>
          <w:tcPr>
            <w:cnfStyle w:evenVBand="true" w:oddVBand="false" w:firstColumn="false"/>
            <w:tcW w:w="25.000000%" w:type="pct"/>
          </w:tcPr>
          <w:p>
            <w:pPr>
              <w:ind w:leftChars="0" w:left="0" w:right="0"/>
            </w:pPr>
            <w:r>
              <w:t>854</w:t>
            </w:r>
          </w:p>
        </w:tc>
      </w:tr>
      <w:tr>
        <w:trPr>
          <w:cnfStyle w:evenHBand="true" w:oddHBand="false" w:firstRow="false"/>
        </w:trPr>
        <w:tc>
          <w:tcPr>
            <w:cnfStyle w:evenVBand="false" w:oddVBand="true" w:firstColumn="false"/>
            <w:tcW w:w="25.000000%" w:type="pct"/>
          </w:tcPr>
          <w:p>
            <w:pPr>
              <w:ind w:leftChars="0" w:left="0" w:right="0"/>
            </w:pPr>
            <w:r>
              <w:t>HMTF</w:t>
            </w:r>
          </w:p>
        </w:tc>
        <w:tc>
          <w:tcPr>
            <w:cnfStyle w:evenVBand="true" w:oddVBand="false" w:firstColumn="false"/>
            <w:tcW w:w="25.000000%" w:type="pct"/>
          </w:tcPr>
          <w:p>
            <w:pPr>
              <w:ind w:leftChars="0" w:left="0" w:right="0"/>
            </w:pPr>
            <w:r>
              <w:t>HMTF</w:t>
            </w:r>
          </w:p>
        </w:tc>
        <w:tc>
          <w:tcPr>
            <w:cnfStyle w:evenVBand="false" w:oddVBand="true" w:firstColumn="false"/>
            <w:tcW w:w="25.000000%" w:type="pct"/>
          </w:tcPr>
          <w:p>
            <w:pPr>
              <w:ind w:leftChars="0" w:left="0" w:right="0"/>
            </w:pPr>
            <w:r>
              <w:t>HI-MTF</w:t>
            </w:r>
          </w:p>
        </w:tc>
        <w:tc>
          <w:tcPr>
            <w:cnfStyle w:evenVBand="true" w:oddVBand="false" w:firstColumn="false"/>
            <w:tcW w:w="25.000000%" w:type="pct"/>
          </w:tcPr>
          <w:p>
            <w:pPr>
              <w:ind w:leftChars="0" w:left="0" w:right="0"/>
            </w:pPr>
            <w:r>
              <w:t>855</w:t>
            </w:r>
          </w:p>
        </w:tc>
      </w:tr>
      <w:tr>
        <w:trPr>
          <w:cnfStyle w:evenHBand="false" w:oddHBand="true" w:firstRow="false"/>
        </w:trPr>
        <w:tc>
          <w:tcPr>
            <w:cnfStyle w:evenVBand="false" w:oddVBand="true" w:firstColumn="false"/>
            <w:tcW w:w="25.000000%" w:type="pct"/>
          </w:tcPr>
          <w:p>
            <w:pPr>
              <w:ind w:leftChars="0" w:left="0" w:right="0"/>
            </w:pPr>
            <w:r>
              <w:t>HOTC</w:t>
            </w:r>
          </w:p>
        </w:tc>
        <w:tc>
          <w:tcPr>
            <w:cnfStyle w:evenVBand="true" w:oddVBand="false" w:firstColumn="false"/>
            <w:tcW w:w="25.000000%" w:type="pct"/>
          </w:tcPr>
          <w:p>
            <w:pPr>
              <w:ind w:leftChars="0" w:left="0" w:right="0"/>
            </w:pPr>
            <w:r>
              <w:t>HOTC</w:t>
            </w:r>
          </w:p>
        </w:tc>
        <w:tc>
          <w:tcPr>
            <w:cnfStyle w:evenVBand="false" w:oddVBand="true" w:firstColumn="false"/>
            <w:tcW w:w="25.000000%" w:type="pct"/>
          </w:tcPr>
          <w:p>
            <w:pPr>
              <w:ind w:leftChars="0" w:left="0" w:right="0"/>
            </w:pPr>
            <w:r>
              <w:t>HELLENIC EXCHANGE OTC MARKET</w:t>
            </w:r>
          </w:p>
        </w:tc>
        <w:tc>
          <w:tcPr>
            <w:cnfStyle w:evenVBand="true" w:oddVBand="false" w:firstColumn="false"/>
            <w:tcW w:w="25.000000%" w:type="pct"/>
          </w:tcPr>
          <w:p>
            <w:pPr>
              <w:ind w:leftChars="0" w:left="0" w:right="0"/>
            </w:pPr>
            <w:r>
              <w:t>856</w:t>
            </w:r>
          </w:p>
        </w:tc>
      </w:tr>
      <w:tr>
        <w:trPr>
          <w:cnfStyle w:evenHBand="true" w:oddHBand="false" w:firstRow="false"/>
        </w:trPr>
        <w:tc>
          <w:tcPr>
            <w:cnfStyle w:evenVBand="false" w:oddVBand="true" w:firstColumn="false"/>
            <w:tcW w:w="25.000000%" w:type="pct"/>
          </w:tcPr>
          <w:p>
            <w:pPr>
              <w:ind w:leftChars="0" w:left="0" w:right="0"/>
            </w:pPr>
            <w:r>
              <w:t>HPCO</w:t>
            </w:r>
          </w:p>
        </w:tc>
        <w:tc>
          <w:tcPr>
            <w:cnfStyle w:evenVBand="true" w:oddVBand="false" w:firstColumn="false"/>
            <w:tcW w:w="25.000000%" w:type="pct"/>
          </w:tcPr>
          <w:p>
            <w:pPr>
              <w:ind w:leftChars="0" w:left="0" w:right="0"/>
            </w:pPr>
            <w:r>
              <w:t>HPCO</w:t>
            </w:r>
          </w:p>
        </w:tc>
        <w:tc>
          <w:tcPr>
            <w:cnfStyle w:evenVBand="false" w:oddVBand="true" w:firstColumn="false"/>
            <w:tcW w:w="25.000000%" w:type="pct"/>
          </w:tcPr>
          <w:p>
            <w:pPr>
              <w:ind w:leftChars="0" w:left="0" w:right="0"/>
            </w:pPr>
            <w:r>
              <w:t>HPC ETRADING</w:t>
            </w:r>
          </w:p>
        </w:tc>
        <w:tc>
          <w:tcPr>
            <w:cnfStyle w:evenVBand="true" w:oddVBand="false" w:firstColumn="false"/>
            <w:tcW w:w="25.000000%" w:type="pct"/>
          </w:tcPr>
          <w:p>
            <w:pPr>
              <w:ind w:leftChars="0" w:left="0" w:right="0"/>
            </w:pPr>
            <w:r>
              <w:t>857</w:t>
            </w:r>
          </w:p>
        </w:tc>
      </w:tr>
      <w:tr>
        <w:trPr>
          <w:cnfStyle w:evenHBand="false" w:oddHBand="true" w:firstRow="false"/>
        </w:trPr>
        <w:tc>
          <w:tcPr>
            <w:cnfStyle w:evenVBand="false" w:oddVBand="true" w:firstColumn="false"/>
            <w:tcW w:w="25.000000%" w:type="pct"/>
          </w:tcPr>
          <w:p>
            <w:pPr>
              <w:ind w:leftChars="0" w:left="0" w:right="0"/>
            </w:pPr>
            <w:r>
              <w:t>HPCS</w:t>
            </w:r>
          </w:p>
        </w:tc>
        <w:tc>
          <w:tcPr>
            <w:cnfStyle w:evenVBand="true" w:oddVBand="false" w:firstColumn="false"/>
            <w:tcW w:w="25.000000%" w:type="pct"/>
          </w:tcPr>
          <w:p>
            <w:pPr>
              <w:ind w:leftChars="0" w:left="0" w:right="0"/>
            </w:pPr>
            <w:r>
              <w:t>HPCS</w:t>
            </w:r>
          </w:p>
        </w:tc>
        <w:tc>
          <w:tcPr>
            <w:cnfStyle w:evenVBand="false" w:oddVBand="true" w:firstColumn="false"/>
            <w:tcW w:w="25.000000%" w:type="pct"/>
          </w:tcPr>
          <w:p>
            <w:pPr>
              <w:ind w:leftChars="0" w:left="0" w:right="0"/>
            </w:pPr>
            <w:r>
              <w:t>HPC ENERGY TRADING</w:t>
            </w:r>
          </w:p>
        </w:tc>
        <w:tc>
          <w:tcPr>
            <w:cnfStyle w:evenVBand="true" w:oddVBand="false" w:firstColumn="false"/>
            <w:tcW w:w="25.000000%" w:type="pct"/>
          </w:tcPr>
          <w:p>
            <w:pPr>
              <w:ind w:leftChars="0" w:left="0" w:right="0"/>
            </w:pPr>
            <w:r>
              <w:t>858</w:t>
            </w:r>
          </w:p>
        </w:tc>
      </w:tr>
      <w:tr>
        <w:trPr>
          <w:cnfStyle w:evenHBand="true" w:oddHBand="false" w:firstRow="false"/>
        </w:trPr>
        <w:tc>
          <w:tcPr>
            <w:cnfStyle w:evenVBand="false" w:oddVBand="true" w:firstColumn="false"/>
            <w:tcW w:w="25.000000%" w:type="pct"/>
          </w:tcPr>
          <w:p>
            <w:pPr>
              <w:ind w:leftChars="0" w:left="0" w:right="0"/>
            </w:pPr>
            <w:r>
              <w:t>HPCV</w:t>
            </w:r>
          </w:p>
        </w:tc>
        <w:tc>
          <w:tcPr>
            <w:cnfStyle w:evenVBand="true" w:oddVBand="false" w:firstColumn="false"/>
            <w:tcW w:w="25.000000%" w:type="pct"/>
          </w:tcPr>
          <w:p>
            <w:pPr>
              <w:ind w:leftChars="0" w:left="0" w:right="0"/>
            </w:pPr>
            <w:r>
              <w:t>HPCV</w:t>
            </w:r>
          </w:p>
        </w:tc>
        <w:tc>
          <w:tcPr>
            <w:cnfStyle w:evenVBand="false" w:oddVBand="true" w:firstColumn="false"/>
            <w:tcW w:w="25.000000%" w:type="pct"/>
          </w:tcPr>
          <w:p>
            <w:pPr>
              <w:ind w:leftChars="0" w:left="0" w:right="0"/>
            </w:pPr>
            <w:r>
              <w:t>HPC SA - VOICE OTF</w:t>
            </w:r>
          </w:p>
        </w:tc>
        <w:tc>
          <w:tcPr>
            <w:cnfStyle w:evenVBand="true" w:oddVBand="false" w:firstColumn="false"/>
            <w:tcW w:w="25.000000%" w:type="pct"/>
          </w:tcPr>
          <w:p>
            <w:pPr>
              <w:ind w:leftChars="0" w:left="0" w:right="0"/>
            </w:pPr>
            <w:r>
              <w:t>859</w:t>
            </w:r>
          </w:p>
        </w:tc>
      </w:tr>
      <w:tr>
        <w:trPr>
          <w:cnfStyle w:evenHBand="false" w:oddHBand="true" w:firstRow="false"/>
        </w:trPr>
        <w:tc>
          <w:tcPr>
            <w:cnfStyle w:evenVBand="false" w:oddVBand="true" w:firstColumn="false"/>
            <w:tcW w:w="25.000000%" w:type="pct"/>
          </w:tcPr>
          <w:p>
            <w:pPr>
              <w:ind w:leftChars="0" w:left="0" w:right="0"/>
            </w:pPr>
            <w:r>
              <w:t>HPCX</w:t>
            </w:r>
          </w:p>
        </w:tc>
        <w:tc>
          <w:tcPr>
            <w:cnfStyle w:evenVBand="true" w:oddVBand="false" w:firstColumn="false"/>
            <w:tcW w:w="25.000000%" w:type="pct"/>
          </w:tcPr>
          <w:p>
            <w:pPr>
              <w:ind w:leftChars="0" w:left="0" w:right="0"/>
            </w:pPr>
            <w:r>
              <w:t>HPCX</w:t>
            </w:r>
          </w:p>
        </w:tc>
        <w:tc>
          <w:tcPr>
            <w:cnfStyle w:evenVBand="false" w:oddVBand="true" w:firstColumn="false"/>
            <w:tcW w:w="25.000000%" w:type="pct"/>
          </w:tcPr>
          <w:p>
            <w:pPr>
              <w:ind w:leftChars="0" w:left="0" w:right="0"/>
            </w:pPr>
            <w:r>
              <w:t>HPC SA</w:t>
            </w:r>
          </w:p>
        </w:tc>
        <w:tc>
          <w:tcPr>
            <w:cnfStyle w:evenVBand="true" w:oddVBand="false" w:firstColumn="false"/>
            <w:tcW w:w="25.000000%" w:type="pct"/>
          </w:tcPr>
          <w:p>
            <w:pPr>
              <w:ind w:leftChars="0" w:left="0" w:right="0"/>
            </w:pPr>
            <w:r>
              <w:t>860</w:t>
            </w:r>
          </w:p>
        </w:tc>
      </w:tr>
      <w:tr>
        <w:trPr>
          <w:cnfStyle w:evenHBand="true" w:oddHBand="false" w:firstRow="false"/>
        </w:trPr>
        <w:tc>
          <w:tcPr>
            <w:cnfStyle w:evenVBand="false" w:oddVBand="true" w:firstColumn="false"/>
            <w:tcW w:w="25.000000%" w:type="pct"/>
          </w:tcPr>
          <w:p>
            <w:pPr>
              <w:ind w:leftChars="0" w:left="0" w:right="0"/>
            </w:pPr>
            <w:r>
              <w:t>HPPO</w:t>
            </w:r>
          </w:p>
        </w:tc>
        <w:tc>
          <w:tcPr>
            <w:cnfStyle w:evenVBand="true" w:oddVBand="false" w:firstColumn="false"/>
            <w:tcW w:w="25.000000%" w:type="pct"/>
          </w:tcPr>
          <w:p>
            <w:pPr>
              <w:ind w:leftChars="0" w:left="0" w:right="0"/>
            </w:pPr>
            <w:r>
              <w:t>HPPO</w:t>
            </w:r>
          </w:p>
        </w:tc>
        <w:tc>
          <w:tcPr>
            <w:cnfStyle w:evenVBand="false" w:oddVBand="true" w:firstColumn="false"/>
            <w:tcW w:w="25.000000%" w:type="pct"/>
          </w:tcPr>
          <w:p>
            <w:pPr>
              <w:ind w:leftChars="0" w:left="0" w:right="0"/>
            </w:pPr>
            <w:r>
              <w:t>POTAMUS TRADING LLC</w:t>
            </w:r>
          </w:p>
        </w:tc>
        <w:tc>
          <w:tcPr>
            <w:cnfStyle w:evenVBand="true" w:oddVBand="false" w:firstColumn="false"/>
            <w:tcW w:w="25.000000%" w:type="pct"/>
          </w:tcPr>
          <w:p>
            <w:pPr>
              <w:ind w:leftChars="0" w:left="0" w:right="0"/>
            </w:pPr>
            <w:r>
              <w:t>861</w:t>
            </w:r>
          </w:p>
        </w:tc>
      </w:tr>
      <w:tr>
        <w:trPr>
          <w:cnfStyle w:evenHBand="false" w:oddHBand="true" w:firstRow="false"/>
        </w:trPr>
        <w:tc>
          <w:tcPr>
            <w:cnfStyle w:evenVBand="false" w:oddVBand="true" w:firstColumn="false"/>
            <w:tcW w:w="25.000000%" w:type="pct"/>
          </w:tcPr>
          <w:p>
            <w:pPr>
              <w:ind w:leftChars="0" w:left="0" w:right="0"/>
            </w:pPr>
            <w:r>
              <w:t>HPSO</w:t>
            </w:r>
          </w:p>
        </w:tc>
        <w:tc>
          <w:tcPr>
            <w:cnfStyle w:evenVBand="true" w:oddVBand="false" w:firstColumn="false"/>
            <w:tcW w:w="25.000000%" w:type="pct"/>
          </w:tcPr>
          <w:p>
            <w:pPr>
              <w:ind w:leftChars="0" w:left="0" w:right="0"/>
            </w:pPr>
            <w:r>
              <w:t>HPSO</w:t>
            </w:r>
          </w:p>
        </w:tc>
        <w:tc>
          <w:tcPr>
            <w:cnfStyle w:evenVBand="false" w:oddVBand="true" w:firstColumn="false"/>
            <w:tcW w:w="25.000000%" w:type="pct"/>
          </w:tcPr>
          <w:p>
            <w:pPr>
              <w:ind w:leftChars="0" w:left="0" w:right="0"/>
            </w:pPr>
            <w:r>
              <w:t>HPC OTF - UK ETRADING PLATFORM</w:t>
            </w:r>
          </w:p>
        </w:tc>
        <w:tc>
          <w:tcPr>
            <w:cnfStyle w:evenVBand="true" w:oddVBand="false" w:firstColumn="false"/>
            <w:tcW w:w="25.000000%" w:type="pct"/>
          </w:tcPr>
          <w:p>
            <w:pPr>
              <w:ind w:leftChars="0" w:left="0" w:right="0"/>
            </w:pPr>
            <w:r>
              <w:t>862</w:t>
            </w:r>
          </w:p>
        </w:tc>
      </w:tr>
      <w:tr>
        <w:trPr>
          <w:cnfStyle w:evenHBand="true" w:oddHBand="false" w:firstRow="false"/>
        </w:trPr>
        <w:tc>
          <w:tcPr>
            <w:cnfStyle w:evenVBand="false" w:oddVBand="true" w:firstColumn="false"/>
            <w:tcW w:w="25.000000%" w:type="pct"/>
          </w:tcPr>
          <w:p>
            <w:pPr>
              <w:ind w:leftChars="0" w:left="0" w:right="0"/>
            </w:pPr>
            <w:r>
              <w:t>HPSX</w:t>
            </w:r>
          </w:p>
        </w:tc>
        <w:tc>
          <w:tcPr>
            <w:cnfStyle w:evenVBand="true" w:oddVBand="false" w:firstColumn="false"/>
            <w:tcW w:w="25.000000%" w:type="pct"/>
          </w:tcPr>
          <w:p>
            <w:pPr>
              <w:ind w:leftChars="0" w:left="0" w:right="0"/>
            </w:pPr>
            <w:r>
              <w:t>HPSX</w:t>
            </w:r>
          </w:p>
        </w:tc>
        <w:tc>
          <w:tcPr>
            <w:cnfStyle w:evenVBand="false" w:oddVBand="true" w:firstColumn="false"/>
            <w:tcW w:w="25.000000%" w:type="pct"/>
          </w:tcPr>
          <w:p>
            <w:pPr>
              <w:ind w:leftChars="0" w:left="0" w:right="0"/>
            </w:pPr>
            <w:r>
              <w:t>HPC OTF</w:t>
            </w:r>
          </w:p>
        </w:tc>
        <w:tc>
          <w:tcPr>
            <w:cnfStyle w:evenVBand="true" w:oddVBand="false" w:firstColumn="false"/>
            <w:tcW w:w="25.000000%" w:type="pct"/>
          </w:tcPr>
          <w:p>
            <w:pPr>
              <w:ind w:leftChars="0" w:left="0" w:right="0"/>
            </w:pPr>
            <w:r>
              <w:t>863</w:t>
            </w:r>
          </w:p>
        </w:tc>
      </w:tr>
      <w:tr>
        <w:trPr>
          <w:cnfStyle w:evenHBand="false" w:oddHBand="true" w:firstRow="false"/>
        </w:trPr>
        <w:tc>
          <w:tcPr>
            <w:cnfStyle w:evenVBand="false" w:oddVBand="true" w:firstColumn="false"/>
            <w:tcW w:w="25.000000%" w:type="pct"/>
          </w:tcPr>
          <w:p>
            <w:pPr>
              <w:ind w:leftChars="0" w:left="0" w:right="0"/>
            </w:pPr>
            <w:r>
              <w:t>HREU</w:t>
            </w:r>
          </w:p>
        </w:tc>
        <w:tc>
          <w:tcPr>
            <w:cnfStyle w:evenVBand="true" w:oddVBand="false" w:firstColumn="false"/>
            <w:tcW w:w="25.000000%" w:type="pct"/>
          </w:tcPr>
          <w:p>
            <w:pPr>
              <w:ind w:leftChars="0" w:left="0" w:right="0"/>
            </w:pPr>
            <w:r>
              <w:t>HREU</w:t>
            </w:r>
          </w:p>
        </w:tc>
        <w:tc>
          <w:tcPr>
            <w:cnfStyle w:evenVBand="false" w:oddVBand="true" w:firstColumn="false"/>
            <w:tcW w:w="25.000000%" w:type="pct"/>
          </w:tcPr>
          <w:p>
            <w:pPr>
              <w:ind w:leftChars="0" w:left="0" w:right="0"/>
            </w:pPr>
            <w:r>
              <w:t>HRTEU LIMITED - SYSTEMATIC INTERNALISER</w:t>
            </w:r>
          </w:p>
        </w:tc>
        <w:tc>
          <w:tcPr>
            <w:cnfStyle w:evenVBand="true" w:oddVBand="false" w:firstColumn="false"/>
            <w:tcW w:w="25.000000%" w:type="pct"/>
          </w:tcPr>
          <w:p>
            <w:pPr>
              <w:ind w:leftChars="0" w:left="0" w:right="0"/>
            </w:pPr>
            <w:r>
              <w:t>864</w:t>
            </w:r>
          </w:p>
        </w:tc>
      </w:tr>
      <w:tr>
        <w:trPr>
          <w:cnfStyle w:evenHBand="true" w:oddHBand="false" w:firstRow="false"/>
        </w:trPr>
        <w:tc>
          <w:tcPr>
            <w:cnfStyle w:evenVBand="false" w:oddVBand="true" w:firstColumn="false"/>
            <w:tcW w:w="25.000000%" w:type="pct"/>
          </w:tcPr>
          <w:p>
            <w:pPr>
              <w:ind w:leftChars="0" w:left="0" w:right="0"/>
            </w:pPr>
            <w:r>
              <w:t>HRFQ</w:t>
            </w:r>
          </w:p>
        </w:tc>
        <w:tc>
          <w:tcPr>
            <w:cnfStyle w:evenVBand="true" w:oddVBand="false" w:firstColumn="false"/>
            <w:tcW w:w="25.000000%" w:type="pct"/>
          </w:tcPr>
          <w:p>
            <w:pPr>
              <w:ind w:leftChars="0" w:left="0" w:right="0"/>
            </w:pPr>
            <w:r>
              <w:t>HRFQ</w:t>
            </w:r>
          </w:p>
        </w:tc>
        <w:tc>
          <w:tcPr>
            <w:cnfStyle w:evenVBand="false" w:oddVBand="true" w:firstColumn="false"/>
            <w:tcW w:w="25.000000%" w:type="pct"/>
          </w:tcPr>
          <w:p>
            <w:pPr>
              <w:ind w:leftChars="0" w:left="0" w:right="0"/>
            </w:pPr>
            <w:r>
              <w:t>HI-MTF RFQ</w:t>
            </w:r>
          </w:p>
        </w:tc>
        <w:tc>
          <w:tcPr>
            <w:cnfStyle w:evenVBand="true" w:oddVBand="false" w:firstColumn="false"/>
            <w:tcW w:w="25.000000%" w:type="pct"/>
          </w:tcPr>
          <w:p>
            <w:pPr>
              <w:ind w:leftChars="0" w:left="0" w:right="0"/>
            </w:pPr>
            <w:r>
              <w:t>865</w:t>
            </w:r>
          </w:p>
        </w:tc>
      </w:tr>
      <w:tr>
        <w:trPr>
          <w:cnfStyle w:evenHBand="false" w:oddHBand="true" w:firstRow="false"/>
        </w:trPr>
        <w:tc>
          <w:tcPr>
            <w:cnfStyle w:evenVBand="false" w:oddVBand="true" w:firstColumn="false"/>
            <w:tcW w:w="25.000000%" w:type="pct"/>
          </w:tcPr>
          <w:p>
            <w:pPr>
              <w:ind w:leftChars="0" w:left="0" w:right="0"/>
            </w:pPr>
            <w:r>
              <w:t>HRSI</w:t>
            </w:r>
          </w:p>
        </w:tc>
        <w:tc>
          <w:tcPr>
            <w:cnfStyle w:evenVBand="true" w:oddVBand="false" w:firstColumn="false"/>
            <w:tcW w:w="25.000000%" w:type="pct"/>
          </w:tcPr>
          <w:p>
            <w:pPr>
              <w:ind w:leftChars="0" w:left="0" w:right="0"/>
            </w:pPr>
            <w:r>
              <w:t>HRSI</w:t>
            </w:r>
          </w:p>
        </w:tc>
        <w:tc>
          <w:tcPr>
            <w:cnfStyle w:evenVBand="false" w:oddVBand="true" w:firstColumn="false"/>
            <w:tcW w:w="25.000000%" w:type="pct"/>
          </w:tcPr>
          <w:p>
            <w:pPr>
              <w:ind w:leftChars="0" w:left="0" w:right="0"/>
            </w:pPr>
            <w:r>
              <w:t>HUDSON RIVER TRADING - SYSTEMATIC INTERNALISER</w:t>
            </w:r>
          </w:p>
        </w:tc>
        <w:tc>
          <w:tcPr>
            <w:cnfStyle w:evenVBand="true" w:oddVBand="false" w:firstColumn="false"/>
            <w:tcW w:w="25.000000%" w:type="pct"/>
          </w:tcPr>
          <w:p>
            <w:pPr>
              <w:ind w:leftChars="0" w:left="0" w:right="0"/>
            </w:pPr>
            <w:r>
              <w:t>866</w:t>
            </w:r>
          </w:p>
        </w:tc>
      </w:tr>
      <w:tr>
        <w:trPr>
          <w:cnfStyle w:evenHBand="true" w:oddHBand="false" w:firstRow="false"/>
        </w:trPr>
        <w:tc>
          <w:tcPr>
            <w:cnfStyle w:evenVBand="false" w:oddVBand="true" w:firstColumn="false"/>
            <w:tcW w:w="25.000000%" w:type="pct"/>
          </w:tcPr>
          <w:p>
            <w:pPr>
              <w:ind w:leftChars="0" w:left="0" w:right="0"/>
            </w:pPr>
            <w:r>
              <w:t>HRTF</w:t>
            </w:r>
          </w:p>
        </w:tc>
        <w:tc>
          <w:tcPr>
            <w:cnfStyle w:evenVBand="true" w:oddVBand="false" w:firstColumn="false"/>
            <w:tcW w:w="25.000000%" w:type="pct"/>
          </w:tcPr>
          <w:p>
            <w:pPr>
              <w:ind w:leftChars="0" w:left="0" w:right="0"/>
            </w:pPr>
            <w:r>
              <w:t>HRTF</w:t>
            </w:r>
          </w:p>
        </w:tc>
        <w:tc>
          <w:tcPr>
            <w:cnfStyle w:evenVBand="false" w:oddVBand="true" w:firstColumn="false"/>
            <w:tcW w:w="25.000000%" w:type="pct"/>
          </w:tcPr>
          <w:p>
            <w:pPr>
              <w:ind w:leftChars="0" w:left="0" w:right="0"/>
            </w:pPr>
            <w:r>
              <w:t>HUDSON RIVER TRADING (HRT)</w:t>
            </w:r>
          </w:p>
        </w:tc>
        <w:tc>
          <w:tcPr>
            <w:cnfStyle w:evenVBand="true" w:oddVBand="false" w:firstColumn="false"/>
            <w:tcW w:w="25.000000%" w:type="pct"/>
          </w:tcPr>
          <w:p>
            <w:pPr>
              <w:ind w:leftChars="0" w:left="0" w:right="0"/>
            </w:pPr>
            <w:r>
              <w:t>867</w:t>
            </w:r>
          </w:p>
        </w:tc>
      </w:tr>
      <w:tr>
        <w:trPr>
          <w:cnfStyle w:evenHBand="false" w:oddHBand="true" w:firstRow="false"/>
        </w:trPr>
        <w:tc>
          <w:tcPr>
            <w:cnfStyle w:evenVBand="false" w:oddVBand="true" w:firstColumn="false"/>
            <w:tcW w:w="25.000000%" w:type="pct"/>
          </w:tcPr>
          <w:p>
            <w:pPr>
              <w:ind w:leftChars="0" w:left="0" w:right="0"/>
            </w:pPr>
            <w:r>
              <w:t>HRTX</w:t>
            </w:r>
          </w:p>
        </w:tc>
        <w:tc>
          <w:tcPr>
            <w:cnfStyle w:evenVBand="true" w:oddVBand="false" w:firstColumn="false"/>
            <w:tcW w:w="25.000000%" w:type="pct"/>
          </w:tcPr>
          <w:p>
            <w:pPr>
              <w:ind w:leftChars="0" w:left="0" w:right="0"/>
            </w:pPr>
            <w:r>
              <w:t>HRTX</w:t>
            </w:r>
          </w:p>
        </w:tc>
        <w:tc>
          <w:tcPr>
            <w:cnfStyle w:evenVBand="false" w:oddVBand="true" w:firstColumn="false"/>
            <w:tcW w:w="25.000000%" w:type="pct"/>
          </w:tcPr>
          <w:p>
            <w:pPr>
              <w:ind w:leftChars="0" w:left="0" w:right="0"/>
            </w:pPr>
            <w:r>
              <w:t>HUDSON RIVER TRADING</w:t>
            </w:r>
          </w:p>
        </w:tc>
        <w:tc>
          <w:tcPr>
            <w:cnfStyle w:evenVBand="true" w:oddVBand="false" w:firstColumn="false"/>
            <w:tcW w:w="25.000000%" w:type="pct"/>
          </w:tcPr>
          <w:p>
            <w:pPr>
              <w:ind w:leftChars="0" w:left="0" w:right="0"/>
            </w:pPr>
            <w:r>
              <w:t>868</w:t>
            </w:r>
          </w:p>
        </w:tc>
      </w:tr>
      <w:tr>
        <w:trPr>
          <w:cnfStyle w:evenHBand="true" w:oddHBand="false" w:firstRow="false"/>
        </w:trPr>
        <w:tc>
          <w:tcPr>
            <w:cnfStyle w:evenVBand="false" w:oddVBand="true" w:firstColumn="false"/>
            <w:tcW w:w="25.000000%" w:type="pct"/>
          </w:tcPr>
          <w:p>
            <w:pPr>
              <w:ind w:leftChars="0" w:left="0" w:right="0"/>
            </w:pPr>
            <w:r>
              <w:t>HSBC</w:t>
            </w:r>
          </w:p>
        </w:tc>
        <w:tc>
          <w:tcPr>
            <w:cnfStyle w:evenVBand="true" w:oddVBand="false" w:firstColumn="false"/>
            <w:tcW w:w="25.000000%" w:type="pct"/>
          </w:tcPr>
          <w:p>
            <w:pPr>
              <w:ind w:leftChars="0" w:left="0" w:right="0"/>
            </w:pPr>
            <w:r>
              <w:t>HSBC</w:t>
            </w:r>
          </w:p>
        </w:tc>
        <w:tc>
          <w:tcPr>
            <w:cnfStyle w:evenVBand="false" w:oddVBand="true" w:firstColumn="false"/>
            <w:tcW w:w="25.000000%" w:type="pct"/>
          </w:tcPr>
          <w:p>
            <w:pPr>
              <w:ind w:leftChars="0" w:left="0" w:right="0"/>
            </w:pPr>
            <w:r>
              <w:t>HSBC - SYSTEMATIC INTERNALISER</w:t>
            </w:r>
          </w:p>
        </w:tc>
        <w:tc>
          <w:tcPr>
            <w:cnfStyle w:evenVBand="true" w:oddVBand="false" w:firstColumn="false"/>
            <w:tcW w:w="25.000000%" w:type="pct"/>
          </w:tcPr>
          <w:p>
            <w:pPr>
              <w:ind w:leftChars="0" w:left="0" w:right="0"/>
            </w:pPr>
            <w:r>
              <w:t>869</w:t>
            </w:r>
          </w:p>
        </w:tc>
      </w:tr>
      <w:tr>
        <w:trPr>
          <w:cnfStyle w:evenHBand="false" w:oddHBand="true" w:firstRow="false"/>
        </w:trPr>
        <w:tc>
          <w:tcPr>
            <w:cnfStyle w:evenVBand="false" w:oddVBand="true" w:firstColumn="false"/>
            <w:tcW w:w="25.000000%" w:type="pct"/>
          </w:tcPr>
          <w:p>
            <w:pPr>
              <w:ind w:leftChars="0" w:left="0" w:right="0"/>
            </w:pPr>
            <w:r>
              <w:t>HSBT</w:t>
            </w:r>
          </w:p>
        </w:tc>
        <w:tc>
          <w:tcPr>
            <w:cnfStyle w:evenVBand="true" w:oddVBand="false" w:firstColumn="false"/>
            <w:tcW w:w="25.000000%" w:type="pct"/>
          </w:tcPr>
          <w:p>
            <w:pPr>
              <w:ind w:leftChars="0" w:left="0" w:right="0"/>
            </w:pPr>
            <w:r>
              <w:t>HSBT</w:t>
            </w:r>
          </w:p>
        </w:tc>
        <w:tc>
          <w:tcPr>
            <w:cnfStyle w:evenVBand="false" w:oddVBand="true" w:firstColumn="false"/>
            <w:tcW w:w="25.000000%" w:type="pct"/>
          </w:tcPr>
          <w:p>
            <w:pPr>
              <w:ind w:leftChars="0" w:left="0" w:right="0"/>
            </w:pPr>
            <w:r>
              <w:t>HSBC TRINKAUS AND BURKHARDT AG - SYSTEMATIC INTERNALISER</w:t>
            </w:r>
          </w:p>
        </w:tc>
        <w:tc>
          <w:tcPr>
            <w:cnfStyle w:evenVBand="true" w:oddVBand="false" w:firstColumn="false"/>
            <w:tcW w:w="25.000000%" w:type="pct"/>
          </w:tcPr>
          <w:p>
            <w:pPr>
              <w:ind w:leftChars="0" w:left="0" w:right="0"/>
            </w:pPr>
            <w:r>
              <w:t>870</w:t>
            </w:r>
          </w:p>
        </w:tc>
      </w:tr>
      <w:tr>
        <w:trPr>
          <w:cnfStyle w:evenHBand="true" w:oddHBand="false" w:firstRow="false"/>
        </w:trPr>
        <w:tc>
          <w:tcPr>
            <w:cnfStyle w:evenVBand="false" w:oddVBand="true" w:firstColumn="false"/>
            <w:tcW w:w="25.000000%" w:type="pct"/>
          </w:tcPr>
          <w:p>
            <w:pPr>
              <w:ind w:leftChars="0" w:left="0" w:right="0"/>
            </w:pPr>
            <w:r>
              <w:t>HSFX</w:t>
            </w:r>
          </w:p>
        </w:tc>
        <w:tc>
          <w:tcPr>
            <w:cnfStyle w:evenVBand="true" w:oddVBand="false" w:firstColumn="false"/>
            <w:tcW w:w="25.000000%" w:type="pct"/>
          </w:tcPr>
          <w:p>
            <w:pPr>
              <w:ind w:leftChars="0" w:left="0" w:right="0"/>
            </w:pPr>
            <w:r>
              <w:t>HSFX</w:t>
            </w:r>
          </w:p>
        </w:tc>
        <w:tc>
          <w:tcPr>
            <w:cnfStyle w:evenVBand="false" w:oddVBand="true" w:firstColumn="false"/>
            <w:tcW w:w="25.000000%" w:type="pct"/>
          </w:tcPr>
          <w:p>
            <w:pPr>
              <w:ind w:leftChars="0" w:left="0" w:right="0"/>
            </w:pPr>
            <w:r>
              <w:t>HOTSPOT FX</w:t>
            </w:r>
          </w:p>
        </w:tc>
        <w:tc>
          <w:tcPr>
            <w:cnfStyle w:evenVBand="true" w:oddVBand="false" w:firstColumn="false"/>
            <w:tcW w:w="25.000000%" w:type="pct"/>
          </w:tcPr>
          <w:p>
            <w:pPr>
              <w:ind w:leftChars="0" w:left="0" w:right="0"/>
            </w:pPr>
            <w:r>
              <w:t>871</w:t>
            </w:r>
          </w:p>
        </w:tc>
      </w:tr>
      <w:tr>
        <w:trPr>
          <w:cnfStyle w:evenHBand="false" w:oddHBand="true" w:firstRow="false"/>
        </w:trPr>
        <w:tc>
          <w:tcPr>
            <w:cnfStyle w:evenVBand="false" w:oddVBand="true" w:firstColumn="false"/>
            <w:tcW w:w="25.000000%" w:type="pct"/>
          </w:tcPr>
          <w:p>
            <w:pPr>
              <w:ind w:leftChars="0" w:left="0" w:right="0"/>
            </w:pPr>
            <w:r>
              <w:t>HSTC</w:t>
            </w:r>
          </w:p>
        </w:tc>
        <w:tc>
          <w:tcPr>
            <w:cnfStyle w:evenVBand="true" w:oddVBand="false" w:firstColumn="false"/>
            <w:tcW w:w="25.000000%" w:type="pct"/>
          </w:tcPr>
          <w:p>
            <w:pPr>
              <w:ind w:leftChars="0" w:left="0" w:right="0"/>
            </w:pPr>
            <w:r>
              <w:t>HSTC</w:t>
            </w:r>
          </w:p>
        </w:tc>
        <w:tc>
          <w:tcPr>
            <w:cnfStyle w:evenVBand="false" w:oddVBand="true" w:firstColumn="false"/>
            <w:tcW w:w="25.000000%" w:type="pct"/>
          </w:tcPr>
          <w:p>
            <w:pPr>
              <w:ind w:leftChars="0" w:left="0" w:right="0"/>
            </w:pPr>
            <w:r>
              <w:t>HANOI STOCK EXCHANGE</w:t>
            </w:r>
          </w:p>
        </w:tc>
        <w:tc>
          <w:tcPr>
            <w:cnfStyle w:evenVBand="true" w:oddVBand="false" w:firstColumn="false"/>
            <w:tcW w:w="25.000000%" w:type="pct"/>
          </w:tcPr>
          <w:p>
            <w:pPr>
              <w:ind w:leftChars="0" w:left="0" w:right="0"/>
            </w:pPr>
            <w:r>
              <w:t>872</w:t>
            </w:r>
          </w:p>
        </w:tc>
      </w:tr>
      <w:tr>
        <w:trPr>
          <w:cnfStyle w:evenHBand="true" w:oddHBand="false" w:firstRow="false"/>
        </w:trPr>
        <w:tc>
          <w:tcPr>
            <w:cnfStyle w:evenVBand="false" w:oddVBand="true" w:firstColumn="false"/>
            <w:tcW w:w="25.000000%" w:type="pct"/>
          </w:tcPr>
          <w:p>
            <w:pPr>
              <w:ind w:leftChars="0" w:left="0" w:right="0"/>
            </w:pPr>
            <w:r>
              <w:t>HSXA</w:t>
            </w:r>
          </w:p>
        </w:tc>
        <w:tc>
          <w:tcPr>
            <w:cnfStyle w:evenVBand="true" w:oddVBand="false" w:firstColumn="false"/>
            <w:tcW w:w="25.000000%" w:type="pct"/>
          </w:tcPr>
          <w:p>
            <w:pPr>
              <w:ind w:leftChars="0" w:left="0" w:right="0"/>
            </w:pPr>
            <w:r>
              <w:t>HSXA</w:t>
            </w:r>
          </w:p>
        </w:tc>
        <w:tc>
          <w:tcPr>
            <w:cnfStyle w:evenVBand="false" w:oddVBand="true" w:firstColumn="false"/>
            <w:tcW w:w="25.000000%" w:type="pct"/>
          </w:tcPr>
          <w:p>
            <w:pPr>
              <w:ind w:leftChars="0" w:left="0" w:right="0"/>
            </w:pPr>
            <w:r>
              <w:t>HSBC-X HONG KONG</w:t>
            </w:r>
          </w:p>
        </w:tc>
        <w:tc>
          <w:tcPr>
            <w:cnfStyle w:evenVBand="true" w:oddVBand="false" w:firstColumn="false"/>
            <w:tcW w:w="25.000000%" w:type="pct"/>
          </w:tcPr>
          <w:p>
            <w:pPr>
              <w:ind w:leftChars="0" w:left="0" w:right="0"/>
            </w:pPr>
            <w:r>
              <w:t>873</w:t>
            </w:r>
          </w:p>
        </w:tc>
      </w:tr>
      <w:tr>
        <w:trPr>
          <w:cnfStyle w:evenHBand="false" w:oddHBand="true" w:firstRow="false"/>
        </w:trPr>
        <w:tc>
          <w:tcPr>
            <w:cnfStyle w:evenVBand="false" w:oddVBand="true" w:firstColumn="false"/>
            <w:tcW w:w="25.000000%" w:type="pct"/>
          </w:tcPr>
          <w:p>
            <w:pPr>
              <w:ind w:leftChars="0" w:left="0" w:right="0"/>
            </w:pPr>
            <w:r>
              <w:t>HSXE</w:t>
            </w:r>
          </w:p>
        </w:tc>
        <w:tc>
          <w:tcPr>
            <w:cnfStyle w:evenVBand="true" w:oddVBand="false" w:firstColumn="false"/>
            <w:tcW w:w="25.000000%" w:type="pct"/>
          </w:tcPr>
          <w:p>
            <w:pPr>
              <w:ind w:leftChars="0" w:left="0" w:right="0"/>
            </w:pPr>
            <w:r>
              <w:t>HSXE</w:t>
            </w:r>
          </w:p>
        </w:tc>
        <w:tc>
          <w:tcPr>
            <w:cnfStyle w:evenVBand="false" w:oddVBand="true" w:firstColumn="false"/>
            <w:tcW w:w="25.000000%" w:type="pct"/>
          </w:tcPr>
          <w:p>
            <w:pPr>
              <w:ind w:leftChars="0" w:left="0" w:right="0"/>
            </w:pPr>
            <w:r>
              <w:t>HSBC-X UNITED KINGDOM</w:t>
            </w:r>
          </w:p>
        </w:tc>
        <w:tc>
          <w:tcPr>
            <w:cnfStyle w:evenVBand="true" w:oddVBand="false" w:firstColumn="false"/>
            <w:tcW w:w="25.000000%" w:type="pct"/>
          </w:tcPr>
          <w:p>
            <w:pPr>
              <w:ind w:leftChars="0" w:left="0" w:right="0"/>
            </w:pPr>
            <w:r>
              <w:t>874</w:t>
            </w:r>
          </w:p>
        </w:tc>
      </w:tr>
      <w:tr>
        <w:trPr>
          <w:cnfStyle w:evenHBand="true" w:oddHBand="false" w:firstRow="false"/>
        </w:trPr>
        <w:tc>
          <w:tcPr>
            <w:cnfStyle w:evenVBand="false" w:oddVBand="true" w:firstColumn="false"/>
            <w:tcW w:w="25.000000%" w:type="pct"/>
          </w:tcPr>
          <w:p>
            <w:pPr>
              <w:ind w:leftChars="0" w:left="0" w:right="0"/>
            </w:pPr>
            <w:r>
              <w:t>HUDX</w:t>
            </w:r>
          </w:p>
        </w:tc>
        <w:tc>
          <w:tcPr>
            <w:cnfStyle w:evenVBand="true" w:oddVBand="false" w:firstColumn="false"/>
            <w:tcW w:w="25.000000%" w:type="pct"/>
          </w:tcPr>
          <w:p>
            <w:pPr>
              <w:ind w:leftChars="0" w:left="0" w:right="0"/>
            </w:pPr>
            <w:r>
              <w:t>HUDX</w:t>
            </w:r>
          </w:p>
        </w:tc>
        <w:tc>
          <w:tcPr>
            <w:cnfStyle w:evenVBand="false" w:oddVBand="true" w:firstColumn="false"/>
            <w:tcW w:w="25.000000%" w:type="pct"/>
          </w:tcPr>
          <w:p>
            <w:pPr>
              <w:ind w:leftChars="0" w:left="0" w:right="0"/>
            </w:pPr>
            <w:r>
              <w:t>HUNGARIAN DERIVATIVE ENERGY EXCHANGE</w:t>
            </w:r>
          </w:p>
        </w:tc>
        <w:tc>
          <w:tcPr>
            <w:cnfStyle w:evenVBand="true" w:oddVBand="false" w:firstColumn="false"/>
            <w:tcW w:w="25.000000%" w:type="pct"/>
          </w:tcPr>
          <w:p>
            <w:pPr>
              <w:ind w:leftChars="0" w:left="0" w:right="0"/>
            </w:pPr>
            <w:r>
              <w:t>875</w:t>
            </w:r>
          </w:p>
        </w:tc>
      </w:tr>
      <w:tr>
        <w:trPr>
          <w:cnfStyle w:evenHBand="false" w:oddHBand="true" w:firstRow="false"/>
        </w:trPr>
        <w:tc>
          <w:tcPr>
            <w:cnfStyle w:evenVBand="false" w:oddVBand="true" w:firstColumn="false"/>
            <w:tcW w:w="25.000000%" w:type="pct"/>
          </w:tcPr>
          <w:p>
            <w:pPr>
              <w:ind w:leftChars="0" w:left="0" w:right="0"/>
            </w:pPr>
            <w:r>
              <w:t>HUNG</w:t>
            </w:r>
          </w:p>
        </w:tc>
        <w:tc>
          <w:tcPr>
            <w:cnfStyle w:evenVBand="true" w:oddVBand="false" w:firstColumn="false"/>
            <w:tcW w:w="25.000000%" w:type="pct"/>
          </w:tcPr>
          <w:p>
            <w:pPr>
              <w:ind w:leftChars="0" w:left="0" w:right="0"/>
            </w:pPr>
            <w:r>
              <w:t>HUNG</w:t>
            </w:r>
          </w:p>
        </w:tc>
        <w:tc>
          <w:tcPr>
            <w:cnfStyle w:evenVBand="false" w:oddVBand="true" w:firstColumn="false"/>
            <w:tcW w:w="25.000000%" w:type="pct"/>
          </w:tcPr>
          <w:p>
            <w:pPr>
              <w:ind w:leftChars="0" w:left="0" w:right="0"/>
            </w:pPr>
            <w:r>
              <w:t>MTS HUNGARY</w:t>
            </w:r>
          </w:p>
        </w:tc>
        <w:tc>
          <w:tcPr>
            <w:cnfStyle w:evenVBand="true" w:oddVBand="false" w:firstColumn="false"/>
            <w:tcW w:w="25.000000%" w:type="pct"/>
          </w:tcPr>
          <w:p>
            <w:pPr>
              <w:ind w:leftChars="0" w:left="0" w:right="0"/>
            </w:pPr>
            <w:r>
              <w:t>876</w:t>
            </w:r>
          </w:p>
        </w:tc>
      </w:tr>
      <w:tr>
        <w:trPr>
          <w:cnfStyle w:evenHBand="true" w:oddHBand="false" w:firstRow="false"/>
        </w:trPr>
        <w:tc>
          <w:tcPr>
            <w:cnfStyle w:evenVBand="false" w:oddVBand="true" w:firstColumn="false"/>
            <w:tcW w:w="25.000000%" w:type="pct"/>
          </w:tcPr>
          <w:p>
            <w:pPr>
              <w:ind w:leftChars="0" w:left="0" w:right="0"/>
            </w:pPr>
            <w:r>
              <w:t>HUPX</w:t>
            </w:r>
          </w:p>
        </w:tc>
        <w:tc>
          <w:tcPr>
            <w:cnfStyle w:evenVBand="true" w:oddVBand="false" w:firstColumn="false"/>
            <w:tcW w:w="25.000000%" w:type="pct"/>
          </w:tcPr>
          <w:p>
            <w:pPr>
              <w:ind w:leftChars="0" w:left="0" w:right="0"/>
            </w:pPr>
            <w:r>
              <w:t>HUPX</w:t>
            </w:r>
          </w:p>
        </w:tc>
        <w:tc>
          <w:tcPr>
            <w:cnfStyle w:evenVBand="false" w:oddVBand="true" w:firstColumn="false"/>
            <w:tcW w:w="25.000000%" w:type="pct"/>
          </w:tcPr>
          <w:p>
            <w:pPr>
              <w:ind w:leftChars="0" w:left="0" w:right="0"/>
            </w:pPr>
            <w:r>
              <w:t>HUNGARIAN POWER EXCHANGE</w:t>
            </w:r>
          </w:p>
        </w:tc>
        <w:tc>
          <w:tcPr>
            <w:cnfStyle w:evenVBand="true" w:oddVBand="false" w:firstColumn="false"/>
            <w:tcW w:w="25.000000%" w:type="pct"/>
          </w:tcPr>
          <w:p>
            <w:pPr>
              <w:ind w:leftChars="0" w:left="0" w:right="0"/>
            </w:pPr>
            <w:r>
              <w:t>877</w:t>
            </w:r>
          </w:p>
        </w:tc>
      </w:tr>
      <w:tr>
        <w:trPr>
          <w:cnfStyle w:evenHBand="false" w:oddHBand="true" w:firstRow="false"/>
        </w:trPr>
        <w:tc>
          <w:tcPr>
            <w:cnfStyle w:evenVBand="false" w:oddVBand="true" w:firstColumn="false"/>
            <w:tcW w:w="25.000000%" w:type="pct"/>
          </w:tcPr>
          <w:p>
            <w:pPr>
              <w:ind w:leftChars="0" w:left="0" w:right="0"/>
            </w:pPr>
            <w:r>
              <w:t>IATS</w:t>
            </w:r>
          </w:p>
        </w:tc>
        <w:tc>
          <w:tcPr>
            <w:cnfStyle w:evenVBand="true" w:oddVBand="false" w:firstColumn="false"/>
            <w:tcW w:w="25.000000%" w:type="pct"/>
          </w:tcPr>
          <w:p>
            <w:pPr>
              <w:ind w:leftChars="0" w:left="0" w:right="0"/>
            </w:pPr>
            <w:r>
              <w:t>IATS</w:t>
            </w:r>
          </w:p>
        </w:tc>
        <w:tc>
          <w:tcPr>
            <w:cnfStyle w:evenVBand="false" w:oddVBand="true" w:firstColumn="false"/>
            <w:tcW w:w="25.000000%" w:type="pct"/>
          </w:tcPr>
          <w:p>
            <w:pPr>
              <w:ind w:leftChars="0" w:left="0" w:right="0"/>
            </w:pPr>
            <w:r>
              <w:t>INTERACTIVE BROKERS LLC - ATS</w:t>
            </w:r>
          </w:p>
        </w:tc>
        <w:tc>
          <w:tcPr>
            <w:cnfStyle w:evenVBand="true" w:oddVBand="false" w:firstColumn="false"/>
            <w:tcW w:w="25.000000%" w:type="pct"/>
          </w:tcPr>
          <w:p>
            <w:pPr>
              <w:ind w:leftChars="0" w:left="0" w:right="0"/>
            </w:pPr>
            <w:r>
              <w:t>878</w:t>
            </w:r>
          </w:p>
        </w:tc>
      </w:tr>
      <w:tr>
        <w:trPr>
          <w:cnfStyle w:evenHBand="true" w:oddHBand="false" w:firstRow="false"/>
        </w:trPr>
        <w:tc>
          <w:tcPr>
            <w:cnfStyle w:evenVBand="false" w:oddVBand="true" w:firstColumn="false"/>
            <w:tcW w:w="25.000000%" w:type="pct"/>
          </w:tcPr>
          <w:p>
            <w:pPr>
              <w:ind w:leftChars="0" w:left="0" w:right="0"/>
            </w:pPr>
            <w:r>
              <w:t>IBAL</w:t>
            </w:r>
          </w:p>
        </w:tc>
        <w:tc>
          <w:tcPr>
            <w:cnfStyle w:evenVBand="true" w:oddVBand="false" w:firstColumn="false"/>
            <w:tcW w:w="25.000000%" w:type="pct"/>
          </w:tcPr>
          <w:p>
            <w:pPr>
              <w:ind w:leftChars="0" w:left="0" w:right="0"/>
            </w:pPr>
            <w:r>
              <w:t>IBAL</w:t>
            </w:r>
          </w:p>
        </w:tc>
        <w:tc>
          <w:tcPr>
            <w:cnfStyle w:evenVBand="false" w:oddVBand="true" w:firstColumn="false"/>
            <w:tcW w:w="25.000000%" w:type="pct"/>
          </w:tcPr>
          <w:p>
            <w:pPr>
              <w:ind w:leftChars="0" w:left="0" w:right="0"/>
            </w:pPr>
            <w:r>
              <w:t>ICE BENCHMARK ADMINISTRATION</w:t>
            </w:r>
          </w:p>
        </w:tc>
        <w:tc>
          <w:tcPr>
            <w:cnfStyle w:evenVBand="true" w:oddVBand="false" w:firstColumn="false"/>
            <w:tcW w:w="25.000000%" w:type="pct"/>
          </w:tcPr>
          <w:p>
            <w:pPr>
              <w:ind w:leftChars="0" w:left="0" w:right="0"/>
            </w:pPr>
            <w:r>
              <w:t>879</w:t>
            </w:r>
          </w:p>
        </w:tc>
      </w:tr>
      <w:tr>
        <w:trPr>
          <w:cnfStyle w:evenHBand="false" w:oddHBand="true" w:firstRow="false"/>
        </w:trPr>
        <w:tc>
          <w:tcPr>
            <w:cnfStyle w:evenVBand="false" w:oddVBand="true" w:firstColumn="false"/>
            <w:tcW w:w="25.000000%" w:type="pct"/>
          </w:tcPr>
          <w:p>
            <w:pPr>
              <w:ind w:leftChars="0" w:left="0" w:right="0"/>
            </w:pPr>
            <w:r>
              <w:t>IBEQ</w:t>
            </w:r>
          </w:p>
        </w:tc>
        <w:tc>
          <w:tcPr>
            <w:cnfStyle w:evenVBand="true" w:oddVBand="false" w:firstColumn="false"/>
            <w:tcW w:w="25.000000%" w:type="pct"/>
          </w:tcPr>
          <w:p>
            <w:pPr>
              <w:ind w:leftChars="0" w:left="0" w:right="0"/>
            </w:pPr>
            <w:r>
              <w:t>IBEQ</w:t>
            </w:r>
          </w:p>
        </w:tc>
        <w:tc>
          <w:tcPr>
            <w:cnfStyle w:evenVBand="false" w:oddVBand="true" w:firstColumn="false"/>
            <w:tcW w:w="25.000000%" w:type="pct"/>
          </w:tcPr>
          <w:p>
            <w:pPr>
              <w:ind w:leftChars="0" w:left="0" w:right="0"/>
            </w:pPr>
            <w:r>
              <w:t>INVEST BANCA - IBIS EQUITY - SYSTEMATIC INTERNALISER</w:t>
            </w:r>
          </w:p>
        </w:tc>
        <w:tc>
          <w:tcPr>
            <w:cnfStyle w:evenVBand="true" w:oddVBand="false" w:firstColumn="false"/>
            <w:tcW w:w="25.000000%" w:type="pct"/>
          </w:tcPr>
          <w:p>
            <w:pPr>
              <w:ind w:leftChars="0" w:left="0" w:right="0"/>
            </w:pPr>
            <w:r>
              <w:t>880</w:t>
            </w:r>
          </w:p>
        </w:tc>
      </w:tr>
      <w:tr>
        <w:trPr>
          <w:cnfStyle w:evenHBand="true" w:oddHBand="false" w:firstRow="false"/>
        </w:trPr>
        <w:tc>
          <w:tcPr>
            <w:cnfStyle w:evenVBand="false" w:oddVBand="true" w:firstColumn="false"/>
            <w:tcW w:w="25.000000%" w:type="pct"/>
          </w:tcPr>
          <w:p>
            <w:pPr>
              <w:ind w:leftChars="0" w:left="0" w:right="0"/>
            </w:pPr>
            <w:r>
              <w:t>IBER</w:t>
            </w:r>
          </w:p>
        </w:tc>
        <w:tc>
          <w:tcPr>
            <w:cnfStyle w:evenVBand="true" w:oddVBand="false" w:firstColumn="false"/>
            <w:tcW w:w="25.000000%" w:type="pct"/>
          </w:tcPr>
          <w:p>
            <w:pPr>
              <w:ind w:leftChars="0" w:left="0" w:right="0"/>
            </w:pPr>
            <w:r>
              <w:t>IBER</w:t>
            </w:r>
          </w:p>
        </w:tc>
        <w:tc>
          <w:tcPr>
            <w:cnfStyle w:evenVBand="false" w:oddVBand="true" w:firstColumn="false"/>
            <w:tcW w:w="25.000000%" w:type="pct"/>
          </w:tcPr>
          <w:p>
            <w:pPr>
              <w:ind w:leftChars="0" w:left="0" w:right="0"/>
            </w:pPr>
            <w:r>
              <w:t>IBERCAJA BANCO SA</w:t>
            </w:r>
          </w:p>
        </w:tc>
        <w:tc>
          <w:tcPr>
            <w:cnfStyle w:evenVBand="true" w:oddVBand="false" w:firstColumn="false"/>
            <w:tcW w:w="25.000000%" w:type="pct"/>
          </w:tcPr>
          <w:p>
            <w:pPr>
              <w:ind w:leftChars="0" w:left="0" w:right="0"/>
            </w:pPr>
            <w:r>
              <w:t>881</w:t>
            </w:r>
          </w:p>
        </w:tc>
      </w:tr>
      <w:tr>
        <w:trPr>
          <w:cnfStyle w:evenHBand="false" w:oddHBand="true" w:firstRow="false"/>
        </w:trPr>
        <w:tc>
          <w:tcPr>
            <w:cnfStyle w:evenVBand="false" w:oddVBand="true" w:firstColumn="false"/>
            <w:tcW w:w="25.000000%" w:type="pct"/>
          </w:tcPr>
          <w:p>
            <w:pPr>
              <w:ind w:leftChars="0" w:left="0" w:right="0"/>
            </w:pPr>
            <w:r>
              <w:t>IBEX</w:t>
            </w:r>
          </w:p>
        </w:tc>
        <w:tc>
          <w:tcPr>
            <w:cnfStyle w:evenVBand="true" w:oddVBand="false" w:firstColumn="false"/>
            <w:tcW w:w="25.000000%" w:type="pct"/>
          </w:tcPr>
          <w:p>
            <w:pPr>
              <w:ind w:leftChars="0" w:left="0" w:right="0"/>
            </w:pPr>
            <w:r>
              <w:t>IBEX</w:t>
            </w:r>
          </w:p>
        </w:tc>
        <w:tc>
          <w:tcPr>
            <w:cnfStyle w:evenVBand="false" w:oddVBand="true" w:firstColumn="false"/>
            <w:tcW w:w="25.000000%" w:type="pct"/>
          </w:tcPr>
          <w:p>
            <w:pPr>
              <w:ind w:leftChars="0" w:left="0" w:right="0"/>
            </w:pPr>
            <w:r>
              <w:t>INDEPENDENT BULGARIAN ENERGY EXCHANGE</w:t>
            </w:r>
          </w:p>
        </w:tc>
        <w:tc>
          <w:tcPr>
            <w:cnfStyle w:evenVBand="true" w:oddVBand="false" w:firstColumn="false"/>
            <w:tcW w:w="25.000000%" w:type="pct"/>
          </w:tcPr>
          <w:p>
            <w:pPr>
              <w:ind w:leftChars="0" w:left="0" w:right="0"/>
            </w:pPr>
            <w:r>
              <w:t>882</w:t>
            </w:r>
          </w:p>
        </w:tc>
      </w:tr>
      <w:tr>
        <w:trPr>
          <w:cnfStyle w:evenHBand="true" w:oddHBand="false" w:firstRow="false"/>
        </w:trPr>
        <w:tc>
          <w:tcPr>
            <w:cnfStyle w:evenVBand="false" w:oddVBand="true" w:firstColumn="false"/>
            <w:tcW w:w="25.000000%" w:type="pct"/>
          </w:tcPr>
          <w:p>
            <w:pPr>
              <w:ind w:leftChars="0" w:left="0" w:right="0"/>
            </w:pPr>
            <w:r>
              <w:t>IBGH</w:t>
            </w:r>
          </w:p>
        </w:tc>
        <w:tc>
          <w:tcPr>
            <w:cnfStyle w:evenVBand="true" w:oddVBand="false" w:firstColumn="false"/>
            <w:tcW w:w="25.000000%" w:type="pct"/>
          </w:tcPr>
          <w:p>
            <w:pPr>
              <w:ind w:leftChars="0" w:left="0" w:right="0"/>
            </w:pPr>
            <w:r>
              <w:t>IBGH</w:t>
            </w:r>
          </w:p>
        </w:tc>
        <w:tc>
          <w:tcPr>
            <w:cnfStyle w:evenVBand="false" w:oddVBand="true" w:firstColumn="false"/>
            <w:tcW w:w="25.000000%" w:type="pct"/>
          </w:tcPr>
          <w:p>
            <w:pPr>
              <w:ind w:leftChars="0" w:left="0" w:right="0"/>
            </w:pPr>
            <w:r>
              <w:t>IBERIAN GAS HUB</w:t>
            </w:r>
          </w:p>
        </w:tc>
        <w:tc>
          <w:tcPr>
            <w:cnfStyle w:evenVBand="true" w:oddVBand="false" w:firstColumn="false"/>
            <w:tcW w:w="25.000000%" w:type="pct"/>
          </w:tcPr>
          <w:p>
            <w:pPr>
              <w:ind w:leftChars="0" w:left="0" w:right="0"/>
            </w:pPr>
            <w:r>
              <w:t>883</w:t>
            </w:r>
          </w:p>
        </w:tc>
      </w:tr>
      <w:tr>
        <w:trPr>
          <w:cnfStyle w:evenHBand="false" w:oddHBand="true" w:firstRow="false"/>
        </w:trPr>
        <w:tc>
          <w:tcPr>
            <w:cnfStyle w:evenVBand="false" w:oddVBand="true" w:firstColumn="false"/>
            <w:tcW w:w="25.000000%" w:type="pct"/>
          </w:tcPr>
          <w:p>
            <w:pPr>
              <w:ind w:leftChars="0" w:left="0" w:right="0"/>
            </w:pPr>
            <w:r>
              <w:t>IBIS</w:t>
            </w:r>
          </w:p>
        </w:tc>
        <w:tc>
          <w:tcPr>
            <w:cnfStyle w:evenVBand="true" w:oddVBand="false" w:firstColumn="false"/>
            <w:tcW w:w="25.000000%" w:type="pct"/>
          </w:tcPr>
          <w:p>
            <w:pPr>
              <w:ind w:leftChars="0" w:left="0" w:right="0"/>
            </w:pPr>
            <w:r>
              <w:t>IBIS</w:t>
            </w:r>
          </w:p>
        </w:tc>
        <w:tc>
          <w:tcPr>
            <w:cnfStyle w:evenVBand="false" w:oddVBand="true" w:firstColumn="false"/>
            <w:tcW w:w="25.000000%" w:type="pct"/>
          </w:tcPr>
          <w:p>
            <w:pPr>
              <w:ind w:leftChars="0" w:left="0" w:right="0"/>
            </w:pPr>
            <w:r>
              <w:t>INVEST BANCA - SYSTEMATIC INTERNALISER</w:t>
            </w:r>
          </w:p>
        </w:tc>
        <w:tc>
          <w:tcPr>
            <w:cnfStyle w:evenVBand="true" w:oddVBand="false" w:firstColumn="false"/>
            <w:tcW w:w="25.000000%" w:type="pct"/>
          </w:tcPr>
          <w:p>
            <w:pPr>
              <w:ind w:leftChars="0" w:left="0" w:right="0"/>
            </w:pPr>
            <w:r>
              <w:t>884</w:t>
            </w:r>
          </w:p>
        </w:tc>
      </w:tr>
      <w:tr>
        <w:trPr>
          <w:cnfStyle w:evenHBand="true" w:oddHBand="false" w:firstRow="false"/>
        </w:trPr>
        <w:tc>
          <w:tcPr>
            <w:cnfStyle w:evenVBand="false" w:oddVBand="true" w:firstColumn="false"/>
            <w:tcW w:w="25.000000%" w:type="pct"/>
          </w:tcPr>
          <w:p>
            <w:pPr>
              <w:ind w:leftChars="0" w:left="0" w:right="0"/>
            </w:pPr>
            <w:r>
              <w:t>IBLX</w:t>
            </w:r>
          </w:p>
        </w:tc>
        <w:tc>
          <w:tcPr>
            <w:cnfStyle w:evenVBand="true" w:oddVBand="false" w:firstColumn="false"/>
            <w:tcW w:w="25.000000%" w:type="pct"/>
          </w:tcPr>
          <w:p>
            <w:pPr>
              <w:ind w:leftChars="0" w:left="0" w:right="0"/>
            </w:pPr>
            <w:r>
              <w:t>IBLX</w:t>
            </w:r>
          </w:p>
        </w:tc>
        <w:tc>
          <w:tcPr>
            <w:cnfStyle w:evenVBand="false" w:oddVBand="true" w:firstColumn="false"/>
            <w:tcW w:w="25.000000%" w:type="pct"/>
          </w:tcPr>
          <w:p>
            <w:pPr>
              <w:ind w:leftChars="0" w:left="0" w:right="0"/>
            </w:pPr>
            <w:r>
              <w:t>INSTINET BLX</w:t>
            </w:r>
          </w:p>
        </w:tc>
        <w:tc>
          <w:tcPr>
            <w:cnfStyle w:evenVBand="true" w:oddVBand="false" w:firstColumn="false"/>
            <w:tcW w:w="25.000000%" w:type="pct"/>
          </w:tcPr>
          <w:p>
            <w:pPr>
              <w:ind w:leftChars="0" w:left="0" w:right="0"/>
            </w:pPr>
            <w:r>
              <w:t>885</w:t>
            </w:r>
          </w:p>
        </w:tc>
      </w:tr>
      <w:tr>
        <w:trPr>
          <w:cnfStyle w:evenHBand="false" w:oddHBand="true" w:firstRow="false"/>
        </w:trPr>
        <w:tc>
          <w:tcPr>
            <w:cnfStyle w:evenVBand="false" w:oddVBand="true" w:firstColumn="false"/>
            <w:tcW w:w="25.000000%" w:type="pct"/>
          </w:tcPr>
          <w:p>
            <w:pPr>
              <w:ind w:leftChars="0" w:left="0" w:right="0"/>
            </w:pPr>
            <w:r>
              <w:t>IBSI</w:t>
            </w:r>
          </w:p>
        </w:tc>
        <w:tc>
          <w:tcPr>
            <w:cnfStyle w:evenVBand="true" w:oddVBand="false" w:firstColumn="false"/>
            <w:tcW w:w="25.000000%" w:type="pct"/>
          </w:tcPr>
          <w:p>
            <w:pPr>
              <w:ind w:leftChars="0" w:left="0" w:right="0"/>
            </w:pPr>
            <w:r>
              <w:t>IBSI</w:t>
            </w:r>
          </w:p>
        </w:tc>
        <w:tc>
          <w:tcPr>
            <w:cnfStyle w:evenVBand="false" w:oddVBand="true" w:firstColumn="false"/>
            <w:tcW w:w="25.000000%" w:type="pct"/>
          </w:tcPr>
          <w:p>
            <w:pPr>
              <w:ind w:leftChars="0" w:left="0" w:right="0"/>
            </w:pPr>
            <w:r>
              <w:t>INTERACTIVE BROKERS - SYSTEMATIC INTERNALISER</w:t>
            </w:r>
          </w:p>
        </w:tc>
        <w:tc>
          <w:tcPr>
            <w:cnfStyle w:evenVBand="true" w:oddVBand="false" w:firstColumn="false"/>
            <w:tcW w:w="25.000000%" w:type="pct"/>
          </w:tcPr>
          <w:p>
            <w:pPr>
              <w:ind w:leftChars="0" w:left="0" w:right="0"/>
            </w:pPr>
            <w:r>
              <w:t>886</w:t>
            </w:r>
          </w:p>
        </w:tc>
      </w:tr>
      <w:tr>
        <w:trPr>
          <w:cnfStyle w:evenHBand="true" w:oddHBand="false" w:firstRow="false"/>
        </w:trPr>
        <w:tc>
          <w:tcPr>
            <w:cnfStyle w:evenVBand="false" w:oddVBand="true" w:firstColumn="false"/>
            <w:tcW w:w="25.000000%" w:type="pct"/>
          </w:tcPr>
          <w:p>
            <w:pPr>
              <w:ind w:leftChars="0" w:left="0" w:right="0"/>
            </w:pPr>
            <w:r>
              <w:t>IBUL</w:t>
            </w:r>
          </w:p>
        </w:tc>
        <w:tc>
          <w:tcPr>
            <w:cnfStyle w:evenVBand="true" w:oddVBand="false" w:firstColumn="false"/>
            <w:tcW w:w="25.000000%" w:type="pct"/>
          </w:tcPr>
          <w:p>
            <w:pPr>
              <w:ind w:leftChars="0" w:left="0" w:right="0"/>
            </w:pPr>
            <w:r>
              <w:t>IBUL</w:t>
            </w:r>
          </w:p>
        </w:tc>
        <w:tc>
          <w:tcPr>
            <w:cnfStyle w:evenVBand="false" w:oddVBand="true" w:firstColumn="false"/>
            <w:tcW w:w="25.000000%" w:type="pct"/>
          </w:tcPr>
          <w:p>
            <w:pPr>
              <w:ind w:leftChars="0" w:left="0" w:right="0"/>
            </w:pPr>
            <w:r>
              <w:t>BULGARIAN STOCK EXCHANGE - INTERNATIONAL INSTRUMENTS</w:t>
            </w:r>
          </w:p>
        </w:tc>
        <w:tc>
          <w:tcPr>
            <w:cnfStyle w:evenVBand="true" w:oddVBand="false" w:firstColumn="false"/>
            <w:tcW w:w="25.000000%" w:type="pct"/>
          </w:tcPr>
          <w:p>
            <w:pPr>
              <w:ind w:leftChars="0" w:left="0" w:right="0"/>
            </w:pPr>
            <w:r>
              <w:t>887</w:t>
            </w:r>
          </w:p>
        </w:tc>
      </w:tr>
      <w:tr>
        <w:trPr>
          <w:cnfStyle w:evenHBand="false" w:oddHBand="true" w:firstRow="false"/>
        </w:trPr>
        <w:tc>
          <w:tcPr>
            <w:cnfStyle w:evenVBand="false" w:oddVBand="true" w:firstColumn="false"/>
            <w:tcW w:w="25.000000%" w:type="pct"/>
          </w:tcPr>
          <w:p>
            <w:pPr>
              <w:ind w:leftChars="0" w:left="0" w:right="0"/>
            </w:pPr>
            <w:r>
              <w:t>ICAH</w:t>
            </w:r>
          </w:p>
        </w:tc>
        <w:tc>
          <w:tcPr>
            <w:cnfStyle w:evenVBand="true" w:oddVBand="false" w:firstColumn="false"/>
            <w:tcW w:w="25.000000%" w:type="pct"/>
          </w:tcPr>
          <w:p>
            <w:pPr>
              <w:ind w:leftChars="0" w:left="0" w:right="0"/>
            </w:pPr>
            <w:r>
              <w:t>ICAH</w:t>
            </w:r>
          </w:p>
        </w:tc>
        <w:tc>
          <w:tcPr>
            <w:cnfStyle w:evenVBand="false" w:oddVBand="true" w:firstColumn="false"/>
            <w:tcW w:w="25.000000%" w:type="pct"/>
          </w:tcPr>
          <w:p>
            <w:pPr>
              <w:ind w:leftChars="0" w:left="0" w:right="0"/>
            </w:pPr>
            <w:r>
              <w:t>TRAYPORT</w:t>
            </w:r>
          </w:p>
        </w:tc>
        <w:tc>
          <w:tcPr>
            <w:cnfStyle w:evenVBand="true" w:oddVBand="false" w:firstColumn="false"/>
            <w:tcW w:w="25.000000%" w:type="pct"/>
          </w:tcPr>
          <w:p>
            <w:pPr>
              <w:ind w:leftChars="0" w:left="0" w:right="0"/>
            </w:pPr>
            <w:r>
              <w:t>888</w:t>
            </w:r>
          </w:p>
        </w:tc>
      </w:tr>
      <w:tr>
        <w:trPr>
          <w:cnfStyle w:evenHBand="true" w:oddHBand="false" w:firstRow="false"/>
        </w:trPr>
        <w:tc>
          <w:tcPr>
            <w:cnfStyle w:evenVBand="false" w:oddVBand="true" w:firstColumn="false"/>
            <w:tcW w:w="25.000000%" w:type="pct"/>
          </w:tcPr>
          <w:p>
            <w:pPr>
              <w:ind w:leftChars="0" w:left="0" w:right="0"/>
            </w:pPr>
            <w:r>
              <w:t>ICAP</w:t>
            </w:r>
          </w:p>
        </w:tc>
        <w:tc>
          <w:tcPr>
            <w:cnfStyle w:evenVBand="true" w:oddVBand="false" w:firstColumn="false"/>
            <w:tcW w:w="25.000000%" w:type="pct"/>
          </w:tcPr>
          <w:p>
            <w:pPr>
              <w:ind w:leftChars="0" w:left="0" w:right="0"/>
            </w:pPr>
            <w:r>
              <w:t>ICAP</w:t>
            </w:r>
          </w:p>
        </w:tc>
        <w:tc>
          <w:tcPr>
            <w:cnfStyle w:evenVBand="false" w:oddVBand="true" w:firstColumn="false"/>
            <w:tcW w:w="25.000000%" w:type="pct"/>
          </w:tcPr>
          <w:p>
            <w:pPr>
              <w:ind w:leftChars="0" w:left="0" w:right="0"/>
            </w:pPr>
            <w:r>
              <w:t>ICAP EUROPE</w:t>
            </w:r>
          </w:p>
        </w:tc>
        <w:tc>
          <w:tcPr>
            <w:cnfStyle w:evenVBand="true" w:oddVBand="false" w:firstColumn="false"/>
            <w:tcW w:w="25.000000%" w:type="pct"/>
          </w:tcPr>
          <w:p>
            <w:pPr>
              <w:ind w:leftChars="0" w:left="0" w:right="0"/>
            </w:pPr>
            <w:r>
              <w:t>889</w:t>
            </w:r>
          </w:p>
        </w:tc>
      </w:tr>
      <w:tr>
        <w:trPr>
          <w:cnfStyle w:evenHBand="false" w:oddHBand="true" w:firstRow="false"/>
        </w:trPr>
        <w:tc>
          <w:tcPr>
            <w:cnfStyle w:evenVBand="false" w:oddVBand="true" w:firstColumn="false"/>
            <w:tcW w:w="25.000000%" w:type="pct"/>
          </w:tcPr>
          <w:p>
            <w:pPr>
              <w:ind w:leftChars="0" w:left="0" w:right="0"/>
            </w:pPr>
            <w:r>
              <w:t>ICAS</w:t>
            </w:r>
          </w:p>
        </w:tc>
        <w:tc>
          <w:tcPr>
            <w:cnfStyle w:evenVBand="true" w:oddVBand="false" w:firstColumn="false"/>
            <w:tcW w:w="25.000000%" w:type="pct"/>
          </w:tcPr>
          <w:p>
            <w:pPr>
              <w:ind w:leftChars="0" w:left="0" w:right="0"/>
            </w:pPr>
            <w:r>
              <w:t>ICAS</w:t>
            </w:r>
          </w:p>
        </w:tc>
        <w:tc>
          <w:tcPr>
            <w:cnfStyle w:evenVBand="false" w:oddVBand="true" w:firstColumn="false"/>
            <w:tcW w:w="25.000000%" w:type="pct"/>
          </w:tcPr>
          <w:p>
            <w:pPr>
              <w:ind w:leftChars="0" w:left="0" w:right="0"/>
            </w:pPr>
            <w:r>
              <w:t>ICAP ENERGY AS</w:t>
            </w:r>
          </w:p>
        </w:tc>
        <w:tc>
          <w:tcPr>
            <w:cnfStyle w:evenVBand="true" w:oddVBand="false" w:firstColumn="false"/>
            <w:tcW w:w="25.000000%" w:type="pct"/>
          </w:tcPr>
          <w:p>
            <w:pPr>
              <w:ind w:leftChars="0" w:left="0" w:right="0"/>
            </w:pPr>
            <w:r>
              <w:t>890</w:t>
            </w:r>
          </w:p>
        </w:tc>
      </w:tr>
      <w:tr>
        <w:trPr>
          <w:cnfStyle w:evenHBand="true" w:oddHBand="false" w:firstRow="false"/>
        </w:trPr>
        <w:tc>
          <w:tcPr>
            <w:cnfStyle w:evenVBand="false" w:oddVBand="true" w:firstColumn="false"/>
            <w:tcW w:w="25.000000%" w:type="pct"/>
          </w:tcPr>
          <w:p>
            <w:pPr>
              <w:ind w:leftChars="0" w:left="0" w:right="0"/>
            </w:pPr>
            <w:r>
              <w:t>ICAT</w:t>
            </w:r>
          </w:p>
        </w:tc>
        <w:tc>
          <w:tcPr>
            <w:cnfStyle w:evenVBand="true" w:oddVBand="false" w:firstColumn="false"/>
            <w:tcW w:w="25.000000%" w:type="pct"/>
          </w:tcPr>
          <w:p>
            <w:pPr>
              <w:ind w:leftChars="0" w:left="0" w:right="0"/>
            </w:pPr>
            <w:r>
              <w:t>ICAT</w:t>
            </w:r>
          </w:p>
        </w:tc>
        <w:tc>
          <w:tcPr>
            <w:cnfStyle w:evenVBand="false" w:oddVBand="true" w:firstColumn="false"/>
            <w:tcW w:w="25.000000%" w:type="pct"/>
          </w:tcPr>
          <w:p>
            <w:pPr>
              <w:ind w:leftChars="0" w:left="0" w:right="0"/>
            </w:pPr>
            <w:r>
              <w:t>ICAP HYDE TANKER DERIVATIVES LIMITED</w:t>
            </w:r>
          </w:p>
        </w:tc>
        <w:tc>
          <w:tcPr>
            <w:cnfStyle w:evenVBand="true" w:oddVBand="false" w:firstColumn="false"/>
            <w:tcW w:w="25.000000%" w:type="pct"/>
          </w:tcPr>
          <w:p>
            <w:pPr>
              <w:ind w:leftChars="0" w:left="0" w:right="0"/>
            </w:pPr>
            <w:r>
              <w:t>891</w:t>
            </w:r>
          </w:p>
        </w:tc>
      </w:tr>
      <w:tr>
        <w:trPr>
          <w:cnfStyle w:evenHBand="false" w:oddHBand="true" w:firstRow="false"/>
        </w:trPr>
        <w:tc>
          <w:tcPr>
            <w:cnfStyle w:evenVBand="false" w:oddVBand="true" w:firstColumn="false"/>
            <w:tcW w:w="25.000000%" w:type="pct"/>
          </w:tcPr>
          <w:p>
            <w:pPr>
              <w:ind w:leftChars="0" w:left="0" w:right="0"/>
            </w:pPr>
            <w:r>
              <w:t>ICBX</w:t>
            </w:r>
          </w:p>
        </w:tc>
        <w:tc>
          <w:tcPr>
            <w:cnfStyle w:evenVBand="true" w:oddVBand="false" w:firstColumn="false"/>
            <w:tcW w:w="25.000000%" w:type="pct"/>
          </w:tcPr>
          <w:p>
            <w:pPr>
              <w:ind w:leftChars="0" w:left="0" w:right="0"/>
            </w:pPr>
            <w:r>
              <w:t>ICBX</w:t>
            </w:r>
          </w:p>
        </w:tc>
        <w:tc>
          <w:tcPr>
            <w:cnfStyle w:evenVBand="false" w:oddVBand="true" w:firstColumn="false"/>
            <w:tcW w:w="25.000000%" w:type="pct"/>
          </w:tcPr>
          <w:p>
            <w:pPr>
              <w:ind w:leftChars="0" w:left="0" w:right="0"/>
            </w:pPr>
            <w:r>
              <w:t>INSTINET CBX (US)</w:t>
            </w:r>
          </w:p>
        </w:tc>
        <w:tc>
          <w:tcPr>
            <w:cnfStyle w:evenVBand="true" w:oddVBand="false" w:firstColumn="false"/>
            <w:tcW w:w="25.000000%" w:type="pct"/>
          </w:tcPr>
          <w:p>
            <w:pPr>
              <w:ind w:leftChars="0" w:left="0" w:right="0"/>
            </w:pPr>
            <w:r>
              <w:t>892</w:t>
            </w:r>
          </w:p>
        </w:tc>
      </w:tr>
      <w:tr>
        <w:trPr>
          <w:cnfStyle w:evenHBand="true" w:oddHBand="false" w:firstRow="false"/>
        </w:trPr>
        <w:tc>
          <w:tcPr>
            <w:cnfStyle w:evenVBand="false" w:oddVBand="true" w:firstColumn="false"/>
            <w:tcW w:w="25.000000%" w:type="pct"/>
          </w:tcPr>
          <w:p>
            <w:pPr>
              <w:ind w:leftChars="0" w:left="0" w:right="0"/>
            </w:pPr>
            <w:r>
              <w:t>ICDX</w:t>
            </w:r>
          </w:p>
        </w:tc>
        <w:tc>
          <w:tcPr>
            <w:cnfStyle w:evenVBand="true" w:oddVBand="false" w:firstColumn="false"/>
            <w:tcW w:w="25.000000%" w:type="pct"/>
          </w:tcPr>
          <w:p>
            <w:pPr>
              <w:ind w:leftChars="0" w:left="0" w:right="0"/>
            </w:pPr>
            <w:r>
              <w:t>ICDX</w:t>
            </w:r>
          </w:p>
        </w:tc>
        <w:tc>
          <w:tcPr>
            <w:cnfStyle w:evenVBand="false" w:oddVBand="true" w:firstColumn="false"/>
            <w:tcW w:w="25.000000%" w:type="pct"/>
          </w:tcPr>
          <w:p>
            <w:pPr>
              <w:ind w:leftChars="0" w:left="0" w:right="0"/>
            </w:pPr>
            <w:r>
              <w:t>INDONESIA COMMODITY AND DERIVATIVES EXCHANGE</w:t>
            </w:r>
          </w:p>
        </w:tc>
        <w:tc>
          <w:tcPr>
            <w:cnfStyle w:evenVBand="true" w:oddVBand="false" w:firstColumn="false"/>
            <w:tcW w:w="25.000000%" w:type="pct"/>
          </w:tcPr>
          <w:p>
            <w:pPr>
              <w:ind w:leftChars="0" w:left="0" w:right="0"/>
            </w:pPr>
            <w:r>
              <w:t>893</w:t>
            </w:r>
          </w:p>
        </w:tc>
      </w:tr>
      <w:tr>
        <w:trPr>
          <w:cnfStyle w:evenHBand="false" w:oddHBand="true" w:firstRow="false"/>
        </w:trPr>
        <w:tc>
          <w:tcPr>
            <w:cnfStyle w:evenVBand="false" w:oddVBand="true" w:firstColumn="false"/>
            <w:tcW w:w="25.000000%" w:type="pct"/>
          </w:tcPr>
          <w:p>
            <w:pPr>
              <w:ind w:leftChars="0" w:left="0" w:right="0"/>
            </w:pPr>
            <w:r>
              <w:t>ICEL</w:t>
            </w:r>
          </w:p>
        </w:tc>
        <w:tc>
          <w:tcPr>
            <w:cnfStyle w:evenVBand="true" w:oddVBand="false" w:firstColumn="false"/>
            <w:tcW w:w="25.000000%" w:type="pct"/>
          </w:tcPr>
          <w:p>
            <w:pPr>
              <w:ind w:leftChars="0" w:left="0" w:right="0"/>
            </w:pPr>
            <w:r>
              <w:t>ICEL</w:t>
            </w:r>
          </w:p>
        </w:tc>
        <w:tc>
          <w:tcPr>
            <w:cnfStyle w:evenVBand="false" w:oddVBand="true" w:firstColumn="false"/>
            <w:tcW w:w="25.000000%" w:type="pct"/>
          </w:tcPr>
          <w:p>
            <w:pPr>
              <w:ind w:leftChars="0" w:left="0" w:right="0"/>
            </w:pPr>
            <w:r>
              <w:t>ISLAND ECN LTD, THE</w:t>
            </w:r>
          </w:p>
        </w:tc>
        <w:tc>
          <w:tcPr>
            <w:cnfStyle w:evenVBand="true" w:oddVBand="false" w:firstColumn="false"/>
            <w:tcW w:w="25.000000%" w:type="pct"/>
          </w:tcPr>
          <w:p>
            <w:pPr>
              <w:ind w:leftChars="0" w:left="0" w:right="0"/>
            </w:pPr>
            <w:r>
              <w:t>894</w:t>
            </w:r>
          </w:p>
        </w:tc>
      </w:tr>
      <w:tr>
        <w:trPr>
          <w:cnfStyle w:evenHBand="true" w:oddHBand="false" w:firstRow="false"/>
        </w:trPr>
        <w:tc>
          <w:tcPr>
            <w:cnfStyle w:evenVBand="false" w:oddVBand="true" w:firstColumn="false"/>
            <w:tcW w:w="25.000000%" w:type="pct"/>
          </w:tcPr>
          <w:p>
            <w:pPr>
              <w:ind w:leftChars="0" w:left="0" w:right="0"/>
            </w:pPr>
            <w:r>
              <w:t>ICEN</w:t>
            </w:r>
          </w:p>
        </w:tc>
        <w:tc>
          <w:tcPr>
            <w:cnfStyle w:evenVBand="true" w:oddVBand="false" w:firstColumn="false"/>
            <w:tcW w:w="25.000000%" w:type="pct"/>
          </w:tcPr>
          <w:p>
            <w:pPr>
              <w:ind w:leftChars="0" w:left="0" w:right="0"/>
            </w:pPr>
            <w:r>
              <w:t>ICEN</w:t>
            </w:r>
          </w:p>
        </w:tc>
        <w:tc>
          <w:tcPr>
            <w:cnfStyle w:evenVBand="false" w:oddVBand="true" w:firstColumn="false"/>
            <w:tcW w:w="25.000000%" w:type="pct"/>
          </w:tcPr>
          <w:p>
            <w:pPr>
              <w:ind w:leftChars="0" w:left="0" w:right="0"/>
            </w:pPr>
            <w:r>
              <w:t>ICAP ENERGY</w:t>
            </w:r>
          </w:p>
        </w:tc>
        <w:tc>
          <w:tcPr>
            <w:cnfStyle w:evenVBand="true" w:oddVBand="false" w:firstColumn="false"/>
            <w:tcW w:w="25.000000%" w:type="pct"/>
          </w:tcPr>
          <w:p>
            <w:pPr>
              <w:ind w:leftChars="0" w:left="0" w:right="0"/>
            </w:pPr>
            <w:r>
              <w:t>895</w:t>
            </w:r>
          </w:p>
        </w:tc>
      </w:tr>
      <w:tr>
        <w:trPr>
          <w:cnfStyle w:evenHBand="false" w:oddHBand="true" w:firstRow="false"/>
        </w:trPr>
        <w:tc>
          <w:tcPr>
            <w:cnfStyle w:evenVBand="false" w:oddVBand="true" w:firstColumn="false"/>
            <w:tcW w:w="25.000000%" w:type="pct"/>
          </w:tcPr>
          <w:p>
            <w:pPr>
              <w:ind w:leftChars="0" w:left="0" w:right="0"/>
            </w:pPr>
            <w:r>
              <w:t>ICEO</w:t>
            </w:r>
          </w:p>
        </w:tc>
        <w:tc>
          <w:tcPr>
            <w:cnfStyle w:evenVBand="true" w:oddVBand="false" w:firstColumn="false"/>
            <w:tcW w:w="25.000000%" w:type="pct"/>
          </w:tcPr>
          <w:p>
            <w:pPr>
              <w:ind w:leftChars="0" w:left="0" w:right="0"/>
            </w:pPr>
            <w:r>
              <w:t>ICEO</w:t>
            </w:r>
          </w:p>
        </w:tc>
        <w:tc>
          <w:tcPr>
            <w:cnfStyle w:evenVBand="false" w:oddVBand="true" w:firstColumn="false"/>
            <w:tcW w:w="25.000000%" w:type="pct"/>
          </w:tcPr>
          <w:p>
            <w:pPr>
              <w:ind w:leftChars="0" w:left="0" w:right="0"/>
            </w:pPr>
            <w:r>
              <w:t>ICAP ENERGY - OTF</w:t>
            </w:r>
          </w:p>
        </w:tc>
        <w:tc>
          <w:tcPr>
            <w:cnfStyle w:evenVBand="true" w:oddVBand="false" w:firstColumn="false"/>
            <w:tcW w:w="25.000000%" w:type="pct"/>
          </w:tcPr>
          <w:p>
            <w:pPr>
              <w:ind w:leftChars="0" w:left="0" w:right="0"/>
            </w:pPr>
            <w:r>
              <w:t>896</w:t>
            </w:r>
          </w:p>
        </w:tc>
      </w:tr>
      <w:tr>
        <w:trPr>
          <w:cnfStyle w:evenHBand="true" w:oddHBand="false" w:firstRow="false"/>
        </w:trPr>
        <w:tc>
          <w:tcPr>
            <w:cnfStyle w:evenVBand="false" w:oddVBand="true" w:firstColumn="false"/>
            <w:tcW w:w="25.000000%" w:type="pct"/>
          </w:tcPr>
          <w:p>
            <w:pPr>
              <w:ind w:leftChars="0" w:left="0" w:right="0"/>
            </w:pPr>
            <w:r>
              <w:t>ICES</w:t>
            </w:r>
          </w:p>
        </w:tc>
        <w:tc>
          <w:tcPr>
            <w:cnfStyle w:evenVBand="true" w:oddVBand="false" w:firstColumn="false"/>
            <w:tcW w:w="25.000000%" w:type="pct"/>
          </w:tcPr>
          <w:p>
            <w:pPr>
              <w:ind w:leftChars="0" w:left="0" w:right="0"/>
            </w:pPr>
            <w:r>
              <w:t>ICES</w:t>
            </w:r>
          </w:p>
        </w:tc>
        <w:tc>
          <w:tcPr>
            <w:cnfStyle w:evenVBand="false" w:oddVBand="true" w:firstColumn="false"/>
            <w:tcW w:w="25.000000%" w:type="pct"/>
          </w:tcPr>
          <w:p>
            <w:pPr>
              <w:ind w:leftChars="0" w:left="0" w:right="0"/>
            </w:pPr>
            <w:r>
              <w:t>ICE SWAP TRADE LLC</w:t>
            </w:r>
          </w:p>
        </w:tc>
        <w:tc>
          <w:tcPr>
            <w:cnfStyle w:evenVBand="true" w:oddVBand="false" w:firstColumn="false"/>
            <w:tcW w:w="25.000000%" w:type="pct"/>
          </w:tcPr>
          <w:p>
            <w:pPr>
              <w:ind w:leftChars="0" w:left="0" w:right="0"/>
            </w:pPr>
            <w:r>
              <w:t>897</w:t>
            </w:r>
          </w:p>
        </w:tc>
      </w:tr>
      <w:tr>
        <w:trPr>
          <w:cnfStyle w:evenHBand="false" w:oddHBand="true" w:firstRow="false"/>
        </w:trPr>
        <w:tc>
          <w:tcPr>
            <w:cnfStyle w:evenVBand="false" w:oddVBand="true" w:firstColumn="false"/>
            <w:tcW w:w="25.000000%" w:type="pct"/>
          </w:tcPr>
          <w:p>
            <w:pPr>
              <w:ind w:leftChars="0" w:left="0" w:right="0"/>
            </w:pPr>
            <w:r>
              <w:t>ICEU</w:t>
            </w:r>
          </w:p>
        </w:tc>
        <w:tc>
          <w:tcPr>
            <w:cnfStyle w:evenVBand="true" w:oddVBand="false" w:firstColumn="false"/>
            <w:tcW w:w="25.000000%" w:type="pct"/>
          </w:tcPr>
          <w:p>
            <w:pPr>
              <w:ind w:leftChars="0" w:left="0" w:right="0"/>
            </w:pPr>
            <w:r>
              <w:t>ICEU</w:t>
            </w:r>
          </w:p>
        </w:tc>
        <w:tc>
          <w:tcPr>
            <w:cnfStyle w:evenVBand="false" w:oddVBand="true" w:firstColumn="false"/>
            <w:tcW w:w="25.000000%" w:type="pct"/>
          </w:tcPr>
          <w:p>
            <w:pPr>
              <w:ind w:leftChars="0" w:left="0" w:right="0"/>
            </w:pPr>
            <w:r>
              <w:t>INTERCONTINENTAL EXCHANGE - ICE FUTURES EUROPE</w:t>
            </w:r>
          </w:p>
        </w:tc>
        <w:tc>
          <w:tcPr>
            <w:cnfStyle w:evenVBand="true" w:oddVBand="false" w:firstColumn="false"/>
            <w:tcW w:w="25.000000%" w:type="pct"/>
          </w:tcPr>
          <w:p>
            <w:pPr>
              <w:ind w:leftChars="0" w:left="0" w:right="0"/>
            </w:pPr>
            <w:r>
              <w:t>898</w:t>
            </w:r>
          </w:p>
        </w:tc>
      </w:tr>
      <w:tr>
        <w:trPr>
          <w:cnfStyle w:evenHBand="true" w:oddHBand="false" w:firstRow="false"/>
        </w:trPr>
        <w:tc>
          <w:tcPr>
            <w:cnfStyle w:evenVBand="false" w:oddVBand="true" w:firstColumn="false"/>
            <w:tcW w:w="25.000000%" w:type="pct"/>
          </w:tcPr>
          <w:p>
            <w:pPr>
              <w:ind w:leftChars="0" w:left="0" w:right="0"/>
            </w:pPr>
            <w:r>
              <w:t>ICHK</w:t>
            </w:r>
          </w:p>
        </w:tc>
        <w:tc>
          <w:tcPr>
            <w:cnfStyle w:evenVBand="true" w:oddVBand="false" w:firstColumn="false"/>
            <w:tcW w:w="25.000000%" w:type="pct"/>
          </w:tcPr>
          <w:p>
            <w:pPr>
              <w:ind w:leftChars="0" w:left="0" w:right="0"/>
            </w:pPr>
            <w:r>
              <w:t>ICHK</w:t>
            </w:r>
          </w:p>
        </w:tc>
        <w:tc>
          <w:tcPr>
            <w:cnfStyle w:evenVBand="false" w:oddVBand="true" w:firstColumn="false"/>
            <w:tcW w:w="25.000000%" w:type="pct"/>
          </w:tcPr>
          <w:p>
            <w:pPr>
              <w:ind w:leftChars="0" w:left="0" w:right="0"/>
            </w:pPr>
            <w:r>
              <w:t>NOMURA ICE  - HK</w:t>
            </w:r>
          </w:p>
        </w:tc>
        <w:tc>
          <w:tcPr>
            <w:cnfStyle w:evenVBand="true" w:oddVBand="false" w:firstColumn="false"/>
            <w:tcW w:w="25.000000%" w:type="pct"/>
          </w:tcPr>
          <w:p>
            <w:pPr>
              <w:ind w:leftChars="0" w:left="0" w:right="0"/>
            </w:pPr>
            <w:r>
              <w:t>899</w:t>
            </w:r>
          </w:p>
        </w:tc>
      </w:tr>
      <w:tr>
        <w:trPr>
          <w:cnfStyle w:evenHBand="false" w:oddHBand="true" w:firstRow="false"/>
        </w:trPr>
        <w:tc>
          <w:tcPr>
            <w:cnfStyle w:evenVBand="false" w:oddVBand="true" w:firstColumn="false"/>
            <w:tcW w:w="25.000000%" w:type="pct"/>
          </w:tcPr>
          <w:p>
            <w:pPr>
              <w:ind w:leftChars="0" w:left="0" w:right="0"/>
            </w:pPr>
            <w:r>
              <w:t>ICKR</w:t>
            </w:r>
          </w:p>
        </w:tc>
        <w:tc>
          <w:tcPr>
            <w:cnfStyle w:evenVBand="true" w:oddVBand="false" w:firstColumn="false"/>
            <w:tcW w:w="25.000000%" w:type="pct"/>
          </w:tcPr>
          <w:p>
            <w:pPr>
              <w:ind w:leftChars="0" w:left="0" w:right="0"/>
            </w:pPr>
            <w:r>
              <w:t>ICKR</w:t>
            </w:r>
          </w:p>
        </w:tc>
        <w:tc>
          <w:tcPr>
            <w:cnfStyle w:evenVBand="false" w:oddVBand="true" w:firstColumn="false"/>
            <w:tcW w:w="25.000000%" w:type="pct"/>
          </w:tcPr>
          <w:p>
            <w:pPr>
              <w:ind w:leftChars="0" w:left="0" w:right="0"/>
            </w:pPr>
            <w:r>
              <w:t>NOMURA ICE  - KR</w:t>
            </w:r>
          </w:p>
        </w:tc>
        <w:tc>
          <w:tcPr>
            <w:cnfStyle w:evenVBand="true" w:oddVBand="false" w:firstColumn="false"/>
            <w:tcW w:w="25.000000%" w:type="pct"/>
          </w:tcPr>
          <w:p>
            <w:pPr>
              <w:ind w:leftChars="0" w:left="0" w:right="0"/>
            </w:pPr>
            <w:r>
              <w:t>900</w:t>
            </w:r>
          </w:p>
        </w:tc>
      </w:tr>
      <w:tr>
        <w:trPr>
          <w:cnfStyle w:evenHBand="true" w:oddHBand="false" w:firstRow="false"/>
        </w:trPr>
        <w:tc>
          <w:tcPr>
            <w:cnfStyle w:evenVBand="false" w:oddVBand="true" w:firstColumn="false"/>
            <w:tcW w:w="25.000000%" w:type="pct"/>
          </w:tcPr>
          <w:p>
            <w:pPr>
              <w:ind w:leftChars="0" w:left="0" w:right="0"/>
            </w:pPr>
            <w:r>
              <w:t>ICOR</w:t>
            </w:r>
          </w:p>
        </w:tc>
        <w:tc>
          <w:tcPr>
            <w:cnfStyle w:evenVBand="true" w:oddVBand="false" w:firstColumn="false"/>
            <w:tcW w:w="25.000000%" w:type="pct"/>
          </w:tcPr>
          <w:p>
            <w:pPr>
              <w:ind w:leftChars="0" w:left="0" w:right="0"/>
            </w:pPr>
            <w:r>
              <w:t>ICOR</w:t>
            </w:r>
          </w:p>
        </w:tc>
        <w:tc>
          <w:tcPr>
            <w:cnfStyle w:evenVBand="false" w:oddVBand="true" w:firstColumn="false"/>
            <w:tcW w:w="25.000000%" w:type="pct"/>
          </w:tcPr>
          <w:p>
            <w:pPr>
              <w:ind w:leftChars="0" w:left="0" w:right="0"/>
            </w:pPr>
            <w:r>
              <w:t>ICAP EU -  OTF - REGISTRATION</w:t>
            </w:r>
          </w:p>
        </w:tc>
        <w:tc>
          <w:tcPr>
            <w:cnfStyle w:evenVBand="true" w:oddVBand="false" w:firstColumn="false"/>
            <w:tcW w:w="25.000000%" w:type="pct"/>
          </w:tcPr>
          <w:p>
            <w:pPr>
              <w:ind w:leftChars="0" w:left="0" w:right="0"/>
            </w:pPr>
            <w:r>
              <w:t>901</w:t>
            </w:r>
          </w:p>
        </w:tc>
      </w:tr>
      <w:tr>
        <w:trPr>
          <w:cnfStyle w:evenHBand="false" w:oddHBand="true" w:firstRow="false"/>
        </w:trPr>
        <w:tc>
          <w:tcPr>
            <w:cnfStyle w:evenVBand="false" w:oddVBand="true" w:firstColumn="false"/>
            <w:tcW w:w="25.000000%" w:type="pct"/>
          </w:tcPr>
          <w:p>
            <w:pPr>
              <w:ind w:leftChars="0" w:left="0" w:right="0"/>
            </w:pPr>
            <w:r>
              <w:t>ICOT</w:t>
            </w:r>
          </w:p>
        </w:tc>
        <w:tc>
          <w:tcPr>
            <w:cnfStyle w:evenVBand="true" w:oddVBand="false" w:firstColumn="false"/>
            <w:tcW w:w="25.000000%" w:type="pct"/>
          </w:tcPr>
          <w:p>
            <w:pPr>
              <w:ind w:leftChars="0" w:left="0" w:right="0"/>
            </w:pPr>
            <w:r>
              <w:t>ICOT</w:t>
            </w:r>
          </w:p>
        </w:tc>
        <w:tc>
          <w:tcPr>
            <w:cnfStyle w:evenVBand="false" w:oddVBand="true" w:firstColumn="false"/>
            <w:tcW w:w="25.000000%" w:type="pct"/>
          </w:tcPr>
          <w:p>
            <w:pPr>
              <w:ind w:leftChars="0" w:left="0" w:right="0"/>
            </w:pPr>
            <w:r>
              <w:t>ICAP EU - OTF</w:t>
            </w:r>
          </w:p>
        </w:tc>
        <w:tc>
          <w:tcPr>
            <w:cnfStyle w:evenVBand="true" w:oddVBand="false" w:firstColumn="false"/>
            <w:tcW w:w="25.000000%" w:type="pct"/>
          </w:tcPr>
          <w:p>
            <w:pPr>
              <w:ind w:leftChars="0" w:left="0" w:right="0"/>
            </w:pPr>
            <w:r>
              <w:t>902</w:t>
            </w:r>
          </w:p>
        </w:tc>
      </w:tr>
      <w:tr>
        <w:trPr>
          <w:cnfStyle w:evenHBand="true" w:oddHBand="false" w:firstRow="false"/>
        </w:trPr>
        <w:tc>
          <w:tcPr>
            <w:cnfStyle w:evenVBand="false" w:oddVBand="true" w:firstColumn="false"/>
            <w:tcW w:w="25.000000%" w:type="pct"/>
          </w:tcPr>
          <w:p>
            <w:pPr>
              <w:ind w:leftChars="0" w:left="0" w:right="0"/>
            </w:pPr>
            <w:r>
              <w:t>ICPM</w:t>
            </w:r>
          </w:p>
        </w:tc>
        <w:tc>
          <w:tcPr>
            <w:cnfStyle w:evenVBand="true" w:oddVBand="false" w:firstColumn="false"/>
            <w:tcW w:w="25.000000%" w:type="pct"/>
          </w:tcPr>
          <w:p>
            <w:pPr>
              <w:ind w:leftChars="0" w:left="0" w:right="0"/>
            </w:pPr>
            <w:r>
              <w:t>ICPM</w:t>
            </w:r>
          </w:p>
        </w:tc>
        <w:tc>
          <w:tcPr>
            <w:cnfStyle w:evenVBand="false" w:oddVBand="true" w:firstColumn="false"/>
            <w:tcW w:w="25.000000%" w:type="pct"/>
          </w:tcPr>
          <w:p>
            <w:pPr>
              <w:ind w:leftChars="0" w:left="0" w:right="0"/>
            </w:pPr>
            <w:r>
              <w:t>TP ICAP UK MTF</w:t>
            </w:r>
          </w:p>
        </w:tc>
        <w:tc>
          <w:tcPr>
            <w:cnfStyle w:evenVBand="true" w:oddVBand="false" w:firstColumn="false"/>
            <w:tcW w:w="25.000000%" w:type="pct"/>
          </w:tcPr>
          <w:p>
            <w:pPr>
              <w:ind w:leftChars="0" w:left="0" w:right="0"/>
            </w:pPr>
            <w:r>
              <w:t>903</w:t>
            </w:r>
          </w:p>
        </w:tc>
      </w:tr>
      <w:tr>
        <w:trPr>
          <w:cnfStyle w:evenHBand="false" w:oddHBand="true" w:firstRow="false"/>
        </w:trPr>
        <w:tc>
          <w:tcPr>
            <w:cnfStyle w:evenVBand="false" w:oddVBand="true" w:firstColumn="false"/>
            <w:tcW w:w="25.000000%" w:type="pct"/>
          </w:tcPr>
          <w:p>
            <w:pPr>
              <w:ind w:leftChars="0" w:left="0" w:right="0"/>
            </w:pPr>
            <w:r>
              <w:t>ICRO</w:t>
            </w:r>
          </w:p>
        </w:tc>
        <w:tc>
          <w:tcPr>
            <w:cnfStyle w:evenVBand="true" w:oddVBand="false" w:firstColumn="false"/>
            <w:tcW w:w="25.000000%" w:type="pct"/>
          </w:tcPr>
          <w:p>
            <w:pPr>
              <w:ind w:leftChars="0" w:left="0" w:right="0"/>
            </w:pPr>
            <w:r>
              <w:t>ICRO</w:t>
            </w:r>
          </w:p>
        </w:tc>
        <w:tc>
          <w:tcPr>
            <w:cnfStyle w:evenVBand="false" w:oddVBand="true" w:firstColumn="false"/>
            <w:tcW w:w="25.000000%" w:type="pct"/>
          </w:tcPr>
          <w:p>
            <w:pPr>
              <w:ind w:leftChars="0" w:left="0" w:right="0"/>
            </w:pPr>
            <w:r>
              <w:t>INSTINET VWAP CROSS</w:t>
            </w:r>
          </w:p>
        </w:tc>
        <w:tc>
          <w:tcPr>
            <w:cnfStyle w:evenVBand="true" w:oddVBand="false" w:firstColumn="false"/>
            <w:tcW w:w="25.000000%" w:type="pct"/>
          </w:tcPr>
          <w:p>
            <w:pPr>
              <w:ind w:leftChars="0" w:left="0" w:right="0"/>
            </w:pPr>
            <w:r>
              <w:t>904</w:t>
            </w:r>
          </w:p>
        </w:tc>
      </w:tr>
      <w:tr>
        <w:trPr>
          <w:cnfStyle w:evenHBand="true" w:oddHBand="false" w:firstRow="false"/>
        </w:trPr>
        <w:tc>
          <w:tcPr>
            <w:cnfStyle w:evenVBand="false" w:oddVBand="true" w:firstColumn="false"/>
            <w:tcW w:w="25.000000%" w:type="pct"/>
          </w:tcPr>
          <w:p>
            <w:pPr>
              <w:ind w:leftChars="0" w:left="0" w:right="0"/>
            </w:pPr>
            <w:r>
              <w:t>ICSE</w:t>
            </w:r>
          </w:p>
        </w:tc>
        <w:tc>
          <w:tcPr>
            <w:cnfStyle w:evenVBand="true" w:oddVBand="false" w:firstColumn="false"/>
            <w:tcW w:w="25.000000%" w:type="pct"/>
          </w:tcPr>
          <w:p>
            <w:pPr>
              <w:ind w:leftChars="0" w:left="0" w:right="0"/>
            </w:pPr>
            <w:r>
              <w:t>ICSE</w:t>
            </w:r>
          </w:p>
        </w:tc>
        <w:tc>
          <w:tcPr>
            <w:cnfStyle w:evenVBand="false" w:oddVBand="true" w:firstColumn="false"/>
            <w:tcW w:w="25.000000%" w:type="pct"/>
          </w:tcPr>
          <w:p>
            <w:pPr>
              <w:ind w:leftChars="0" w:left="0" w:right="0"/>
            </w:pPr>
            <w:r>
              <w:t>ICAP SECURITIES</w:t>
            </w:r>
          </w:p>
        </w:tc>
        <w:tc>
          <w:tcPr>
            <w:cnfStyle w:evenVBand="true" w:oddVBand="false" w:firstColumn="false"/>
            <w:tcW w:w="25.000000%" w:type="pct"/>
          </w:tcPr>
          <w:p>
            <w:pPr>
              <w:ind w:leftChars="0" w:left="0" w:right="0"/>
            </w:pPr>
            <w:r>
              <w:t>905</w:t>
            </w:r>
          </w:p>
        </w:tc>
      </w:tr>
      <w:tr>
        <w:trPr>
          <w:cnfStyle w:evenHBand="false" w:oddHBand="true" w:firstRow="false"/>
        </w:trPr>
        <w:tc>
          <w:tcPr>
            <w:cnfStyle w:evenVBand="false" w:oddVBand="true" w:firstColumn="false"/>
            <w:tcW w:w="25.000000%" w:type="pct"/>
          </w:tcPr>
          <w:p>
            <w:pPr>
              <w:ind w:leftChars="0" w:left="0" w:right="0"/>
            </w:pPr>
            <w:r>
              <w:t>ICSH</w:t>
            </w:r>
          </w:p>
        </w:tc>
        <w:tc>
          <w:tcPr>
            <w:cnfStyle w:evenVBand="true" w:oddVBand="false" w:firstColumn="false"/>
            <w:tcW w:w="25.000000%" w:type="pct"/>
          </w:tcPr>
          <w:p>
            <w:pPr>
              <w:ind w:leftChars="0" w:left="0" w:right="0"/>
            </w:pPr>
            <w:r>
              <w:t>ICSH</w:t>
            </w:r>
          </w:p>
        </w:tc>
        <w:tc>
          <w:tcPr>
            <w:cnfStyle w:evenVBand="false" w:oddVBand="true" w:firstColumn="false"/>
            <w:tcW w:w="25.000000%" w:type="pct"/>
          </w:tcPr>
          <w:p>
            <w:pPr>
              <w:ind w:leftChars="0" w:left="0" w:right="0"/>
            </w:pPr>
            <w:r>
              <w:t>NOMURA ICE  - SH</w:t>
            </w:r>
          </w:p>
        </w:tc>
        <w:tc>
          <w:tcPr>
            <w:cnfStyle w:evenVBand="true" w:oddVBand="false" w:firstColumn="false"/>
            <w:tcW w:w="25.000000%" w:type="pct"/>
          </w:tcPr>
          <w:p>
            <w:pPr>
              <w:ind w:leftChars="0" w:left="0" w:right="0"/>
            </w:pPr>
            <w:r>
              <w:t>906</w:t>
            </w:r>
          </w:p>
        </w:tc>
      </w:tr>
      <w:tr>
        <w:trPr>
          <w:cnfStyle w:evenHBand="true" w:oddHBand="false" w:firstRow="false"/>
        </w:trPr>
        <w:tc>
          <w:tcPr>
            <w:cnfStyle w:evenVBand="false" w:oddVBand="true" w:firstColumn="false"/>
            <w:tcW w:w="25.000000%" w:type="pct"/>
          </w:tcPr>
          <w:p>
            <w:pPr>
              <w:ind w:leftChars="0" w:left="0" w:right="0"/>
            </w:pPr>
            <w:r>
              <w:t>ICSU</w:t>
            </w:r>
          </w:p>
        </w:tc>
        <w:tc>
          <w:tcPr>
            <w:cnfStyle w:evenVBand="true" w:oddVBand="false" w:firstColumn="false"/>
            <w:tcW w:w="25.000000%" w:type="pct"/>
          </w:tcPr>
          <w:p>
            <w:pPr>
              <w:ind w:leftChars="0" w:left="0" w:right="0"/>
            </w:pPr>
            <w:r>
              <w:t>ICSU</w:t>
            </w:r>
          </w:p>
        </w:tc>
        <w:tc>
          <w:tcPr>
            <w:cnfStyle w:evenVBand="false" w:oddVBand="true" w:firstColumn="false"/>
            <w:tcW w:w="25.000000%" w:type="pct"/>
          </w:tcPr>
          <w:p>
            <w:pPr>
              <w:ind w:leftChars="0" w:left="0" w:right="0"/>
            </w:pPr>
            <w:r>
              <w:t>ICAP SEF (US)  LLC.</w:t>
            </w:r>
          </w:p>
        </w:tc>
        <w:tc>
          <w:tcPr>
            <w:cnfStyle w:evenVBand="true" w:oddVBand="false" w:firstColumn="false"/>
            <w:tcW w:w="25.000000%" w:type="pct"/>
          </w:tcPr>
          <w:p>
            <w:pPr>
              <w:ind w:leftChars="0" w:left="0" w:right="0"/>
            </w:pPr>
            <w:r>
              <w:t>907</w:t>
            </w:r>
          </w:p>
        </w:tc>
      </w:tr>
      <w:tr>
        <w:trPr>
          <w:cnfStyle w:evenHBand="false" w:oddHBand="true" w:firstRow="false"/>
        </w:trPr>
        <w:tc>
          <w:tcPr>
            <w:cnfStyle w:evenVBand="false" w:oddVBand="true" w:firstColumn="false"/>
            <w:tcW w:w="25.000000%" w:type="pct"/>
          </w:tcPr>
          <w:p>
            <w:pPr>
              <w:ind w:leftChars="0" w:left="0" w:right="0"/>
            </w:pPr>
            <w:r>
              <w:t>ICSZ</w:t>
            </w:r>
          </w:p>
        </w:tc>
        <w:tc>
          <w:tcPr>
            <w:cnfStyle w:evenVBand="true" w:oddVBand="false" w:firstColumn="false"/>
            <w:tcW w:w="25.000000%" w:type="pct"/>
          </w:tcPr>
          <w:p>
            <w:pPr>
              <w:ind w:leftChars="0" w:left="0" w:right="0"/>
            </w:pPr>
            <w:r>
              <w:t>ICSZ</w:t>
            </w:r>
          </w:p>
        </w:tc>
        <w:tc>
          <w:tcPr>
            <w:cnfStyle w:evenVBand="false" w:oddVBand="true" w:firstColumn="false"/>
            <w:tcW w:w="25.000000%" w:type="pct"/>
          </w:tcPr>
          <w:p>
            <w:pPr>
              <w:ind w:leftChars="0" w:left="0" w:right="0"/>
            </w:pPr>
            <w:r>
              <w:t>NOMURA ICE  - SZ</w:t>
            </w:r>
          </w:p>
        </w:tc>
        <w:tc>
          <w:tcPr>
            <w:cnfStyle w:evenVBand="true" w:oddVBand="false" w:firstColumn="false"/>
            <w:tcW w:w="25.000000%" w:type="pct"/>
          </w:tcPr>
          <w:p>
            <w:pPr>
              <w:ind w:leftChars="0" w:left="0" w:right="0"/>
            </w:pPr>
            <w:r>
              <w:t>908</w:t>
            </w:r>
          </w:p>
        </w:tc>
      </w:tr>
      <w:tr>
        <w:trPr>
          <w:cnfStyle w:evenHBand="true" w:oddHBand="false" w:firstRow="false"/>
        </w:trPr>
        <w:tc>
          <w:tcPr>
            <w:cnfStyle w:evenVBand="false" w:oddVBand="true" w:firstColumn="false"/>
            <w:tcW w:w="25.000000%" w:type="pct"/>
          </w:tcPr>
          <w:p>
            <w:pPr>
              <w:ind w:leftChars="0" w:left="0" w:right="0"/>
            </w:pPr>
            <w:r>
              <w:t>ICTQ</w:t>
            </w:r>
          </w:p>
        </w:tc>
        <w:tc>
          <w:tcPr>
            <w:cnfStyle w:evenVBand="true" w:oddVBand="false" w:firstColumn="false"/>
            <w:tcW w:w="25.000000%" w:type="pct"/>
          </w:tcPr>
          <w:p>
            <w:pPr>
              <w:ind w:leftChars="0" w:left="0" w:right="0"/>
            </w:pPr>
            <w:r>
              <w:t>ICTQ</w:t>
            </w:r>
          </w:p>
        </w:tc>
        <w:tc>
          <w:tcPr>
            <w:cnfStyle w:evenVBand="false" w:oddVBand="true" w:firstColumn="false"/>
            <w:tcW w:w="25.000000%" w:type="pct"/>
          </w:tcPr>
          <w:p>
            <w:pPr>
              <w:ind w:leftChars="0" w:left="0" w:right="0"/>
            </w:pPr>
            <w:r>
              <w:t>ICAP TRUEQUOTE</w:t>
            </w:r>
          </w:p>
        </w:tc>
        <w:tc>
          <w:tcPr>
            <w:cnfStyle w:evenVBand="true" w:oddVBand="false" w:firstColumn="false"/>
            <w:tcW w:w="25.000000%" w:type="pct"/>
          </w:tcPr>
          <w:p>
            <w:pPr>
              <w:ind w:leftChars="0" w:left="0" w:right="0"/>
            </w:pPr>
            <w:r>
              <w:t>909</w:t>
            </w:r>
          </w:p>
        </w:tc>
      </w:tr>
      <w:tr>
        <w:trPr>
          <w:cnfStyle w:evenHBand="false" w:oddHBand="true" w:firstRow="false"/>
        </w:trPr>
        <w:tc>
          <w:tcPr>
            <w:cnfStyle w:evenVBand="false" w:oddVBand="true" w:firstColumn="false"/>
            <w:tcW w:w="25.000000%" w:type="pct"/>
          </w:tcPr>
          <w:p>
            <w:pPr>
              <w:ind w:leftChars="0" w:left="0" w:right="0"/>
            </w:pPr>
            <w:r>
              <w:t>ICTW</w:t>
            </w:r>
          </w:p>
        </w:tc>
        <w:tc>
          <w:tcPr>
            <w:cnfStyle w:evenVBand="true" w:oddVBand="false" w:firstColumn="false"/>
            <w:tcW w:w="25.000000%" w:type="pct"/>
          </w:tcPr>
          <w:p>
            <w:pPr>
              <w:ind w:leftChars="0" w:left="0" w:right="0"/>
            </w:pPr>
            <w:r>
              <w:t>ICTW</w:t>
            </w:r>
          </w:p>
        </w:tc>
        <w:tc>
          <w:tcPr>
            <w:cnfStyle w:evenVBand="false" w:oddVBand="true" w:firstColumn="false"/>
            <w:tcW w:w="25.000000%" w:type="pct"/>
          </w:tcPr>
          <w:p>
            <w:pPr>
              <w:ind w:leftChars="0" w:left="0" w:right="0"/>
            </w:pPr>
            <w:r>
              <w:t>NOMURA ICE  - TW</w:t>
            </w:r>
          </w:p>
        </w:tc>
        <w:tc>
          <w:tcPr>
            <w:cnfStyle w:evenVBand="true" w:oddVBand="false" w:firstColumn="false"/>
            <w:tcW w:w="25.000000%" w:type="pct"/>
          </w:tcPr>
          <w:p>
            <w:pPr>
              <w:ind w:leftChars="0" w:left="0" w:right="0"/>
            </w:pPr>
            <w:r>
              <w:t>910</w:t>
            </w:r>
          </w:p>
        </w:tc>
      </w:tr>
      <w:tr>
        <w:trPr>
          <w:cnfStyle w:evenHBand="true" w:oddHBand="false" w:firstRow="false"/>
        </w:trPr>
        <w:tc>
          <w:tcPr>
            <w:cnfStyle w:evenVBand="false" w:oddVBand="true" w:firstColumn="false"/>
            <w:tcW w:w="25.000000%" w:type="pct"/>
          </w:tcPr>
          <w:p>
            <w:pPr>
              <w:ind w:leftChars="0" w:left="0" w:right="0"/>
            </w:pPr>
            <w:r>
              <w:t>ICUR</w:t>
            </w:r>
          </w:p>
        </w:tc>
        <w:tc>
          <w:tcPr>
            <w:cnfStyle w:evenVBand="true" w:oddVBand="false" w:firstColumn="false"/>
            <w:tcW w:w="25.000000%" w:type="pct"/>
          </w:tcPr>
          <w:p>
            <w:pPr>
              <w:ind w:leftChars="0" w:left="0" w:right="0"/>
            </w:pPr>
            <w:r>
              <w:t>ICUR</w:t>
            </w:r>
          </w:p>
        </w:tc>
        <w:tc>
          <w:tcPr>
            <w:cnfStyle w:evenVBand="false" w:oddVBand="true" w:firstColumn="false"/>
            <w:tcW w:w="25.000000%" w:type="pct"/>
          </w:tcPr>
          <w:p>
            <w:pPr>
              <w:ind w:leftChars="0" w:left="0" w:right="0"/>
            </w:pPr>
            <w:r>
              <w:t>CURRENEX IRELAND MTF</w:t>
            </w:r>
          </w:p>
        </w:tc>
        <w:tc>
          <w:tcPr>
            <w:cnfStyle w:evenVBand="true" w:oddVBand="false" w:firstColumn="false"/>
            <w:tcW w:w="25.000000%" w:type="pct"/>
          </w:tcPr>
          <w:p>
            <w:pPr>
              <w:ind w:leftChars="0" w:left="0" w:right="0"/>
            </w:pPr>
            <w:r>
              <w:t>911</w:t>
            </w:r>
          </w:p>
        </w:tc>
      </w:tr>
      <w:tr>
        <w:trPr>
          <w:cnfStyle w:evenHBand="false" w:oddHBand="true" w:firstRow="false"/>
        </w:trPr>
        <w:tc>
          <w:tcPr>
            <w:cnfStyle w:evenVBand="false" w:oddVBand="true" w:firstColumn="false"/>
            <w:tcW w:w="25.000000%" w:type="pct"/>
          </w:tcPr>
          <w:p>
            <w:pPr>
              <w:ind w:leftChars="0" w:left="0" w:right="0"/>
            </w:pPr>
            <w:r>
              <w:t>ICUS</w:t>
            </w:r>
          </w:p>
        </w:tc>
        <w:tc>
          <w:tcPr>
            <w:cnfStyle w:evenVBand="true" w:oddVBand="false" w:firstColumn="false"/>
            <w:tcW w:w="25.000000%" w:type="pct"/>
          </w:tcPr>
          <w:p>
            <w:pPr>
              <w:ind w:leftChars="0" w:left="0" w:right="0"/>
            </w:pPr>
            <w:r>
              <w:t>ICUS</w:t>
            </w:r>
          </w:p>
        </w:tc>
        <w:tc>
          <w:tcPr>
            <w:cnfStyle w:evenVBand="false" w:oddVBand="true" w:firstColumn="false"/>
            <w:tcW w:w="25.000000%" w:type="pct"/>
          </w:tcPr>
          <w:p>
            <w:pPr>
              <w:ind w:leftChars="0" w:left="0" w:right="0"/>
            </w:pPr>
            <w:r>
              <w:t>ICE FUTURES U.S. INC</w:t>
            </w:r>
          </w:p>
        </w:tc>
        <w:tc>
          <w:tcPr>
            <w:cnfStyle w:evenVBand="true" w:oddVBand="false" w:firstColumn="false"/>
            <w:tcW w:w="25.000000%" w:type="pct"/>
          </w:tcPr>
          <w:p>
            <w:pPr>
              <w:ind w:leftChars="0" w:left="0" w:right="0"/>
            </w:pPr>
            <w:r>
              <w:t>912</w:t>
            </w:r>
          </w:p>
        </w:tc>
      </w:tr>
      <w:tr>
        <w:trPr>
          <w:cnfStyle w:evenHBand="true" w:oddHBand="false" w:firstRow="false"/>
        </w:trPr>
        <w:tc>
          <w:tcPr>
            <w:cnfStyle w:evenVBand="false" w:oddVBand="true" w:firstColumn="false"/>
            <w:tcW w:w="25.000000%" w:type="pct"/>
          </w:tcPr>
          <w:p>
            <w:pPr>
              <w:ind w:leftChars="0" w:left="0" w:right="0"/>
            </w:pPr>
            <w:r>
              <w:t>ICXL</w:t>
            </w:r>
          </w:p>
        </w:tc>
        <w:tc>
          <w:tcPr>
            <w:cnfStyle w:evenVBand="true" w:oddVBand="false" w:firstColumn="false"/>
            <w:tcW w:w="25.000000%" w:type="pct"/>
          </w:tcPr>
          <w:p>
            <w:pPr>
              <w:ind w:leftChars="0" w:left="0" w:right="0"/>
            </w:pPr>
            <w:r>
              <w:t>ICXL</w:t>
            </w:r>
          </w:p>
        </w:tc>
        <w:tc>
          <w:tcPr>
            <w:cnfStyle w:evenVBand="false" w:oddVBand="true" w:firstColumn="false"/>
            <w:tcW w:w="25.000000%" w:type="pct"/>
          </w:tcPr>
          <w:p>
            <w:pPr>
              <w:ind w:leftChars="0" w:left="0" w:right="0"/>
            </w:pPr>
            <w:r>
              <w:t>INDIAN COMMODITY EXCHANGE LTD.</w:t>
            </w:r>
          </w:p>
        </w:tc>
        <w:tc>
          <w:tcPr>
            <w:cnfStyle w:evenVBand="true" w:oddVBand="false" w:firstColumn="false"/>
            <w:tcW w:w="25.000000%" w:type="pct"/>
          </w:tcPr>
          <w:p>
            <w:pPr>
              <w:ind w:leftChars="0" w:left="0" w:right="0"/>
            </w:pPr>
            <w:r>
              <w:t>913</w:t>
            </w:r>
          </w:p>
        </w:tc>
      </w:tr>
      <w:tr>
        <w:trPr>
          <w:cnfStyle w:evenHBand="false" w:oddHBand="true" w:firstRow="false"/>
        </w:trPr>
        <w:tc>
          <w:tcPr>
            <w:cnfStyle w:evenVBand="false" w:oddVBand="true" w:firstColumn="false"/>
            <w:tcW w:w="25.000000%" w:type="pct"/>
          </w:tcPr>
          <w:p>
            <w:pPr>
              <w:ind w:leftChars="0" w:left="0" w:right="0"/>
            </w:pPr>
            <w:r>
              <w:t>ICXR</w:t>
            </w:r>
          </w:p>
        </w:tc>
        <w:tc>
          <w:tcPr>
            <w:cnfStyle w:evenVBand="true" w:oddVBand="false" w:firstColumn="false"/>
            <w:tcW w:w="25.000000%" w:type="pct"/>
          </w:tcPr>
          <w:p>
            <w:pPr>
              <w:ind w:leftChars="0" w:left="0" w:right="0"/>
            </w:pPr>
            <w:r>
              <w:t>ICXR</w:t>
            </w:r>
          </w:p>
        </w:tc>
        <w:tc>
          <w:tcPr>
            <w:cnfStyle w:evenVBand="false" w:oddVBand="true" w:firstColumn="false"/>
            <w:tcW w:w="25.000000%" w:type="pct"/>
          </w:tcPr>
          <w:p>
            <w:pPr>
              <w:ind w:leftChars="0" w:left="0" w:right="0"/>
            </w:pPr>
            <w:r>
              <w:t>CURRENEX IRELAND MTF - RFQ</w:t>
            </w:r>
          </w:p>
        </w:tc>
        <w:tc>
          <w:tcPr>
            <w:cnfStyle w:evenVBand="true" w:oddVBand="false" w:firstColumn="false"/>
            <w:tcW w:w="25.000000%" w:type="pct"/>
          </w:tcPr>
          <w:p>
            <w:pPr>
              <w:ind w:leftChars="0" w:left="0" w:right="0"/>
            </w:pPr>
            <w:r>
              <w:t>914</w:t>
            </w:r>
          </w:p>
        </w:tc>
      </w:tr>
      <w:tr>
        <w:trPr>
          <w:cnfStyle w:evenHBand="true" w:oddHBand="false" w:firstRow="false"/>
        </w:trPr>
        <w:tc>
          <w:tcPr>
            <w:cnfStyle w:evenVBand="false" w:oddVBand="true" w:firstColumn="false"/>
            <w:tcW w:w="25.000000%" w:type="pct"/>
          </w:tcPr>
          <w:p>
            <w:pPr>
              <w:ind w:leftChars="0" w:left="0" w:right="0"/>
            </w:pPr>
            <w:r>
              <w:t>IDXM</w:t>
            </w:r>
          </w:p>
        </w:tc>
        <w:tc>
          <w:tcPr>
            <w:cnfStyle w:evenVBand="true" w:oddVBand="false" w:firstColumn="false"/>
            <w:tcW w:w="25.000000%" w:type="pct"/>
          </w:tcPr>
          <w:p>
            <w:pPr>
              <w:ind w:leftChars="0" w:left="0" w:right="0"/>
            </w:pPr>
            <w:r>
              <w:t>IDXM</w:t>
            </w:r>
          </w:p>
        </w:tc>
        <w:tc>
          <w:tcPr>
            <w:cnfStyle w:evenVBand="false" w:oddVBand="true" w:firstColumn="false"/>
            <w:tcW w:w="25.000000%" w:type="pct"/>
          </w:tcPr>
          <w:p>
            <w:pPr>
              <w:ind w:leftChars="0" w:left="0" w:right="0"/>
            </w:pPr>
            <w:r>
              <w:t>IDX MARKETS, LLC</w:t>
            </w:r>
          </w:p>
        </w:tc>
        <w:tc>
          <w:tcPr>
            <w:cnfStyle w:evenVBand="true" w:oddVBand="false" w:firstColumn="false"/>
            <w:tcW w:w="25.000000%" w:type="pct"/>
          </w:tcPr>
          <w:p>
            <w:pPr>
              <w:ind w:leftChars="0" w:left="0" w:right="0"/>
            </w:pPr>
            <w:r>
              <w:t>915</w:t>
            </w:r>
          </w:p>
        </w:tc>
      </w:tr>
      <w:tr>
        <w:trPr>
          <w:cnfStyle w:evenHBand="false" w:oddHBand="true" w:firstRow="false"/>
        </w:trPr>
        <w:tc>
          <w:tcPr>
            <w:cnfStyle w:evenVBand="false" w:oddVBand="true" w:firstColumn="false"/>
            <w:tcW w:w="25.000000%" w:type="pct"/>
          </w:tcPr>
          <w:p>
            <w:pPr>
              <w:ind w:leftChars="0" w:left="0" w:right="0"/>
            </w:pPr>
            <w:r>
              <w:t>IEBS</w:t>
            </w:r>
          </w:p>
        </w:tc>
        <w:tc>
          <w:tcPr>
            <w:cnfStyle w:evenVBand="true" w:oddVBand="false" w:firstColumn="false"/>
            <w:tcW w:w="25.000000%" w:type="pct"/>
          </w:tcPr>
          <w:p>
            <w:pPr>
              <w:ind w:leftChars="0" w:left="0" w:right="0"/>
            </w:pPr>
            <w:r>
              <w:t>IEBS</w:t>
            </w:r>
          </w:p>
        </w:tc>
        <w:tc>
          <w:tcPr>
            <w:cnfStyle w:evenVBand="false" w:oddVBand="true" w:firstColumn="false"/>
            <w:tcW w:w="25.000000%" w:type="pct"/>
          </w:tcPr>
          <w:p>
            <w:pPr>
              <w:ind w:leftChars="0" w:left="0" w:right="0"/>
            </w:pPr>
            <w:r>
              <w:t>EBS MTF - RFQ - FX PRODUCTS FOR ASSET MANAGERS</w:t>
            </w:r>
          </w:p>
        </w:tc>
        <w:tc>
          <w:tcPr>
            <w:cnfStyle w:evenVBand="true" w:oddVBand="false" w:firstColumn="false"/>
            <w:tcW w:w="25.000000%" w:type="pct"/>
          </w:tcPr>
          <w:p>
            <w:pPr>
              <w:ind w:leftChars="0" w:left="0" w:right="0"/>
            </w:pPr>
            <w:r>
              <w:t>916</w:t>
            </w:r>
          </w:p>
        </w:tc>
      </w:tr>
      <w:tr>
        <w:trPr>
          <w:cnfStyle w:evenHBand="true" w:oddHBand="false" w:firstRow="false"/>
        </w:trPr>
        <w:tc>
          <w:tcPr>
            <w:cnfStyle w:evenVBand="false" w:oddVBand="true" w:firstColumn="false"/>
            <w:tcW w:w="25.000000%" w:type="pct"/>
          </w:tcPr>
          <w:p>
            <w:pPr>
              <w:ind w:leftChars="0" w:left="0" w:right="0"/>
            </w:pPr>
            <w:r>
              <w:t>IECE</w:t>
            </w:r>
          </w:p>
        </w:tc>
        <w:tc>
          <w:tcPr>
            <w:cnfStyle w:evenVBand="true" w:oddVBand="false" w:firstColumn="false"/>
            <w:tcW w:w="25.000000%" w:type="pct"/>
          </w:tcPr>
          <w:p>
            <w:pPr>
              <w:ind w:leftChars="0" w:left="0" w:right="0"/>
            </w:pPr>
            <w:r>
              <w:t>IECE</w:t>
            </w:r>
          </w:p>
        </w:tc>
        <w:tc>
          <w:tcPr>
            <w:cnfStyle w:evenVBand="false" w:oddVBand="true" w:firstColumn="false"/>
            <w:tcW w:w="25.000000%" w:type="pct"/>
          </w:tcPr>
          <w:p>
            <w:pPr>
              <w:ind w:leftChars="0" w:left="0" w:right="0"/>
            </w:pPr>
            <w:r>
              <w:t>ICAP ENERGY LTD OTF - EUROPEAN COMMODITIES AND ENERGY DERIVATIVES</w:t>
            </w:r>
          </w:p>
        </w:tc>
        <w:tc>
          <w:tcPr>
            <w:cnfStyle w:evenVBand="true" w:oddVBand="false" w:firstColumn="false"/>
            <w:tcW w:w="25.000000%" w:type="pct"/>
          </w:tcPr>
          <w:p>
            <w:pPr>
              <w:ind w:leftChars="0" w:left="0" w:right="0"/>
            </w:pPr>
            <w:r>
              <w:t>917</w:t>
            </w:r>
          </w:p>
        </w:tc>
      </w:tr>
      <w:tr>
        <w:trPr>
          <w:cnfStyle w:evenHBand="false" w:oddHBand="true" w:firstRow="false"/>
        </w:trPr>
        <w:tc>
          <w:tcPr>
            <w:cnfStyle w:evenVBand="false" w:oddVBand="true" w:firstColumn="false"/>
            <w:tcW w:w="25.000000%" w:type="pct"/>
          </w:tcPr>
          <w:p>
            <w:pPr>
              <w:ind w:leftChars="0" w:left="0" w:right="0"/>
            </w:pPr>
            <w:r>
              <w:t>IECL</w:t>
            </w:r>
          </w:p>
        </w:tc>
        <w:tc>
          <w:tcPr>
            <w:cnfStyle w:evenVBand="true" w:oddVBand="false" w:firstColumn="false"/>
            <w:tcW w:w="25.000000%" w:type="pct"/>
          </w:tcPr>
          <w:p>
            <w:pPr>
              <w:ind w:leftChars="0" w:left="0" w:right="0"/>
            </w:pPr>
            <w:r>
              <w:t>IECL</w:t>
            </w:r>
          </w:p>
        </w:tc>
        <w:tc>
          <w:tcPr>
            <w:cnfStyle w:evenVBand="false" w:oddVBand="true" w:firstColumn="false"/>
            <w:tcW w:w="25.000000%" w:type="pct"/>
          </w:tcPr>
          <w:p>
            <w:pPr>
              <w:ind w:leftChars="0" w:left="0" w:right="0"/>
            </w:pPr>
            <w:r>
              <w:t>ICAP ENERGY LTD OTF - COMMODITIES AND ENERGY DERIVATIVES</w:t>
            </w:r>
          </w:p>
        </w:tc>
        <w:tc>
          <w:tcPr>
            <w:cnfStyle w:evenVBand="true" w:oddVBand="false" w:firstColumn="false"/>
            <w:tcW w:w="25.000000%" w:type="pct"/>
          </w:tcPr>
          <w:p>
            <w:pPr>
              <w:ind w:leftChars="0" w:left="0" w:right="0"/>
            </w:pPr>
            <w:r>
              <w:t>918</w:t>
            </w:r>
          </w:p>
        </w:tc>
      </w:tr>
      <w:tr>
        <w:trPr>
          <w:cnfStyle w:evenHBand="true" w:oddHBand="false" w:firstRow="false"/>
        </w:trPr>
        <w:tc>
          <w:tcPr>
            <w:cnfStyle w:evenVBand="false" w:oddVBand="true" w:firstColumn="false"/>
            <w:tcW w:w="25.000000%" w:type="pct"/>
          </w:tcPr>
          <w:p>
            <w:pPr>
              <w:ind w:leftChars="0" w:left="0" w:right="0"/>
            </w:pPr>
            <w:r>
              <w:t>IENG</w:t>
            </w:r>
          </w:p>
        </w:tc>
        <w:tc>
          <w:tcPr>
            <w:cnfStyle w:evenVBand="true" w:oddVBand="false" w:firstColumn="false"/>
            <w:tcW w:w="25.000000%" w:type="pct"/>
          </w:tcPr>
          <w:p>
            <w:pPr>
              <w:ind w:leftChars="0" w:left="0" w:right="0"/>
            </w:pPr>
            <w:r>
              <w:t>IENG</w:t>
            </w:r>
          </w:p>
        </w:tc>
        <w:tc>
          <w:tcPr>
            <w:cnfStyle w:evenVBand="false" w:oddVBand="true" w:firstColumn="false"/>
            <w:tcW w:w="25.000000%" w:type="pct"/>
          </w:tcPr>
          <w:p>
            <w:pPr>
              <w:ind w:leftChars="0" w:left="0" w:right="0"/>
            </w:pPr>
            <w:r>
              <w:t>INFOENGINE OTC</w:t>
            </w:r>
          </w:p>
        </w:tc>
        <w:tc>
          <w:tcPr>
            <w:cnfStyle w:evenVBand="true" w:oddVBand="false" w:firstColumn="false"/>
            <w:tcW w:w="25.000000%" w:type="pct"/>
          </w:tcPr>
          <w:p>
            <w:pPr>
              <w:ind w:leftChars="0" w:left="0" w:right="0"/>
            </w:pPr>
            <w:r>
              <w:t>919</w:t>
            </w:r>
          </w:p>
        </w:tc>
      </w:tr>
      <w:tr>
        <w:trPr>
          <w:cnfStyle w:evenHBand="false" w:oddHBand="true" w:firstRow="false"/>
        </w:trPr>
        <w:tc>
          <w:tcPr>
            <w:cnfStyle w:evenVBand="false" w:oddVBand="true" w:firstColumn="false"/>
            <w:tcW w:w="25.000000%" w:type="pct"/>
          </w:tcPr>
          <w:p>
            <w:pPr>
              <w:ind w:leftChars="0" w:left="0" w:right="0"/>
            </w:pPr>
            <w:r>
              <w:t>IEPA</w:t>
            </w:r>
          </w:p>
        </w:tc>
        <w:tc>
          <w:tcPr>
            <w:cnfStyle w:evenVBand="true" w:oddVBand="false" w:firstColumn="false"/>
            <w:tcW w:w="25.000000%" w:type="pct"/>
          </w:tcPr>
          <w:p>
            <w:pPr>
              <w:ind w:leftChars="0" w:left="0" w:right="0"/>
            </w:pPr>
            <w:r>
              <w:t>IEPA</w:t>
            </w:r>
          </w:p>
        </w:tc>
        <w:tc>
          <w:tcPr>
            <w:cnfStyle w:evenVBand="false" w:oddVBand="true" w:firstColumn="false"/>
            <w:tcW w:w="25.000000%" w:type="pct"/>
          </w:tcPr>
          <w:p>
            <w:pPr>
              <w:ind w:leftChars="0" w:left="0" w:right="0"/>
            </w:pPr>
            <w:r>
              <w:t>INTERCONTINENTAL EXCHANGE</w:t>
            </w:r>
          </w:p>
        </w:tc>
        <w:tc>
          <w:tcPr>
            <w:cnfStyle w:evenVBand="true" w:oddVBand="false" w:firstColumn="false"/>
            <w:tcW w:w="25.000000%" w:type="pct"/>
          </w:tcPr>
          <w:p>
            <w:pPr>
              <w:ind w:leftChars="0" w:left="0" w:right="0"/>
            </w:pPr>
            <w:r>
              <w:t>920</w:t>
            </w:r>
          </w:p>
        </w:tc>
      </w:tr>
      <w:tr>
        <w:trPr>
          <w:cnfStyle w:evenHBand="true" w:oddHBand="false" w:firstRow="false"/>
        </w:trPr>
        <w:tc>
          <w:tcPr>
            <w:cnfStyle w:evenVBand="false" w:oddVBand="true" w:firstColumn="false"/>
            <w:tcW w:w="25.000000%" w:type="pct"/>
          </w:tcPr>
          <w:p>
            <w:pPr>
              <w:ind w:leftChars="0" w:left="0" w:right="0"/>
            </w:pPr>
            <w:r>
              <w:t>IEXC</w:t>
            </w:r>
          </w:p>
        </w:tc>
        <w:tc>
          <w:tcPr>
            <w:cnfStyle w:evenVBand="true" w:oddVBand="false" w:firstColumn="false"/>
            <w:tcW w:w="25.000000%" w:type="pct"/>
          </w:tcPr>
          <w:p>
            <w:pPr>
              <w:ind w:leftChars="0" w:left="0" w:right="0"/>
            </w:pPr>
            <w:r>
              <w:t>IEXC</w:t>
            </w:r>
          </w:p>
        </w:tc>
        <w:tc>
          <w:tcPr>
            <w:cnfStyle w:evenVBand="false" w:oddVBand="true" w:firstColumn="false"/>
            <w:tcW w:w="25.000000%" w:type="pct"/>
          </w:tcPr>
          <w:p>
            <w:pPr>
              <w:ind w:leftChars="0" w:left="0" w:right="0"/>
            </w:pPr>
            <w:r>
              <w:t>INVESTORS EXCHANGE - DAX FACILITY</w:t>
            </w:r>
          </w:p>
        </w:tc>
        <w:tc>
          <w:tcPr>
            <w:cnfStyle w:evenVBand="true" w:oddVBand="false" w:firstColumn="false"/>
            <w:tcW w:w="25.000000%" w:type="pct"/>
          </w:tcPr>
          <w:p>
            <w:pPr>
              <w:ind w:leftChars="0" w:left="0" w:right="0"/>
            </w:pPr>
            <w:r>
              <w:t>921</w:t>
            </w:r>
          </w:p>
        </w:tc>
      </w:tr>
      <w:tr>
        <w:trPr>
          <w:cnfStyle w:evenHBand="false" w:oddHBand="true" w:firstRow="false"/>
        </w:trPr>
        <w:tc>
          <w:tcPr>
            <w:cnfStyle w:evenVBand="false" w:oddVBand="true" w:firstColumn="false"/>
            <w:tcW w:w="25.000000%" w:type="pct"/>
          </w:tcPr>
          <w:p>
            <w:pPr>
              <w:ind w:leftChars="0" w:left="0" w:right="0"/>
            </w:pPr>
            <w:r>
              <w:t>IEXD</w:t>
            </w:r>
          </w:p>
        </w:tc>
        <w:tc>
          <w:tcPr>
            <w:cnfStyle w:evenVBand="true" w:oddVBand="false" w:firstColumn="false"/>
            <w:tcW w:w="25.000000%" w:type="pct"/>
          </w:tcPr>
          <w:p>
            <w:pPr>
              <w:ind w:leftChars="0" w:left="0" w:right="0"/>
            </w:pPr>
            <w:r>
              <w:t>IEXD</w:t>
            </w:r>
          </w:p>
        </w:tc>
        <w:tc>
          <w:tcPr>
            <w:cnfStyle w:evenVBand="false" w:oddVBand="true" w:firstColumn="false"/>
            <w:tcW w:w="25.000000%" w:type="pct"/>
          </w:tcPr>
          <w:p>
            <w:pPr>
              <w:ind w:leftChars="0" w:left="0" w:right="0"/>
            </w:pPr>
            <w:r>
              <w:t>INVESTORS EXCHANGE - DARK</w:t>
            </w:r>
          </w:p>
        </w:tc>
        <w:tc>
          <w:tcPr>
            <w:cnfStyle w:evenVBand="true" w:oddVBand="false" w:firstColumn="false"/>
            <w:tcW w:w="25.000000%" w:type="pct"/>
          </w:tcPr>
          <w:p>
            <w:pPr>
              <w:ind w:leftChars="0" w:left="0" w:right="0"/>
            </w:pPr>
            <w:r>
              <w:t>922</w:t>
            </w:r>
          </w:p>
        </w:tc>
      </w:tr>
      <w:tr>
        <w:trPr>
          <w:cnfStyle w:evenHBand="true" w:oddHBand="false" w:firstRow="false"/>
        </w:trPr>
        <w:tc>
          <w:tcPr>
            <w:cnfStyle w:evenVBand="false" w:oddVBand="true" w:firstColumn="false"/>
            <w:tcW w:w="25.000000%" w:type="pct"/>
          </w:tcPr>
          <w:p>
            <w:pPr>
              <w:ind w:leftChars="0" w:left="0" w:right="0"/>
            </w:pPr>
            <w:r>
              <w:t>IEXG</w:t>
            </w:r>
          </w:p>
        </w:tc>
        <w:tc>
          <w:tcPr>
            <w:cnfStyle w:evenVBand="true" w:oddVBand="false" w:firstColumn="false"/>
            <w:tcW w:w="25.000000%" w:type="pct"/>
          </w:tcPr>
          <w:p>
            <w:pPr>
              <w:ind w:leftChars="0" w:left="0" w:right="0"/>
            </w:pPr>
            <w:r>
              <w:t>IEXG</w:t>
            </w:r>
          </w:p>
        </w:tc>
        <w:tc>
          <w:tcPr>
            <w:cnfStyle w:evenVBand="false" w:oddVBand="true" w:firstColumn="false"/>
            <w:tcW w:w="25.000000%" w:type="pct"/>
          </w:tcPr>
          <w:p>
            <w:pPr>
              <w:ind w:leftChars="0" w:left="0" w:right="0"/>
            </w:pPr>
            <w:r>
              <w:t>INVESTORS EXCHANGE</w:t>
            </w:r>
          </w:p>
        </w:tc>
        <w:tc>
          <w:tcPr>
            <w:cnfStyle w:evenVBand="true" w:oddVBand="false" w:firstColumn="false"/>
            <w:tcW w:w="25.000000%" w:type="pct"/>
          </w:tcPr>
          <w:p>
            <w:pPr>
              <w:ind w:leftChars="0" w:left="0" w:right="0"/>
            </w:pPr>
            <w:r>
              <w:t>923</w:t>
            </w:r>
          </w:p>
        </w:tc>
      </w:tr>
      <w:tr>
        <w:trPr>
          <w:cnfStyle w:evenHBand="false" w:oddHBand="true" w:firstRow="false"/>
        </w:trPr>
        <w:tc>
          <w:tcPr>
            <w:cnfStyle w:evenVBand="false" w:oddVBand="true" w:firstColumn="false"/>
            <w:tcW w:w="25.000000%" w:type="pct"/>
          </w:tcPr>
          <w:p>
            <w:pPr>
              <w:ind w:leftChars="0" w:left="0" w:right="0"/>
            </w:pPr>
            <w:r>
              <w:t>IFAD</w:t>
            </w:r>
          </w:p>
        </w:tc>
        <w:tc>
          <w:tcPr>
            <w:cnfStyle w:evenVBand="true" w:oddVBand="false" w:firstColumn="false"/>
            <w:tcW w:w="25.000000%" w:type="pct"/>
          </w:tcPr>
          <w:p>
            <w:pPr>
              <w:ind w:leftChars="0" w:left="0" w:right="0"/>
            </w:pPr>
            <w:r>
              <w:t>IFAD</w:t>
            </w:r>
          </w:p>
        </w:tc>
        <w:tc>
          <w:tcPr>
            <w:cnfStyle w:evenVBand="false" w:oddVBand="true" w:firstColumn="false"/>
            <w:tcW w:w="25.000000%" w:type="pct"/>
          </w:tcPr>
          <w:p>
            <w:pPr>
              <w:ind w:leftChars="0" w:left="0" w:right="0"/>
            </w:pPr>
            <w:r>
              <w:t>ICE FUTURES ABU DHABI</w:t>
            </w:r>
          </w:p>
        </w:tc>
        <w:tc>
          <w:tcPr>
            <w:cnfStyle w:evenVBand="true" w:oddVBand="false" w:firstColumn="false"/>
            <w:tcW w:w="25.000000%" w:type="pct"/>
          </w:tcPr>
          <w:p>
            <w:pPr>
              <w:ind w:leftChars="0" w:left="0" w:right="0"/>
            </w:pPr>
            <w:r>
              <w:t>924</w:t>
            </w:r>
          </w:p>
        </w:tc>
      </w:tr>
      <w:tr>
        <w:trPr>
          <w:cnfStyle w:evenHBand="true" w:oddHBand="false" w:firstRow="false"/>
        </w:trPr>
        <w:tc>
          <w:tcPr>
            <w:cnfStyle w:evenVBand="false" w:oddVBand="true" w:firstColumn="false"/>
            <w:tcW w:w="25.000000%" w:type="pct"/>
          </w:tcPr>
          <w:p>
            <w:pPr>
              <w:ind w:leftChars="0" w:left="0" w:right="0"/>
            </w:pPr>
            <w:r>
              <w:t>IFBX</w:t>
            </w:r>
          </w:p>
        </w:tc>
        <w:tc>
          <w:tcPr>
            <w:cnfStyle w:evenVBand="true" w:oddVBand="false" w:firstColumn="false"/>
            <w:tcW w:w="25.000000%" w:type="pct"/>
          </w:tcPr>
          <w:p>
            <w:pPr>
              <w:ind w:leftChars="0" w:left="0" w:right="0"/>
            </w:pPr>
            <w:r>
              <w:t>IFBX</w:t>
            </w:r>
          </w:p>
        </w:tc>
        <w:tc>
          <w:tcPr>
            <w:cnfStyle w:evenVBand="false" w:oddVBand="true" w:firstColumn="false"/>
            <w:tcW w:w="25.000000%" w:type="pct"/>
          </w:tcPr>
          <w:p>
            <w:pPr>
              <w:ind w:leftChars="0" w:left="0" w:right="0"/>
            </w:pPr>
            <w:r>
              <w:t>IRAN FARA BOURSE</w:t>
            </w:r>
          </w:p>
        </w:tc>
        <w:tc>
          <w:tcPr>
            <w:cnfStyle w:evenVBand="true" w:oddVBand="false" w:firstColumn="false"/>
            <w:tcW w:w="25.000000%" w:type="pct"/>
          </w:tcPr>
          <w:p>
            <w:pPr>
              <w:ind w:leftChars="0" w:left="0" w:right="0"/>
            </w:pPr>
            <w:r>
              <w:t>925</w:t>
            </w:r>
          </w:p>
        </w:tc>
      </w:tr>
      <w:tr>
        <w:trPr>
          <w:cnfStyle w:evenHBand="false" w:oddHBand="true" w:firstRow="false"/>
        </w:trPr>
        <w:tc>
          <w:tcPr>
            <w:cnfStyle w:evenVBand="false" w:oddVBand="true" w:firstColumn="false"/>
            <w:tcW w:w="25.000000%" w:type="pct"/>
          </w:tcPr>
          <w:p>
            <w:pPr>
              <w:ind w:leftChars="0" w:left="0" w:right="0"/>
            </w:pPr>
            <w:r>
              <w:t>IFCA</w:t>
            </w:r>
          </w:p>
        </w:tc>
        <w:tc>
          <w:tcPr>
            <w:cnfStyle w:evenVBand="true" w:oddVBand="false" w:firstColumn="false"/>
            <w:tcW w:w="25.000000%" w:type="pct"/>
          </w:tcPr>
          <w:p>
            <w:pPr>
              <w:ind w:leftChars="0" w:left="0" w:right="0"/>
            </w:pPr>
            <w:r>
              <w:t>IFCA</w:t>
            </w:r>
          </w:p>
        </w:tc>
        <w:tc>
          <w:tcPr>
            <w:cnfStyle w:evenVBand="false" w:oddVBand="true" w:firstColumn="false"/>
            <w:tcW w:w="25.000000%" w:type="pct"/>
          </w:tcPr>
          <w:p>
            <w:pPr>
              <w:ind w:leftChars="0" w:left="0" w:right="0"/>
            </w:pPr>
            <w:r>
              <w:t>ICE FUTURES CANADA</w:t>
            </w:r>
          </w:p>
        </w:tc>
        <w:tc>
          <w:tcPr>
            <w:cnfStyle w:evenVBand="true" w:oddVBand="false" w:firstColumn="false"/>
            <w:tcW w:w="25.000000%" w:type="pct"/>
          </w:tcPr>
          <w:p>
            <w:pPr>
              <w:ind w:leftChars="0" w:left="0" w:right="0"/>
            </w:pPr>
            <w:r>
              <w:t>926</w:t>
            </w:r>
          </w:p>
        </w:tc>
      </w:tr>
      <w:tr>
        <w:trPr>
          <w:cnfStyle w:evenHBand="true" w:oddHBand="false" w:firstRow="false"/>
        </w:trPr>
        <w:tc>
          <w:tcPr>
            <w:cnfStyle w:evenVBand="false" w:oddVBand="true" w:firstColumn="false"/>
            <w:tcW w:w="25.000000%" w:type="pct"/>
          </w:tcPr>
          <w:p>
            <w:pPr>
              <w:ind w:leftChars="0" w:left="0" w:right="0"/>
            </w:pPr>
            <w:r>
              <w:t>IFED</w:t>
            </w:r>
          </w:p>
        </w:tc>
        <w:tc>
          <w:tcPr>
            <w:cnfStyle w:evenVBand="true" w:oddVBand="false" w:firstColumn="false"/>
            <w:tcW w:w="25.000000%" w:type="pct"/>
          </w:tcPr>
          <w:p>
            <w:pPr>
              <w:ind w:leftChars="0" w:left="0" w:right="0"/>
            </w:pPr>
            <w:r>
              <w:t>IFED</w:t>
            </w:r>
          </w:p>
        </w:tc>
        <w:tc>
          <w:tcPr>
            <w:cnfStyle w:evenVBand="false" w:oddVBand="true" w:firstColumn="false"/>
            <w:tcW w:w="25.000000%" w:type="pct"/>
          </w:tcPr>
          <w:p>
            <w:pPr>
              <w:ind w:leftChars="0" w:left="0" w:right="0"/>
            </w:pPr>
            <w:r>
              <w:t>ICE FUTURES U.S. ENERGY DIVISION</w:t>
            </w:r>
          </w:p>
        </w:tc>
        <w:tc>
          <w:tcPr>
            <w:cnfStyle w:evenVBand="true" w:oddVBand="false" w:firstColumn="false"/>
            <w:tcW w:w="25.000000%" w:type="pct"/>
          </w:tcPr>
          <w:p>
            <w:pPr>
              <w:ind w:leftChars="0" w:left="0" w:right="0"/>
            </w:pPr>
            <w:r>
              <w:t>927</w:t>
            </w:r>
          </w:p>
        </w:tc>
      </w:tr>
      <w:tr>
        <w:trPr>
          <w:cnfStyle w:evenHBand="false" w:oddHBand="true" w:firstRow="false"/>
        </w:trPr>
        <w:tc>
          <w:tcPr>
            <w:cnfStyle w:evenVBand="false" w:oddVBand="true" w:firstColumn="false"/>
            <w:tcW w:w="25.000000%" w:type="pct"/>
          </w:tcPr>
          <w:p>
            <w:pPr>
              <w:ind w:leftChars="0" w:left="0" w:right="0"/>
            </w:pPr>
            <w:r>
              <w:t>IFEN</w:t>
            </w:r>
          </w:p>
        </w:tc>
        <w:tc>
          <w:tcPr>
            <w:cnfStyle w:evenVBand="true" w:oddVBand="false" w:firstColumn="false"/>
            <w:tcW w:w="25.000000%" w:type="pct"/>
          </w:tcPr>
          <w:p>
            <w:pPr>
              <w:ind w:leftChars="0" w:left="0" w:right="0"/>
            </w:pPr>
            <w:r>
              <w:t>IFEN</w:t>
            </w:r>
          </w:p>
        </w:tc>
        <w:tc>
          <w:tcPr>
            <w:cnfStyle w:evenVBand="false" w:oddVBand="true" w:firstColumn="false"/>
            <w:tcW w:w="25.000000%" w:type="pct"/>
          </w:tcPr>
          <w:p>
            <w:pPr>
              <w:ind w:leftChars="0" w:left="0" w:right="0"/>
            </w:pPr>
            <w:r>
              <w:t>ICE FUTURES EUROPE - OIL AND REFINED PRODUCTS DIVISION</w:t>
            </w:r>
          </w:p>
        </w:tc>
        <w:tc>
          <w:tcPr>
            <w:cnfStyle w:evenVBand="true" w:oddVBand="false" w:firstColumn="false"/>
            <w:tcW w:w="25.000000%" w:type="pct"/>
          </w:tcPr>
          <w:p>
            <w:pPr>
              <w:ind w:leftChars="0" w:left="0" w:right="0"/>
            </w:pPr>
            <w:r>
              <w:t>928</w:t>
            </w:r>
          </w:p>
        </w:tc>
      </w:tr>
      <w:tr>
        <w:trPr>
          <w:cnfStyle w:evenHBand="true" w:oddHBand="false" w:firstRow="false"/>
        </w:trPr>
        <w:tc>
          <w:tcPr>
            <w:cnfStyle w:evenVBand="false" w:oddVBand="true" w:firstColumn="false"/>
            <w:tcW w:w="25.000000%" w:type="pct"/>
          </w:tcPr>
          <w:p>
            <w:pPr>
              <w:ind w:leftChars="0" w:left="0" w:right="0"/>
            </w:pPr>
            <w:r>
              <w:t>IFEU</w:t>
            </w:r>
          </w:p>
        </w:tc>
        <w:tc>
          <w:tcPr>
            <w:cnfStyle w:evenVBand="true" w:oddVBand="false" w:firstColumn="false"/>
            <w:tcW w:w="25.000000%" w:type="pct"/>
          </w:tcPr>
          <w:p>
            <w:pPr>
              <w:ind w:leftChars="0" w:left="0" w:right="0"/>
            </w:pPr>
            <w:r>
              <w:t>IFEU</w:t>
            </w:r>
          </w:p>
        </w:tc>
        <w:tc>
          <w:tcPr>
            <w:cnfStyle w:evenVBand="false" w:oddVBand="true" w:firstColumn="false"/>
            <w:tcW w:w="25.000000%" w:type="pct"/>
          </w:tcPr>
          <w:p>
            <w:pPr>
              <w:ind w:leftChars="0" w:left="0" w:right="0"/>
            </w:pPr>
            <w:r>
              <w:t>ICE FUTURES EUROPE</w:t>
            </w:r>
          </w:p>
        </w:tc>
        <w:tc>
          <w:tcPr>
            <w:cnfStyle w:evenVBand="true" w:oddVBand="false" w:firstColumn="false"/>
            <w:tcW w:w="25.000000%" w:type="pct"/>
          </w:tcPr>
          <w:p>
            <w:pPr>
              <w:ind w:leftChars="0" w:left="0" w:right="0"/>
            </w:pPr>
            <w:r>
              <w:t>929</w:t>
            </w:r>
          </w:p>
        </w:tc>
      </w:tr>
      <w:tr>
        <w:trPr>
          <w:cnfStyle w:evenHBand="false" w:oddHBand="true" w:firstRow="false"/>
        </w:trPr>
        <w:tc>
          <w:tcPr>
            <w:cnfStyle w:evenVBand="false" w:oddVBand="true" w:firstColumn="false"/>
            <w:tcW w:w="25.000000%" w:type="pct"/>
          </w:tcPr>
          <w:p>
            <w:pPr>
              <w:ind w:leftChars="0" w:left="0" w:right="0"/>
            </w:pPr>
            <w:r>
              <w:t>IFLL</w:t>
            </w:r>
          </w:p>
        </w:tc>
        <w:tc>
          <w:tcPr>
            <w:cnfStyle w:evenVBand="true" w:oddVBand="false" w:firstColumn="false"/>
            <w:tcW w:w="25.000000%" w:type="pct"/>
          </w:tcPr>
          <w:p>
            <w:pPr>
              <w:ind w:leftChars="0" w:left="0" w:right="0"/>
            </w:pPr>
            <w:r>
              <w:t>IFLL</w:t>
            </w:r>
          </w:p>
        </w:tc>
        <w:tc>
          <w:tcPr>
            <w:cnfStyle w:evenVBand="false" w:oddVBand="true" w:firstColumn="false"/>
            <w:tcW w:w="25.000000%" w:type="pct"/>
          </w:tcPr>
          <w:p>
            <w:pPr>
              <w:ind w:leftChars="0" w:left="0" w:right="0"/>
            </w:pPr>
            <w:r>
              <w:t>ICE FUTURES EUROPE - FINANCIAL PRODUCTS DIVISION</w:t>
            </w:r>
          </w:p>
        </w:tc>
        <w:tc>
          <w:tcPr>
            <w:cnfStyle w:evenVBand="true" w:oddVBand="false" w:firstColumn="false"/>
            <w:tcW w:w="25.000000%" w:type="pct"/>
          </w:tcPr>
          <w:p>
            <w:pPr>
              <w:ind w:leftChars="0" w:left="0" w:right="0"/>
            </w:pPr>
            <w:r>
              <w:t>930</w:t>
            </w:r>
          </w:p>
        </w:tc>
      </w:tr>
      <w:tr>
        <w:trPr>
          <w:cnfStyle w:evenHBand="true" w:oddHBand="false" w:firstRow="false"/>
        </w:trPr>
        <w:tc>
          <w:tcPr>
            <w:cnfStyle w:evenVBand="false" w:oddVBand="true" w:firstColumn="false"/>
            <w:tcW w:w="25.000000%" w:type="pct"/>
          </w:tcPr>
          <w:p>
            <w:pPr>
              <w:ind w:leftChars="0" w:left="0" w:right="0"/>
            </w:pPr>
            <w:r>
              <w:t>IFLO</w:t>
            </w:r>
          </w:p>
        </w:tc>
        <w:tc>
          <w:tcPr>
            <w:cnfStyle w:evenVBand="true" w:oddVBand="false" w:firstColumn="false"/>
            <w:tcW w:w="25.000000%" w:type="pct"/>
          </w:tcPr>
          <w:p>
            <w:pPr>
              <w:ind w:leftChars="0" w:left="0" w:right="0"/>
            </w:pPr>
            <w:r>
              <w:t>IFLO</w:t>
            </w:r>
          </w:p>
        </w:tc>
        <w:tc>
          <w:tcPr>
            <w:cnfStyle w:evenVBand="false" w:oddVBand="true" w:firstColumn="false"/>
            <w:tcW w:w="25.000000%" w:type="pct"/>
          </w:tcPr>
          <w:p>
            <w:pPr>
              <w:ind w:leftChars="0" w:left="0" w:right="0"/>
            </w:pPr>
            <w:r>
              <w:t>ICE FUTURES EUROPE - EQUITY PRODUCTS DIVISION</w:t>
            </w:r>
          </w:p>
        </w:tc>
        <w:tc>
          <w:tcPr>
            <w:cnfStyle w:evenVBand="true" w:oddVBand="false" w:firstColumn="false"/>
            <w:tcW w:w="25.000000%" w:type="pct"/>
          </w:tcPr>
          <w:p>
            <w:pPr>
              <w:ind w:leftChars="0" w:left="0" w:right="0"/>
            </w:pPr>
            <w:r>
              <w:t>931</w:t>
            </w:r>
          </w:p>
        </w:tc>
      </w:tr>
      <w:tr>
        <w:trPr>
          <w:cnfStyle w:evenHBand="false" w:oddHBand="true" w:firstRow="false"/>
        </w:trPr>
        <w:tc>
          <w:tcPr>
            <w:cnfStyle w:evenVBand="false" w:oddVBand="true" w:firstColumn="false"/>
            <w:tcW w:w="25.000000%" w:type="pct"/>
          </w:tcPr>
          <w:p>
            <w:pPr>
              <w:ind w:leftChars="0" w:left="0" w:right="0"/>
            </w:pPr>
            <w:r>
              <w:t>IFLS</w:t>
            </w:r>
          </w:p>
        </w:tc>
        <w:tc>
          <w:tcPr>
            <w:cnfStyle w:evenVBand="true" w:oddVBand="false" w:firstColumn="false"/>
            <w:tcW w:w="25.000000%" w:type="pct"/>
          </w:tcPr>
          <w:p>
            <w:pPr>
              <w:ind w:leftChars="0" w:left="0" w:right="0"/>
            </w:pPr>
            <w:r>
              <w:t>IFLS</w:t>
            </w:r>
          </w:p>
        </w:tc>
        <w:tc>
          <w:tcPr>
            <w:cnfStyle w:evenVBand="false" w:oddVBand="true" w:firstColumn="false"/>
            <w:tcW w:w="25.000000%" w:type="pct"/>
          </w:tcPr>
          <w:p>
            <w:pPr>
              <w:ind w:leftChars="0" w:left="0" w:right="0"/>
            </w:pPr>
            <w:r>
              <w:t>SWAPXECUTE</w:t>
            </w:r>
          </w:p>
        </w:tc>
        <w:tc>
          <w:tcPr>
            <w:cnfStyle w:evenVBand="true" w:oddVBand="false" w:firstColumn="false"/>
            <w:tcW w:w="25.000000%" w:type="pct"/>
          </w:tcPr>
          <w:p>
            <w:pPr>
              <w:ind w:leftChars="0" w:left="0" w:right="0"/>
            </w:pPr>
            <w:r>
              <w:t>932</w:t>
            </w:r>
          </w:p>
        </w:tc>
      </w:tr>
      <w:tr>
        <w:trPr>
          <w:cnfStyle w:evenHBand="true" w:oddHBand="false" w:firstRow="false"/>
        </w:trPr>
        <w:tc>
          <w:tcPr>
            <w:cnfStyle w:evenVBand="false" w:oddVBand="true" w:firstColumn="false"/>
            <w:tcW w:w="25.000000%" w:type="pct"/>
          </w:tcPr>
          <w:p>
            <w:pPr>
              <w:ind w:leftChars="0" w:left="0" w:right="0"/>
            </w:pPr>
            <w:r>
              <w:t>IFLX</w:t>
            </w:r>
          </w:p>
        </w:tc>
        <w:tc>
          <w:tcPr>
            <w:cnfStyle w:evenVBand="true" w:oddVBand="false" w:firstColumn="false"/>
            <w:tcW w:w="25.000000%" w:type="pct"/>
          </w:tcPr>
          <w:p>
            <w:pPr>
              <w:ind w:leftChars="0" w:left="0" w:right="0"/>
            </w:pPr>
            <w:r>
              <w:t>IFLX</w:t>
            </w:r>
          </w:p>
        </w:tc>
        <w:tc>
          <w:tcPr>
            <w:cnfStyle w:evenVBand="false" w:oddVBand="true" w:firstColumn="false"/>
            <w:tcW w:w="25.000000%" w:type="pct"/>
          </w:tcPr>
          <w:p>
            <w:pPr>
              <w:ind w:leftChars="0" w:left="0" w:right="0"/>
            </w:pPr>
            <w:r>
              <w:t>ICE FUTURES EUROPE - AGRICULTURAL PRODUCTS DIVISION</w:t>
            </w:r>
          </w:p>
        </w:tc>
        <w:tc>
          <w:tcPr>
            <w:cnfStyle w:evenVBand="true" w:oddVBand="false" w:firstColumn="false"/>
            <w:tcW w:w="25.000000%" w:type="pct"/>
          </w:tcPr>
          <w:p>
            <w:pPr>
              <w:ind w:leftChars="0" w:left="0" w:right="0"/>
            </w:pPr>
            <w:r>
              <w:t>933</w:t>
            </w:r>
          </w:p>
        </w:tc>
      </w:tr>
      <w:tr>
        <w:trPr>
          <w:cnfStyle w:evenHBand="false" w:oddHBand="true" w:firstRow="false"/>
        </w:trPr>
        <w:tc>
          <w:tcPr>
            <w:cnfStyle w:evenVBand="false" w:oddVBand="true" w:firstColumn="false"/>
            <w:tcW w:w="25.000000%" w:type="pct"/>
          </w:tcPr>
          <w:p>
            <w:pPr>
              <w:ind w:leftChars="0" w:left="0" w:right="0"/>
            </w:pPr>
            <w:r>
              <w:t>IFSG</w:t>
            </w:r>
          </w:p>
        </w:tc>
        <w:tc>
          <w:tcPr>
            <w:cnfStyle w:evenVBand="true" w:oddVBand="false" w:firstColumn="false"/>
            <w:tcW w:w="25.000000%" w:type="pct"/>
          </w:tcPr>
          <w:p>
            <w:pPr>
              <w:ind w:leftChars="0" w:left="0" w:right="0"/>
            </w:pPr>
            <w:r>
              <w:t>IFSG</w:t>
            </w:r>
          </w:p>
        </w:tc>
        <w:tc>
          <w:tcPr>
            <w:cnfStyle w:evenVBand="false" w:oddVBand="true" w:firstColumn="false"/>
            <w:tcW w:w="25.000000%" w:type="pct"/>
          </w:tcPr>
          <w:p>
            <w:pPr>
              <w:ind w:leftChars="0" w:left="0" w:right="0"/>
            </w:pPr>
            <w:r>
              <w:t>ICE FUTURES SINGAPORE</w:t>
            </w:r>
          </w:p>
        </w:tc>
        <w:tc>
          <w:tcPr>
            <w:cnfStyle w:evenVBand="true" w:oddVBand="false" w:firstColumn="false"/>
            <w:tcW w:w="25.000000%" w:type="pct"/>
          </w:tcPr>
          <w:p>
            <w:pPr>
              <w:ind w:leftChars="0" w:left="0" w:right="0"/>
            </w:pPr>
            <w:r>
              <w:t>934</w:t>
            </w:r>
          </w:p>
        </w:tc>
      </w:tr>
      <w:tr>
        <w:trPr>
          <w:cnfStyle w:evenHBand="true" w:oddHBand="false" w:firstRow="false"/>
        </w:trPr>
        <w:tc>
          <w:tcPr>
            <w:cnfStyle w:evenVBand="false" w:oddVBand="true" w:firstColumn="false"/>
            <w:tcW w:w="25.000000%" w:type="pct"/>
          </w:tcPr>
          <w:p>
            <w:pPr>
              <w:ind w:leftChars="0" w:left="0" w:right="0"/>
            </w:pPr>
            <w:r>
              <w:t>IFSM</w:t>
            </w:r>
          </w:p>
        </w:tc>
        <w:tc>
          <w:tcPr>
            <w:cnfStyle w:evenVBand="true" w:oddVBand="false" w:firstColumn="false"/>
            <w:tcW w:w="25.000000%" w:type="pct"/>
          </w:tcPr>
          <w:p>
            <w:pPr>
              <w:ind w:leftChars="0" w:left="0" w:right="0"/>
            </w:pPr>
            <w:r>
              <w:t>IFSM</w:t>
            </w:r>
          </w:p>
        </w:tc>
        <w:tc>
          <w:tcPr>
            <w:cnfStyle w:evenVBand="false" w:oddVBand="true" w:firstColumn="false"/>
            <w:tcW w:w="25.000000%" w:type="pct"/>
          </w:tcPr>
          <w:p>
            <w:pPr>
              <w:ind w:leftChars="0" w:left="0" w:right="0"/>
            </w:pPr>
            <w:r>
              <w:t>INSTITUTIONAL FINANCIAL SECURITIES MARKET</w:t>
            </w:r>
          </w:p>
        </w:tc>
        <w:tc>
          <w:tcPr>
            <w:cnfStyle w:evenVBand="true" w:oddVBand="false" w:firstColumn="false"/>
            <w:tcW w:w="25.000000%" w:type="pct"/>
          </w:tcPr>
          <w:p>
            <w:pPr>
              <w:ind w:leftChars="0" w:left="0" w:right="0"/>
            </w:pPr>
            <w:r>
              <w:t>935</w:t>
            </w:r>
          </w:p>
        </w:tc>
      </w:tr>
      <w:tr>
        <w:trPr>
          <w:cnfStyle w:evenHBand="false" w:oddHBand="true" w:firstRow="false"/>
        </w:trPr>
        <w:tc>
          <w:tcPr>
            <w:cnfStyle w:evenVBand="false" w:oddVBand="true" w:firstColumn="false"/>
            <w:tcW w:w="25.000000%" w:type="pct"/>
          </w:tcPr>
          <w:p>
            <w:pPr>
              <w:ind w:leftChars="0" w:left="0" w:right="0"/>
            </w:pPr>
            <w:r>
              <w:t>IFUS</w:t>
            </w:r>
          </w:p>
        </w:tc>
        <w:tc>
          <w:tcPr>
            <w:cnfStyle w:evenVBand="true" w:oddVBand="false" w:firstColumn="false"/>
            <w:tcW w:w="25.000000%" w:type="pct"/>
          </w:tcPr>
          <w:p>
            <w:pPr>
              <w:ind w:leftChars="0" w:left="0" w:right="0"/>
            </w:pPr>
            <w:r>
              <w:t>IFUS</w:t>
            </w:r>
          </w:p>
        </w:tc>
        <w:tc>
          <w:tcPr>
            <w:cnfStyle w:evenVBand="false" w:oddVBand="true" w:firstColumn="false"/>
            <w:tcW w:w="25.000000%" w:type="pct"/>
          </w:tcPr>
          <w:p>
            <w:pPr>
              <w:ind w:leftChars="0" w:left="0" w:right="0"/>
            </w:pPr>
            <w:r>
              <w:t>ICE FUTURES U.S.</w:t>
            </w:r>
          </w:p>
        </w:tc>
        <w:tc>
          <w:tcPr>
            <w:cnfStyle w:evenVBand="true" w:oddVBand="false" w:firstColumn="false"/>
            <w:tcW w:w="25.000000%" w:type="pct"/>
          </w:tcPr>
          <w:p>
            <w:pPr>
              <w:ind w:leftChars="0" w:left="0" w:right="0"/>
            </w:pPr>
            <w:r>
              <w:t>936</w:t>
            </w:r>
          </w:p>
        </w:tc>
      </w:tr>
      <w:tr>
        <w:trPr>
          <w:cnfStyle w:evenHBand="true" w:oddHBand="false" w:firstRow="false"/>
        </w:trPr>
        <w:tc>
          <w:tcPr>
            <w:cnfStyle w:evenVBand="false" w:oddVBand="true" w:firstColumn="false"/>
            <w:tcW w:w="25.000000%" w:type="pct"/>
          </w:tcPr>
          <w:p>
            <w:pPr>
              <w:ind w:leftChars="0" w:left="0" w:right="0"/>
            </w:pPr>
            <w:r>
              <w:t>IFUT</w:t>
            </w:r>
          </w:p>
        </w:tc>
        <w:tc>
          <w:tcPr>
            <w:cnfStyle w:evenVBand="true" w:oddVBand="false" w:firstColumn="false"/>
            <w:tcW w:w="25.000000%" w:type="pct"/>
          </w:tcPr>
          <w:p>
            <w:pPr>
              <w:ind w:leftChars="0" w:left="0" w:right="0"/>
            </w:pPr>
            <w:r>
              <w:t>IFUT</w:t>
            </w:r>
          </w:p>
        </w:tc>
        <w:tc>
          <w:tcPr>
            <w:cnfStyle w:evenVBand="false" w:oddVBand="true" w:firstColumn="false"/>
            <w:tcW w:w="25.000000%" w:type="pct"/>
          </w:tcPr>
          <w:p>
            <w:pPr>
              <w:ind w:leftChars="0" w:left="0" w:right="0"/>
            </w:pPr>
            <w:r>
              <w:t>ICE FUTURES EUROPE - EUROPEAN UTILITIES DIVISION</w:t>
            </w:r>
          </w:p>
        </w:tc>
        <w:tc>
          <w:tcPr>
            <w:cnfStyle w:evenVBand="true" w:oddVBand="false" w:firstColumn="false"/>
            <w:tcW w:w="25.000000%" w:type="pct"/>
          </w:tcPr>
          <w:p>
            <w:pPr>
              <w:ind w:leftChars="0" w:left="0" w:right="0"/>
            </w:pPr>
            <w:r>
              <w:t>937</w:t>
            </w:r>
          </w:p>
        </w:tc>
      </w:tr>
      <w:tr>
        <w:trPr>
          <w:cnfStyle w:evenHBand="false" w:oddHBand="true" w:firstRow="false"/>
        </w:trPr>
        <w:tc>
          <w:tcPr>
            <w:cnfStyle w:evenVBand="false" w:oddVBand="true" w:firstColumn="false"/>
            <w:tcW w:w="25.000000%" w:type="pct"/>
          </w:tcPr>
          <w:p>
            <w:pPr>
              <w:ind w:leftChars="0" w:left="0" w:right="0"/>
            </w:pPr>
            <w:r>
              <w:t>IFXA</w:t>
            </w:r>
          </w:p>
        </w:tc>
        <w:tc>
          <w:tcPr>
            <w:cnfStyle w:evenVBand="true" w:oddVBand="false" w:firstColumn="false"/>
            <w:tcW w:w="25.000000%" w:type="pct"/>
          </w:tcPr>
          <w:p>
            <w:pPr>
              <w:ind w:leftChars="0" w:left="0" w:right="0"/>
            </w:pPr>
            <w:r>
              <w:t>IFXA</w:t>
            </w:r>
          </w:p>
        </w:tc>
        <w:tc>
          <w:tcPr>
            <w:cnfStyle w:evenVBand="false" w:oddVBand="true" w:firstColumn="false"/>
            <w:tcW w:w="25.000000%" w:type="pct"/>
          </w:tcPr>
          <w:p>
            <w:pPr>
              <w:ind w:leftChars="0" w:left="0" w:right="0"/>
            </w:pPr>
            <w:r>
              <w:t>FX CONNECT IRELAND MTF - ALLOCATIONS</w:t>
            </w:r>
          </w:p>
        </w:tc>
        <w:tc>
          <w:tcPr>
            <w:cnfStyle w:evenVBand="true" w:oddVBand="false" w:firstColumn="false"/>
            <w:tcW w:w="25.000000%" w:type="pct"/>
          </w:tcPr>
          <w:p>
            <w:pPr>
              <w:ind w:leftChars="0" w:left="0" w:right="0"/>
            </w:pPr>
            <w:r>
              <w:t>938</w:t>
            </w:r>
          </w:p>
        </w:tc>
      </w:tr>
      <w:tr>
        <w:trPr>
          <w:cnfStyle w:evenHBand="true" w:oddHBand="false" w:firstRow="false"/>
        </w:trPr>
        <w:tc>
          <w:tcPr>
            <w:cnfStyle w:evenVBand="false" w:oddVBand="true" w:firstColumn="false"/>
            <w:tcW w:w="25.000000%" w:type="pct"/>
          </w:tcPr>
          <w:p>
            <w:pPr>
              <w:ind w:leftChars="0" w:left="0" w:right="0"/>
            </w:pPr>
            <w:r>
              <w:t>IFXC</w:t>
            </w:r>
          </w:p>
        </w:tc>
        <w:tc>
          <w:tcPr>
            <w:cnfStyle w:evenVBand="true" w:oddVBand="false" w:firstColumn="false"/>
            <w:tcW w:w="25.000000%" w:type="pct"/>
          </w:tcPr>
          <w:p>
            <w:pPr>
              <w:ind w:leftChars="0" w:left="0" w:right="0"/>
            </w:pPr>
            <w:r>
              <w:t>IFXC</w:t>
            </w:r>
          </w:p>
        </w:tc>
        <w:tc>
          <w:tcPr>
            <w:cnfStyle w:evenVBand="false" w:oddVBand="true" w:firstColumn="false"/>
            <w:tcW w:w="25.000000%" w:type="pct"/>
          </w:tcPr>
          <w:p>
            <w:pPr>
              <w:ind w:leftChars="0" w:left="0" w:right="0"/>
            </w:pPr>
            <w:r>
              <w:t>FX CONNECT IRELAND MTF</w:t>
            </w:r>
          </w:p>
        </w:tc>
        <w:tc>
          <w:tcPr>
            <w:cnfStyle w:evenVBand="true" w:oddVBand="false" w:firstColumn="false"/>
            <w:tcW w:w="25.000000%" w:type="pct"/>
          </w:tcPr>
          <w:p>
            <w:pPr>
              <w:ind w:leftChars="0" w:left="0" w:right="0"/>
            </w:pPr>
            <w:r>
              <w:t>939</w:t>
            </w:r>
          </w:p>
        </w:tc>
      </w:tr>
      <w:tr>
        <w:trPr>
          <w:cnfStyle w:evenHBand="false" w:oddHBand="true" w:firstRow="false"/>
        </w:trPr>
        <w:tc>
          <w:tcPr>
            <w:cnfStyle w:evenVBand="false" w:oddVBand="true" w:firstColumn="false"/>
            <w:tcW w:w="25.000000%" w:type="pct"/>
          </w:tcPr>
          <w:p>
            <w:pPr>
              <w:ind w:leftChars="0" w:left="0" w:right="0"/>
            </w:pPr>
            <w:r>
              <w:t>IFXR</w:t>
            </w:r>
          </w:p>
        </w:tc>
        <w:tc>
          <w:tcPr>
            <w:cnfStyle w:evenVBand="true" w:oddVBand="false" w:firstColumn="false"/>
            <w:tcW w:w="25.000000%" w:type="pct"/>
          </w:tcPr>
          <w:p>
            <w:pPr>
              <w:ind w:leftChars="0" w:left="0" w:right="0"/>
            </w:pPr>
            <w:r>
              <w:t>IFXR</w:t>
            </w:r>
          </w:p>
        </w:tc>
        <w:tc>
          <w:tcPr>
            <w:cnfStyle w:evenVBand="false" w:oddVBand="true" w:firstColumn="false"/>
            <w:tcW w:w="25.000000%" w:type="pct"/>
          </w:tcPr>
          <w:p>
            <w:pPr>
              <w:ind w:leftChars="0" w:left="0" w:right="0"/>
            </w:pPr>
            <w:r>
              <w:t>FX CONNECT IRELAND MTF - RFQ</w:t>
            </w:r>
          </w:p>
        </w:tc>
        <w:tc>
          <w:tcPr>
            <w:cnfStyle w:evenVBand="true" w:oddVBand="false" w:firstColumn="false"/>
            <w:tcW w:w="25.000000%" w:type="pct"/>
          </w:tcPr>
          <w:p>
            <w:pPr>
              <w:ind w:leftChars="0" w:left="0" w:right="0"/>
            </w:pPr>
            <w:r>
              <w:t>940</w:t>
            </w:r>
          </w:p>
        </w:tc>
      </w:tr>
      <w:tr>
        <w:trPr>
          <w:cnfStyle w:evenHBand="true" w:oddHBand="false" w:firstRow="false"/>
        </w:trPr>
        <w:tc>
          <w:tcPr>
            <w:cnfStyle w:evenVBand="false" w:oddVBand="true" w:firstColumn="false"/>
            <w:tcW w:w="25.000000%" w:type="pct"/>
          </w:tcPr>
          <w:p>
            <w:pPr>
              <w:ind w:leftChars="0" w:left="0" w:right="0"/>
            </w:pPr>
            <w:r>
              <w:t>IGDL</w:t>
            </w:r>
          </w:p>
        </w:tc>
        <w:tc>
          <w:tcPr>
            <w:cnfStyle w:evenVBand="true" w:oddVBand="false" w:firstColumn="false"/>
            <w:tcW w:w="25.000000%" w:type="pct"/>
          </w:tcPr>
          <w:p>
            <w:pPr>
              <w:ind w:leftChars="0" w:left="0" w:right="0"/>
            </w:pPr>
            <w:r>
              <w:t>IGDL</w:t>
            </w:r>
          </w:p>
        </w:tc>
        <w:tc>
          <w:tcPr>
            <w:cnfStyle w:evenVBand="false" w:oddVBand="true" w:firstColumn="false"/>
            <w:tcW w:w="25.000000%" w:type="pct"/>
          </w:tcPr>
          <w:p>
            <w:pPr>
              <w:ind w:leftChars="0" w:left="0" w:right="0"/>
            </w:pPr>
            <w:r>
              <w:t>ICAP GLOBAL DERIVATIVES LIMITED</w:t>
            </w:r>
          </w:p>
        </w:tc>
        <w:tc>
          <w:tcPr>
            <w:cnfStyle w:evenVBand="true" w:oddVBand="false" w:firstColumn="false"/>
            <w:tcW w:w="25.000000%" w:type="pct"/>
          </w:tcPr>
          <w:p>
            <w:pPr>
              <w:ind w:leftChars="0" w:left="0" w:right="0"/>
            </w:pPr>
            <w:r>
              <w:t>941</w:t>
            </w:r>
          </w:p>
        </w:tc>
      </w:tr>
      <w:tr>
        <w:trPr>
          <w:cnfStyle w:evenHBand="false" w:oddHBand="true" w:firstRow="false"/>
        </w:trPr>
        <w:tc>
          <w:tcPr>
            <w:cnfStyle w:evenVBand="false" w:oddVBand="true" w:firstColumn="false"/>
            <w:tcW w:w="25.000000%" w:type="pct"/>
          </w:tcPr>
          <w:p>
            <w:pPr>
              <w:ind w:leftChars="0" w:left="0" w:right="0"/>
            </w:pPr>
            <w:r>
              <w:t>IIDX</w:t>
            </w:r>
          </w:p>
        </w:tc>
        <w:tc>
          <w:tcPr>
            <w:cnfStyle w:evenVBand="true" w:oddVBand="false" w:firstColumn="false"/>
            <w:tcW w:w="25.000000%" w:type="pct"/>
          </w:tcPr>
          <w:p>
            <w:pPr>
              <w:ind w:leftChars="0" w:left="0" w:right="0"/>
            </w:pPr>
            <w:r>
              <w:t>IIDX</w:t>
            </w:r>
          </w:p>
        </w:tc>
        <w:tc>
          <w:tcPr>
            <w:cnfStyle w:evenVBand="false" w:oddVBand="true" w:firstColumn="false"/>
            <w:tcW w:w="25.000000%" w:type="pct"/>
          </w:tcPr>
          <w:p>
            <w:pPr>
              <w:ind w:leftChars="0" w:left="0" w:right="0"/>
            </w:pPr>
            <w:r>
              <w:t>INSTINET IDX</w:t>
            </w:r>
          </w:p>
        </w:tc>
        <w:tc>
          <w:tcPr>
            <w:cnfStyle w:evenVBand="true" w:oddVBand="false" w:firstColumn="false"/>
            <w:tcW w:w="25.000000%" w:type="pct"/>
          </w:tcPr>
          <w:p>
            <w:pPr>
              <w:ind w:leftChars="0" w:left="0" w:right="0"/>
            </w:pPr>
            <w:r>
              <w:t>942</w:t>
            </w:r>
          </w:p>
        </w:tc>
      </w:tr>
      <w:tr>
        <w:trPr>
          <w:cnfStyle w:evenHBand="true" w:oddHBand="false" w:firstRow="false"/>
        </w:trPr>
        <w:tc>
          <w:tcPr>
            <w:cnfStyle w:evenVBand="false" w:oddVBand="true" w:firstColumn="false"/>
            <w:tcW w:w="25.000000%" w:type="pct"/>
          </w:tcPr>
          <w:p>
            <w:pPr>
              <w:ind w:leftChars="0" w:left="0" w:right="0"/>
            </w:pPr>
            <w:r>
              <w:t>IINX</w:t>
            </w:r>
          </w:p>
        </w:tc>
        <w:tc>
          <w:tcPr>
            <w:cnfStyle w:evenVBand="true" w:oddVBand="false" w:firstColumn="false"/>
            <w:tcW w:w="25.000000%" w:type="pct"/>
          </w:tcPr>
          <w:p>
            <w:pPr>
              <w:ind w:leftChars="0" w:left="0" w:right="0"/>
            </w:pPr>
            <w:r>
              <w:t>IINX</w:t>
            </w:r>
          </w:p>
        </w:tc>
        <w:tc>
          <w:tcPr>
            <w:cnfStyle w:evenVBand="false" w:oddVBand="true" w:firstColumn="false"/>
            <w:tcW w:w="25.000000%" w:type="pct"/>
          </w:tcPr>
          <w:p>
            <w:pPr>
              <w:ind w:leftChars="0" w:left="0" w:right="0"/>
            </w:pPr>
            <w:r>
              <w:t>INDIA INTERNATIONAL EXCHANGE (IFSC) LIMITED</w:t>
            </w:r>
          </w:p>
        </w:tc>
        <w:tc>
          <w:tcPr>
            <w:cnfStyle w:evenVBand="true" w:oddVBand="false" w:firstColumn="false"/>
            <w:tcW w:w="25.000000%" w:type="pct"/>
          </w:tcPr>
          <w:p>
            <w:pPr>
              <w:ind w:leftChars="0" w:left="0" w:right="0"/>
            </w:pPr>
            <w:r>
              <w:t>943</w:t>
            </w:r>
          </w:p>
        </w:tc>
      </w:tr>
      <w:tr>
        <w:trPr>
          <w:cnfStyle w:evenHBand="false" w:oddHBand="true" w:firstRow="false"/>
        </w:trPr>
        <w:tc>
          <w:tcPr>
            <w:cnfStyle w:evenVBand="false" w:oddVBand="true" w:firstColumn="false"/>
            <w:tcW w:w="25.000000%" w:type="pct"/>
          </w:tcPr>
          <w:p>
            <w:pPr>
              <w:ind w:leftChars="0" w:left="0" w:right="0"/>
            </w:pPr>
            <w:r>
              <w:t>IKBS</w:t>
            </w:r>
          </w:p>
        </w:tc>
        <w:tc>
          <w:tcPr>
            <w:cnfStyle w:evenVBand="true" w:oddVBand="false" w:firstColumn="false"/>
            <w:tcW w:w="25.000000%" w:type="pct"/>
          </w:tcPr>
          <w:p>
            <w:pPr>
              <w:ind w:leftChars="0" w:left="0" w:right="0"/>
            </w:pPr>
            <w:r>
              <w:t>IKBS</w:t>
            </w:r>
          </w:p>
        </w:tc>
        <w:tc>
          <w:tcPr>
            <w:cnfStyle w:evenVBand="false" w:oddVBand="true" w:firstColumn="false"/>
            <w:tcW w:w="25.000000%" w:type="pct"/>
          </w:tcPr>
          <w:p>
            <w:pPr>
              <w:ind w:leftChars="0" w:left="0" w:right="0"/>
            </w:pPr>
            <w:r>
              <w:t>IKB DEUTSCHE INDUSTRIEBANK AG - SYSTEMATIC INTERNALISER</w:t>
            </w:r>
          </w:p>
        </w:tc>
        <w:tc>
          <w:tcPr>
            <w:cnfStyle w:evenVBand="true" w:oddVBand="false" w:firstColumn="false"/>
            <w:tcW w:w="25.000000%" w:type="pct"/>
          </w:tcPr>
          <w:p>
            <w:pPr>
              <w:ind w:leftChars="0" w:left="0" w:right="0"/>
            </w:pPr>
            <w:r>
              <w:t>944</w:t>
            </w:r>
          </w:p>
        </w:tc>
      </w:tr>
      <w:tr>
        <w:trPr>
          <w:cnfStyle w:evenHBand="true" w:oddHBand="false" w:firstRow="false"/>
        </w:trPr>
        <w:tc>
          <w:tcPr>
            <w:cnfStyle w:evenVBand="false" w:oddVBand="true" w:firstColumn="false"/>
            <w:tcW w:w="25.000000%" w:type="pct"/>
          </w:tcPr>
          <w:p>
            <w:pPr>
              <w:ind w:leftChars="0" w:left="0" w:right="0"/>
            </w:pPr>
            <w:r>
              <w:t>ILCM</w:t>
            </w:r>
          </w:p>
        </w:tc>
        <w:tc>
          <w:tcPr>
            <w:cnfStyle w:evenVBand="true" w:oddVBand="false" w:firstColumn="false"/>
            <w:tcW w:w="25.000000%" w:type="pct"/>
          </w:tcPr>
          <w:p>
            <w:pPr>
              <w:ind w:leftChars="0" w:left="0" w:right="0"/>
            </w:pPr>
            <w:r>
              <w:t>ILCM</w:t>
            </w:r>
          </w:p>
        </w:tc>
        <w:tc>
          <w:tcPr>
            <w:cnfStyle w:evenVBand="false" w:oddVBand="true" w:firstColumn="false"/>
            <w:tcW w:w="25.000000%" w:type="pct"/>
          </w:tcPr>
          <w:p>
            <w:pPr>
              <w:ind w:leftChars="0" w:left="0" w:right="0"/>
            </w:pPr>
            <w:r>
              <w:t>LOUIS CAPITAL MARKETS UK</w:t>
            </w:r>
          </w:p>
        </w:tc>
        <w:tc>
          <w:tcPr>
            <w:cnfStyle w:evenVBand="true" w:oddVBand="false" w:firstColumn="false"/>
            <w:tcW w:w="25.000000%" w:type="pct"/>
          </w:tcPr>
          <w:p>
            <w:pPr>
              <w:ind w:leftChars="0" w:left="0" w:right="0"/>
            </w:pPr>
            <w:r>
              <w:t>945</w:t>
            </w:r>
          </w:p>
        </w:tc>
      </w:tr>
      <w:tr>
        <w:trPr>
          <w:cnfStyle w:evenHBand="false" w:oddHBand="true" w:firstRow="false"/>
        </w:trPr>
        <w:tc>
          <w:tcPr>
            <w:cnfStyle w:evenVBand="false" w:oddVBand="true" w:firstColumn="false"/>
            <w:tcW w:w="25.000000%" w:type="pct"/>
          </w:tcPr>
          <w:p>
            <w:pPr>
              <w:ind w:leftChars="0" w:left="0" w:right="0"/>
            </w:pPr>
            <w:r>
              <w:t>IMAG</w:t>
            </w:r>
          </w:p>
        </w:tc>
        <w:tc>
          <w:tcPr>
            <w:cnfStyle w:evenVBand="true" w:oddVBand="false" w:firstColumn="false"/>
            <w:tcW w:w="25.000000%" w:type="pct"/>
          </w:tcPr>
          <w:p>
            <w:pPr>
              <w:ind w:leftChars="0" w:left="0" w:right="0"/>
            </w:pPr>
            <w:r>
              <w:t>IMAG</w:t>
            </w:r>
          </w:p>
        </w:tc>
        <w:tc>
          <w:tcPr>
            <w:cnfStyle w:evenVBand="false" w:oddVBand="true" w:firstColumn="false"/>
            <w:tcW w:w="25.000000%" w:type="pct"/>
          </w:tcPr>
          <w:p>
            <w:pPr>
              <w:ind w:leftChars="0" w:left="0" w:right="0"/>
            </w:pPr>
            <w:r>
              <w:t>ICE MARKETS AGRICULTURE</w:t>
            </w:r>
          </w:p>
        </w:tc>
        <w:tc>
          <w:tcPr>
            <w:cnfStyle w:evenVBand="true" w:oddVBand="false" w:firstColumn="false"/>
            <w:tcW w:w="25.000000%" w:type="pct"/>
          </w:tcPr>
          <w:p>
            <w:pPr>
              <w:ind w:leftChars="0" w:left="0" w:right="0"/>
            </w:pPr>
            <w:r>
              <w:t>946</w:t>
            </w:r>
          </w:p>
        </w:tc>
      </w:tr>
      <w:tr>
        <w:trPr>
          <w:cnfStyle w:evenHBand="true" w:oddHBand="false" w:firstRow="false"/>
        </w:trPr>
        <w:tc>
          <w:tcPr>
            <w:cnfStyle w:evenVBand="false" w:oddVBand="true" w:firstColumn="false"/>
            <w:tcW w:w="25.000000%" w:type="pct"/>
          </w:tcPr>
          <w:p>
            <w:pPr>
              <w:ind w:leftChars="0" w:left="0" w:right="0"/>
            </w:pPr>
            <w:r>
              <w:t>IMBD</w:t>
            </w:r>
          </w:p>
        </w:tc>
        <w:tc>
          <w:tcPr>
            <w:cnfStyle w:evenVBand="true" w:oddVBand="false" w:firstColumn="false"/>
            <w:tcW w:w="25.000000%" w:type="pct"/>
          </w:tcPr>
          <w:p>
            <w:pPr>
              <w:ind w:leftChars="0" w:left="0" w:right="0"/>
            </w:pPr>
            <w:r>
              <w:t>IMBD</w:t>
            </w:r>
          </w:p>
        </w:tc>
        <w:tc>
          <w:tcPr>
            <w:cnfStyle w:evenVBand="false" w:oddVBand="true" w:firstColumn="false"/>
            <w:tcW w:w="25.000000%" w:type="pct"/>
          </w:tcPr>
          <w:p>
            <w:pPr>
              <w:ind w:leftChars="0" w:left="0" w:right="0"/>
            </w:pPr>
            <w:r>
              <w:t>ICE MARKETS BONDS</w:t>
            </w:r>
          </w:p>
        </w:tc>
        <w:tc>
          <w:tcPr>
            <w:cnfStyle w:evenVBand="true" w:oddVBand="false" w:firstColumn="false"/>
            <w:tcW w:w="25.000000%" w:type="pct"/>
          </w:tcPr>
          <w:p>
            <w:pPr>
              <w:ind w:leftChars="0" w:left="0" w:right="0"/>
            </w:pPr>
            <w:r>
              <w:t>947</w:t>
            </w:r>
          </w:p>
        </w:tc>
      </w:tr>
      <w:tr>
        <w:trPr>
          <w:cnfStyle w:evenHBand="false" w:oddHBand="true" w:firstRow="false"/>
        </w:trPr>
        <w:tc>
          <w:tcPr>
            <w:cnfStyle w:evenVBand="false" w:oddVBand="true" w:firstColumn="false"/>
            <w:tcW w:w="25.000000%" w:type="pct"/>
          </w:tcPr>
          <w:p>
            <w:pPr>
              <w:ind w:leftChars="0" w:left="0" w:right="0"/>
            </w:pPr>
            <w:r>
              <w:t>IMCC</w:t>
            </w:r>
          </w:p>
        </w:tc>
        <w:tc>
          <w:tcPr>
            <w:cnfStyle w:evenVBand="true" w:oddVBand="false" w:firstColumn="false"/>
            <w:tcW w:w="25.000000%" w:type="pct"/>
          </w:tcPr>
          <w:p>
            <w:pPr>
              <w:ind w:leftChars="0" w:left="0" w:right="0"/>
            </w:pPr>
            <w:r>
              <w:t>IMCC</w:t>
            </w:r>
          </w:p>
        </w:tc>
        <w:tc>
          <w:tcPr>
            <w:cnfStyle w:evenVBand="false" w:oddVBand="true" w:firstColumn="false"/>
            <w:tcW w:w="25.000000%" w:type="pct"/>
          </w:tcPr>
          <w:p>
            <w:pPr>
              <w:ind w:leftChars="0" w:left="0" w:right="0"/>
            </w:pPr>
            <w:r>
              <w:t>ICE CREDIT TRADE</w:t>
            </w:r>
          </w:p>
        </w:tc>
        <w:tc>
          <w:tcPr>
            <w:cnfStyle w:evenVBand="true" w:oddVBand="false" w:firstColumn="false"/>
            <w:tcW w:w="25.000000%" w:type="pct"/>
          </w:tcPr>
          <w:p>
            <w:pPr>
              <w:ind w:leftChars="0" w:left="0" w:right="0"/>
            </w:pPr>
            <w:r>
              <w:t>948</w:t>
            </w:r>
          </w:p>
        </w:tc>
      </w:tr>
      <w:tr>
        <w:trPr>
          <w:cnfStyle w:evenHBand="true" w:oddHBand="false" w:firstRow="false"/>
        </w:trPr>
        <w:tc>
          <w:tcPr>
            <w:cnfStyle w:evenVBand="false" w:oddVBand="true" w:firstColumn="false"/>
            <w:tcW w:w="25.000000%" w:type="pct"/>
          </w:tcPr>
          <w:p>
            <w:pPr>
              <w:ind w:leftChars="0" w:left="0" w:right="0"/>
            </w:pPr>
            <w:r>
              <w:t>IMCD</w:t>
            </w:r>
          </w:p>
        </w:tc>
        <w:tc>
          <w:tcPr>
            <w:cnfStyle w:evenVBand="true" w:oddVBand="false" w:firstColumn="false"/>
            <w:tcW w:w="25.000000%" w:type="pct"/>
          </w:tcPr>
          <w:p>
            <w:pPr>
              <w:ind w:leftChars="0" w:left="0" w:right="0"/>
            </w:pPr>
            <w:r>
              <w:t>IMCD</w:t>
            </w:r>
          </w:p>
        </w:tc>
        <w:tc>
          <w:tcPr>
            <w:cnfStyle w:evenVBand="false" w:oddVBand="true" w:firstColumn="false"/>
            <w:tcW w:w="25.000000%" w:type="pct"/>
          </w:tcPr>
          <w:p>
            <w:pPr>
              <w:ind w:leftChars="0" w:left="0" w:right="0"/>
            </w:pPr>
            <w:r>
              <w:t>ICAP MTF - CREDIT DERIVATIVES</w:t>
            </w:r>
          </w:p>
        </w:tc>
        <w:tc>
          <w:tcPr>
            <w:cnfStyle w:evenVBand="true" w:oddVBand="false" w:firstColumn="false"/>
            <w:tcW w:w="25.000000%" w:type="pct"/>
          </w:tcPr>
          <w:p>
            <w:pPr>
              <w:ind w:leftChars="0" w:left="0" w:right="0"/>
            </w:pPr>
            <w:r>
              <w:t>949</w:t>
            </w:r>
          </w:p>
        </w:tc>
      </w:tr>
      <w:tr>
        <w:trPr>
          <w:cnfStyle w:evenHBand="false" w:oddHBand="true" w:firstRow="false"/>
        </w:trPr>
        <w:tc>
          <w:tcPr>
            <w:cnfStyle w:evenVBand="false" w:oddVBand="true" w:firstColumn="false"/>
            <w:tcW w:w="25.000000%" w:type="pct"/>
          </w:tcPr>
          <w:p>
            <w:pPr>
              <w:ind w:leftChars="0" w:left="0" w:right="0"/>
            </w:pPr>
            <w:r>
              <w:t>IMCE</w:t>
            </w:r>
          </w:p>
        </w:tc>
        <w:tc>
          <w:tcPr>
            <w:cnfStyle w:evenVBand="true" w:oddVBand="false" w:firstColumn="false"/>
            <w:tcW w:w="25.000000%" w:type="pct"/>
          </w:tcPr>
          <w:p>
            <w:pPr>
              <w:ind w:leftChars="0" w:left="0" w:right="0"/>
            </w:pPr>
            <w:r>
              <w:t>IMCE</w:t>
            </w:r>
          </w:p>
        </w:tc>
        <w:tc>
          <w:tcPr>
            <w:cnfStyle w:evenVBand="false" w:oddVBand="true" w:firstColumn="false"/>
            <w:tcW w:w="25.000000%" w:type="pct"/>
          </w:tcPr>
          <w:p>
            <w:pPr>
              <w:ind w:leftChars="0" w:left="0" w:right="0"/>
            </w:pPr>
            <w:r>
              <w:t>TP ICAP UK MTF - CASH EQUITY</w:t>
            </w:r>
          </w:p>
        </w:tc>
        <w:tc>
          <w:tcPr>
            <w:cnfStyle w:evenVBand="true" w:oddVBand="false" w:firstColumn="false"/>
            <w:tcW w:w="25.000000%" w:type="pct"/>
          </w:tcPr>
          <w:p>
            <w:pPr>
              <w:ind w:leftChars="0" w:left="0" w:right="0"/>
            </w:pPr>
            <w:r>
              <w:t>950</w:t>
            </w:r>
          </w:p>
        </w:tc>
      </w:tr>
      <w:tr>
        <w:trPr>
          <w:cnfStyle w:evenHBand="true" w:oddHBand="false" w:firstRow="false"/>
        </w:trPr>
        <w:tc>
          <w:tcPr>
            <w:cnfStyle w:evenVBand="false" w:oddVBand="true" w:firstColumn="false"/>
            <w:tcW w:w="25.000000%" w:type="pct"/>
          </w:tcPr>
          <w:p>
            <w:pPr>
              <w:ind w:leftChars="0" w:left="0" w:right="0"/>
            </w:pPr>
            <w:r>
              <w:t>IMCG</w:t>
            </w:r>
          </w:p>
        </w:tc>
        <w:tc>
          <w:tcPr>
            <w:cnfStyle w:evenVBand="true" w:oddVBand="false" w:firstColumn="false"/>
            <w:tcW w:w="25.000000%" w:type="pct"/>
          </w:tcPr>
          <w:p>
            <w:pPr>
              <w:ind w:leftChars="0" w:left="0" w:right="0"/>
            </w:pPr>
            <w:r>
              <w:t>IMCG</w:t>
            </w:r>
          </w:p>
        </w:tc>
        <w:tc>
          <w:tcPr>
            <w:cnfStyle w:evenVBand="false" w:oddVBand="true" w:firstColumn="false"/>
            <w:tcW w:w="25.000000%" w:type="pct"/>
          </w:tcPr>
          <w:p>
            <w:pPr>
              <w:ind w:leftChars="0" w:left="0" w:right="0"/>
            </w:pPr>
            <w:r>
              <w:t>CREDITEX LLC</w:t>
            </w:r>
          </w:p>
        </w:tc>
        <w:tc>
          <w:tcPr>
            <w:cnfStyle w:evenVBand="true" w:oddVBand="false" w:firstColumn="false"/>
            <w:tcW w:w="25.000000%" w:type="pct"/>
          </w:tcPr>
          <w:p>
            <w:pPr>
              <w:ind w:leftChars="0" w:left="0" w:right="0"/>
            </w:pPr>
            <w:r>
              <w:t>951</w:t>
            </w:r>
          </w:p>
        </w:tc>
      </w:tr>
      <w:tr>
        <w:trPr>
          <w:cnfStyle w:evenHBand="false" w:oddHBand="true" w:firstRow="false"/>
        </w:trPr>
        <w:tc>
          <w:tcPr>
            <w:cnfStyle w:evenVBand="false" w:oddVBand="true" w:firstColumn="false"/>
            <w:tcW w:w="25.000000%" w:type="pct"/>
          </w:tcPr>
          <w:p>
            <w:pPr>
              <w:ind w:leftChars="0" w:left="0" w:right="0"/>
            </w:pPr>
            <w:r>
              <w:t>IMCM</w:t>
            </w:r>
          </w:p>
        </w:tc>
        <w:tc>
          <w:tcPr>
            <w:cnfStyle w:evenVBand="true" w:oddVBand="false" w:firstColumn="false"/>
            <w:tcW w:w="25.000000%" w:type="pct"/>
          </w:tcPr>
          <w:p>
            <w:pPr>
              <w:ind w:leftChars="0" w:left="0" w:right="0"/>
            </w:pPr>
            <w:r>
              <w:t>IMCM</w:t>
            </w:r>
          </w:p>
        </w:tc>
        <w:tc>
          <w:tcPr>
            <w:cnfStyle w:evenVBand="false" w:oddVBand="true" w:firstColumn="false"/>
            <w:tcW w:w="25.000000%" w:type="pct"/>
          </w:tcPr>
          <w:p>
            <w:pPr>
              <w:ind w:leftChars="0" w:left="0" w:right="0"/>
            </w:pPr>
            <w:r>
              <w:t>ICAP MTF - COMMODITIES</w:t>
            </w:r>
          </w:p>
        </w:tc>
        <w:tc>
          <w:tcPr>
            <w:cnfStyle w:evenVBand="true" w:oddVBand="false" w:firstColumn="false"/>
            <w:tcW w:w="25.000000%" w:type="pct"/>
          </w:tcPr>
          <w:p>
            <w:pPr>
              <w:ind w:leftChars="0" w:left="0" w:right="0"/>
            </w:pPr>
            <w:r>
              <w:t>952</w:t>
            </w:r>
          </w:p>
        </w:tc>
      </w:tr>
      <w:tr>
        <w:trPr>
          <w:cnfStyle w:evenHBand="true" w:oddHBand="false" w:firstRow="false"/>
        </w:trPr>
        <w:tc>
          <w:tcPr>
            <w:cnfStyle w:evenVBand="false" w:oddVBand="true" w:firstColumn="false"/>
            <w:tcW w:w="25.000000%" w:type="pct"/>
          </w:tcPr>
          <w:p>
            <w:pPr>
              <w:ind w:leftChars="0" w:left="0" w:right="0"/>
            </w:pPr>
            <w:r>
              <w:t>IMCO</w:t>
            </w:r>
          </w:p>
        </w:tc>
        <w:tc>
          <w:tcPr>
            <w:cnfStyle w:evenVBand="true" w:oddVBand="false" w:firstColumn="false"/>
            <w:tcW w:w="25.000000%" w:type="pct"/>
          </w:tcPr>
          <w:p>
            <w:pPr>
              <w:ind w:leftChars="0" w:left="0" w:right="0"/>
            </w:pPr>
            <w:r>
              <w:t>IMCO</w:t>
            </w:r>
          </w:p>
        </w:tc>
        <w:tc>
          <w:tcPr>
            <w:cnfStyle w:evenVBand="false" w:oddVBand="true" w:firstColumn="false"/>
            <w:tcW w:w="25.000000%" w:type="pct"/>
          </w:tcPr>
          <w:p>
            <w:pPr>
              <w:ind w:leftChars="0" w:left="0" w:right="0"/>
            </w:pPr>
            <w:r>
              <w:t>ICE ENDEX OTF FUTURES</w:t>
            </w:r>
          </w:p>
        </w:tc>
        <w:tc>
          <w:tcPr>
            <w:cnfStyle w:evenVBand="true" w:oddVBand="false" w:firstColumn="false"/>
            <w:tcW w:w="25.000000%" w:type="pct"/>
          </w:tcPr>
          <w:p>
            <w:pPr>
              <w:ind w:leftChars="0" w:left="0" w:right="0"/>
            </w:pPr>
            <w:r>
              <w:t>953</w:t>
            </w:r>
          </w:p>
        </w:tc>
      </w:tr>
      <w:tr>
        <w:trPr>
          <w:cnfStyle w:evenHBand="false" w:oddHBand="true" w:firstRow="false"/>
        </w:trPr>
        <w:tc>
          <w:tcPr>
            <w:cnfStyle w:evenVBand="false" w:oddVBand="true" w:firstColumn="false"/>
            <w:tcW w:w="25.000000%" w:type="pct"/>
          </w:tcPr>
          <w:p>
            <w:pPr>
              <w:ind w:leftChars="0" w:left="0" w:right="0"/>
            </w:pPr>
            <w:r>
              <w:t>IMCR</w:t>
            </w:r>
          </w:p>
        </w:tc>
        <w:tc>
          <w:tcPr>
            <w:cnfStyle w:evenVBand="true" w:oddVBand="false" w:firstColumn="false"/>
            <w:tcW w:w="25.000000%" w:type="pct"/>
          </w:tcPr>
          <w:p>
            <w:pPr>
              <w:ind w:leftChars="0" w:left="0" w:right="0"/>
            </w:pPr>
            <w:r>
              <w:t>IMCR</w:t>
            </w:r>
          </w:p>
        </w:tc>
        <w:tc>
          <w:tcPr>
            <w:cnfStyle w:evenVBand="false" w:oddVBand="true" w:firstColumn="false"/>
            <w:tcW w:w="25.000000%" w:type="pct"/>
          </w:tcPr>
          <w:p>
            <w:pPr>
              <w:ind w:leftChars="0" w:left="0" w:right="0"/>
            </w:pPr>
            <w:r>
              <w:t>ICE MARKETS CREDIT</w:t>
            </w:r>
          </w:p>
        </w:tc>
        <w:tc>
          <w:tcPr>
            <w:cnfStyle w:evenVBand="true" w:oddVBand="false" w:firstColumn="false"/>
            <w:tcW w:w="25.000000%" w:type="pct"/>
          </w:tcPr>
          <w:p>
            <w:pPr>
              <w:ind w:leftChars="0" w:left="0" w:right="0"/>
            </w:pPr>
            <w:r>
              <w:t>954</w:t>
            </w:r>
          </w:p>
        </w:tc>
      </w:tr>
      <w:tr>
        <w:trPr>
          <w:cnfStyle w:evenHBand="true" w:oddHBand="false" w:firstRow="false"/>
        </w:trPr>
        <w:tc>
          <w:tcPr>
            <w:cnfStyle w:evenVBand="false" w:oddVBand="true" w:firstColumn="false"/>
            <w:tcW w:w="25.000000%" w:type="pct"/>
          </w:tcPr>
          <w:p>
            <w:pPr>
              <w:ind w:leftChars="0" w:left="0" w:right="0"/>
            </w:pPr>
            <w:r>
              <w:t>IMCS</w:t>
            </w:r>
          </w:p>
        </w:tc>
        <w:tc>
          <w:tcPr>
            <w:cnfStyle w:evenVBand="true" w:oddVBand="false" w:firstColumn="false"/>
            <w:tcW w:w="25.000000%" w:type="pct"/>
          </w:tcPr>
          <w:p>
            <w:pPr>
              <w:ind w:leftChars="0" w:left="0" w:right="0"/>
            </w:pPr>
            <w:r>
              <w:t>IMCS</w:t>
            </w:r>
          </w:p>
        </w:tc>
        <w:tc>
          <w:tcPr>
            <w:cnfStyle w:evenVBand="false" w:oddVBand="true" w:firstColumn="false"/>
            <w:tcW w:w="25.000000%" w:type="pct"/>
          </w:tcPr>
          <w:p>
            <w:pPr>
              <w:ind w:leftChars="0" w:left="0" w:right="0"/>
            </w:pPr>
            <w:r>
              <w:t>IMC FINANCIAL MARKETS</w:t>
            </w:r>
          </w:p>
        </w:tc>
        <w:tc>
          <w:tcPr>
            <w:cnfStyle w:evenVBand="true" w:oddVBand="false" w:firstColumn="false"/>
            <w:tcW w:w="25.000000%" w:type="pct"/>
          </w:tcPr>
          <w:p>
            <w:pPr>
              <w:ind w:leftChars="0" w:left="0" w:right="0"/>
            </w:pPr>
            <w:r>
              <w:t>955</w:t>
            </w:r>
          </w:p>
        </w:tc>
      </w:tr>
      <w:tr>
        <w:trPr>
          <w:cnfStyle w:evenHBand="false" w:oddHBand="true" w:firstRow="false"/>
        </w:trPr>
        <w:tc>
          <w:tcPr>
            <w:cnfStyle w:evenVBand="false" w:oddVBand="true" w:firstColumn="false"/>
            <w:tcW w:w="25.000000%" w:type="pct"/>
          </w:tcPr>
          <w:p>
            <w:pPr>
              <w:ind w:leftChars="0" w:left="0" w:right="0"/>
            </w:pPr>
            <w:r>
              <w:t>IMCT</w:t>
            </w:r>
          </w:p>
        </w:tc>
        <w:tc>
          <w:tcPr>
            <w:cnfStyle w:evenVBand="true" w:oddVBand="false" w:firstColumn="false"/>
            <w:tcW w:w="25.000000%" w:type="pct"/>
          </w:tcPr>
          <w:p>
            <w:pPr>
              <w:ind w:leftChars="0" w:left="0" w:right="0"/>
            </w:pPr>
            <w:r>
              <w:t>IMCT</w:t>
            </w:r>
          </w:p>
        </w:tc>
        <w:tc>
          <w:tcPr>
            <w:cnfStyle w:evenVBand="false" w:oddVBand="true" w:firstColumn="false"/>
            <w:tcW w:w="25.000000%" w:type="pct"/>
          </w:tcPr>
          <w:p>
            <w:pPr>
              <w:ind w:leftChars="0" w:left="0" w:right="0"/>
            </w:pPr>
            <w:r>
              <w:t>IMC - SYSTEMATIC INTERNALISER</w:t>
            </w:r>
          </w:p>
        </w:tc>
        <w:tc>
          <w:tcPr>
            <w:cnfStyle w:evenVBand="true" w:oddVBand="false" w:firstColumn="false"/>
            <w:tcW w:w="25.000000%" w:type="pct"/>
          </w:tcPr>
          <w:p>
            <w:pPr>
              <w:ind w:leftChars="0" w:left="0" w:right="0"/>
            </w:pPr>
            <w:r>
              <w:t>956</w:t>
            </w:r>
          </w:p>
        </w:tc>
      </w:tr>
      <w:tr>
        <w:trPr>
          <w:cnfStyle w:evenHBand="true" w:oddHBand="false" w:firstRow="false"/>
        </w:trPr>
        <w:tc>
          <w:tcPr>
            <w:cnfStyle w:evenVBand="false" w:oddVBand="true" w:firstColumn="false"/>
            <w:tcW w:w="25.000000%" w:type="pct"/>
          </w:tcPr>
          <w:p>
            <w:pPr>
              <w:ind w:leftChars="0" w:left="0" w:right="0"/>
            </w:pPr>
            <w:r>
              <w:t>IMED</w:t>
            </w:r>
          </w:p>
        </w:tc>
        <w:tc>
          <w:tcPr>
            <w:cnfStyle w:evenVBand="true" w:oddVBand="false" w:firstColumn="false"/>
            <w:tcW w:w="25.000000%" w:type="pct"/>
          </w:tcPr>
          <w:p>
            <w:pPr>
              <w:ind w:leftChars="0" w:left="0" w:right="0"/>
            </w:pPr>
            <w:r>
              <w:t>IMED</w:t>
            </w:r>
          </w:p>
        </w:tc>
        <w:tc>
          <w:tcPr>
            <w:cnfStyle w:evenVBand="false" w:oddVBand="true" w:firstColumn="false"/>
            <w:tcW w:w="25.000000%" w:type="pct"/>
          </w:tcPr>
          <w:p>
            <w:pPr>
              <w:ind w:leftChars="0" w:left="0" w:right="0"/>
            </w:pPr>
            <w:r>
              <w:t>TP ICAP UK MTF - EQUITY DERIVATIVES</w:t>
            </w:r>
          </w:p>
        </w:tc>
        <w:tc>
          <w:tcPr>
            <w:cnfStyle w:evenVBand="true" w:oddVBand="false" w:firstColumn="false"/>
            <w:tcW w:w="25.000000%" w:type="pct"/>
          </w:tcPr>
          <w:p>
            <w:pPr>
              <w:ind w:leftChars="0" w:left="0" w:right="0"/>
            </w:pPr>
            <w:r>
              <w:t>957</w:t>
            </w:r>
          </w:p>
        </w:tc>
      </w:tr>
      <w:tr>
        <w:trPr>
          <w:cnfStyle w:evenHBand="false" w:oddHBand="true" w:firstRow="false"/>
        </w:trPr>
        <w:tc>
          <w:tcPr>
            <w:cnfStyle w:evenVBand="false" w:oddVBand="true" w:firstColumn="false"/>
            <w:tcW w:w="25.000000%" w:type="pct"/>
          </w:tcPr>
          <w:p>
            <w:pPr>
              <w:ind w:leftChars="0" w:left="0" w:right="0"/>
            </w:pPr>
            <w:r>
              <w:t>IMEN</w:t>
            </w:r>
          </w:p>
        </w:tc>
        <w:tc>
          <w:tcPr>
            <w:cnfStyle w:evenVBand="true" w:oddVBand="false" w:firstColumn="false"/>
            <w:tcW w:w="25.000000%" w:type="pct"/>
          </w:tcPr>
          <w:p>
            <w:pPr>
              <w:ind w:leftChars="0" w:left="0" w:right="0"/>
            </w:pPr>
            <w:r>
              <w:t>IMEN</w:t>
            </w:r>
          </w:p>
        </w:tc>
        <w:tc>
          <w:tcPr>
            <w:cnfStyle w:evenVBand="false" w:oddVBand="true" w:firstColumn="false"/>
            <w:tcW w:w="25.000000%" w:type="pct"/>
          </w:tcPr>
          <w:p>
            <w:pPr>
              <w:ind w:leftChars="0" w:left="0" w:right="0"/>
            </w:pPr>
            <w:r>
              <w:t>ICE MARKETS ENERGY</w:t>
            </w:r>
          </w:p>
        </w:tc>
        <w:tc>
          <w:tcPr>
            <w:cnfStyle w:evenVBand="true" w:oddVBand="false" w:firstColumn="false"/>
            <w:tcW w:w="25.000000%" w:type="pct"/>
          </w:tcPr>
          <w:p>
            <w:pPr>
              <w:ind w:leftChars="0" w:left="0" w:right="0"/>
            </w:pPr>
            <w:r>
              <w:t>958</w:t>
            </w:r>
          </w:p>
        </w:tc>
      </w:tr>
      <w:tr>
        <w:trPr>
          <w:cnfStyle w:evenHBand="true" w:oddHBand="false" w:firstRow="false"/>
        </w:trPr>
        <w:tc>
          <w:tcPr>
            <w:cnfStyle w:evenVBand="false" w:oddVBand="true" w:firstColumn="false"/>
            <w:tcW w:w="25.000000%" w:type="pct"/>
          </w:tcPr>
          <w:p>
            <w:pPr>
              <w:ind w:leftChars="0" w:left="0" w:right="0"/>
            </w:pPr>
            <w:r>
              <w:t>IMEQ</w:t>
            </w:r>
          </w:p>
        </w:tc>
        <w:tc>
          <w:tcPr>
            <w:cnfStyle w:evenVBand="true" w:oddVBand="false" w:firstColumn="false"/>
            <w:tcW w:w="25.000000%" w:type="pct"/>
          </w:tcPr>
          <w:p>
            <w:pPr>
              <w:ind w:leftChars="0" w:left="0" w:right="0"/>
            </w:pPr>
            <w:r>
              <w:t>IMEQ</w:t>
            </w:r>
          </w:p>
        </w:tc>
        <w:tc>
          <w:tcPr>
            <w:cnfStyle w:evenVBand="false" w:oddVBand="true" w:firstColumn="false"/>
            <w:tcW w:w="25.000000%" w:type="pct"/>
          </w:tcPr>
          <w:p>
            <w:pPr>
              <w:ind w:leftChars="0" w:left="0" w:right="0"/>
            </w:pPr>
            <w:r>
              <w:t>ICE MARKETS EQUITY</w:t>
            </w:r>
          </w:p>
        </w:tc>
        <w:tc>
          <w:tcPr>
            <w:cnfStyle w:evenVBand="true" w:oddVBand="false" w:firstColumn="false"/>
            <w:tcW w:w="25.000000%" w:type="pct"/>
          </w:tcPr>
          <w:p>
            <w:pPr>
              <w:ind w:leftChars="0" w:left="0" w:right="0"/>
            </w:pPr>
            <w:r>
              <w:t>959</w:t>
            </w:r>
          </w:p>
        </w:tc>
      </w:tr>
      <w:tr>
        <w:trPr>
          <w:cnfStyle w:evenHBand="false" w:oddHBand="true" w:firstRow="false"/>
        </w:trPr>
        <w:tc>
          <w:tcPr>
            <w:cnfStyle w:evenVBand="false" w:oddVBand="true" w:firstColumn="false"/>
            <w:tcW w:w="25.000000%" w:type="pct"/>
          </w:tcPr>
          <w:p>
            <w:pPr>
              <w:ind w:leftChars="0" w:left="0" w:right="0"/>
            </w:pPr>
            <w:r>
              <w:t>IMET</w:t>
            </w:r>
          </w:p>
        </w:tc>
        <w:tc>
          <w:tcPr>
            <w:cnfStyle w:evenVBand="true" w:oddVBand="false" w:firstColumn="false"/>
            <w:tcW w:w="25.000000%" w:type="pct"/>
          </w:tcPr>
          <w:p>
            <w:pPr>
              <w:ind w:leftChars="0" w:left="0" w:right="0"/>
            </w:pPr>
            <w:r>
              <w:t>IMET</w:t>
            </w:r>
          </w:p>
        </w:tc>
        <w:tc>
          <w:tcPr>
            <w:cnfStyle w:evenVBand="false" w:oddVBand="true" w:firstColumn="false"/>
            <w:tcW w:w="25.000000%" w:type="pct"/>
          </w:tcPr>
          <w:p>
            <w:pPr>
              <w:ind w:leftChars="0" w:left="0" w:right="0"/>
            </w:pPr>
            <w:r>
              <w:t>TP ICAP UK MTF - EXCHANGE TRADED PRODUCTS</w:t>
            </w:r>
          </w:p>
        </w:tc>
        <w:tc>
          <w:tcPr>
            <w:cnfStyle w:evenVBand="true" w:oddVBand="false" w:firstColumn="false"/>
            <w:tcW w:w="25.000000%" w:type="pct"/>
          </w:tcPr>
          <w:p>
            <w:pPr>
              <w:ind w:leftChars="0" w:left="0" w:right="0"/>
            </w:pPr>
            <w:r>
              <w:t>960</w:t>
            </w:r>
          </w:p>
        </w:tc>
      </w:tr>
      <w:tr>
        <w:trPr>
          <w:cnfStyle w:evenHBand="true" w:oddHBand="false" w:firstRow="false"/>
        </w:trPr>
        <w:tc>
          <w:tcPr>
            <w:cnfStyle w:evenVBand="false" w:oddVBand="true" w:firstColumn="false"/>
            <w:tcW w:w="25.000000%" w:type="pct"/>
          </w:tcPr>
          <w:p>
            <w:pPr>
              <w:ind w:leftChars="0" w:left="0" w:right="0"/>
            </w:pPr>
            <w:r>
              <w:t>IMEX</w:t>
            </w:r>
          </w:p>
        </w:tc>
        <w:tc>
          <w:tcPr>
            <w:cnfStyle w:evenVBand="true" w:oddVBand="false" w:firstColumn="false"/>
            <w:tcW w:w="25.000000%" w:type="pct"/>
          </w:tcPr>
          <w:p>
            <w:pPr>
              <w:ind w:leftChars="0" w:left="0" w:right="0"/>
            </w:pPr>
            <w:r>
              <w:t>IMEX</w:t>
            </w:r>
          </w:p>
        </w:tc>
        <w:tc>
          <w:tcPr>
            <w:cnfStyle w:evenVBand="false" w:oddVBand="true" w:firstColumn="false"/>
            <w:tcW w:w="25.000000%" w:type="pct"/>
          </w:tcPr>
          <w:p>
            <w:pPr>
              <w:ind w:leftChars="0" w:left="0" w:right="0"/>
            </w:pPr>
            <w:r>
              <w:t>IRAN MERCANTILE EXCHANGE</w:t>
            </w:r>
          </w:p>
        </w:tc>
        <w:tc>
          <w:tcPr>
            <w:cnfStyle w:evenVBand="true" w:oddVBand="false" w:firstColumn="false"/>
            <w:tcW w:w="25.000000%" w:type="pct"/>
          </w:tcPr>
          <w:p>
            <w:pPr>
              <w:ind w:leftChars="0" w:left="0" w:right="0"/>
            </w:pPr>
            <w:r>
              <w:t>961</w:t>
            </w:r>
          </w:p>
        </w:tc>
      </w:tr>
      <w:tr>
        <w:trPr>
          <w:cnfStyle w:evenHBand="false" w:oddHBand="true" w:firstRow="false"/>
        </w:trPr>
        <w:tc>
          <w:tcPr>
            <w:cnfStyle w:evenVBand="false" w:oddVBand="true" w:firstColumn="false"/>
            <w:tcW w:w="25.000000%" w:type="pct"/>
          </w:tcPr>
          <w:p>
            <w:pPr>
              <w:ind w:leftChars="0" w:left="0" w:right="0"/>
            </w:pPr>
            <w:r>
              <w:t>IMFD</w:t>
            </w:r>
          </w:p>
        </w:tc>
        <w:tc>
          <w:tcPr>
            <w:cnfStyle w:evenVBand="true" w:oddVBand="false" w:firstColumn="false"/>
            <w:tcW w:w="25.000000%" w:type="pct"/>
          </w:tcPr>
          <w:p>
            <w:pPr>
              <w:ind w:leftChars="0" w:left="0" w:right="0"/>
            </w:pPr>
            <w:r>
              <w:t>IMFD</w:t>
            </w:r>
          </w:p>
        </w:tc>
        <w:tc>
          <w:tcPr>
            <w:cnfStyle w:evenVBand="false" w:oddVBand="true" w:firstColumn="false"/>
            <w:tcW w:w="25.000000%" w:type="pct"/>
          </w:tcPr>
          <w:p>
            <w:pPr>
              <w:ind w:leftChars="0" w:left="0" w:right="0"/>
            </w:pPr>
            <w:r>
              <w:t>TP ICAP UK MTF - FX DERIVATIVES</w:t>
            </w:r>
          </w:p>
        </w:tc>
        <w:tc>
          <w:tcPr>
            <w:cnfStyle w:evenVBand="true" w:oddVBand="false" w:firstColumn="false"/>
            <w:tcW w:w="25.000000%" w:type="pct"/>
          </w:tcPr>
          <w:p>
            <w:pPr>
              <w:ind w:leftChars="0" w:left="0" w:right="0"/>
            </w:pPr>
            <w:r>
              <w:t>962</w:t>
            </w:r>
          </w:p>
        </w:tc>
      </w:tr>
      <w:tr>
        <w:trPr>
          <w:cnfStyle w:evenHBand="true" w:oddHBand="false" w:firstRow="false"/>
        </w:trPr>
        <w:tc>
          <w:tcPr>
            <w:cnfStyle w:evenVBand="false" w:oddVBand="true" w:firstColumn="false"/>
            <w:tcW w:w="25.000000%" w:type="pct"/>
          </w:tcPr>
          <w:p>
            <w:pPr>
              <w:ind w:leftChars="0" w:left="0" w:right="0"/>
            </w:pPr>
            <w:r>
              <w:t>IMFX</w:t>
            </w:r>
          </w:p>
        </w:tc>
        <w:tc>
          <w:tcPr>
            <w:cnfStyle w:evenVBand="true" w:oddVBand="false" w:firstColumn="false"/>
            <w:tcW w:w="25.000000%" w:type="pct"/>
          </w:tcPr>
          <w:p>
            <w:pPr>
              <w:ind w:leftChars="0" w:left="0" w:right="0"/>
            </w:pPr>
            <w:r>
              <w:t>IMFX</w:t>
            </w:r>
          </w:p>
        </w:tc>
        <w:tc>
          <w:tcPr>
            <w:cnfStyle w:evenVBand="false" w:oddVBand="true" w:firstColumn="false"/>
            <w:tcW w:w="25.000000%" w:type="pct"/>
          </w:tcPr>
          <w:p>
            <w:pPr>
              <w:ind w:leftChars="0" w:left="0" w:right="0"/>
            </w:pPr>
            <w:r>
              <w:t>ICE MARKETS FOREIGN EXCHANGE</w:t>
            </w:r>
          </w:p>
        </w:tc>
        <w:tc>
          <w:tcPr>
            <w:cnfStyle w:evenVBand="true" w:oddVBand="false" w:firstColumn="false"/>
            <w:tcW w:w="25.000000%" w:type="pct"/>
          </w:tcPr>
          <w:p>
            <w:pPr>
              <w:ind w:leftChars="0" w:left="0" w:right="0"/>
            </w:pPr>
            <w:r>
              <w:t>963</w:t>
            </w:r>
          </w:p>
        </w:tc>
      </w:tr>
      <w:tr>
        <w:trPr>
          <w:cnfStyle w:evenHBand="false" w:oddHBand="true" w:firstRow="false"/>
        </w:trPr>
        <w:tc>
          <w:tcPr>
            <w:cnfStyle w:evenVBand="false" w:oddVBand="true" w:firstColumn="false"/>
            <w:tcW w:w="25.000000%" w:type="pct"/>
          </w:tcPr>
          <w:p>
            <w:pPr>
              <w:ind w:leftChars="0" w:left="0" w:right="0"/>
            </w:pPr>
            <w:r>
              <w:t>IMGB</w:t>
            </w:r>
          </w:p>
        </w:tc>
        <w:tc>
          <w:tcPr>
            <w:cnfStyle w:evenVBand="true" w:oddVBand="false" w:firstColumn="false"/>
            <w:tcW w:w="25.000000%" w:type="pct"/>
          </w:tcPr>
          <w:p>
            <w:pPr>
              <w:ind w:leftChars="0" w:left="0" w:right="0"/>
            </w:pPr>
            <w:r>
              <w:t>IMGB</w:t>
            </w:r>
          </w:p>
        </w:tc>
        <w:tc>
          <w:tcPr>
            <w:cnfStyle w:evenVBand="false" w:oddVBand="true" w:firstColumn="false"/>
            <w:tcW w:w="25.000000%" w:type="pct"/>
          </w:tcPr>
          <w:p>
            <w:pPr>
              <w:ind w:leftChars="0" w:left="0" w:right="0"/>
            </w:pPr>
            <w:r>
              <w:t>TP ICAP UK MTF - GOVERNMENT BONDS EXCLUDING GILTS</w:t>
            </w:r>
          </w:p>
        </w:tc>
        <w:tc>
          <w:tcPr>
            <w:cnfStyle w:evenVBand="true" w:oddVBand="false" w:firstColumn="false"/>
            <w:tcW w:w="25.000000%" w:type="pct"/>
          </w:tcPr>
          <w:p>
            <w:pPr>
              <w:ind w:leftChars="0" w:left="0" w:right="0"/>
            </w:pPr>
            <w:r>
              <w:t>964</w:t>
            </w:r>
          </w:p>
        </w:tc>
      </w:tr>
      <w:tr>
        <w:trPr>
          <w:cnfStyle w:evenHBand="true" w:oddHBand="false" w:firstRow="false"/>
        </w:trPr>
        <w:tc>
          <w:tcPr>
            <w:cnfStyle w:evenVBand="false" w:oddVBand="true" w:firstColumn="false"/>
            <w:tcW w:w="25.000000%" w:type="pct"/>
          </w:tcPr>
          <w:p>
            <w:pPr>
              <w:ind w:leftChars="0" w:left="0" w:right="0"/>
            </w:pPr>
            <w:r>
              <w:t>IMGI</w:t>
            </w:r>
          </w:p>
        </w:tc>
        <w:tc>
          <w:tcPr>
            <w:cnfStyle w:evenVBand="true" w:oddVBand="false" w:firstColumn="false"/>
            <w:tcW w:w="25.000000%" w:type="pct"/>
          </w:tcPr>
          <w:p>
            <w:pPr>
              <w:ind w:leftChars="0" w:left="0" w:right="0"/>
            </w:pPr>
            <w:r>
              <w:t>IMGI</w:t>
            </w:r>
          </w:p>
        </w:tc>
        <w:tc>
          <w:tcPr>
            <w:cnfStyle w:evenVBand="false" w:oddVBand="true" w:firstColumn="false"/>
            <w:tcW w:w="25.000000%" w:type="pct"/>
          </w:tcPr>
          <w:p>
            <w:pPr>
              <w:ind w:leftChars="0" w:left="0" w:right="0"/>
            </w:pPr>
            <w:r>
              <w:t>TP ICAP UK MTF - GILTS</w:t>
            </w:r>
          </w:p>
        </w:tc>
        <w:tc>
          <w:tcPr>
            <w:cnfStyle w:evenVBand="true" w:oddVBand="false" w:firstColumn="false"/>
            <w:tcW w:w="25.000000%" w:type="pct"/>
          </w:tcPr>
          <w:p>
            <w:pPr>
              <w:ind w:leftChars="0" w:left="0" w:right="0"/>
            </w:pPr>
            <w:r>
              <w:t>965</w:t>
            </w:r>
          </w:p>
        </w:tc>
      </w:tr>
      <w:tr>
        <w:trPr>
          <w:cnfStyle w:evenHBand="false" w:oddHBand="true" w:firstRow="false"/>
        </w:trPr>
        <w:tc>
          <w:tcPr>
            <w:cnfStyle w:evenVBand="false" w:oddVBand="true" w:firstColumn="false"/>
            <w:tcW w:w="25.000000%" w:type="pct"/>
          </w:tcPr>
          <w:p>
            <w:pPr>
              <w:ind w:leftChars="0" w:left="0" w:right="0"/>
            </w:pPr>
            <w:r>
              <w:t>IMIR</w:t>
            </w:r>
          </w:p>
        </w:tc>
        <w:tc>
          <w:tcPr>
            <w:cnfStyle w:evenVBand="true" w:oddVBand="false" w:firstColumn="false"/>
            <w:tcW w:w="25.000000%" w:type="pct"/>
          </w:tcPr>
          <w:p>
            <w:pPr>
              <w:ind w:leftChars="0" w:left="0" w:right="0"/>
            </w:pPr>
            <w:r>
              <w:t>IMIR</w:t>
            </w:r>
          </w:p>
        </w:tc>
        <w:tc>
          <w:tcPr>
            <w:cnfStyle w:evenVBand="false" w:oddVBand="true" w:firstColumn="false"/>
            <w:tcW w:w="25.000000%" w:type="pct"/>
          </w:tcPr>
          <w:p>
            <w:pPr>
              <w:ind w:leftChars="0" w:left="0" w:right="0"/>
            </w:pPr>
            <w:r>
              <w:t>ICE MARKETS RATES</w:t>
            </w:r>
          </w:p>
        </w:tc>
        <w:tc>
          <w:tcPr>
            <w:cnfStyle w:evenVBand="true" w:oddVBand="false" w:firstColumn="false"/>
            <w:tcW w:w="25.000000%" w:type="pct"/>
          </w:tcPr>
          <w:p>
            <w:pPr>
              <w:ind w:leftChars="0" w:left="0" w:right="0"/>
            </w:pPr>
            <w:r>
              <w:t>966</w:t>
            </w:r>
          </w:p>
        </w:tc>
      </w:tr>
      <w:tr>
        <w:trPr>
          <w:cnfStyle w:evenHBand="true" w:oddHBand="false" w:firstRow="false"/>
        </w:trPr>
        <w:tc>
          <w:tcPr>
            <w:cnfStyle w:evenVBand="false" w:oddVBand="true" w:firstColumn="false"/>
            <w:tcW w:w="25.000000%" w:type="pct"/>
          </w:tcPr>
          <w:p>
            <w:pPr>
              <w:ind w:leftChars="0" w:left="0" w:right="0"/>
            </w:pPr>
            <w:r>
              <w:t>IMMH</w:t>
            </w:r>
          </w:p>
        </w:tc>
        <w:tc>
          <w:tcPr>
            <w:cnfStyle w:evenVBand="true" w:oddVBand="false" w:firstColumn="false"/>
            <w:tcW w:w="25.000000%" w:type="pct"/>
          </w:tcPr>
          <w:p>
            <w:pPr>
              <w:ind w:leftChars="0" w:left="0" w:right="0"/>
            </w:pPr>
            <w:r>
              <w:t>IMMH</w:t>
            </w:r>
          </w:p>
        </w:tc>
        <w:tc>
          <w:tcPr>
            <w:cnfStyle w:evenVBand="false" w:oddVBand="true" w:firstColumn="false"/>
            <w:tcW w:w="25.000000%" w:type="pct"/>
          </w:tcPr>
          <w:p>
            <w:pPr>
              <w:ind w:leftChars="0" w:left="0" w:right="0"/>
            </w:pPr>
            <w:r>
              <w:t>IMMH - INTESA SANPAOLO - SYSTEMATIC INTERNALISER</w:t>
            </w:r>
          </w:p>
        </w:tc>
        <w:tc>
          <w:tcPr>
            <w:cnfStyle w:evenVBand="true" w:oddVBand="false" w:firstColumn="false"/>
            <w:tcW w:w="25.000000%" w:type="pct"/>
          </w:tcPr>
          <w:p>
            <w:pPr>
              <w:ind w:leftChars="0" w:left="0" w:right="0"/>
            </w:pPr>
            <w:r>
              <w:t>967</w:t>
            </w:r>
          </w:p>
        </w:tc>
      </w:tr>
      <w:tr>
        <w:trPr>
          <w:cnfStyle w:evenHBand="false" w:oddHBand="true" w:firstRow="false"/>
        </w:trPr>
        <w:tc>
          <w:tcPr>
            <w:cnfStyle w:evenVBand="false" w:oddVBand="true" w:firstColumn="false"/>
            <w:tcW w:w="25.000000%" w:type="pct"/>
          </w:tcPr>
          <w:p>
            <w:pPr>
              <w:ind w:leftChars="0" w:left="0" w:right="0"/>
            </w:pPr>
            <w:r>
              <w:t>IMMM</w:t>
            </w:r>
          </w:p>
        </w:tc>
        <w:tc>
          <w:tcPr>
            <w:cnfStyle w:evenVBand="true" w:oddVBand="false" w:firstColumn="false"/>
            <w:tcW w:w="25.000000%" w:type="pct"/>
          </w:tcPr>
          <w:p>
            <w:pPr>
              <w:ind w:leftChars="0" w:left="0" w:right="0"/>
            </w:pPr>
            <w:r>
              <w:t>IMMM</w:t>
            </w:r>
          </w:p>
        </w:tc>
        <w:tc>
          <w:tcPr>
            <w:cnfStyle w:evenVBand="false" w:oddVBand="true" w:firstColumn="false"/>
            <w:tcW w:w="25.000000%" w:type="pct"/>
          </w:tcPr>
          <w:p>
            <w:pPr>
              <w:ind w:leftChars="0" w:left="0" w:right="0"/>
            </w:pPr>
            <w:r>
              <w:t>TP ICAP UK MTF - MONEY MARKET INSTRUMENTS</w:t>
            </w:r>
          </w:p>
        </w:tc>
        <w:tc>
          <w:tcPr>
            <w:cnfStyle w:evenVBand="true" w:oddVBand="false" w:firstColumn="false"/>
            <w:tcW w:w="25.000000%" w:type="pct"/>
          </w:tcPr>
          <w:p>
            <w:pPr>
              <w:ind w:leftChars="0" w:left="0" w:right="0"/>
            </w:pPr>
            <w:r>
              <w:t>968</w:t>
            </w:r>
          </w:p>
        </w:tc>
      </w:tr>
      <w:tr>
        <w:trPr>
          <w:cnfStyle w:evenHBand="true" w:oddHBand="false" w:firstRow="false"/>
        </w:trPr>
        <w:tc>
          <w:tcPr>
            <w:cnfStyle w:evenVBand="false" w:oddVBand="true" w:firstColumn="false"/>
            <w:tcW w:w="25.000000%" w:type="pct"/>
          </w:tcPr>
          <w:p>
            <w:pPr>
              <w:ind w:leftChars="0" w:left="0" w:right="0"/>
            </w:pPr>
            <w:r>
              <w:t>IMRD</w:t>
            </w:r>
          </w:p>
        </w:tc>
        <w:tc>
          <w:tcPr>
            <w:cnfStyle w:evenVBand="true" w:oddVBand="false" w:firstColumn="false"/>
            <w:tcW w:w="25.000000%" w:type="pct"/>
          </w:tcPr>
          <w:p>
            <w:pPr>
              <w:ind w:leftChars="0" w:left="0" w:right="0"/>
            </w:pPr>
            <w:r>
              <w:t>IMRD</w:t>
            </w:r>
          </w:p>
        </w:tc>
        <w:tc>
          <w:tcPr>
            <w:cnfStyle w:evenVBand="false" w:oddVBand="true" w:firstColumn="false"/>
            <w:tcW w:w="25.000000%" w:type="pct"/>
          </w:tcPr>
          <w:p>
            <w:pPr>
              <w:ind w:leftChars="0" w:left="0" w:right="0"/>
            </w:pPr>
            <w:r>
              <w:t>TP ICAP UK MTF - INTEREST RATE DERIVATIVES</w:t>
            </w:r>
          </w:p>
        </w:tc>
        <w:tc>
          <w:tcPr>
            <w:cnfStyle w:evenVBand="true" w:oddVBand="false" w:firstColumn="false"/>
            <w:tcW w:w="25.000000%" w:type="pct"/>
          </w:tcPr>
          <w:p>
            <w:pPr>
              <w:ind w:leftChars="0" w:left="0" w:right="0"/>
            </w:pPr>
            <w:r>
              <w:t>969</w:t>
            </w:r>
          </w:p>
        </w:tc>
      </w:tr>
      <w:tr>
        <w:trPr>
          <w:cnfStyle w:evenHBand="false" w:oddHBand="true" w:firstRow="false"/>
        </w:trPr>
        <w:tc>
          <w:tcPr>
            <w:cnfStyle w:evenVBand="false" w:oddVBand="true" w:firstColumn="false"/>
            <w:tcW w:w="25.000000%" w:type="pct"/>
          </w:tcPr>
          <w:p>
            <w:pPr>
              <w:ind w:leftChars="0" w:left="0" w:right="0"/>
            </w:pPr>
            <w:r>
              <w:t>IMSB</w:t>
            </w:r>
          </w:p>
        </w:tc>
        <w:tc>
          <w:tcPr>
            <w:cnfStyle w:evenVBand="true" w:oddVBand="false" w:firstColumn="false"/>
            <w:tcW w:w="25.000000%" w:type="pct"/>
          </w:tcPr>
          <w:p>
            <w:pPr>
              <w:ind w:leftChars="0" w:left="0" w:right="0"/>
            </w:pPr>
            <w:r>
              <w:t>IMSB</w:t>
            </w:r>
          </w:p>
        </w:tc>
        <w:tc>
          <w:tcPr>
            <w:cnfStyle w:evenVBand="false" w:oddVBand="true" w:firstColumn="false"/>
            <w:tcW w:w="25.000000%" w:type="pct"/>
          </w:tcPr>
          <w:p>
            <w:pPr>
              <w:ind w:leftChars="0" w:left="0" w:right="0"/>
            </w:pPr>
            <w:r>
              <w:t>TP ICAP UK MTF - CORPORATE BONDS AND SECURITIES DEBT</w:t>
            </w:r>
          </w:p>
        </w:tc>
        <w:tc>
          <w:tcPr>
            <w:cnfStyle w:evenVBand="true" w:oddVBand="false" w:firstColumn="false"/>
            <w:tcW w:w="25.000000%" w:type="pct"/>
          </w:tcPr>
          <w:p>
            <w:pPr>
              <w:ind w:leftChars="0" w:left="0" w:right="0"/>
            </w:pPr>
            <w:r>
              <w:t>970</w:t>
            </w:r>
          </w:p>
        </w:tc>
      </w:tr>
      <w:tr>
        <w:trPr>
          <w:cnfStyle w:evenHBand="true" w:oddHBand="false" w:firstRow="false"/>
        </w:trPr>
        <w:tc>
          <w:tcPr>
            <w:cnfStyle w:evenVBand="false" w:oddVBand="true" w:firstColumn="false"/>
            <w:tcW w:w="25.000000%" w:type="pct"/>
          </w:tcPr>
          <w:p>
            <w:pPr>
              <w:ind w:leftChars="0" w:left="0" w:right="0"/>
            </w:pPr>
            <w:r>
              <w:t>IMTF</w:t>
            </w:r>
          </w:p>
        </w:tc>
        <w:tc>
          <w:tcPr>
            <w:cnfStyle w:evenVBand="true" w:oddVBand="false" w:firstColumn="false"/>
            <w:tcW w:w="25.000000%" w:type="pct"/>
          </w:tcPr>
          <w:p>
            <w:pPr>
              <w:ind w:leftChars="0" w:left="0" w:right="0"/>
            </w:pPr>
            <w:r>
              <w:t>IMTF</w:t>
            </w:r>
          </w:p>
        </w:tc>
        <w:tc>
          <w:tcPr>
            <w:cnfStyle w:evenVBand="false" w:oddVBand="true" w:firstColumn="false"/>
            <w:tcW w:w="25.000000%" w:type="pct"/>
          </w:tcPr>
          <w:p>
            <w:pPr>
              <w:ind w:leftChars="0" w:left="0" w:right="0"/>
            </w:pPr>
            <w:r>
              <w:t>INTEGRAL MTF</w:t>
            </w:r>
          </w:p>
        </w:tc>
        <w:tc>
          <w:tcPr>
            <w:cnfStyle w:evenVBand="true" w:oddVBand="false" w:firstColumn="false"/>
            <w:tcW w:w="25.000000%" w:type="pct"/>
          </w:tcPr>
          <w:p>
            <w:pPr>
              <w:ind w:leftChars="0" w:left="0" w:right="0"/>
            </w:pPr>
            <w:r>
              <w:t>971</w:t>
            </w:r>
          </w:p>
        </w:tc>
      </w:tr>
      <w:tr>
        <w:trPr>
          <w:cnfStyle w:evenHBand="false" w:oddHBand="true" w:firstRow="false"/>
        </w:trPr>
        <w:tc>
          <w:tcPr>
            <w:cnfStyle w:evenVBand="false" w:oddVBand="true" w:firstColumn="false"/>
            <w:tcW w:w="25.000000%" w:type="pct"/>
          </w:tcPr>
          <w:p>
            <w:pPr>
              <w:ind w:leftChars="0" w:left="0" w:right="0"/>
            </w:pPr>
            <w:r>
              <w:t>IMTS</w:t>
            </w:r>
          </w:p>
        </w:tc>
        <w:tc>
          <w:tcPr>
            <w:cnfStyle w:evenVBand="true" w:oddVBand="false" w:firstColumn="false"/>
            <w:tcW w:w="25.000000%" w:type="pct"/>
          </w:tcPr>
          <w:p>
            <w:pPr>
              <w:ind w:leftChars="0" w:left="0" w:right="0"/>
            </w:pPr>
            <w:r>
              <w:t>IMTS</w:t>
            </w:r>
          </w:p>
        </w:tc>
        <w:tc>
          <w:tcPr>
            <w:cnfStyle w:evenVBand="false" w:oddVBand="true" w:firstColumn="false"/>
            <w:tcW w:w="25.000000%" w:type="pct"/>
          </w:tcPr>
          <w:p>
            <w:pPr>
              <w:ind w:leftChars="0" w:left="0" w:right="0"/>
            </w:pPr>
            <w:r>
              <w:t>MTS IRELAND</w:t>
            </w:r>
          </w:p>
        </w:tc>
        <w:tc>
          <w:tcPr>
            <w:cnfStyle w:evenVBand="true" w:oddVBand="false" w:firstColumn="false"/>
            <w:tcW w:w="25.000000%" w:type="pct"/>
          </w:tcPr>
          <w:p>
            <w:pPr>
              <w:ind w:leftChars="0" w:left="0" w:right="0"/>
            </w:pPr>
            <w:r>
              <w:t>972</w:t>
            </w:r>
          </w:p>
        </w:tc>
      </w:tr>
      <w:tr>
        <w:trPr>
          <w:cnfStyle w:evenHBand="true" w:oddHBand="false" w:firstRow="false"/>
        </w:trPr>
        <w:tc>
          <w:tcPr>
            <w:cnfStyle w:evenVBand="false" w:oddVBand="true" w:firstColumn="false"/>
            <w:tcW w:w="25.000000%" w:type="pct"/>
          </w:tcPr>
          <w:p>
            <w:pPr>
              <w:ind w:leftChars="0" w:left="0" w:right="0"/>
            </w:pPr>
            <w:r>
              <w:t>INCA</w:t>
            </w:r>
          </w:p>
        </w:tc>
        <w:tc>
          <w:tcPr>
            <w:cnfStyle w:evenVBand="true" w:oddVBand="false" w:firstColumn="false"/>
            <w:tcW w:w="25.000000%" w:type="pct"/>
          </w:tcPr>
          <w:p>
            <w:pPr>
              <w:ind w:leftChars="0" w:left="0" w:right="0"/>
            </w:pPr>
            <w:r>
              <w:t>INCA</w:t>
            </w:r>
          </w:p>
        </w:tc>
        <w:tc>
          <w:tcPr>
            <w:cnfStyle w:evenVBand="false" w:oddVBand="true" w:firstColumn="false"/>
            <w:tcW w:w="25.000000%" w:type="pct"/>
          </w:tcPr>
          <w:p>
            <w:pPr>
              <w:ind w:leftChars="0" w:left="0" w:right="0"/>
            </w:pPr>
            <w:r>
              <w:t>INSTINET DESK CROSS</w:t>
            </w:r>
          </w:p>
        </w:tc>
        <w:tc>
          <w:tcPr>
            <w:cnfStyle w:evenVBand="true" w:oddVBand="false" w:firstColumn="false"/>
            <w:tcW w:w="25.000000%" w:type="pct"/>
          </w:tcPr>
          <w:p>
            <w:pPr>
              <w:ind w:leftChars="0" w:left="0" w:right="0"/>
            </w:pPr>
            <w:r>
              <w:t>973</w:t>
            </w:r>
          </w:p>
        </w:tc>
      </w:tr>
      <w:tr>
        <w:trPr>
          <w:cnfStyle w:evenHBand="false" w:oddHBand="true" w:firstRow="false"/>
        </w:trPr>
        <w:tc>
          <w:tcPr>
            <w:cnfStyle w:evenVBand="false" w:oddVBand="true" w:firstColumn="false"/>
            <w:tcW w:w="25.000000%" w:type="pct"/>
          </w:tcPr>
          <w:p>
            <w:pPr>
              <w:ind w:leftChars="0" w:left="0" w:right="0"/>
            </w:pPr>
            <w:r>
              <w:t>INCR</w:t>
            </w:r>
          </w:p>
        </w:tc>
        <w:tc>
          <w:tcPr>
            <w:cnfStyle w:evenVBand="true" w:oddVBand="false" w:firstColumn="false"/>
            <w:tcW w:w="25.000000%" w:type="pct"/>
          </w:tcPr>
          <w:p>
            <w:pPr>
              <w:ind w:leftChars="0" w:left="0" w:right="0"/>
            </w:pPr>
            <w:r>
              <w:t>INCR</w:t>
            </w:r>
          </w:p>
        </w:tc>
        <w:tc>
          <w:tcPr>
            <w:cnfStyle w:evenVBand="false" w:oddVBand="true" w:firstColumn="false"/>
            <w:tcW w:w="25.000000%" w:type="pct"/>
          </w:tcPr>
          <w:p>
            <w:pPr>
              <w:ind w:leftChars="0" w:left="0" w:right="0"/>
            </w:pPr>
            <w:r>
              <w:t>INTELLIGENTCROSS</w:t>
            </w:r>
          </w:p>
        </w:tc>
        <w:tc>
          <w:tcPr>
            <w:cnfStyle w:evenVBand="true" w:oddVBand="false" w:firstColumn="false"/>
            <w:tcW w:w="25.000000%" w:type="pct"/>
          </w:tcPr>
          <w:p>
            <w:pPr>
              <w:ind w:leftChars="0" w:left="0" w:right="0"/>
            </w:pPr>
            <w:r>
              <w:t>974</w:t>
            </w:r>
          </w:p>
        </w:tc>
      </w:tr>
      <w:tr>
        <w:trPr>
          <w:cnfStyle w:evenHBand="true" w:oddHBand="false" w:firstRow="false"/>
        </w:trPr>
        <w:tc>
          <w:tcPr>
            <w:cnfStyle w:evenVBand="false" w:oddVBand="true" w:firstColumn="false"/>
            <w:tcW w:w="25.000000%" w:type="pct"/>
          </w:tcPr>
          <w:p>
            <w:pPr>
              <w:ind w:leftChars="0" w:left="0" w:right="0"/>
            </w:pPr>
            <w:r>
              <w:t>INGB</w:t>
            </w:r>
          </w:p>
        </w:tc>
        <w:tc>
          <w:tcPr>
            <w:cnfStyle w:evenVBand="true" w:oddVBand="false" w:firstColumn="false"/>
            <w:tcW w:w="25.000000%" w:type="pct"/>
          </w:tcPr>
          <w:p>
            <w:pPr>
              <w:ind w:leftChars="0" w:left="0" w:right="0"/>
            </w:pPr>
            <w:r>
              <w:t>INGB</w:t>
            </w:r>
          </w:p>
        </w:tc>
        <w:tc>
          <w:tcPr>
            <w:cnfStyle w:evenVBand="false" w:oddVBand="true" w:firstColumn="false"/>
            <w:tcW w:w="25.000000%" w:type="pct"/>
          </w:tcPr>
          <w:p>
            <w:pPr>
              <w:ind w:leftChars="0" w:left="0" w:right="0"/>
            </w:pPr>
            <w:r>
              <w:t>ING BANK NV - SYSTEMATIC INTERNALISER</w:t>
            </w:r>
          </w:p>
        </w:tc>
        <w:tc>
          <w:tcPr>
            <w:cnfStyle w:evenVBand="true" w:oddVBand="false" w:firstColumn="false"/>
            <w:tcW w:w="25.000000%" w:type="pct"/>
          </w:tcPr>
          <w:p>
            <w:pPr>
              <w:ind w:leftChars="0" w:left="0" w:right="0"/>
            </w:pPr>
            <w:r>
              <w:t>975</w:t>
            </w:r>
          </w:p>
        </w:tc>
      </w:tr>
      <w:tr>
        <w:trPr>
          <w:cnfStyle w:evenHBand="false" w:oddHBand="true" w:firstRow="false"/>
        </w:trPr>
        <w:tc>
          <w:tcPr>
            <w:cnfStyle w:evenVBand="false" w:oddVBand="true" w:firstColumn="false"/>
            <w:tcW w:w="25.000000%" w:type="pct"/>
          </w:tcPr>
          <w:p>
            <w:pPr>
              <w:ind w:leftChars="0" w:left="0" w:right="0"/>
            </w:pPr>
            <w:r>
              <w:t>INGE</w:t>
            </w:r>
          </w:p>
        </w:tc>
        <w:tc>
          <w:tcPr>
            <w:cnfStyle w:evenVBand="true" w:oddVBand="false" w:firstColumn="false"/>
            <w:tcW w:w="25.000000%" w:type="pct"/>
          </w:tcPr>
          <w:p>
            <w:pPr>
              <w:ind w:leftChars="0" w:left="0" w:right="0"/>
            </w:pPr>
            <w:r>
              <w:t>INGE</w:t>
            </w:r>
          </w:p>
        </w:tc>
        <w:tc>
          <w:tcPr>
            <w:cnfStyle w:evenVBand="false" w:oddVBand="true" w:firstColumn="false"/>
            <w:tcW w:w="25.000000%" w:type="pct"/>
          </w:tcPr>
          <w:p>
            <w:pPr>
              <w:ind w:leftChars="0" w:left="0" w:right="0"/>
            </w:pPr>
            <w:r>
              <w:t>ING BANK NV - SPRINTERS AND EQUITY - SYSTEMATIC INTERNALISER</w:t>
            </w:r>
          </w:p>
        </w:tc>
        <w:tc>
          <w:tcPr>
            <w:cnfStyle w:evenVBand="true" w:oddVBand="false" w:firstColumn="false"/>
            <w:tcW w:w="25.000000%" w:type="pct"/>
          </w:tcPr>
          <w:p>
            <w:pPr>
              <w:ind w:leftChars="0" w:left="0" w:right="0"/>
            </w:pPr>
            <w:r>
              <w:t>976</w:t>
            </w:r>
          </w:p>
        </w:tc>
      </w:tr>
      <w:tr>
        <w:trPr>
          <w:cnfStyle w:evenHBand="true" w:oddHBand="false" w:firstRow="false"/>
        </w:trPr>
        <w:tc>
          <w:tcPr>
            <w:cnfStyle w:evenVBand="false" w:oddVBand="true" w:firstColumn="false"/>
            <w:tcW w:w="25.000000%" w:type="pct"/>
          </w:tcPr>
          <w:p>
            <w:pPr>
              <w:ind w:leftChars="0" w:left="0" w:right="0"/>
            </w:pPr>
            <w:r>
              <w:t>INGF</w:t>
            </w:r>
          </w:p>
        </w:tc>
        <w:tc>
          <w:tcPr>
            <w:cnfStyle w:evenVBand="true" w:oddVBand="false" w:firstColumn="false"/>
            <w:tcW w:w="25.000000%" w:type="pct"/>
          </w:tcPr>
          <w:p>
            <w:pPr>
              <w:ind w:leftChars="0" w:left="0" w:right="0"/>
            </w:pPr>
            <w:r>
              <w:t>INGF</w:t>
            </w:r>
          </w:p>
        </w:tc>
        <w:tc>
          <w:tcPr>
            <w:cnfStyle w:evenVBand="false" w:oddVBand="true" w:firstColumn="false"/>
            <w:tcW w:w="25.000000%" w:type="pct"/>
          </w:tcPr>
          <w:p>
            <w:pPr>
              <w:ind w:leftChars="0" w:left="0" w:right="0"/>
            </w:pPr>
            <w:r>
              <w:t>ING BANK NV - FOREIGN EXCHANGE - SYSTEMATIC INTERNALISER</w:t>
            </w:r>
          </w:p>
        </w:tc>
        <w:tc>
          <w:tcPr>
            <w:cnfStyle w:evenVBand="true" w:oddVBand="false" w:firstColumn="false"/>
            <w:tcW w:w="25.000000%" w:type="pct"/>
          </w:tcPr>
          <w:p>
            <w:pPr>
              <w:ind w:leftChars="0" w:left="0" w:right="0"/>
            </w:pPr>
            <w:r>
              <w:t>977</w:t>
            </w:r>
          </w:p>
        </w:tc>
      </w:tr>
      <w:tr>
        <w:trPr>
          <w:cnfStyle w:evenHBand="false" w:oddHBand="true" w:firstRow="false"/>
        </w:trPr>
        <w:tc>
          <w:tcPr>
            <w:cnfStyle w:evenVBand="false" w:oddVBand="true" w:firstColumn="false"/>
            <w:tcW w:w="25.000000%" w:type="pct"/>
          </w:tcPr>
          <w:p>
            <w:pPr>
              <w:ind w:leftChars="0" w:left="0" w:right="0"/>
            </w:pPr>
            <w:r>
              <w:t>INGU</w:t>
            </w:r>
          </w:p>
        </w:tc>
        <w:tc>
          <w:tcPr>
            <w:cnfStyle w:evenVBand="true" w:oddVBand="false" w:firstColumn="false"/>
            <w:tcW w:w="25.000000%" w:type="pct"/>
          </w:tcPr>
          <w:p>
            <w:pPr>
              <w:ind w:leftChars="0" w:left="0" w:right="0"/>
            </w:pPr>
            <w:r>
              <w:t>INGU</w:t>
            </w:r>
          </w:p>
        </w:tc>
        <w:tc>
          <w:tcPr>
            <w:cnfStyle w:evenVBand="false" w:oddVBand="true" w:firstColumn="false"/>
            <w:tcW w:w="25.000000%" w:type="pct"/>
          </w:tcPr>
          <w:p>
            <w:pPr>
              <w:ind w:leftChars="0" w:left="0" w:right="0"/>
            </w:pPr>
            <w:r>
              <w:t>ING BANK NV - SYSTEMATIC INTERNALISER - LONDON BRANCH</w:t>
            </w:r>
          </w:p>
        </w:tc>
        <w:tc>
          <w:tcPr>
            <w:cnfStyle w:evenVBand="true" w:oddVBand="false" w:firstColumn="false"/>
            <w:tcW w:w="25.000000%" w:type="pct"/>
          </w:tcPr>
          <w:p>
            <w:pPr>
              <w:ind w:leftChars="0" w:left="0" w:right="0"/>
            </w:pPr>
            <w:r>
              <w:t>978</w:t>
            </w:r>
          </w:p>
        </w:tc>
      </w:tr>
      <w:tr>
        <w:trPr>
          <w:cnfStyle w:evenHBand="true" w:oddHBand="false" w:firstRow="false"/>
        </w:trPr>
        <w:tc>
          <w:tcPr>
            <w:cnfStyle w:evenVBand="false" w:oddVBand="true" w:firstColumn="false"/>
            <w:tcW w:w="25.000000%" w:type="pct"/>
          </w:tcPr>
          <w:p>
            <w:pPr>
              <w:ind w:leftChars="0" w:left="0" w:right="0"/>
            </w:pPr>
            <w:r>
              <w:t>INGW</w:t>
            </w:r>
          </w:p>
        </w:tc>
        <w:tc>
          <w:tcPr>
            <w:cnfStyle w:evenVBand="true" w:oddVBand="false" w:firstColumn="false"/>
            <w:tcW w:w="25.000000%" w:type="pct"/>
          </w:tcPr>
          <w:p>
            <w:pPr>
              <w:ind w:leftChars="0" w:left="0" w:right="0"/>
            </w:pPr>
            <w:r>
              <w:t>INGW</w:t>
            </w:r>
          </w:p>
        </w:tc>
        <w:tc>
          <w:tcPr>
            <w:cnfStyle w:evenVBand="false" w:oddVBand="true" w:firstColumn="false"/>
            <w:tcW w:w="25.000000%" w:type="pct"/>
          </w:tcPr>
          <w:p>
            <w:pPr>
              <w:ind w:leftChars="0" w:left="0" w:right="0"/>
            </w:pPr>
            <w:r>
              <w:t>ING BANK SLASKI SA - SYSTEMATIC INTERNALISER</w:t>
            </w:r>
          </w:p>
        </w:tc>
        <w:tc>
          <w:tcPr>
            <w:cnfStyle w:evenVBand="true" w:oddVBand="false" w:firstColumn="false"/>
            <w:tcW w:w="25.000000%" w:type="pct"/>
          </w:tcPr>
          <w:p>
            <w:pPr>
              <w:ind w:leftChars="0" w:left="0" w:right="0"/>
            </w:pPr>
            <w:r>
              <w:t>979</w:t>
            </w:r>
          </w:p>
        </w:tc>
      </w:tr>
      <w:tr>
        <w:trPr>
          <w:cnfStyle w:evenHBand="false" w:oddHBand="true" w:firstRow="false"/>
        </w:trPr>
        <w:tc>
          <w:tcPr>
            <w:cnfStyle w:evenVBand="false" w:oddVBand="true" w:firstColumn="false"/>
            <w:tcW w:w="25.000000%" w:type="pct"/>
          </w:tcPr>
          <w:p>
            <w:pPr>
              <w:ind w:leftChars="0" w:left="0" w:right="0"/>
            </w:pPr>
            <w:r>
              <w:t>INSE</w:t>
            </w:r>
          </w:p>
        </w:tc>
        <w:tc>
          <w:tcPr>
            <w:cnfStyle w:evenVBand="true" w:oddVBand="false" w:firstColumn="false"/>
            <w:tcW w:w="25.000000%" w:type="pct"/>
          </w:tcPr>
          <w:p>
            <w:pPr>
              <w:ind w:leftChars="0" w:left="0" w:right="0"/>
            </w:pPr>
            <w:r>
              <w:t>INSE</w:t>
            </w:r>
          </w:p>
        </w:tc>
        <w:tc>
          <w:tcPr>
            <w:cnfStyle w:evenVBand="false" w:oddVBand="true" w:firstColumn="false"/>
            <w:tcW w:w="25.000000%" w:type="pct"/>
          </w:tcPr>
          <w:p>
            <w:pPr>
              <w:ind w:leftChars="0" w:left="0" w:right="0"/>
            </w:pPr>
            <w:r>
              <w:t>NSE IFSC LIMITED</w:t>
            </w:r>
          </w:p>
        </w:tc>
        <w:tc>
          <w:tcPr>
            <w:cnfStyle w:evenVBand="true" w:oddVBand="false" w:firstColumn="false"/>
            <w:tcW w:w="25.000000%" w:type="pct"/>
          </w:tcPr>
          <w:p>
            <w:pPr>
              <w:ind w:leftChars="0" w:left="0" w:right="0"/>
            </w:pPr>
            <w:r>
              <w:t>980</w:t>
            </w:r>
          </w:p>
        </w:tc>
      </w:tr>
      <w:tr>
        <w:trPr>
          <w:cnfStyle w:evenHBand="true" w:oddHBand="false" w:firstRow="false"/>
        </w:trPr>
        <w:tc>
          <w:tcPr>
            <w:cnfStyle w:evenVBand="false" w:oddVBand="true" w:firstColumn="false"/>
            <w:tcW w:w="25.000000%" w:type="pct"/>
          </w:tcPr>
          <w:p>
            <w:pPr>
              <w:ind w:leftChars="0" w:left="0" w:right="0"/>
            </w:pPr>
            <w:r>
              <w:t>INTL</w:t>
            </w:r>
          </w:p>
        </w:tc>
        <w:tc>
          <w:tcPr>
            <w:cnfStyle w:evenVBand="true" w:oddVBand="false" w:firstColumn="false"/>
            <w:tcW w:w="25.000000%" w:type="pct"/>
          </w:tcPr>
          <w:p>
            <w:pPr>
              <w:ind w:leftChars="0" w:left="0" w:right="0"/>
            </w:pPr>
            <w:r>
              <w:t>INTL</w:t>
            </w:r>
          </w:p>
        </w:tc>
        <w:tc>
          <w:tcPr>
            <w:cnfStyle w:evenVBand="false" w:oddVBand="true" w:firstColumn="false"/>
            <w:tcW w:w="25.000000%" w:type="pct"/>
          </w:tcPr>
          <w:p>
            <w:pPr>
              <w:ind w:leftChars="0" w:left="0" w:right="0"/>
            </w:pPr>
            <w:r>
              <w:t>STONEX FINANCIAL INC.</w:t>
            </w:r>
          </w:p>
        </w:tc>
        <w:tc>
          <w:tcPr>
            <w:cnfStyle w:evenVBand="true" w:oddVBand="false" w:firstColumn="false"/>
            <w:tcW w:w="25.000000%" w:type="pct"/>
          </w:tcPr>
          <w:p>
            <w:pPr>
              <w:ind w:leftChars="0" w:left="0" w:right="0"/>
            </w:pPr>
            <w:r>
              <w:t>981</w:t>
            </w:r>
          </w:p>
        </w:tc>
      </w:tr>
      <w:tr>
        <w:trPr>
          <w:cnfStyle w:evenHBand="false" w:oddHBand="true" w:firstRow="false"/>
        </w:trPr>
        <w:tc>
          <w:tcPr>
            <w:cnfStyle w:evenVBand="false" w:oddVBand="true" w:firstColumn="false"/>
            <w:tcW w:w="25.000000%" w:type="pct"/>
          </w:tcPr>
          <w:p>
            <w:pPr>
              <w:ind w:leftChars="0" w:left="0" w:right="0"/>
            </w:pPr>
            <w:r>
              <w:t>INVE</w:t>
            </w:r>
          </w:p>
        </w:tc>
        <w:tc>
          <w:tcPr>
            <w:cnfStyle w:evenVBand="true" w:oddVBand="false" w:firstColumn="false"/>
            <w:tcW w:w="25.000000%" w:type="pct"/>
          </w:tcPr>
          <w:p>
            <w:pPr>
              <w:ind w:leftChars="0" w:left="0" w:right="0"/>
            </w:pPr>
            <w:r>
              <w:t>INVE</w:t>
            </w:r>
          </w:p>
        </w:tc>
        <w:tc>
          <w:tcPr>
            <w:cnfStyle w:evenVBand="false" w:oddVBand="true" w:firstColumn="false"/>
            <w:tcW w:w="25.000000%" w:type="pct"/>
          </w:tcPr>
          <w:p>
            <w:pPr>
              <w:ind w:leftChars="0" w:left="0" w:right="0"/>
            </w:pPr>
            <w:r>
              <w:t>INVESTEC BANK PLC - SYSTEMATIC INTERNALISER</w:t>
            </w:r>
          </w:p>
        </w:tc>
        <w:tc>
          <w:tcPr>
            <w:cnfStyle w:evenVBand="true" w:oddVBand="false" w:firstColumn="false"/>
            <w:tcW w:w="25.000000%" w:type="pct"/>
          </w:tcPr>
          <w:p>
            <w:pPr>
              <w:ind w:leftChars="0" w:left="0" w:right="0"/>
            </w:pPr>
            <w:r>
              <w:t>982</w:t>
            </w:r>
          </w:p>
        </w:tc>
      </w:tr>
      <w:tr>
        <w:trPr>
          <w:cnfStyle w:evenHBand="true" w:oddHBand="false" w:firstRow="false"/>
        </w:trPr>
        <w:tc>
          <w:tcPr>
            <w:cnfStyle w:evenVBand="false" w:oddVBand="true" w:firstColumn="false"/>
            <w:tcW w:w="25.000000%" w:type="pct"/>
          </w:tcPr>
          <w:p>
            <w:pPr>
              <w:ind w:leftChars="0" w:left="0" w:right="0"/>
            </w:pPr>
            <w:r>
              <w:t>IOCD</w:t>
            </w:r>
          </w:p>
        </w:tc>
        <w:tc>
          <w:tcPr>
            <w:cnfStyle w:evenVBand="true" w:oddVBand="false" w:firstColumn="false"/>
            <w:tcW w:w="25.000000%" w:type="pct"/>
          </w:tcPr>
          <w:p>
            <w:pPr>
              <w:ind w:leftChars="0" w:left="0" w:right="0"/>
            </w:pPr>
            <w:r>
              <w:t>IOCD</w:t>
            </w:r>
          </w:p>
        </w:tc>
        <w:tc>
          <w:tcPr>
            <w:cnfStyle w:evenVBand="false" w:oddVBand="true" w:firstColumn="false"/>
            <w:tcW w:w="25.000000%" w:type="pct"/>
          </w:tcPr>
          <w:p>
            <w:pPr>
              <w:ind w:leftChars="0" w:left="0" w:right="0"/>
            </w:pPr>
            <w:r>
              <w:t>ICAP UK OTF - CREDIT DERIVATIVES</w:t>
            </w:r>
          </w:p>
        </w:tc>
        <w:tc>
          <w:tcPr>
            <w:cnfStyle w:evenVBand="true" w:oddVBand="false" w:firstColumn="false"/>
            <w:tcW w:w="25.000000%" w:type="pct"/>
          </w:tcPr>
          <w:p>
            <w:pPr>
              <w:ind w:leftChars="0" w:left="0" w:right="0"/>
            </w:pPr>
            <w:r>
              <w:t>983</w:t>
            </w:r>
          </w:p>
        </w:tc>
      </w:tr>
      <w:tr>
        <w:trPr>
          <w:cnfStyle w:evenHBand="false" w:oddHBand="true" w:firstRow="false"/>
        </w:trPr>
        <w:tc>
          <w:tcPr>
            <w:cnfStyle w:evenVBand="false" w:oddVBand="true" w:firstColumn="false"/>
            <w:tcW w:w="25.000000%" w:type="pct"/>
          </w:tcPr>
          <w:p>
            <w:pPr>
              <w:ind w:leftChars="0" w:left="0" w:right="0"/>
            </w:pPr>
            <w:r>
              <w:t>IOED</w:t>
            </w:r>
          </w:p>
        </w:tc>
        <w:tc>
          <w:tcPr>
            <w:cnfStyle w:evenVBand="true" w:oddVBand="false" w:firstColumn="false"/>
            <w:tcW w:w="25.000000%" w:type="pct"/>
          </w:tcPr>
          <w:p>
            <w:pPr>
              <w:ind w:leftChars="0" w:left="0" w:right="0"/>
            </w:pPr>
            <w:r>
              <w:t>IOED</w:t>
            </w:r>
          </w:p>
        </w:tc>
        <w:tc>
          <w:tcPr>
            <w:cnfStyle w:evenVBand="false" w:oddVBand="true" w:firstColumn="false"/>
            <w:tcW w:w="25.000000%" w:type="pct"/>
          </w:tcPr>
          <w:p>
            <w:pPr>
              <w:ind w:leftChars="0" w:left="0" w:right="0"/>
            </w:pPr>
            <w:r>
              <w:t>ICAP UK OTF - EQUITY DERIVATIVES</w:t>
            </w:r>
          </w:p>
        </w:tc>
        <w:tc>
          <w:tcPr>
            <w:cnfStyle w:evenVBand="true" w:oddVBand="false" w:firstColumn="false"/>
            <w:tcW w:w="25.000000%" w:type="pct"/>
          </w:tcPr>
          <w:p>
            <w:pPr>
              <w:ind w:leftChars="0" w:left="0" w:right="0"/>
            </w:pPr>
            <w:r>
              <w:t>984</w:t>
            </w:r>
          </w:p>
        </w:tc>
      </w:tr>
      <w:tr>
        <w:trPr>
          <w:cnfStyle w:evenHBand="true" w:oddHBand="false" w:firstRow="false"/>
        </w:trPr>
        <w:tc>
          <w:tcPr>
            <w:cnfStyle w:evenVBand="false" w:oddVBand="true" w:firstColumn="false"/>
            <w:tcW w:w="25.000000%" w:type="pct"/>
          </w:tcPr>
          <w:p>
            <w:pPr>
              <w:ind w:leftChars="0" w:left="0" w:right="0"/>
            </w:pPr>
            <w:r>
              <w:t>IOFB</w:t>
            </w:r>
          </w:p>
        </w:tc>
        <w:tc>
          <w:tcPr>
            <w:cnfStyle w:evenVBand="true" w:oddVBand="false" w:firstColumn="false"/>
            <w:tcW w:w="25.000000%" w:type="pct"/>
          </w:tcPr>
          <w:p>
            <w:pPr>
              <w:ind w:leftChars="0" w:left="0" w:right="0"/>
            </w:pPr>
            <w:r>
              <w:t>IOFB</w:t>
            </w:r>
          </w:p>
        </w:tc>
        <w:tc>
          <w:tcPr>
            <w:cnfStyle w:evenVBand="false" w:oddVBand="true" w:firstColumn="false"/>
            <w:tcW w:w="25.000000%" w:type="pct"/>
          </w:tcPr>
          <w:p>
            <w:pPr>
              <w:ind w:leftChars="0" w:left="0" w:right="0"/>
            </w:pPr>
            <w:r>
              <w:t>ICAP SECURITIES OTF - BUTLER FX DERIVATIVES</w:t>
            </w:r>
          </w:p>
        </w:tc>
        <w:tc>
          <w:tcPr>
            <w:cnfStyle w:evenVBand="true" w:oddVBand="false" w:firstColumn="false"/>
            <w:tcW w:w="25.000000%" w:type="pct"/>
          </w:tcPr>
          <w:p>
            <w:pPr>
              <w:ind w:leftChars="0" w:left="0" w:right="0"/>
            </w:pPr>
            <w:r>
              <w:t>985</w:t>
            </w:r>
          </w:p>
        </w:tc>
      </w:tr>
      <w:tr>
        <w:trPr>
          <w:cnfStyle w:evenHBand="false" w:oddHBand="true" w:firstRow="false"/>
        </w:trPr>
        <w:tc>
          <w:tcPr>
            <w:cnfStyle w:evenVBand="false" w:oddVBand="true" w:firstColumn="false"/>
            <w:tcW w:w="25.000000%" w:type="pct"/>
          </w:tcPr>
          <w:p>
            <w:pPr>
              <w:ind w:leftChars="0" w:left="0" w:right="0"/>
            </w:pPr>
            <w:r>
              <w:t>IOFI</w:t>
            </w:r>
          </w:p>
        </w:tc>
        <w:tc>
          <w:tcPr>
            <w:cnfStyle w:evenVBand="true" w:oddVBand="false" w:firstColumn="false"/>
            <w:tcW w:w="25.000000%" w:type="pct"/>
          </w:tcPr>
          <w:p>
            <w:pPr>
              <w:ind w:leftChars="0" w:left="0" w:right="0"/>
            </w:pPr>
            <w:r>
              <w:t>IOFI</w:t>
            </w:r>
          </w:p>
        </w:tc>
        <w:tc>
          <w:tcPr>
            <w:cnfStyle w:evenVBand="false" w:oddVBand="true" w:firstColumn="false"/>
            <w:tcW w:w="25.000000%" w:type="pct"/>
          </w:tcPr>
          <w:p>
            <w:pPr>
              <w:ind w:leftChars="0" w:left="0" w:right="0"/>
            </w:pPr>
            <w:r>
              <w:t>ICAP UK OTF - CORPORATE BONDS AND SECURITISED DEBT</w:t>
            </w:r>
          </w:p>
        </w:tc>
        <w:tc>
          <w:tcPr>
            <w:cnfStyle w:evenVBand="true" w:oddVBand="false" w:firstColumn="false"/>
            <w:tcW w:w="25.000000%" w:type="pct"/>
          </w:tcPr>
          <w:p>
            <w:pPr>
              <w:ind w:leftChars="0" w:left="0" w:right="0"/>
            </w:pPr>
            <w:r>
              <w:t>986</w:t>
            </w:r>
          </w:p>
        </w:tc>
      </w:tr>
      <w:tr>
        <w:trPr>
          <w:cnfStyle w:evenHBand="true" w:oddHBand="false" w:firstRow="false"/>
        </w:trPr>
        <w:tc>
          <w:tcPr>
            <w:cnfStyle w:evenVBand="false" w:oddVBand="true" w:firstColumn="false"/>
            <w:tcW w:w="25.000000%" w:type="pct"/>
          </w:tcPr>
          <w:p>
            <w:pPr>
              <w:ind w:leftChars="0" w:left="0" w:right="0"/>
            </w:pPr>
            <w:r>
              <w:t>IOFX</w:t>
            </w:r>
          </w:p>
        </w:tc>
        <w:tc>
          <w:tcPr>
            <w:cnfStyle w:evenVBand="true" w:oddVBand="false" w:firstColumn="false"/>
            <w:tcW w:w="25.000000%" w:type="pct"/>
          </w:tcPr>
          <w:p>
            <w:pPr>
              <w:ind w:leftChars="0" w:left="0" w:right="0"/>
            </w:pPr>
            <w:r>
              <w:t>IOFX</w:t>
            </w:r>
          </w:p>
        </w:tc>
        <w:tc>
          <w:tcPr>
            <w:cnfStyle w:evenVBand="false" w:oddVBand="true" w:firstColumn="false"/>
            <w:tcW w:w="25.000000%" w:type="pct"/>
          </w:tcPr>
          <w:p>
            <w:pPr>
              <w:ind w:leftChars="0" w:left="0" w:right="0"/>
            </w:pPr>
            <w:r>
              <w:t>ICAP UK OTF - FX DERIVATIVES</w:t>
            </w:r>
          </w:p>
        </w:tc>
        <w:tc>
          <w:tcPr>
            <w:cnfStyle w:evenVBand="true" w:oddVBand="false" w:firstColumn="false"/>
            <w:tcW w:w="25.000000%" w:type="pct"/>
          </w:tcPr>
          <w:p>
            <w:pPr>
              <w:ind w:leftChars="0" w:left="0" w:right="0"/>
            </w:pPr>
            <w:r>
              <w:t>987</w:t>
            </w:r>
          </w:p>
        </w:tc>
      </w:tr>
      <w:tr>
        <w:trPr>
          <w:cnfStyle w:evenHBand="false" w:oddHBand="true" w:firstRow="false"/>
        </w:trPr>
        <w:tc>
          <w:tcPr>
            <w:cnfStyle w:evenVBand="false" w:oddVBand="true" w:firstColumn="false"/>
            <w:tcW w:w="25.000000%" w:type="pct"/>
          </w:tcPr>
          <w:p>
            <w:pPr>
              <w:ind w:leftChars="0" w:left="0" w:right="0"/>
            </w:pPr>
            <w:r>
              <w:t>IOGB</w:t>
            </w:r>
          </w:p>
        </w:tc>
        <w:tc>
          <w:tcPr>
            <w:cnfStyle w:evenVBand="true" w:oddVBand="false" w:firstColumn="false"/>
            <w:tcW w:w="25.000000%" w:type="pct"/>
          </w:tcPr>
          <w:p>
            <w:pPr>
              <w:ind w:leftChars="0" w:left="0" w:right="0"/>
            </w:pPr>
            <w:r>
              <w:t>IOGB</w:t>
            </w:r>
          </w:p>
        </w:tc>
        <w:tc>
          <w:tcPr>
            <w:cnfStyle w:evenVBand="false" w:oddVBand="true" w:firstColumn="false"/>
            <w:tcW w:w="25.000000%" w:type="pct"/>
          </w:tcPr>
          <w:p>
            <w:pPr>
              <w:ind w:leftChars="0" w:left="0" w:right="0"/>
            </w:pPr>
            <w:r>
              <w:t>ICAP UK OTF - GOVERNMENT BONDS EXCLUDING  UK GILTS</w:t>
            </w:r>
          </w:p>
        </w:tc>
        <w:tc>
          <w:tcPr>
            <w:cnfStyle w:evenVBand="true" w:oddVBand="false" w:firstColumn="false"/>
            <w:tcW w:w="25.000000%" w:type="pct"/>
          </w:tcPr>
          <w:p>
            <w:pPr>
              <w:ind w:leftChars="0" w:left="0" w:right="0"/>
            </w:pPr>
            <w:r>
              <w:t>988</w:t>
            </w:r>
          </w:p>
        </w:tc>
      </w:tr>
      <w:tr>
        <w:trPr>
          <w:cnfStyle w:evenHBand="true" w:oddHBand="false" w:firstRow="false"/>
        </w:trPr>
        <w:tc>
          <w:tcPr>
            <w:cnfStyle w:evenVBand="false" w:oddVBand="true" w:firstColumn="false"/>
            <w:tcW w:w="25.000000%" w:type="pct"/>
          </w:tcPr>
          <w:p>
            <w:pPr>
              <w:ind w:leftChars="0" w:left="0" w:right="0"/>
            </w:pPr>
            <w:r>
              <w:t>IOGI</w:t>
            </w:r>
          </w:p>
        </w:tc>
        <w:tc>
          <w:tcPr>
            <w:cnfStyle w:evenVBand="true" w:oddVBand="false" w:firstColumn="false"/>
            <w:tcW w:w="25.000000%" w:type="pct"/>
          </w:tcPr>
          <w:p>
            <w:pPr>
              <w:ind w:leftChars="0" w:left="0" w:right="0"/>
            </w:pPr>
            <w:r>
              <w:t>IOGI</w:t>
            </w:r>
          </w:p>
        </w:tc>
        <w:tc>
          <w:tcPr>
            <w:cnfStyle w:evenVBand="false" w:oddVBand="true" w:firstColumn="false"/>
            <w:tcW w:w="25.000000%" w:type="pct"/>
          </w:tcPr>
          <w:p>
            <w:pPr>
              <w:ind w:leftChars="0" w:left="0" w:right="0"/>
            </w:pPr>
            <w:r>
              <w:t>ICAP UK OTF - GOVERNMENT BONDS - UK GILTS</w:t>
            </w:r>
          </w:p>
        </w:tc>
        <w:tc>
          <w:tcPr>
            <w:cnfStyle w:evenVBand="true" w:oddVBand="false" w:firstColumn="false"/>
            <w:tcW w:w="25.000000%" w:type="pct"/>
          </w:tcPr>
          <w:p>
            <w:pPr>
              <w:ind w:leftChars="0" w:left="0" w:right="0"/>
            </w:pPr>
            <w:r>
              <w:t>989</w:t>
            </w:r>
          </w:p>
        </w:tc>
      </w:tr>
      <w:tr>
        <w:trPr>
          <w:cnfStyle w:evenHBand="false" w:oddHBand="true" w:firstRow="false"/>
        </w:trPr>
        <w:tc>
          <w:tcPr>
            <w:cnfStyle w:evenVBand="false" w:oddVBand="true" w:firstColumn="false"/>
            <w:tcW w:w="25.000000%" w:type="pct"/>
          </w:tcPr>
          <w:p>
            <w:pPr>
              <w:ind w:leftChars="0" w:left="0" w:right="0"/>
            </w:pPr>
            <w:r>
              <w:t>IOIR</w:t>
            </w:r>
          </w:p>
        </w:tc>
        <w:tc>
          <w:tcPr>
            <w:cnfStyle w:evenVBand="true" w:oddVBand="false" w:firstColumn="false"/>
            <w:tcW w:w="25.000000%" w:type="pct"/>
          </w:tcPr>
          <w:p>
            <w:pPr>
              <w:ind w:leftChars="0" w:left="0" w:right="0"/>
            </w:pPr>
            <w:r>
              <w:t>IOIR</w:t>
            </w:r>
          </w:p>
        </w:tc>
        <w:tc>
          <w:tcPr>
            <w:cnfStyle w:evenVBand="false" w:oddVBand="true" w:firstColumn="false"/>
            <w:tcW w:w="25.000000%" w:type="pct"/>
          </w:tcPr>
          <w:p>
            <w:pPr>
              <w:ind w:leftChars="0" w:left="0" w:right="0"/>
            </w:pPr>
            <w:r>
              <w:t>ICAP UK OTF - INTEREST RATE DERIVATIVES</w:t>
            </w:r>
          </w:p>
        </w:tc>
        <w:tc>
          <w:tcPr>
            <w:cnfStyle w:evenVBand="true" w:oddVBand="false" w:firstColumn="false"/>
            <w:tcW w:w="25.000000%" w:type="pct"/>
          </w:tcPr>
          <w:p>
            <w:pPr>
              <w:ind w:leftChars="0" w:left="0" w:right="0"/>
            </w:pPr>
            <w:r>
              <w:t>990</w:t>
            </w:r>
          </w:p>
        </w:tc>
      </w:tr>
      <w:tr>
        <w:trPr>
          <w:cnfStyle w:evenHBand="true" w:oddHBand="false" w:firstRow="false"/>
        </w:trPr>
        <w:tc>
          <w:tcPr>
            <w:cnfStyle w:evenVBand="false" w:oddVBand="true" w:firstColumn="false"/>
            <w:tcW w:w="25.000000%" w:type="pct"/>
          </w:tcPr>
          <w:p>
            <w:pPr>
              <w:ind w:leftChars="0" w:left="0" w:right="0"/>
            </w:pPr>
            <w:r>
              <w:t>IOMM</w:t>
            </w:r>
          </w:p>
        </w:tc>
        <w:tc>
          <w:tcPr>
            <w:cnfStyle w:evenVBand="true" w:oddVBand="false" w:firstColumn="false"/>
            <w:tcW w:w="25.000000%" w:type="pct"/>
          </w:tcPr>
          <w:p>
            <w:pPr>
              <w:ind w:leftChars="0" w:left="0" w:right="0"/>
            </w:pPr>
            <w:r>
              <w:t>IOMM</w:t>
            </w:r>
          </w:p>
        </w:tc>
        <w:tc>
          <w:tcPr>
            <w:cnfStyle w:evenVBand="false" w:oddVBand="true" w:firstColumn="false"/>
            <w:tcW w:w="25.000000%" w:type="pct"/>
          </w:tcPr>
          <w:p>
            <w:pPr>
              <w:ind w:leftChars="0" w:left="0" w:right="0"/>
            </w:pPr>
            <w:r>
              <w:t>ICAP UK OTF - MONEY MARKET INSTRUMENTS</w:t>
            </w:r>
          </w:p>
        </w:tc>
        <w:tc>
          <w:tcPr>
            <w:cnfStyle w:evenVBand="true" w:oddVBand="false" w:firstColumn="false"/>
            <w:tcW w:w="25.000000%" w:type="pct"/>
          </w:tcPr>
          <w:p>
            <w:pPr>
              <w:ind w:leftChars="0" w:left="0" w:right="0"/>
            </w:pPr>
            <w:r>
              <w:t>991</w:t>
            </w:r>
          </w:p>
        </w:tc>
      </w:tr>
      <w:tr>
        <w:trPr>
          <w:cnfStyle w:evenHBand="false" w:oddHBand="true" w:firstRow="false"/>
        </w:trPr>
        <w:tc>
          <w:tcPr>
            <w:cnfStyle w:evenVBand="false" w:oddVBand="true" w:firstColumn="false"/>
            <w:tcW w:w="25.000000%" w:type="pct"/>
          </w:tcPr>
          <w:p>
            <w:pPr>
              <w:ind w:leftChars="0" w:left="0" w:right="0"/>
            </w:pPr>
            <w:r>
              <w:t>IOTC</w:t>
            </w:r>
          </w:p>
        </w:tc>
        <w:tc>
          <w:tcPr>
            <w:cnfStyle w:evenVBand="true" w:oddVBand="false" w:firstColumn="false"/>
            <w:tcW w:w="25.000000%" w:type="pct"/>
          </w:tcPr>
          <w:p>
            <w:pPr>
              <w:ind w:leftChars="0" w:left="0" w:right="0"/>
            </w:pPr>
            <w:r>
              <w:t>IOTC</w:t>
            </w:r>
          </w:p>
        </w:tc>
        <w:tc>
          <w:tcPr>
            <w:cnfStyle w:evenVBand="false" w:oddVBand="true" w:firstColumn="false"/>
            <w:tcW w:w="25.000000%" w:type="pct"/>
          </w:tcPr>
          <w:p>
            <w:pPr>
              <w:ind w:leftChars="0" w:left="0" w:right="0"/>
            </w:pPr>
            <w:r>
              <w:t>INSTINET EUROPE LIMITED OTC</w:t>
            </w:r>
          </w:p>
        </w:tc>
        <w:tc>
          <w:tcPr>
            <w:cnfStyle w:evenVBand="true" w:oddVBand="false" w:firstColumn="false"/>
            <w:tcW w:w="25.000000%" w:type="pct"/>
          </w:tcPr>
          <w:p>
            <w:pPr>
              <w:ind w:leftChars="0" w:left="0" w:right="0"/>
            </w:pPr>
            <w:r>
              <w:t>992</w:t>
            </w:r>
          </w:p>
        </w:tc>
      </w:tr>
      <w:tr>
        <w:trPr>
          <w:cnfStyle w:evenHBand="true" w:oddHBand="false" w:firstRow="false"/>
        </w:trPr>
        <w:tc>
          <w:tcPr>
            <w:cnfStyle w:evenVBand="false" w:oddVBand="true" w:firstColumn="false"/>
            <w:tcW w:w="25.000000%" w:type="pct"/>
          </w:tcPr>
          <w:p>
            <w:pPr>
              <w:ind w:leftChars="0" w:left="0" w:right="0"/>
            </w:pPr>
            <w:r>
              <w:t>IOTF</w:t>
            </w:r>
          </w:p>
        </w:tc>
        <w:tc>
          <w:tcPr>
            <w:cnfStyle w:evenVBand="true" w:oddVBand="false" w:firstColumn="false"/>
            <w:tcW w:w="25.000000%" w:type="pct"/>
          </w:tcPr>
          <w:p>
            <w:pPr>
              <w:ind w:leftChars="0" w:left="0" w:right="0"/>
            </w:pPr>
            <w:r>
              <w:t>IOTF</w:t>
            </w:r>
          </w:p>
        </w:tc>
        <w:tc>
          <w:tcPr>
            <w:cnfStyle w:evenVBand="false" w:oddVBand="true" w:firstColumn="false"/>
            <w:tcW w:w="25.000000%" w:type="pct"/>
          </w:tcPr>
          <w:p>
            <w:pPr>
              <w:ind w:leftChars="0" w:left="0" w:right="0"/>
            </w:pPr>
            <w:r>
              <w:t>ICAP UK OTF</w:t>
            </w:r>
          </w:p>
        </w:tc>
        <w:tc>
          <w:tcPr>
            <w:cnfStyle w:evenVBand="true" w:oddVBand="false" w:firstColumn="false"/>
            <w:tcW w:w="25.000000%" w:type="pct"/>
          </w:tcPr>
          <w:p>
            <w:pPr>
              <w:ind w:leftChars="0" w:left="0" w:right="0"/>
            </w:pPr>
            <w:r>
              <w:t>993</w:t>
            </w:r>
          </w:p>
        </w:tc>
      </w:tr>
      <w:tr>
        <w:trPr>
          <w:cnfStyle w:evenHBand="false" w:oddHBand="true" w:firstRow="false"/>
        </w:trPr>
        <w:tc>
          <w:tcPr>
            <w:cnfStyle w:evenVBand="false" w:oddVBand="true" w:firstColumn="false"/>
            <w:tcW w:w="25.000000%" w:type="pct"/>
          </w:tcPr>
          <w:p>
            <w:pPr>
              <w:ind w:leftChars="0" w:left="0" w:right="0"/>
            </w:pPr>
            <w:r>
              <w:t>IPNL</w:t>
            </w:r>
          </w:p>
        </w:tc>
        <w:tc>
          <w:tcPr>
            <w:cnfStyle w:evenVBand="true" w:oddVBand="false" w:firstColumn="false"/>
            <w:tcW w:w="25.000000%" w:type="pct"/>
          </w:tcPr>
          <w:p>
            <w:pPr>
              <w:ind w:leftChars="0" w:left="0" w:right="0"/>
            </w:pPr>
            <w:r>
              <w:t>IPNL</w:t>
            </w:r>
          </w:p>
        </w:tc>
        <w:tc>
          <w:tcPr>
            <w:cnfStyle w:evenVBand="false" w:oddVBand="true" w:firstColumn="false"/>
            <w:tcW w:w="25.000000%" w:type="pct"/>
          </w:tcPr>
          <w:p>
            <w:pPr>
              <w:ind w:leftChars="0" w:left="0" w:right="0"/>
            </w:pPr>
            <w:r>
              <w:t>ISWAP EURO MTF</w:t>
            </w:r>
          </w:p>
        </w:tc>
        <w:tc>
          <w:tcPr>
            <w:cnfStyle w:evenVBand="true" w:oddVBand="false" w:firstColumn="false"/>
            <w:tcW w:w="25.000000%" w:type="pct"/>
          </w:tcPr>
          <w:p>
            <w:pPr>
              <w:ind w:leftChars="0" w:left="0" w:right="0"/>
            </w:pPr>
            <w:r>
              <w:t>994</w:t>
            </w:r>
          </w:p>
        </w:tc>
      </w:tr>
      <w:tr>
        <w:trPr>
          <w:cnfStyle w:evenHBand="true" w:oddHBand="false" w:firstRow="false"/>
        </w:trPr>
        <w:tc>
          <w:tcPr>
            <w:cnfStyle w:evenVBand="false" w:oddVBand="true" w:firstColumn="false"/>
            <w:tcW w:w="25.000000%" w:type="pct"/>
          </w:tcPr>
          <w:p>
            <w:pPr>
              <w:ind w:leftChars="0" w:left="0" w:right="0"/>
            </w:pPr>
            <w:r>
              <w:t>IPSX</w:t>
            </w:r>
          </w:p>
        </w:tc>
        <w:tc>
          <w:tcPr>
            <w:cnfStyle w:evenVBand="true" w:oddVBand="false" w:firstColumn="false"/>
            <w:tcW w:w="25.000000%" w:type="pct"/>
          </w:tcPr>
          <w:p>
            <w:pPr>
              <w:ind w:leftChars="0" w:left="0" w:right="0"/>
            </w:pPr>
            <w:r>
              <w:t>IPSX</w:t>
            </w:r>
          </w:p>
        </w:tc>
        <w:tc>
          <w:tcPr>
            <w:cnfStyle w:evenVBand="false" w:oddVBand="true" w:firstColumn="false"/>
            <w:tcW w:w="25.000000%" w:type="pct"/>
          </w:tcPr>
          <w:p>
            <w:pPr>
              <w:ind w:leftChars="0" w:left="0" w:right="0"/>
            </w:pPr>
            <w:r>
              <w:t>IPSX</w:t>
            </w:r>
          </w:p>
        </w:tc>
        <w:tc>
          <w:tcPr>
            <w:cnfStyle w:evenVBand="true" w:oddVBand="false" w:firstColumn="false"/>
            <w:tcW w:w="25.000000%" w:type="pct"/>
          </w:tcPr>
          <w:p>
            <w:pPr>
              <w:ind w:leftChars="0" w:left="0" w:right="0"/>
            </w:pPr>
            <w:r>
              <w:t>995</w:t>
            </w:r>
          </w:p>
        </w:tc>
      </w:tr>
      <w:tr>
        <w:trPr>
          <w:cnfStyle w:evenHBand="false" w:oddHBand="true" w:firstRow="false"/>
        </w:trPr>
        <w:tc>
          <w:tcPr>
            <w:cnfStyle w:evenVBand="false" w:oddVBand="true" w:firstColumn="false"/>
            <w:tcW w:w="25.000000%" w:type="pct"/>
          </w:tcPr>
          <w:p>
            <w:pPr>
              <w:ind w:leftChars="0" w:left="0" w:right="0"/>
            </w:pPr>
            <w:r>
              <w:t>IPXP</w:t>
            </w:r>
          </w:p>
        </w:tc>
        <w:tc>
          <w:tcPr>
            <w:cnfStyle w:evenVBand="true" w:oddVBand="false" w:firstColumn="false"/>
            <w:tcW w:w="25.000000%" w:type="pct"/>
          </w:tcPr>
          <w:p>
            <w:pPr>
              <w:ind w:leftChars="0" w:left="0" w:right="0"/>
            </w:pPr>
            <w:r>
              <w:t>IPXP</w:t>
            </w:r>
          </w:p>
        </w:tc>
        <w:tc>
          <w:tcPr>
            <w:cnfStyle w:evenVBand="false" w:oddVBand="true" w:firstColumn="false"/>
            <w:tcW w:w="25.000000%" w:type="pct"/>
          </w:tcPr>
          <w:p>
            <w:pPr>
              <w:ind w:leftChars="0" w:left="0" w:right="0"/>
            </w:pPr>
            <w:r>
              <w:t>IPSX PRIME</w:t>
            </w:r>
          </w:p>
        </w:tc>
        <w:tc>
          <w:tcPr>
            <w:cnfStyle w:evenVBand="true" w:oddVBand="false" w:firstColumn="false"/>
            <w:tcW w:w="25.000000%" w:type="pct"/>
          </w:tcPr>
          <w:p>
            <w:pPr>
              <w:ind w:leftChars="0" w:left="0" w:right="0"/>
            </w:pPr>
            <w:r>
              <w:t>996</w:t>
            </w:r>
          </w:p>
        </w:tc>
      </w:tr>
      <w:tr>
        <w:trPr>
          <w:cnfStyle w:evenHBand="true" w:oddHBand="false" w:firstRow="false"/>
        </w:trPr>
        <w:tc>
          <w:tcPr>
            <w:cnfStyle w:evenVBand="false" w:oddVBand="true" w:firstColumn="false"/>
            <w:tcW w:w="25.000000%" w:type="pct"/>
          </w:tcPr>
          <w:p>
            <w:pPr>
              <w:ind w:leftChars="0" w:left="0" w:right="0"/>
            </w:pPr>
            <w:r>
              <w:t>IPXW</w:t>
            </w:r>
          </w:p>
        </w:tc>
        <w:tc>
          <w:tcPr>
            <w:cnfStyle w:evenVBand="true" w:oddVBand="false" w:firstColumn="false"/>
            <w:tcW w:w="25.000000%" w:type="pct"/>
          </w:tcPr>
          <w:p>
            <w:pPr>
              <w:ind w:leftChars="0" w:left="0" w:right="0"/>
            </w:pPr>
            <w:r>
              <w:t>IPXW</w:t>
            </w:r>
          </w:p>
        </w:tc>
        <w:tc>
          <w:tcPr>
            <w:cnfStyle w:evenVBand="false" w:oddVBand="true" w:firstColumn="false"/>
            <w:tcW w:w="25.000000%" w:type="pct"/>
          </w:tcPr>
          <w:p>
            <w:pPr>
              <w:ind w:leftChars="0" w:left="0" w:right="0"/>
            </w:pPr>
            <w:r>
              <w:t>IPSX WHOLESALE</w:t>
            </w:r>
          </w:p>
        </w:tc>
        <w:tc>
          <w:tcPr>
            <w:cnfStyle w:evenVBand="true" w:oddVBand="false" w:firstColumn="false"/>
            <w:tcW w:w="25.000000%" w:type="pct"/>
          </w:tcPr>
          <w:p>
            <w:pPr>
              <w:ind w:leftChars="0" w:left="0" w:right="0"/>
            </w:pPr>
            <w:r>
              <w:t>997</w:t>
            </w:r>
          </w:p>
        </w:tc>
      </w:tr>
      <w:tr>
        <w:trPr>
          <w:cnfStyle w:evenHBand="false" w:oddHBand="true" w:firstRow="false"/>
        </w:trPr>
        <w:tc>
          <w:tcPr>
            <w:cnfStyle w:evenVBand="false" w:oddVBand="true" w:firstColumn="false"/>
            <w:tcW w:w="25.000000%" w:type="pct"/>
          </w:tcPr>
          <w:p>
            <w:pPr>
              <w:ind w:leftChars="0" w:left="0" w:right="0"/>
            </w:pPr>
            <w:r>
              <w:t>ISBA</w:t>
            </w:r>
          </w:p>
        </w:tc>
        <w:tc>
          <w:tcPr>
            <w:cnfStyle w:evenVBand="true" w:oddVBand="false" w:firstColumn="false"/>
            <w:tcW w:w="25.000000%" w:type="pct"/>
          </w:tcPr>
          <w:p>
            <w:pPr>
              <w:ind w:leftChars="0" w:left="0" w:right="0"/>
            </w:pPr>
            <w:r>
              <w:t>ISBA</w:t>
            </w:r>
          </w:p>
        </w:tc>
        <w:tc>
          <w:tcPr>
            <w:cnfStyle w:evenVBand="false" w:oddVBand="true" w:firstColumn="false"/>
            <w:tcW w:w="25.000000%" w:type="pct"/>
          </w:tcPr>
          <w:p>
            <w:pPr>
              <w:ind w:leftChars="0" w:left="0" w:right="0"/>
            </w:pPr>
            <w:r>
              <w:t>BANCA DI ASTI - SYSTEMATIC INTERNALISER</w:t>
            </w:r>
          </w:p>
        </w:tc>
        <w:tc>
          <w:tcPr>
            <w:cnfStyle w:evenVBand="true" w:oddVBand="false" w:firstColumn="false"/>
            <w:tcW w:w="25.000000%" w:type="pct"/>
          </w:tcPr>
          <w:p>
            <w:pPr>
              <w:ind w:leftChars="0" w:left="0" w:right="0"/>
            </w:pPr>
            <w:r>
              <w:t>998</w:t>
            </w:r>
          </w:p>
        </w:tc>
      </w:tr>
      <w:tr>
        <w:trPr>
          <w:cnfStyle w:evenHBand="true" w:oddHBand="false" w:firstRow="false"/>
        </w:trPr>
        <w:tc>
          <w:tcPr>
            <w:cnfStyle w:evenVBand="false" w:oddVBand="true" w:firstColumn="false"/>
            <w:tcW w:w="25.000000%" w:type="pct"/>
          </w:tcPr>
          <w:p>
            <w:pPr>
              <w:ind w:leftChars="0" w:left="0" w:right="0"/>
            </w:pPr>
            <w:r>
              <w:t>ISBV</w:t>
            </w:r>
          </w:p>
        </w:tc>
        <w:tc>
          <w:tcPr>
            <w:cnfStyle w:evenVBand="true" w:oddVBand="false" w:firstColumn="false"/>
            <w:tcW w:w="25.000000%" w:type="pct"/>
          </w:tcPr>
          <w:p>
            <w:pPr>
              <w:ind w:leftChars="0" w:left="0" w:right="0"/>
            </w:pPr>
            <w:r>
              <w:t>ISBV</w:t>
            </w:r>
          </w:p>
        </w:tc>
        <w:tc>
          <w:tcPr>
            <w:cnfStyle w:evenVBand="false" w:oddVBand="true" w:firstColumn="false"/>
            <w:tcW w:w="25.000000%" w:type="pct"/>
          </w:tcPr>
          <w:p>
            <w:pPr>
              <w:ind w:leftChars="0" w:left="0" w:right="0"/>
            </w:pPr>
            <w:r>
              <w:t>BIVER BANCA - SYSTEMATIC INTERNALISER</w:t>
            </w:r>
          </w:p>
        </w:tc>
        <w:tc>
          <w:tcPr>
            <w:cnfStyle w:evenVBand="true" w:oddVBand="false" w:firstColumn="false"/>
            <w:tcW w:w="25.000000%" w:type="pct"/>
          </w:tcPr>
          <w:p>
            <w:pPr>
              <w:ind w:leftChars="0" w:left="0" w:right="0"/>
            </w:pPr>
            <w:r>
              <w:t>999</w:t>
            </w:r>
          </w:p>
        </w:tc>
      </w:tr>
      <w:tr>
        <w:trPr>
          <w:cnfStyle w:evenHBand="false" w:oddHBand="true" w:firstRow="false"/>
        </w:trPr>
        <w:tc>
          <w:tcPr>
            <w:cnfStyle w:evenVBand="false" w:oddVBand="true" w:firstColumn="false"/>
            <w:tcW w:w="25.000000%" w:type="pct"/>
          </w:tcPr>
          <w:p>
            <w:pPr>
              <w:ind w:leftChars="0" w:left="0" w:right="0"/>
            </w:pPr>
            <w:r>
              <w:t>ISDA</w:t>
            </w:r>
          </w:p>
        </w:tc>
        <w:tc>
          <w:tcPr>
            <w:cnfStyle w:evenVBand="true" w:oddVBand="false" w:firstColumn="false"/>
            <w:tcW w:w="25.000000%" w:type="pct"/>
          </w:tcPr>
          <w:p>
            <w:pPr>
              <w:ind w:leftChars="0" w:left="0" w:right="0"/>
            </w:pPr>
            <w:r>
              <w:t>ISDA</w:t>
            </w:r>
          </w:p>
        </w:tc>
        <w:tc>
          <w:tcPr>
            <w:cnfStyle w:evenVBand="false" w:oddVBand="true" w:firstColumn="false"/>
            <w:tcW w:w="25.000000%" w:type="pct"/>
          </w:tcPr>
          <w:p>
            <w:pPr>
              <w:ind w:leftChars="0" w:left="0" w:right="0"/>
            </w:pPr>
            <w:r>
              <w:t>ISDAFIX</w:t>
            </w:r>
          </w:p>
        </w:tc>
        <w:tc>
          <w:tcPr>
            <w:cnfStyle w:evenVBand="true" w:oddVBand="false" w:firstColumn="false"/>
            <w:tcW w:w="25.000000%" w:type="pct"/>
          </w:tcPr>
          <w:p>
            <w:pPr>
              <w:ind w:leftChars="0" w:left="0" w:right="0"/>
            </w:pPr>
            <w:r>
              <w:t>1000</w:t>
            </w:r>
          </w:p>
        </w:tc>
      </w:tr>
      <w:tr>
        <w:trPr>
          <w:cnfStyle w:evenHBand="true" w:oddHBand="false" w:firstRow="false"/>
        </w:trPr>
        <w:tc>
          <w:tcPr>
            <w:cnfStyle w:evenVBand="false" w:oddVBand="true" w:firstColumn="false"/>
            <w:tcW w:w="25.000000%" w:type="pct"/>
          </w:tcPr>
          <w:p>
            <w:pPr>
              <w:ind w:leftChars="0" w:left="0" w:right="0"/>
            </w:pPr>
            <w:r>
              <w:t>ISDX</w:t>
            </w:r>
          </w:p>
        </w:tc>
        <w:tc>
          <w:tcPr>
            <w:cnfStyle w:evenVBand="true" w:oddVBand="false" w:firstColumn="false"/>
            <w:tcW w:w="25.000000%" w:type="pct"/>
          </w:tcPr>
          <w:p>
            <w:pPr>
              <w:ind w:leftChars="0" w:left="0" w:right="0"/>
            </w:pPr>
            <w:r>
              <w:t>ISDX</w:t>
            </w:r>
          </w:p>
        </w:tc>
        <w:tc>
          <w:tcPr>
            <w:cnfStyle w:evenVBand="false" w:oddVBand="true" w:firstColumn="false"/>
            <w:tcW w:w="25.000000%" w:type="pct"/>
          </w:tcPr>
          <w:p>
            <w:pPr>
              <w:ind w:leftChars="0" w:left="0" w:right="0"/>
            </w:pPr>
            <w:r>
              <w:t>ICAP SECURITIES &amp; DERIVATIVES EXCHANGE LIMITED</w:t>
            </w:r>
          </w:p>
        </w:tc>
        <w:tc>
          <w:tcPr>
            <w:cnfStyle w:evenVBand="true" w:oddVBand="false" w:firstColumn="false"/>
            <w:tcW w:w="25.000000%" w:type="pct"/>
          </w:tcPr>
          <w:p>
            <w:pPr>
              <w:ind w:leftChars="0" w:left="0" w:right="0"/>
            </w:pPr>
            <w:r>
              <w:t>1001</w:t>
            </w:r>
          </w:p>
        </w:tc>
      </w:tr>
      <w:tr>
        <w:trPr>
          <w:cnfStyle w:evenHBand="false" w:oddHBand="true" w:firstRow="false"/>
        </w:trPr>
        <w:tc>
          <w:tcPr>
            <w:cnfStyle w:evenVBand="false" w:oddVBand="true" w:firstColumn="false"/>
            <w:tcW w:w="25.000000%" w:type="pct"/>
          </w:tcPr>
          <w:p>
            <w:pPr>
              <w:ind w:leftChars="0" w:left="0" w:right="0"/>
            </w:pPr>
            <w:r>
              <w:t>ISEC</w:t>
            </w:r>
          </w:p>
        </w:tc>
        <w:tc>
          <w:tcPr>
            <w:cnfStyle w:evenVBand="true" w:oddVBand="false" w:firstColumn="false"/>
            <w:tcW w:w="25.000000%" w:type="pct"/>
          </w:tcPr>
          <w:p>
            <w:pPr>
              <w:ind w:leftChars="0" w:left="0" w:right="0"/>
            </w:pPr>
            <w:r>
              <w:t>ISEC</w:t>
            </w:r>
          </w:p>
        </w:tc>
        <w:tc>
          <w:tcPr>
            <w:cnfStyle w:evenVBand="false" w:oddVBand="true" w:firstColumn="false"/>
            <w:tcW w:w="25.000000%" w:type="pct"/>
          </w:tcPr>
          <w:p>
            <w:pPr>
              <w:ind w:leftChars="0" w:left="0" w:right="0"/>
            </w:pPr>
            <w:r>
              <w:t>FIRST NORTH ICELAND</w:t>
            </w:r>
          </w:p>
        </w:tc>
        <w:tc>
          <w:tcPr>
            <w:cnfStyle w:evenVBand="true" w:oddVBand="false" w:firstColumn="false"/>
            <w:tcW w:w="25.000000%" w:type="pct"/>
          </w:tcPr>
          <w:p>
            <w:pPr>
              <w:ind w:leftChars="0" w:left="0" w:right="0"/>
            </w:pPr>
            <w:r>
              <w:t>1002</w:t>
            </w:r>
          </w:p>
        </w:tc>
      </w:tr>
      <w:tr>
        <w:trPr>
          <w:cnfStyle w:evenHBand="true" w:oddHBand="false" w:firstRow="false"/>
        </w:trPr>
        <w:tc>
          <w:tcPr>
            <w:cnfStyle w:evenVBand="false" w:oddVBand="true" w:firstColumn="false"/>
            <w:tcW w:w="25.000000%" w:type="pct"/>
          </w:tcPr>
          <w:p>
            <w:pPr>
              <w:ind w:leftChars="0" w:left="0" w:right="0"/>
            </w:pPr>
            <w:r>
              <w:t>ISEX</w:t>
            </w:r>
          </w:p>
        </w:tc>
        <w:tc>
          <w:tcPr>
            <w:cnfStyle w:evenVBand="true" w:oddVBand="false" w:firstColumn="false"/>
            <w:tcW w:w="25.000000%" w:type="pct"/>
          </w:tcPr>
          <w:p>
            <w:pPr>
              <w:ind w:leftChars="0" w:left="0" w:right="0"/>
            </w:pPr>
            <w:r>
              <w:t>ISEX</w:t>
            </w:r>
          </w:p>
        </w:tc>
        <w:tc>
          <w:tcPr>
            <w:cnfStyle w:evenVBand="false" w:oddVBand="true" w:firstColumn="false"/>
            <w:tcW w:w="25.000000%" w:type="pct"/>
          </w:tcPr>
          <w:p>
            <w:pPr>
              <w:ind w:leftChars="0" w:left="0" w:right="0"/>
            </w:pPr>
            <w:r>
              <w:t>INTER-CONNECTED STOCK EXCHANGE OF INDIA LTD</w:t>
            </w:r>
          </w:p>
        </w:tc>
        <w:tc>
          <w:tcPr>
            <w:cnfStyle w:evenVBand="true" w:oddVBand="false" w:firstColumn="false"/>
            <w:tcW w:w="25.000000%" w:type="pct"/>
          </w:tcPr>
          <w:p>
            <w:pPr>
              <w:ind w:leftChars="0" w:left="0" w:right="0"/>
            </w:pPr>
            <w:r>
              <w:t>1003</w:t>
            </w:r>
          </w:p>
        </w:tc>
      </w:tr>
      <w:tr>
        <w:trPr>
          <w:cnfStyle w:evenHBand="false" w:oddHBand="true" w:firstRow="false"/>
        </w:trPr>
        <w:tc>
          <w:tcPr>
            <w:cnfStyle w:evenVBand="false" w:oddVBand="true" w:firstColumn="false"/>
            <w:tcW w:w="25.000000%" w:type="pct"/>
          </w:tcPr>
          <w:p>
            <w:pPr>
              <w:ind w:leftChars="0" w:left="0" w:right="0"/>
            </w:pPr>
            <w:r>
              <w:t>ISSI</w:t>
            </w:r>
          </w:p>
        </w:tc>
        <w:tc>
          <w:tcPr>
            <w:cnfStyle w:evenVBand="true" w:oddVBand="false" w:firstColumn="false"/>
            <w:tcW w:w="25.000000%" w:type="pct"/>
          </w:tcPr>
          <w:p>
            <w:pPr>
              <w:ind w:leftChars="0" w:left="0" w:right="0"/>
            </w:pPr>
            <w:r>
              <w:t>ISSI</w:t>
            </w:r>
          </w:p>
        </w:tc>
        <w:tc>
          <w:tcPr>
            <w:cnfStyle w:evenVBand="false" w:oddVBand="true" w:firstColumn="false"/>
            <w:tcW w:w="25.000000%" w:type="pct"/>
          </w:tcPr>
          <w:p>
            <w:pPr>
              <w:ind w:leftChars="0" w:left="0" w:right="0"/>
            </w:pPr>
            <w:r>
              <w:t>ICBC STANDARD BANK - SYSTEMATIC INTERNALISER</w:t>
            </w:r>
          </w:p>
        </w:tc>
        <w:tc>
          <w:tcPr>
            <w:cnfStyle w:evenVBand="true" w:oddVBand="false" w:firstColumn="false"/>
            <w:tcW w:w="25.000000%" w:type="pct"/>
          </w:tcPr>
          <w:p>
            <w:pPr>
              <w:ind w:leftChars="0" w:left="0" w:right="0"/>
            </w:pPr>
            <w:r>
              <w:t>1004</w:t>
            </w:r>
          </w:p>
        </w:tc>
      </w:tr>
      <w:tr>
        <w:trPr>
          <w:cnfStyle w:evenHBand="true" w:oddHBand="false" w:firstRow="false"/>
        </w:trPr>
        <w:tc>
          <w:tcPr>
            <w:cnfStyle w:evenVBand="false" w:oddVBand="true" w:firstColumn="false"/>
            <w:tcW w:w="25.000000%" w:type="pct"/>
          </w:tcPr>
          <w:p>
            <w:pPr>
              <w:ind w:leftChars="0" w:left="0" w:right="0"/>
            </w:pPr>
            <w:r>
              <w:t>ISWA</w:t>
            </w:r>
          </w:p>
        </w:tc>
        <w:tc>
          <w:tcPr>
            <w:cnfStyle w:evenVBand="true" w:oddVBand="false" w:firstColumn="false"/>
            <w:tcW w:w="25.000000%" w:type="pct"/>
          </w:tcPr>
          <w:p>
            <w:pPr>
              <w:ind w:leftChars="0" w:left="0" w:right="0"/>
            </w:pPr>
            <w:r>
              <w:t>ISWA</w:t>
            </w:r>
          </w:p>
        </w:tc>
        <w:tc>
          <w:tcPr>
            <w:cnfStyle w:evenVBand="false" w:oddVBand="true" w:firstColumn="false"/>
            <w:tcW w:w="25.000000%" w:type="pct"/>
          </w:tcPr>
          <w:p>
            <w:pPr>
              <w:ind w:leftChars="0" w:left="0" w:right="0"/>
            </w:pPr>
            <w:r>
              <w:t>ISWAP UK MTF</w:t>
            </w:r>
          </w:p>
        </w:tc>
        <w:tc>
          <w:tcPr>
            <w:cnfStyle w:evenVBand="true" w:oddVBand="false" w:firstColumn="false"/>
            <w:tcW w:w="25.000000%" w:type="pct"/>
          </w:tcPr>
          <w:p>
            <w:pPr>
              <w:ind w:leftChars="0" w:left="0" w:right="0"/>
            </w:pPr>
            <w:r>
              <w:t>1005</w:t>
            </w:r>
          </w:p>
        </w:tc>
      </w:tr>
      <w:tr>
        <w:trPr>
          <w:cnfStyle w:evenHBand="false" w:oddHBand="true" w:firstRow="false"/>
        </w:trPr>
        <w:tc>
          <w:tcPr>
            <w:cnfStyle w:evenVBand="false" w:oddVBand="true" w:firstColumn="false"/>
            <w:tcW w:w="25.000000%" w:type="pct"/>
          </w:tcPr>
          <w:p>
            <w:pPr>
              <w:ind w:leftChars="0" w:left="0" w:right="0"/>
            </w:pPr>
            <w:r>
              <w:t>ISWB</w:t>
            </w:r>
          </w:p>
        </w:tc>
        <w:tc>
          <w:tcPr>
            <w:cnfStyle w:evenVBand="true" w:oddVBand="false" w:firstColumn="false"/>
            <w:tcW w:w="25.000000%" w:type="pct"/>
          </w:tcPr>
          <w:p>
            <w:pPr>
              <w:ind w:leftChars="0" w:left="0" w:right="0"/>
            </w:pPr>
            <w:r>
              <w:t>ISWB</w:t>
            </w:r>
          </w:p>
        </w:tc>
        <w:tc>
          <w:tcPr>
            <w:cnfStyle w:evenVBand="false" w:oddVBand="true" w:firstColumn="false"/>
            <w:tcW w:w="25.000000%" w:type="pct"/>
          </w:tcPr>
          <w:p>
            <w:pPr>
              <w:ind w:leftChars="0" w:left="0" w:right="0"/>
            </w:pPr>
            <w:r>
              <w:t>ISWAP UK MTF - TRADE REGISTRATION</w:t>
            </w:r>
          </w:p>
        </w:tc>
        <w:tc>
          <w:tcPr>
            <w:cnfStyle w:evenVBand="true" w:oddVBand="false" w:firstColumn="false"/>
            <w:tcW w:w="25.000000%" w:type="pct"/>
          </w:tcPr>
          <w:p>
            <w:pPr>
              <w:ind w:leftChars="0" w:left="0" w:right="0"/>
            </w:pPr>
            <w:r>
              <w:t>1006</w:t>
            </w:r>
          </w:p>
        </w:tc>
      </w:tr>
      <w:tr>
        <w:trPr>
          <w:cnfStyle w:evenHBand="true" w:oddHBand="false" w:firstRow="false"/>
        </w:trPr>
        <w:tc>
          <w:tcPr>
            <w:cnfStyle w:evenVBand="false" w:oddVBand="true" w:firstColumn="false"/>
            <w:tcW w:w="25.000000%" w:type="pct"/>
          </w:tcPr>
          <w:p>
            <w:pPr>
              <w:ind w:leftChars="0" w:left="0" w:right="0"/>
            </w:pPr>
            <w:r>
              <w:t>ISWC</w:t>
            </w:r>
          </w:p>
        </w:tc>
        <w:tc>
          <w:tcPr>
            <w:cnfStyle w:evenVBand="true" w:oddVBand="false" w:firstColumn="false"/>
            <w:tcW w:w="25.000000%" w:type="pct"/>
          </w:tcPr>
          <w:p>
            <w:pPr>
              <w:ind w:leftChars="0" w:left="0" w:right="0"/>
            </w:pPr>
            <w:r>
              <w:t>ISWC</w:t>
            </w:r>
          </w:p>
        </w:tc>
        <w:tc>
          <w:tcPr>
            <w:cnfStyle w:evenVBand="false" w:oddVBand="true" w:firstColumn="false"/>
            <w:tcW w:w="25.000000%" w:type="pct"/>
          </w:tcPr>
          <w:p>
            <w:pPr>
              <w:ind w:leftChars="0" w:left="0" w:right="0"/>
            </w:pPr>
            <w:r>
              <w:t>ISWAP UK MTF ORDER BOOK</w:t>
            </w:r>
          </w:p>
        </w:tc>
        <w:tc>
          <w:tcPr>
            <w:cnfStyle w:evenVBand="true" w:oddVBand="false" w:firstColumn="false"/>
            <w:tcW w:w="25.000000%" w:type="pct"/>
          </w:tcPr>
          <w:p>
            <w:pPr>
              <w:ind w:leftChars="0" w:left="0" w:right="0"/>
            </w:pPr>
            <w:r>
              <w:t>1007</w:t>
            </w:r>
          </w:p>
        </w:tc>
      </w:tr>
      <w:tr>
        <w:trPr>
          <w:cnfStyle w:evenHBand="false" w:oddHBand="true" w:firstRow="false"/>
        </w:trPr>
        <w:tc>
          <w:tcPr>
            <w:cnfStyle w:evenVBand="false" w:oddVBand="true" w:firstColumn="false"/>
            <w:tcW w:w="25.000000%" w:type="pct"/>
          </w:tcPr>
          <w:p>
            <w:pPr>
              <w:ind w:leftChars="0" w:left="0" w:right="0"/>
            </w:pPr>
            <w:r>
              <w:t>ISWE</w:t>
            </w:r>
          </w:p>
        </w:tc>
        <w:tc>
          <w:tcPr>
            <w:cnfStyle w:evenVBand="true" w:oddVBand="false" w:firstColumn="false"/>
            <w:tcW w:w="25.000000%" w:type="pct"/>
          </w:tcPr>
          <w:p>
            <w:pPr>
              <w:ind w:leftChars="0" w:left="0" w:right="0"/>
            </w:pPr>
            <w:r>
              <w:t>ISWE</w:t>
            </w:r>
          </w:p>
        </w:tc>
        <w:tc>
          <w:tcPr>
            <w:cnfStyle w:evenVBand="false" w:oddVBand="true" w:firstColumn="false"/>
            <w:tcW w:w="25.000000%" w:type="pct"/>
          </w:tcPr>
          <w:p>
            <w:pPr>
              <w:ind w:leftChars="0" w:left="0" w:right="0"/>
            </w:pPr>
            <w:r>
              <w:t>ICAP GLOBAL DERIVATIVES LIMITED - ELECTRONIC</w:t>
            </w:r>
          </w:p>
        </w:tc>
        <w:tc>
          <w:tcPr>
            <w:cnfStyle w:evenVBand="true" w:oddVBand="false" w:firstColumn="false"/>
            <w:tcW w:w="25.000000%" w:type="pct"/>
          </w:tcPr>
          <w:p>
            <w:pPr>
              <w:ind w:leftChars="0" w:left="0" w:right="0"/>
            </w:pPr>
            <w:r>
              <w:t>1008</w:t>
            </w:r>
          </w:p>
        </w:tc>
      </w:tr>
      <w:tr>
        <w:trPr>
          <w:cnfStyle w:evenHBand="true" w:oddHBand="false" w:firstRow="false"/>
        </w:trPr>
        <w:tc>
          <w:tcPr>
            <w:cnfStyle w:evenVBand="false" w:oddVBand="true" w:firstColumn="false"/>
            <w:tcW w:w="25.000000%" w:type="pct"/>
          </w:tcPr>
          <w:p>
            <w:pPr>
              <w:ind w:leftChars="0" w:left="0" w:right="0"/>
            </w:pPr>
            <w:r>
              <w:t>ISWN</w:t>
            </w:r>
          </w:p>
        </w:tc>
        <w:tc>
          <w:tcPr>
            <w:cnfStyle w:evenVBand="true" w:oddVBand="false" w:firstColumn="false"/>
            <w:tcW w:w="25.000000%" w:type="pct"/>
          </w:tcPr>
          <w:p>
            <w:pPr>
              <w:ind w:leftChars="0" w:left="0" w:right="0"/>
            </w:pPr>
            <w:r>
              <w:t>ISWN</w:t>
            </w:r>
          </w:p>
        </w:tc>
        <w:tc>
          <w:tcPr>
            <w:cnfStyle w:evenVBand="false" w:oddVBand="true" w:firstColumn="false"/>
            <w:tcW w:w="25.000000%" w:type="pct"/>
          </w:tcPr>
          <w:p>
            <w:pPr>
              <w:ind w:leftChars="0" w:left="0" w:right="0"/>
            </w:pPr>
            <w:r>
              <w:t>ISWAP EURO MTF - TRADE REGISTRATION</w:t>
            </w:r>
          </w:p>
        </w:tc>
        <w:tc>
          <w:tcPr>
            <w:cnfStyle w:evenVBand="true" w:oddVBand="false" w:firstColumn="false"/>
            <w:tcW w:w="25.000000%" w:type="pct"/>
          </w:tcPr>
          <w:p>
            <w:pPr>
              <w:ind w:leftChars="0" w:left="0" w:right="0"/>
            </w:pPr>
            <w:r>
              <w:t>1009</w:t>
            </w:r>
          </w:p>
        </w:tc>
      </w:tr>
      <w:tr>
        <w:trPr>
          <w:cnfStyle w:evenHBand="false" w:oddHBand="true" w:firstRow="false"/>
        </w:trPr>
        <w:tc>
          <w:tcPr>
            <w:cnfStyle w:evenVBand="false" w:oddVBand="true" w:firstColumn="false"/>
            <w:tcW w:w="25.000000%" w:type="pct"/>
          </w:tcPr>
          <w:p>
            <w:pPr>
              <w:ind w:leftChars="0" w:left="0" w:right="0"/>
            </w:pPr>
            <w:r>
              <w:t>ISWO</w:t>
            </w:r>
          </w:p>
        </w:tc>
        <w:tc>
          <w:tcPr>
            <w:cnfStyle w:evenVBand="true" w:oddVBand="false" w:firstColumn="false"/>
            <w:tcW w:w="25.000000%" w:type="pct"/>
          </w:tcPr>
          <w:p>
            <w:pPr>
              <w:ind w:leftChars="0" w:left="0" w:right="0"/>
            </w:pPr>
            <w:r>
              <w:t>ISWO</w:t>
            </w:r>
          </w:p>
        </w:tc>
        <w:tc>
          <w:tcPr>
            <w:cnfStyle w:evenVBand="false" w:oddVBand="true" w:firstColumn="false"/>
            <w:tcW w:w="25.000000%" w:type="pct"/>
          </w:tcPr>
          <w:p>
            <w:pPr>
              <w:ind w:leftChars="0" w:left="0" w:right="0"/>
            </w:pPr>
            <w:r>
              <w:t>ISWAP EURO MTF - ORDERBOOK</w:t>
            </w:r>
          </w:p>
        </w:tc>
        <w:tc>
          <w:tcPr>
            <w:cnfStyle w:evenVBand="true" w:oddVBand="false" w:firstColumn="false"/>
            <w:tcW w:w="25.000000%" w:type="pct"/>
          </w:tcPr>
          <w:p>
            <w:pPr>
              <w:ind w:leftChars="0" w:left="0" w:right="0"/>
            </w:pPr>
            <w:r>
              <w:t>1010</w:t>
            </w:r>
          </w:p>
        </w:tc>
      </w:tr>
      <w:tr>
        <w:trPr>
          <w:cnfStyle w:evenHBand="true" w:oddHBand="false" w:firstRow="false"/>
        </w:trPr>
        <w:tc>
          <w:tcPr>
            <w:cnfStyle w:evenVBand="false" w:oddVBand="true" w:firstColumn="false"/>
            <w:tcW w:w="25.000000%" w:type="pct"/>
          </w:tcPr>
          <w:p>
            <w:pPr>
              <w:ind w:leftChars="0" w:left="0" w:right="0"/>
            </w:pPr>
            <w:r>
              <w:t>ISWP</w:t>
            </w:r>
          </w:p>
        </w:tc>
        <w:tc>
          <w:tcPr>
            <w:cnfStyle w:evenVBand="true" w:oddVBand="false" w:firstColumn="false"/>
            <w:tcW w:w="25.000000%" w:type="pct"/>
          </w:tcPr>
          <w:p>
            <w:pPr>
              <w:ind w:leftChars="0" w:left="0" w:right="0"/>
            </w:pPr>
            <w:r>
              <w:t>ISWP</w:t>
            </w:r>
          </w:p>
        </w:tc>
        <w:tc>
          <w:tcPr>
            <w:cnfStyle w:evenVBand="false" w:oddVBand="true" w:firstColumn="false"/>
            <w:tcW w:w="25.000000%" w:type="pct"/>
          </w:tcPr>
          <w:p>
            <w:pPr>
              <w:ind w:leftChars="0" w:left="0" w:right="0"/>
            </w:pPr>
            <w:r>
              <w:t>ISWAP EURO MTF</w:t>
            </w:r>
          </w:p>
        </w:tc>
        <w:tc>
          <w:tcPr>
            <w:cnfStyle w:evenVBand="true" w:oddVBand="false" w:firstColumn="false"/>
            <w:tcW w:w="25.000000%" w:type="pct"/>
          </w:tcPr>
          <w:p>
            <w:pPr>
              <w:ind w:leftChars="0" w:left="0" w:right="0"/>
            </w:pPr>
            <w:r>
              <w:t>1011</w:t>
            </w:r>
          </w:p>
        </w:tc>
      </w:tr>
      <w:tr>
        <w:trPr>
          <w:cnfStyle w:evenHBand="false" w:oddHBand="true" w:firstRow="false"/>
        </w:trPr>
        <w:tc>
          <w:tcPr>
            <w:cnfStyle w:evenVBand="false" w:oddVBand="true" w:firstColumn="false"/>
            <w:tcW w:w="25.000000%" w:type="pct"/>
          </w:tcPr>
          <w:p>
            <w:pPr>
              <w:ind w:leftChars="0" w:left="0" w:right="0"/>
            </w:pPr>
            <w:r>
              <w:t>ISWR</w:t>
            </w:r>
          </w:p>
        </w:tc>
        <w:tc>
          <w:tcPr>
            <w:cnfStyle w:evenVBand="true" w:oddVBand="false" w:firstColumn="false"/>
            <w:tcW w:w="25.000000%" w:type="pct"/>
          </w:tcPr>
          <w:p>
            <w:pPr>
              <w:ind w:leftChars="0" w:left="0" w:right="0"/>
            </w:pPr>
            <w:r>
              <w:t>ISWR</w:t>
            </w:r>
          </w:p>
        </w:tc>
        <w:tc>
          <w:tcPr>
            <w:cnfStyle w:evenVBand="false" w:oddVBand="true" w:firstColumn="false"/>
            <w:tcW w:w="25.000000%" w:type="pct"/>
          </w:tcPr>
          <w:p>
            <w:pPr>
              <w:ind w:leftChars="0" w:left="0" w:right="0"/>
            </w:pPr>
            <w:r>
              <w:t>ISWAP UK MTF TARGETED STREAMING/RFQ</w:t>
            </w:r>
          </w:p>
        </w:tc>
        <w:tc>
          <w:tcPr>
            <w:cnfStyle w:evenVBand="true" w:oddVBand="false" w:firstColumn="false"/>
            <w:tcW w:w="25.000000%" w:type="pct"/>
          </w:tcPr>
          <w:p>
            <w:pPr>
              <w:ind w:leftChars="0" w:left="0" w:right="0"/>
            </w:pPr>
            <w:r>
              <w:t>1012</w:t>
            </w:r>
          </w:p>
        </w:tc>
      </w:tr>
      <w:tr>
        <w:trPr>
          <w:cnfStyle w:evenHBand="true" w:oddHBand="false" w:firstRow="false"/>
        </w:trPr>
        <w:tc>
          <w:tcPr>
            <w:cnfStyle w:evenVBand="false" w:oddVBand="true" w:firstColumn="false"/>
            <w:tcW w:w="25.000000%" w:type="pct"/>
          </w:tcPr>
          <w:p>
            <w:pPr>
              <w:ind w:leftChars="0" w:left="0" w:right="0"/>
            </w:pPr>
            <w:r>
              <w:t>ISWT</w:t>
            </w:r>
          </w:p>
        </w:tc>
        <w:tc>
          <w:tcPr>
            <w:cnfStyle w:evenVBand="true" w:oddVBand="false" w:firstColumn="false"/>
            <w:tcW w:w="25.000000%" w:type="pct"/>
          </w:tcPr>
          <w:p>
            <w:pPr>
              <w:ind w:leftChars="0" w:left="0" w:right="0"/>
            </w:pPr>
            <w:r>
              <w:t>ISWT</w:t>
            </w:r>
          </w:p>
        </w:tc>
        <w:tc>
          <w:tcPr>
            <w:cnfStyle w:evenVBand="false" w:oddVBand="true" w:firstColumn="false"/>
            <w:tcW w:w="25.000000%" w:type="pct"/>
          </w:tcPr>
          <w:p>
            <w:pPr>
              <w:ind w:leftChars="0" w:left="0" w:right="0"/>
            </w:pPr>
            <w:r>
              <w:t>ISWAP EURO MTF - TARGETED STREAMING / RFQ</w:t>
            </w:r>
          </w:p>
        </w:tc>
        <w:tc>
          <w:tcPr>
            <w:cnfStyle w:evenVBand="true" w:oddVBand="false" w:firstColumn="false"/>
            <w:tcW w:w="25.000000%" w:type="pct"/>
          </w:tcPr>
          <w:p>
            <w:pPr>
              <w:ind w:leftChars="0" w:left="0" w:right="0"/>
            </w:pPr>
            <w:r>
              <w:t>1013</w:t>
            </w:r>
          </w:p>
        </w:tc>
      </w:tr>
      <w:tr>
        <w:trPr>
          <w:cnfStyle w:evenHBand="false" w:oddHBand="true" w:firstRow="false"/>
        </w:trPr>
        <w:tc>
          <w:tcPr>
            <w:cnfStyle w:evenVBand="false" w:oddVBand="true" w:firstColumn="false"/>
            <w:tcW w:w="25.000000%" w:type="pct"/>
          </w:tcPr>
          <w:p>
            <w:pPr>
              <w:ind w:leftChars="0" w:left="0" w:right="0"/>
            </w:pPr>
            <w:r>
              <w:t>ISWV</w:t>
            </w:r>
          </w:p>
        </w:tc>
        <w:tc>
          <w:tcPr>
            <w:cnfStyle w:evenVBand="true" w:oddVBand="false" w:firstColumn="false"/>
            <w:tcW w:w="25.000000%" w:type="pct"/>
          </w:tcPr>
          <w:p>
            <w:pPr>
              <w:ind w:leftChars="0" w:left="0" w:right="0"/>
            </w:pPr>
            <w:r>
              <w:t>ISWV</w:t>
            </w:r>
          </w:p>
        </w:tc>
        <w:tc>
          <w:tcPr>
            <w:cnfStyle w:evenVBand="false" w:oddVBand="true" w:firstColumn="false"/>
            <w:tcW w:w="25.000000%" w:type="pct"/>
          </w:tcPr>
          <w:p>
            <w:pPr>
              <w:ind w:leftChars="0" w:left="0" w:right="0"/>
            </w:pPr>
            <w:r>
              <w:t>ICAP GLOBAL DERIVATIVES LIMITED - VOICE</w:t>
            </w:r>
          </w:p>
        </w:tc>
        <w:tc>
          <w:tcPr>
            <w:cnfStyle w:evenVBand="true" w:oddVBand="false" w:firstColumn="false"/>
            <w:tcW w:w="25.000000%" w:type="pct"/>
          </w:tcPr>
          <w:p>
            <w:pPr>
              <w:ind w:leftChars="0" w:left="0" w:right="0"/>
            </w:pPr>
            <w:r>
              <w:t>1014</w:t>
            </w:r>
          </w:p>
        </w:tc>
      </w:tr>
      <w:tr>
        <w:trPr>
          <w:cnfStyle w:evenHBand="true" w:oddHBand="false" w:firstRow="false"/>
        </w:trPr>
        <w:tc>
          <w:tcPr>
            <w:cnfStyle w:evenVBand="false" w:oddVBand="true" w:firstColumn="false"/>
            <w:tcW w:w="25.000000%" w:type="pct"/>
          </w:tcPr>
          <w:p>
            <w:pPr>
              <w:ind w:leftChars="0" w:left="0" w:right="0"/>
            </w:pPr>
            <w:r>
              <w:t>ITGI</w:t>
            </w:r>
          </w:p>
        </w:tc>
        <w:tc>
          <w:tcPr>
            <w:cnfStyle w:evenVBand="true" w:oddVBand="false" w:firstColumn="false"/>
            <w:tcW w:w="25.000000%" w:type="pct"/>
          </w:tcPr>
          <w:p>
            <w:pPr>
              <w:ind w:leftChars="0" w:left="0" w:right="0"/>
            </w:pPr>
            <w:r>
              <w:t>ITGI</w:t>
            </w:r>
          </w:p>
        </w:tc>
        <w:tc>
          <w:tcPr>
            <w:cnfStyle w:evenVBand="false" w:oddVBand="true" w:firstColumn="false"/>
            <w:tcW w:w="25.000000%" w:type="pct"/>
          </w:tcPr>
          <w:p>
            <w:pPr>
              <w:ind w:leftChars="0" w:left="0" w:right="0"/>
            </w:pPr>
            <w:r>
              <w:t>ITG - POSIT</w:t>
            </w:r>
          </w:p>
        </w:tc>
        <w:tc>
          <w:tcPr>
            <w:cnfStyle w:evenVBand="true" w:oddVBand="false" w:firstColumn="false"/>
            <w:tcW w:w="25.000000%" w:type="pct"/>
          </w:tcPr>
          <w:p>
            <w:pPr>
              <w:ind w:leftChars="0" w:left="0" w:right="0"/>
            </w:pPr>
            <w:r>
              <w:t>1015</w:t>
            </w:r>
          </w:p>
        </w:tc>
      </w:tr>
      <w:tr>
        <w:trPr>
          <w:cnfStyle w:evenHBand="false" w:oddHBand="true" w:firstRow="false"/>
        </w:trPr>
        <w:tc>
          <w:tcPr>
            <w:cnfStyle w:evenVBand="false" w:oddVBand="true" w:firstColumn="false"/>
            <w:tcW w:w="25.000000%" w:type="pct"/>
          </w:tcPr>
          <w:p>
            <w:pPr>
              <w:ind w:leftChars="0" w:left="0" w:right="0"/>
            </w:pPr>
            <w:r>
              <w:t>ITGL</w:t>
            </w:r>
          </w:p>
        </w:tc>
        <w:tc>
          <w:tcPr>
            <w:cnfStyle w:evenVBand="true" w:oddVBand="false" w:firstColumn="false"/>
            <w:tcW w:w="25.000000%" w:type="pct"/>
          </w:tcPr>
          <w:p>
            <w:pPr>
              <w:ind w:leftChars="0" w:left="0" w:right="0"/>
            </w:pPr>
            <w:r>
              <w:t>ITGL</w:t>
            </w:r>
          </w:p>
        </w:tc>
        <w:tc>
          <w:tcPr>
            <w:cnfStyle w:evenVBand="false" w:oddVBand="true" w:firstColumn="false"/>
            <w:tcW w:w="25.000000%" w:type="pct"/>
          </w:tcPr>
          <w:p>
            <w:pPr>
              <w:ind w:leftChars="0" w:left="0" w:right="0"/>
            </w:pPr>
            <w:r>
              <w:t>POSIT MTF</w:t>
            </w:r>
          </w:p>
        </w:tc>
        <w:tc>
          <w:tcPr>
            <w:cnfStyle w:evenVBand="true" w:oddVBand="false" w:firstColumn="false"/>
            <w:tcW w:w="25.000000%" w:type="pct"/>
          </w:tcPr>
          <w:p>
            <w:pPr>
              <w:ind w:leftChars="0" w:left="0" w:right="0"/>
            </w:pPr>
            <w:r>
              <w:t>1016</w:t>
            </w:r>
          </w:p>
        </w:tc>
      </w:tr>
      <w:tr>
        <w:trPr>
          <w:cnfStyle w:evenHBand="true" w:oddHBand="false" w:firstRow="false"/>
        </w:trPr>
        <w:tc>
          <w:tcPr>
            <w:cnfStyle w:evenVBand="false" w:oddVBand="true" w:firstColumn="false"/>
            <w:tcW w:w="25.000000%" w:type="pct"/>
          </w:tcPr>
          <w:p>
            <w:pPr>
              <w:ind w:leftChars="0" w:left="0" w:right="0"/>
            </w:pPr>
            <w:r>
              <w:t>ITSM</w:t>
            </w:r>
          </w:p>
        </w:tc>
        <w:tc>
          <w:tcPr>
            <w:cnfStyle w:evenVBand="true" w:oddVBand="false" w:firstColumn="false"/>
            <w:tcW w:w="25.000000%" w:type="pct"/>
          </w:tcPr>
          <w:p>
            <w:pPr>
              <w:ind w:leftChars="0" w:left="0" w:right="0"/>
            </w:pPr>
            <w:r>
              <w:t>ITSM</w:t>
            </w:r>
          </w:p>
        </w:tc>
        <w:tc>
          <w:tcPr>
            <w:cnfStyle w:evenVBand="false" w:oddVBand="true" w:firstColumn="false"/>
            <w:tcW w:w="25.000000%" w:type="pct"/>
          </w:tcPr>
          <w:p>
            <w:pPr>
              <w:ind w:leftChars="0" w:left="0" w:right="0"/>
            </w:pPr>
            <w:r>
              <w:t>AIM ITALIA - MERCATO ALTERNATIVO DEL CAPITALE</w:t>
            </w:r>
          </w:p>
        </w:tc>
        <w:tc>
          <w:tcPr>
            <w:cnfStyle w:evenVBand="true" w:oddVBand="false" w:firstColumn="false"/>
            <w:tcW w:w="25.000000%" w:type="pct"/>
          </w:tcPr>
          <w:p>
            <w:pPr>
              <w:ind w:leftChars="0" w:left="0" w:right="0"/>
            </w:pPr>
            <w:r>
              <w:t>1017</w:t>
            </w:r>
          </w:p>
        </w:tc>
      </w:tr>
      <w:tr>
        <w:trPr>
          <w:cnfStyle w:evenHBand="false" w:oddHBand="true" w:firstRow="false"/>
        </w:trPr>
        <w:tc>
          <w:tcPr>
            <w:cnfStyle w:evenVBand="false" w:oddVBand="true" w:firstColumn="false"/>
            <w:tcW w:w="25.000000%" w:type="pct"/>
          </w:tcPr>
          <w:p>
            <w:pPr>
              <w:ind w:leftChars="0" w:left="0" w:right="0"/>
            </w:pPr>
            <w:r>
              <w:t>IUOB</w:t>
            </w:r>
          </w:p>
        </w:tc>
        <w:tc>
          <w:tcPr>
            <w:cnfStyle w:evenVBand="true" w:oddVBand="false" w:firstColumn="false"/>
            <w:tcW w:w="25.000000%" w:type="pct"/>
          </w:tcPr>
          <w:p>
            <w:pPr>
              <w:ind w:leftChars="0" w:left="0" w:right="0"/>
            </w:pPr>
            <w:r>
              <w:t>IUOB</w:t>
            </w:r>
          </w:p>
        </w:tc>
        <w:tc>
          <w:tcPr>
            <w:cnfStyle w:evenVBand="false" w:oddVBand="true" w:firstColumn="false"/>
            <w:tcW w:w="25.000000%" w:type="pct"/>
          </w:tcPr>
          <w:p>
            <w:pPr>
              <w:ind w:leftChars="0" w:left="0" w:right="0"/>
            </w:pPr>
            <w:r>
              <w:t>ICAP UK OTF - ORDERBOOK</w:t>
            </w:r>
          </w:p>
        </w:tc>
        <w:tc>
          <w:tcPr>
            <w:cnfStyle w:evenVBand="true" w:oddVBand="false" w:firstColumn="false"/>
            <w:tcW w:w="25.000000%" w:type="pct"/>
          </w:tcPr>
          <w:p>
            <w:pPr>
              <w:ind w:leftChars="0" w:left="0" w:right="0"/>
            </w:pPr>
            <w:r>
              <w:t>1018</w:t>
            </w:r>
          </w:p>
        </w:tc>
      </w:tr>
      <w:tr>
        <w:trPr>
          <w:cnfStyle w:evenHBand="true" w:oddHBand="false" w:firstRow="false"/>
        </w:trPr>
        <w:tc>
          <w:tcPr>
            <w:cnfStyle w:evenVBand="false" w:oddVBand="true" w:firstColumn="false"/>
            <w:tcW w:w="25.000000%" w:type="pct"/>
          </w:tcPr>
          <w:p>
            <w:pPr>
              <w:ind w:leftChars="0" w:left="0" w:right="0"/>
            </w:pPr>
            <w:r>
              <w:t>IVZX</w:t>
            </w:r>
          </w:p>
        </w:tc>
        <w:tc>
          <w:tcPr>
            <w:cnfStyle w:evenVBand="true" w:oddVBand="false" w:firstColumn="false"/>
            <w:tcW w:w="25.000000%" w:type="pct"/>
          </w:tcPr>
          <w:p>
            <w:pPr>
              <w:ind w:leftChars="0" w:left="0" w:right="0"/>
            </w:pPr>
            <w:r>
              <w:t>IVZX</w:t>
            </w:r>
          </w:p>
        </w:tc>
        <w:tc>
          <w:tcPr>
            <w:cnfStyle w:evenVBand="false" w:oddVBand="true" w:firstColumn="false"/>
            <w:tcW w:w="25.000000%" w:type="pct"/>
          </w:tcPr>
          <w:p>
            <w:pPr>
              <w:ind w:leftChars="0" w:left="0" w:right="0"/>
            </w:pPr>
            <w:r>
              <w:t>INVESCO CANADA PTF TRADES</w:t>
            </w:r>
          </w:p>
        </w:tc>
        <w:tc>
          <w:tcPr>
            <w:cnfStyle w:evenVBand="true" w:oddVBand="false" w:firstColumn="false"/>
            <w:tcW w:w="25.000000%" w:type="pct"/>
          </w:tcPr>
          <w:p>
            <w:pPr>
              <w:ind w:leftChars="0" w:left="0" w:right="0"/>
            </w:pPr>
            <w:r>
              <w:t>1019</w:t>
            </w:r>
          </w:p>
        </w:tc>
      </w:tr>
      <w:tr>
        <w:trPr>
          <w:cnfStyle w:evenHBand="false" w:oddHBand="true" w:firstRow="false"/>
        </w:trPr>
        <w:tc>
          <w:tcPr>
            <w:cnfStyle w:evenVBand="false" w:oddVBand="true" w:firstColumn="false"/>
            <w:tcW w:w="25.000000%" w:type="pct"/>
          </w:tcPr>
          <w:p>
            <w:pPr>
              <w:ind w:leftChars="0" w:left="0" w:right="0"/>
            </w:pPr>
            <w:r>
              <w:t>IXSP</w:t>
            </w:r>
          </w:p>
        </w:tc>
        <w:tc>
          <w:tcPr>
            <w:cnfStyle w:evenVBand="true" w:oddVBand="false" w:firstColumn="false"/>
            <w:tcW w:w="25.000000%" w:type="pct"/>
          </w:tcPr>
          <w:p>
            <w:pPr>
              <w:ind w:leftChars="0" w:left="0" w:right="0"/>
            </w:pPr>
            <w:r>
              <w:t>IXSP</w:t>
            </w:r>
          </w:p>
        </w:tc>
        <w:tc>
          <w:tcPr>
            <w:cnfStyle w:evenVBand="false" w:oddVBand="true" w:firstColumn="false"/>
            <w:tcW w:w="25.000000%" w:type="pct"/>
          </w:tcPr>
          <w:p>
            <w:pPr>
              <w:ind w:leftChars="0" w:left="0" w:right="0"/>
            </w:pPr>
            <w:r>
              <w:t>INTERNATIONAL STOCK EXCHANGE SAINT-PETERSBOURG</w:t>
            </w:r>
          </w:p>
        </w:tc>
        <w:tc>
          <w:tcPr>
            <w:cnfStyle w:evenVBand="true" w:oddVBand="false" w:firstColumn="false"/>
            <w:tcW w:w="25.000000%" w:type="pct"/>
          </w:tcPr>
          <w:p>
            <w:pPr>
              <w:ind w:leftChars="0" w:left="0" w:right="0"/>
            </w:pPr>
            <w:r>
              <w:t>1020</w:t>
            </w:r>
          </w:p>
        </w:tc>
      </w:tr>
      <w:tr>
        <w:trPr>
          <w:cnfStyle w:evenHBand="true" w:oddHBand="false" w:firstRow="false"/>
        </w:trPr>
        <w:tc>
          <w:tcPr>
            <w:cnfStyle w:evenVBand="false" w:oddVBand="true" w:firstColumn="false"/>
            <w:tcW w:w="25.000000%" w:type="pct"/>
          </w:tcPr>
          <w:p>
            <w:pPr>
              <w:ind w:leftChars="0" w:left="0" w:right="0"/>
            </w:pPr>
            <w:r>
              <w:t>JADX</w:t>
            </w:r>
          </w:p>
        </w:tc>
        <w:tc>
          <w:tcPr>
            <w:cnfStyle w:evenVBand="true" w:oddVBand="false" w:firstColumn="false"/>
            <w:tcW w:w="25.000000%" w:type="pct"/>
          </w:tcPr>
          <w:p>
            <w:pPr>
              <w:ind w:leftChars="0" w:left="0" w:right="0"/>
            </w:pPr>
            <w:r>
              <w:t>JADX</w:t>
            </w:r>
          </w:p>
        </w:tc>
        <w:tc>
          <w:tcPr>
            <w:cnfStyle w:evenVBand="false" w:oddVBand="true" w:firstColumn="false"/>
            <w:tcW w:w="25.000000%" w:type="pct"/>
          </w:tcPr>
          <w:p>
            <w:pPr>
              <w:ind w:leftChars="0" w:left="0" w:right="0"/>
            </w:pPr>
            <w:r>
              <w:t>JOINT ASIAN DERIVATIVES EXCHANGE</w:t>
            </w:r>
          </w:p>
        </w:tc>
        <w:tc>
          <w:tcPr>
            <w:cnfStyle w:evenVBand="true" w:oddVBand="false" w:firstColumn="false"/>
            <w:tcW w:w="25.000000%" w:type="pct"/>
          </w:tcPr>
          <w:p>
            <w:pPr>
              <w:ind w:leftChars="0" w:left="0" w:right="0"/>
            </w:pPr>
            <w:r>
              <w:t>1021</w:t>
            </w:r>
          </w:p>
        </w:tc>
      </w:tr>
      <w:tr>
        <w:trPr>
          <w:cnfStyle w:evenHBand="false" w:oddHBand="true" w:firstRow="false"/>
        </w:trPr>
        <w:tc>
          <w:tcPr>
            <w:cnfStyle w:evenVBand="false" w:oddVBand="true" w:firstColumn="false"/>
            <w:tcW w:w="25.000000%" w:type="pct"/>
          </w:tcPr>
          <w:p>
            <w:pPr>
              <w:ind w:leftChars="0" w:left="0" w:right="0"/>
            </w:pPr>
            <w:r>
              <w:t>JASR</w:t>
            </w:r>
          </w:p>
        </w:tc>
        <w:tc>
          <w:tcPr>
            <w:cnfStyle w:evenVBand="true" w:oddVBand="false" w:firstColumn="false"/>
            <w:tcW w:w="25.000000%" w:type="pct"/>
          </w:tcPr>
          <w:p>
            <w:pPr>
              <w:ind w:leftChars="0" w:left="0" w:right="0"/>
            </w:pPr>
            <w:r>
              <w:t>JASR</w:t>
            </w:r>
          </w:p>
        </w:tc>
        <w:tc>
          <w:tcPr>
            <w:cnfStyle w:evenVBand="false" w:oddVBand="true" w:firstColumn="false"/>
            <w:tcW w:w="25.000000%" w:type="pct"/>
          </w:tcPr>
          <w:p>
            <w:pPr>
              <w:ind w:leftChars="0" w:left="0" w:right="0"/>
            </w:pPr>
            <w:r>
              <w:t>JAPANCROSSING</w:t>
            </w:r>
          </w:p>
        </w:tc>
        <w:tc>
          <w:tcPr>
            <w:cnfStyle w:evenVBand="true" w:oddVBand="false" w:firstColumn="false"/>
            <w:tcW w:w="25.000000%" w:type="pct"/>
          </w:tcPr>
          <w:p>
            <w:pPr>
              <w:ind w:leftChars="0" w:left="0" w:right="0"/>
            </w:pPr>
            <w:r>
              <w:t>1022</w:t>
            </w:r>
          </w:p>
        </w:tc>
      </w:tr>
      <w:tr>
        <w:trPr>
          <w:cnfStyle w:evenHBand="true" w:oddHBand="false" w:firstRow="false"/>
        </w:trPr>
        <w:tc>
          <w:tcPr>
            <w:cnfStyle w:evenVBand="false" w:oddVBand="true" w:firstColumn="false"/>
            <w:tcW w:w="25.000000%" w:type="pct"/>
          </w:tcPr>
          <w:p>
            <w:pPr>
              <w:ind w:leftChars="0" w:left="0" w:right="0"/>
            </w:pPr>
            <w:r>
              <w:t>JATA</w:t>
            </w:r>
          </w:p>
        </w:tc>
        <w:tc>
          <w:tcPr>
            <w:cnfStyle w:evenVBand="true" w:oddVBand="false" w:firstColumn="false"/>
            <w:tcW w:w="25.000000%" w:type="pct"/>
          </w:tcPr>
          <w:p>
            <w:pPr>
              <w:ind w:leftChars="0" w:left="0" w:right="0"/>
            </w:pPr>
            <w:r>
              <w:t>JATA</w:t>
            </w:r>
          </w:p>
        </w:tc>
        <w:tc>
          <w:tcPr>
            <w:cnfStyle w:evenVBand="false" w:oddVBand="true" w:firstColumn="false"/>
            <w:tcW w:w="25.000000%" w:type="pct"/>
          </w:tcPr>
          <w:p>
            <w:pPr>
              <w:ind w:leftChars="0" w:left="0" w:right="0"/>
            </w:pPr>
            <w:r>
              <w:t>JASDAQ TACHIAIGAI (OFF-FLOOR MARKET)</w:t>
            </w:r>
          </w:p>
        </w:tc>
        <w:tc>
          <w:tcPr>
            <w:cnfStyle w:evenVBand="true" w:oddVBand="false" w:firstColumn="false"/>
            <w:tcW w:w="25.000000%" w:type="pct"/>
          </w:tcPr>
          <w:p>
            <w:pPr>
              <w:ind w:leftChars="0" w:left="0" w:right="0"/>
            </w:pPr>
            <w:r>
              <w:t>1023</w:t>
            </w:r>
          </w:p>
        </w:tc>
      </w:tr>
      <w:tr>
        <w:trPr>
          <w:cnfStyle w:evenHBand="false" w:oddHBand="true" w:firstRow="false"/>
        </w:trPr>
        <w:tc>
          <w:tcPr>
            <w:cnfStyle w:evenVBand="false" w:oddVBand="true" w:firstColumn="false"/>
            <w:tcW w:w="25.000000%" w:type="pct"/>
          </w:tcPr>
          <w:p>
            <w:pPr>
              <w:ind w:leftChars="0" w:left="0" w:right="0"/>
            </w:pPr>
            <w:r>
              <w:t>JBSI</w:t>
            </w:r>
          </w:p>
        </w:tc>
        <w:tc>
          <w:tcPr>
            <w:cnfStyle w:evenVBand="true" w:oddVBand="false" w:firstColumn="false"/>
            <w:tcW w:w="25.000000%" w:type="pct"/>
          </w:tcPr>
          <w:p>
            <w:pPr>
              <w:ind w:leftChars="0" w:left="0" w:right="0"/>
            </w:pPr>
            <w:r>
              <w:t>JBSI</w:t>
            </w:r>
          </w:p>
        </w:tc>
        <w:tc>
          <w:tcPr>
            <w:cnfStyle w:evenVBand="false" w:oddVBand="true" w:firstColumn="false"/>
            <w:tcW w:w="25.000000%" w:type="pct"/>
          </w:tcPr>
          <w:p>
            <w:pPr>
              <w:ind w:leftChars="0" w:left="0" w:right="0"/>
            </w:pPr>
            <w:r>
              <w:t>JYSKE BANK - SYSTEMATIC INTERNALISER</w:t>
            </w:r>
          </w:p>
        </w:tc>
        <w:tc>
          <w:tcPr>
            <w:cnfStyle w:evenVBand="true" w:oddVBand="false" w:firstColumn="false"/>
            <w:tcW w:w="25.000000%" w:type="pct"/>
          </w:tcPr>
          <w:p>
            <w:pPr>
              <w:ind w:leftChars="0" w:left="0" w:right="0"/>
            </w:pPr>
            <w:r>
              <w:t>1024</w:t>
            </w:r>
          </w:p>
        </w:tc>
      </w:tr>
      <w:tr>
        <w:trPr>
          <w:cnfStyle w:evenHBand="true" w:oddHBand="false" w:firstRow="false"/>
        </w:trPr>
        <w:tc>
          <w:tcPr>
            <w:cnfStyle w:evenVBand="false" w:oddVBand="true" w:firstColumn="false"/>
            <w:tcW w:w="25.000000%" w:type="pct"/>
          </w:tcPr>
          <w:p>
            <w:pPr>
              <w:ind w:leftChars="0" w:left="0" w:right="0"/>
            </w:pPr>
            <w:r>
              <w:t>JBUL</w:t>
            </w:r>
          </w:p>
        </w:tc>
        <w:tc>
          <w:tcPr>
            <w:cnfStyle w:evenVBand="true" w:oddVBand="false" w:firstColumn="false"/>
            <w:tcW w:w="25.000000%" w:type="pct"/>
          </w:tcPr>
          <w:p>
            <w:pPr>
              <w:ind w:leftChars="0" w:left="0" w:right="0"/>
            </w:pPr>
            <w:r>
              <w:t>JBUL</w:t>
            </w:r>
          </w:p>
        </w:tc>
        <w:tc>
          <w:tcPr>
            <w:cnfStyle w:evenVBand="false" w:oddVBand="true" w:firstColumn="false"/>
            <w:tcW w:w="25.000000%" w:type="pct"/>
          </w:tcPr>
          <w:p>
            <w:pPr>
              <w:ind w:leftChars="0" w:left="0" w:right="0"/>
            </w:pPr>
            <w:r>
              <w:t>BULGARIAN STOCK EXCHANGE - INTERNATIONAL MTF</w:t>
            </w:r>
          </w:p>
        </w:tc>
        <w:tc>
          <w:tcPr>
            <w:cnfStyle w:evenVBand="true" w:oddVBand="false" w:firstColumn="false"/>
            <w:tcW w:w="25.000000%" w:type="pct"/>
          </w:tcPr>
          <w:p>
            <w:pPr>
              <w:ind w:leftChars="0" w:left="0" w:right="0"/>
            </w:pPr>
            <w:r>
              <w:t>1025</w:t>
            </w:r>
          </w:p>
        </w:tc>
      </w:tr>
      <w:tr>
        <w:trPr>
          <w:cnfStyle w:evenHBand="false" w:oddHBand="true" w:firstRow="false"/>
        </w:trPr>
        <w:tc>
          <w:tcPr>
            <w:cnfStyle w:evenVBand="false" w:oddVBand="true" w:firstColumn="false"/>
            <w:tcW w:w="25.000000%" w:type="pct"/>
          </w:tcPr>
          <w:p>
            <w:pPr>
              <w:ind w:leftChars="0" w:left="0" w:right="0"/>
            </w:pPr>
            <w:r>
              <w:t>JEFE</w:t>
            </w:r>
          </w:p>
        </w:tc>
        <w:tc>
          <w:tcPr>
            <w:cnfStyle w:evenVBand="true" w:oddVBand="false" w:firstColumn="false"/>
            <w:tcW w:w="25.000000%" w:type="pct"/>
          </w:tcPr>
          <w:p>
            <w:pPr>
              <w:ind w:leftChars="0" w:left="0" w:right="0"/>
            </w:pPr>
            <w:r>
              <w:t>JEFE</w:t>
            </w:r>
          </w:p>
        </w:tc>
        <w:tc>
          <w:tcPr>
            <w:cnfStyle w:evenVBand="false" w:oddVBand="true" w:firstColumn="false"/>
            <w:tcW w:w="25.000000%" w:type="pct"/>
          </w:tcPr>
          <w:p>
            <w:pPr>
              <w:ind w:leftChars="0" w:left="0" w:right="0"/>
            </w:pPr>
            <w:r>
              <w:t>JEFFERIES EUROPE</w:t>
            </w:r>
          </w:p>
        </w:tc>
        <w:tc>
          <w:tcPr>
            <w:cnfStyle w:evenVBand="true" w:oddVBand="false" w:firstColumn="false"/>
            <w:tcW w:w="25.000000%" w:type="pct"/>
          </w:tcPr>
          <w:p>
            <w:pPr>
              <w:ind w:leftChars="0" w:left="0" w:right="0"/>
            </w:pPr>
            <w:r>
              <w:t>1026</w:t>
            </w:r>
          </w:p>
        </w:tc>
      </w:tr>
      <w:tr>
        <w:trPr>
          <w:cnfStyle w:evenHBand="true" w:oddHBand="false" w:firstRow="false"/>
        </w:trPr>
        <w:tc>
          <w:tcPr>
            <w:cnfStyle w:evenVBand="false" w:oddVBand="true" w:firstColumn="false"/>
            <w:tcW w:w="25.000000%" w:type="pct"/>
          </w:tcPr>
          <w:p>
            <w:pPr>
              <w:ind w:leftChars="0" w:left="0" w:right="0"/>
            </w:pPr>
            <w:r>
              <w:t>JEFS</w:t>
            </w:r>
          </w:p>
        </w:tc>
        <w:tc>
          <w:tcPr>
            <w:cnfStyle w:evenVBand="true" w:oddVBand="false" w:firstColumn="false"/>
            <w:tcW w:w="25.000000%" w:type="pct"/>
          </w:tcPr>
          <w:p>
            <w:pPr>
              <w:ind w:leftChars="0" w:left="0" w:right="0"/>
            </w:pPr>
            <w:r>
              <w:t>JEFS</w:t>
            </w:r>
          </w:p>
        </w:tc>
        <w:tc>
          <w:tcPr>
            <w:cnfStyle w:evenVBand="false" w:oddVBand="true" w:firstColumn="false"/>
            <w:tcW w:w="25.000000%" w:type="pct"/>
          </w:tcPr>
          <w:p>
            <w:pPr>
              <w:ind w:leftChars="0" w:left="0" w:right="0"/>
            </w:pPr>
            <w:r>
              <w:t>JEFFERIES INTERNATIONAL - SYSTEMATIC INTERNALISER</w:t>
            </w:r>
          </w:p>
        </w:tc>
        <w:tc>
          <w:tcPr>
            <w:cnfStyle w:evenVBand="true" w:oddVBand="false" w:firstColumn="false"/>
            <w:tcW w:w="25.000000%" w:type="pct"/>
          </w:tcPr>
          <w:p>
            <w:pPr>
              <w:ind w:leftChars="0" w:left="0" w:right="0"/>
            </w:pPr>
            <w:r>
              <w:t>1027</w:t>
            </w:r>
          </w:p>
        </w:tc>
      </w:tr>
      <w:tr>
        <w:trPr>
          <w:cnfStyle w:evenHBand="false" w:oddHBand="true" w:firstRow="false"/>
        </w:trPr>
        <w:tc>
          <w:tcPr>
            <w:cnfStyle w:evenVBand="false" w:oddVBand="true" w:firstColumn="false"/>
            <w:tcW w:w="25.000000%" w:type="pct"/>
          </w:tcPr>
          <w:p>
            <w:pPr>
              <w:ind w:leftChars="0" w:left="0" w:right="0"/>
            </w:pPr>
            <w:r>
              <w:t>JEFX</w:t>
            </w:r>
          </w:p>
        </w:tc>
        <w:tc>
          <w:tcPr>
            <w:cnfStyle w:evenVBand="true" w:oddVBand="false" w:firstColumn="false"/>
            <w:tcW w:w="25.000000%" w:type="pct"/>
          </w:tcPr>
          <w:p>
            <w:pPr>
              <w:ind w:leftChars="0" w:left="0" w:right="0"/>
            </w:pPr>
            <w:r>
              <w:t>JEFX</w:t>
            </w:r>
          </w:p>
        </w:tc>
        <w:tc>
          <w:tcPr>
            <w:cnfStyle w:evenVBand="false" w:oddVBand="true" w:firstColumn="false"/>
            <w:tcW w:w="25.000000%" w:type="pct"/>
          </w:tcPr>
          <w:p>
            <w:pPr>
              <w:ind w:leftChars="0" w:left="0" w:right="0"/>
            </w:pPr>
            <w:r>
              <w:t>JETX</w:t>
            </w:r>
          </w:p>
        </w:tc>
        <w:tc>
          <w:tcPr>
            <w:cnfStyle w:evenVBand="true" w:oddVBand="false" w:firstColumn="false"/>
            <w:tcW w:w="25.000000%" w:type="pct"/>
          </w:tcPr>
          <w:p>
            <w:pPr>
              <w:ind w:leftChars="0" w:left="0" w:right="0"/>
            </w:pPr>
            <w:r>
              <w:t>1028</w:t>
            </w:r>
          </w:p>
        </w:tc>
      </w:tr>
      <w:tr>
        <w:trPr>
          <w:cnfStyle w:evenHBand="true" w:oddHBand="false" w:firstRow="false"/>
        </w:trPr>
        <w:tc>
          <w:tcPr>
            <w:cnfStyle w:evenVBand="false" w:oddVBand="true" w:firstColumn="false"/>
            <w:tcW w:w="25.000000%" w:type="pct"/>
          </w:tcPr>
          <w:p>
            <w:pPr>
              <w:ind w:leftChars="0" w:left="0" w:right="0"/>
            </w:pPr>
            <w:r>
              <w:t>JESI</w:t>
            </w:r>
          </w:p>
        </w:tc>
        <w:tc>
          <w:tcPr>
            <w:cnfStyle w:evenVBand="true" w:oddVBand="false" w:firstColumn="false"/>
            <w:tcW w:w="25.000000%" w:type="pct"/>
          </w:tcPr>
          <w:p>
            <w:pPr>
              <w:ind w:leftChars="0" w:left="0" w:right="0"/>
            </w:pPr>
            <w:r>
              <w:t>JESI</w:t>
            </w:r>
          </w:p>
        </w:tc>
        <w:tc>
          <w:tcPr>
            <w:cnfStyle w:evenVBand="false" w:oddVBand="true" w:firstColumn="false"/>
            <w:tcW w:w="25.000000%" w:type="pct"/>
          </w:tcPr>
          <w:p>
            <w:pPr>
              <w:ind w:leftChars="0" w:left="0" w:right="0"/>
            </w:pPr>
            <w:r>
              <w:t>JEFFERIES EUROPE - SYSTEMATIC INTERNALISER</w:t>
            </w:r>
          </w:p>
        </w:tc>
        <w:tc>
          <w:tcPr>
            <w:cnfStyle w:evenVBand="true" w:oddVBand="false" w:firstColumn="false"/>
            <w:tcW w:w="25.000000%" w:type="pct"/>
          </w:tcPr>
          <w:p>
            <w:pPr>
              <w:ind w:leftChars="0" w:left="0" w:right="0"/>
            </w:pPr>
            <w:r>
              <w:t>1029</w:t>
            </w:r>
          </w:p>
        </w:tc>
      </w:tr>
      <w:tr>
        <w:trPr>
          <w:cnfStyle w:evenHBand="false" w:oddHBand="true" w:firstRow="false"/>
        </w:trPr>
        <w:tc>
          <w:tcPr>
            <w:cnfStyle w:evenVBand="false" w:oddVBand="true" w:firstColumn="false"/>
            <w:tcW w:w="25.000000%" w:type="pct"/>
          </w:tcPr>
          <w:p>
            <w:pPr>
              <w:ind w:leftChars="0" w:left="0" w:right="0"/>
            </w:pPr>
            <w:r>
              <w:t>JISI</w:t>
            </w:r>
          </w:p>
        </w:tc>
        <w:tc>
          <w:tcPr>
            <w:cnfStyle w:evenVBand="true" w:oddVBand="false" w:firstColumn="false"/>
            <w:tcW w:w="25.000000%" w:type="pct"/>
          </w:tcPr>
          <w:p>
            <w:pPr>
              <w:ind w:leftChars="0" w:left="0" w:right="0"/>
            </w:pPr>
            <w:r>
              <w:t>JISI</w:t>
            </w:r>
          </w:p>
        </w:tc>
        <w:tc>
          <w:tcPr>
            <w:cnfStyle w:evenVBand="false" w:oddVBand="true" w:firstColumn="false"/>
            <w:tcW w:w="25.000000%" w:type="pct"/>
          </w:tcPr>
          <w:p>
            <w:pPr>
              <w:ind w:leftChars="0" w:left="0" w:right="0"/>
            </w:pPr>
            <w:r>
              <w:t>JEFFERIES INTERNATIONAL</w:t>
            </w:r>
          </w:p>
        </w:tc>
        <w:tc>
          <w:tcPr>
            <w:cnfStyle w:evenVBand="true" w:oddVBand="false" w:firstColumn="false"/>
            <w:tcW w:w="25.000000%" w:type="pct"/>
          </w:tcPr>
          <w:p>
            <w:pPr>
              <w:ind w:leftChars="0" w:left="0" w:right="0"/>
            </w:pPr>
            <w:r>
              <w:t>1030</w:t>
            </w:r>
          </w:p>
        </w:tc>
      </w:tr>
      <w:tr>
        <w:trPr>
          <w:cnfStyle w:evenHBand="true" w:oddHBand="false" w:firstRow="false"/>
        </w:trPr>
        <w:tc>
          <w:tcPr>
            <w:cnfStyle w:evenVBand="false" w:oddVBand="true" w:firstColumn="false"/>
            <w:tcW w:w="25.000000%" w:type="pct"/>
          </w:tcPr>
          <w:p>
            <w:pPr>
              <w:ind w:leftChars="0" w:left="0" w:right="0"/>
            </w:pPr>
            <w:r>
              <w:t>JLEQ</w:t>
            </w:r>
          </w:p>
        </w:tc>
        <w:tc>
          <w:tcPr>
            <w:cnfStyle w:evenVBand="true" w:oddVBand="false" w:firstColumn="false"/>
            <w:tcW w:w="25.000000%" w:type="pct"/>
          </w:tcPr>
          <w:p>
            <w:pPr>
              <w:ind w:leftChars="0" w:left="0" w:right="0"/>
            </w:pPr>
            <w:r>
              <w:t>JLEQ</w:t>
            </w:r>
          </w:p>
        </w:tc>
        <w:tc>
          <w:tcPr>
            <w:cnfStyle w:evenVBand="false" w:oddVBand="true" w:firstColumn="false"/>
            <w:tcW w:w="25.000000%" w:type="pct"/>
          </w:tcPr>
          <w:p>
            <w:pPr>
              <w:ind w:leftChars="0" w:left="0" w:right="0"/>
            </w:pPr>
            <w:r>
              <w:t>JUMP LIQUIDITY - US EQUITY PLATFORM</w:t>
            </w:r>
          </w:p>
        </w:tc>
        <w:tc>
          <w:tcPr>
            <w:cnfStyle w:evenVBand="true" w:oddVBand="false" w:firstColumn="false"/>
            <w:tcW w:w="25.000000%" w:type="pct"/>
          </w:tcPr>
          <w:p>
            <w:pPr>
              <w:ind w:leftChars="0" w:left="0" w:right="0"/>
            </w:pPr>
            <w:r>
              <w:t>1031</w:t>
            </w:r>
          </w:p>
        </w:tc>
      </w:tr>
      <w:tr>
        <w:trPr>
          <w:cnfStyle w:evenHBand="false" w:oddHBand="true" w:firstRow="false"/>
        </w:trPr>
        <w:tc>
          <w:tcPr>
            <w:cnfStyle w:evenVBand="false" w:oddVBand="true" w:firstColumn="false"/>
            <w:tcW w:w="25.000000%" w:type="pct"/>
          </w:tcPr>
          <w:p>
            <w:pPr>
              <w:ind w:leftChars="0" w:left="0" w:right="0"/>
            </w:pPr>
            <w:r>
              <w:t>JLEU</w:t>
            </w:r>
          </w:p>
        </w:tc>
        <w:tc>
          <w:tcPr>
            <w:cnfStyle w:evenVBand="true" w:oddVBand="false" w:firstColumn="false"/>
            <w:tcW w:w="25.000000%" w:type="pct"/>
          </w:tcPr>
          <w:p>
            <w:pPr>
              <w:ind w:leftChars="0" w:left="0" w:right="0"/>
            </w:pPr>
            <w:r>
              <w:t>JLEU</w:t>
            </w:r>
          </w:p>
        </w:tc>
        <w:tc>
          <w:tcPr>
            <w:cnfStyle w:evenVBand="false" w:oddVBand="true" w:firstColumn="false"/>
            <w:tcW w:w="25.000000%" w:type="pct"/>
          </w:tcPr>
          <w:p>
            <w:pPr>
              <w:ind w:leftChars="0" w:left="0" w:right="0"/>
            </w:pPr>
            <w:r>
              <w:t>JUMP LIQUIDITY EU EQUITY PLATFORM</w:t>
            </w:r>
          </w:p>
        </w:tc>
        <w:tc>
          <w:tcPr>
            <w:cnfStyle w:evenVBand="true" w:oddVBand="false" w:firstColumn="false"/>
            <w:tcW w:w="25.000000%" w:type="pct"/>
          </w:tcPr>
          <w:p>
            <w:pPr>
              <w:ind w:leftChars="0" w:left="0" w:right="0"/>
            </w:pPr>
            <w:r>
              <w:t>1032</w:t>
            </w:r>
          </w:p>
        </w:tc>
      </w:tr>
      <w:tr>
        <w:trPr>
          <w:cnfStyle w:evenHBand="true" w:oddHBand="false" w:firstRow="false"/>
        </w:trPr>
        <w:tc>
          <w:tcPr>
            <w:cnfStyle w:evenVBand="false" w:oddVBand="true" w:firstColumn="false"/>
            <w:tcW w:w="25.000000%" w:type="pct"/>
          </w:tcPr>
          <w:p>
            <w:pPr>
              <w:ind w:leftChars="0" w:left="0" w:right="0"/>
            </w:pPr>
            <w:r>
              <w:t>JLQD</w:t>
            </w:r>
          </w:p>
        </w:tc>
        <w:tc>
          <w:tcPr>
            <w:cnfStyle w:evenVBand="true" w:oddVBand="false" w:firstColumn="false"/>
            <w:tcW w:w="25.000000%" w:type="pct"/>
          </w:tcPr>
          <w:p>
            <w:pPr>
              <w:ind w:leftChars="0" w:left="0" w:right="0"/>
            </w:pPr>
            <w:r>
              <w:t>JLQD</w:t>
            </w:r>
          </w:p>
        </w:tc>
        <w:tc>
          <w:tcPr>
            <w:cnfStyle w:evenVBand="false" w:oddVBand="true" w:firstColumn="false"/>
            <w:tcW w:w="25.000000%" w:type="pct"/>
          </w:tcPr>
          <w:p>
            <w:pPr>
              <w:ind w:leftChars="0" w:left="0" w:right="0"/>
            </w:pPr>
            <w:r>
              <w:t>JUMP LIQUIDITY - MULTI-ASSET PLATFORM</w:t>
            </w:r>
          </w:p>
        </w:tc>
        <w:tc>
          <w:tcPr>
            <w:cnfStyle w:evenVBand="true" w:oddVBand="false" w:firstColumn="false"/>
            <w:tcW w:w="25.000000%" w:type="pct"/>
          </w:tcPr>
          <w:p>
            <w:pPr>
              <w:ind w:leftChars="0" w:left="0" w:right="0"/>
            </w:pPr>
            <w:r>
              <w:t>1033</w:t>
            </w:r>
          </w:p>
        </w:tc>
      </w:tr>
      <w:tr>
        <w:trPr>
          <w:cnfStyle w:evenHBand="false" w:oddHBand="true" w:firstRow="false"/>
        </w:trPr>
        <w:tc>
          <w:tcPr>
            <w:cnfStyle w:evenVBand="false" w:oddVBand="true" w:firstColumn="false"/>
            <w:tcW w:w="25.000000%" w:type="pct"/>
          </w:tcPr>
          <w:p>
            <w:pPr>
              <w:ind w:leftChars="0" w:left="0" w:right="0"/>
            </w:pPr>
            <w:r>
              <w:t>JLSI</w:t>
            </w:r>
          </w:p>
        </w:tc>
        <w:tc>
          <w:tcPr>
            <w:cnfStyle w:evenVBand="true" w:oddVBand="false" w:firstColumn="false"/>
            <w:tcW w:w="25.000000%" w:type="pct"/>
          </w:tcPr>
          <w:p>
            <w:pPr>
              <w:ind w:leftChars="0" w:left="0" w:right="0"/>
            </w:pPr>
            <w:r>
              <w:t>JLSI</w:t>
            </w:r>
          </w:p>
        </w:tc>
        <w:tc>
          <w:tcPr>
            <w:cnfStyle w:evenVBand="false" w:oddVBand="true" w:firstColumn="false"/>
            <w:tcW w:w="25.000000%" w:type="pct"/>
          </w:tcPr>
          <w:p>
            <w:pPr>
              <w:ind w:leftChars="0" w:left="0" w:right="0"/>
            </w:pPr>
            <w:r>
              <w:t>JUMP LIQUIDITY - SYSTEMATIC INTERNALISER</w:t>
            </w:r>
          </w:p>
        </w:tc>
        <w:tc>
          <w:tcPr>
            <w:cnfStyle w:evenVBand="true" w:oddVBand="false" w:firstColumn="false"/>
            <w:tcW w:w="25.000000%" w:type="pct"/>
          </w:tcPr>
          <w:p>
            <w:pPr>
              <w:ind w:leftChars="0" w:left="0" w:right="0"/>
            </w:pPr>
            <w:r>
              <w:t>1034</w:t>
            </w:r>
          </w:p>
        </w:tc>
      </w:tr>
      <w:tr>
        <w:trPr>
          <w:cnfStyle w:evenHBand="true" w:oddHBand="false" w:firstRow="false"/>
        </w:trPr>
        <w:tc>
          <w:tcPr>
            <w:cnfStyle w:evenVBand="false" w:oddVBand="true" w:firstColumn="false"/>
            <w:tcW w:w="25.000000%" w:type="pct"/>
          </w:tcPr>
          <w:p>
            <w:pPr>
              <w:ind w:leftChars="0" w:left="0" w:right="0"/>
            </w:pPr>
            <w:r>
              <w:t>JNSI</w:t>
            </w:r>
          </w:p>
        </w:tc>
        <w:tc>
          <w:tcPr>
            <w:cnfStyle w:evenVBand="true" w:oddVBand="false" w:firstColumn="false"/>
            <w:tcW w:w="25.000000%" w:type="pct"/>
          </w:tcPr>
          <w:p>
            <w:pPr>
              <w:ind w:leftChars="0" w:left="0" w:right="0"/>
            </w:pPr>
            <w:r>
              <w:t>JNSI</w:t>
            </w:r>
          </w:p>
        </w:tc>
        <w:tc>
          <w:tcPr>
            <w:cnfStyle w:evenVBand="false" w:oddVBand="true" w:firstColumn="false"/>
            <w:tcW w:w="25.000000%" w:type="pct"/>
          </w:tcPr>
          <w:p>
            <w:pPr>
              <w:ind w:leftChars="0" w:left="0" w:right="0"/>
            </w:pPr>
            <w:r>
              <w:t>JANE STREET NETHERLANDS B.V. - SYSTEMATIC INTERNALISER</w:t>
            </w:r>
          </w:p>
        </w:tc>
        <w:tc>
          <w:tcPr>
            <w:cnfStyle w:evenVBand="true" w:oddVBand="false" w:firstColumn="false"/>
            <w:tcW w:w="25.000000%" w:type="pct"/>
          </w:tcPr>
          <w:p>
            <w:pPr>
              <w:ind w:leftChars="0" w:left="0" w:right="0"/>
            </w:pPr>
            <w:r>
              <w:t>1035</w:t>
            </w:r>
          </w:p>
        </w:tc>
      </w:tr>
      <w:tr>
        <w:trPr>
          <w:cnfStyle w:evenHBand="false" w:oddHBand="true" w:firstRow="false"/>
        </w:trPr>
        <w:tc>
          <w:tcPr>
            <w:cnfStyle w:evenVBand="false" w:oddVBand="true" w:firstColumn="false"/>
            <w:tcW w:w="25.000000%" w:type="pct"/>
          </w:tcPr>
          <w:p>
            <w:pPr>
              <w:ind w:leftChars="0" w:left="0" w:right="0"/>
            </w:pPr>
            <w:r>
              <w:t>JNST</w:t>
            </w:r>
          </w:p>
        </w:tc>
        <w:tc>
          <w:tcPr>
            <w:cnfStyle w:evenVBand="true" w:oddVBand="false" w:firstColumn="false"/>
            <w:tcW w:w="25.000000%" w:type="pct"/>
          </w:tcPr>
          <w:p>
            <w:pPr>
              <w:ind w:leftChars="0" w:left="0" w:right="0"/>
            </w:pPr>
            <w:r>
              <w:t>JNST</w:t>
            </w:r>
          </w:p>
        </w:tc>
        <w:tc>
          <w:tcPr>
            <w:cnfStyle w:evenVBand="false" w:oddVBand="true" w:firstColumn="false"/>
            <w:tcW w:w="25.000000%" w:type="pct"/>
          </w:tcPr>
          <w:p>
            <w:pPr>
              <w:ind w:leftChars="0" w:left="0" w:right="0"/>
            </w:pPr>
            <w:r>
              <w:t>JANE STREET CAPITAL, LLC</w:t>
            </w:r>
          </w:p>
        </w:tc>
        <w:tc>
          <w:tcPr>
            <w:cnfStyle w:evenVBand="true" w:oddVBand="false" w:firstColumn="false"/>
            <w:tcW w:w="25.000000%" w:type="pct"/>
          </w:tcPr>
          <w:p>
            <w:pPr>
              <w:ind w:leftChars="0" w:left="0" w:right="0"/>
            </w:pPr>
            <w:r>
              <w:t>1036</w:t>
            </w:r>
          </w:p>
        </w:tc>
      </w:tr>
      <w:tr>
        <w:trPr>
          <w:cnfStyle w:evenHBand="true" w:oddHBand="false" w:firstRow="false"/>
        </w:trPr>
        <w:tc>
          <w:tcPr>
            <w:cnfStyle w:evenVBand="false" w:oddVBand="true" w:firstColumn="false"/>
            <w:tcW w:w="25.000000%" w:type="pct"/>
          </w:tcPr>
          <w:p>
            <w:pPr>
              <w:ind w:leftChars="0" w:left="0" w:right="0"/>
            </w:pPr>
            <w:r>
              <w:t>JPBX</w:t>
            </w:r>
          </w:p>
        </w:tc>
        <w:tc>
          <w:tcPr>
            <w:cnfStyle w:evenVBand="true" w:oddVBand="false" w:firstColumn="false"/>
            <w:tcW w:w="25.000000%" w:type="pct"/>
          </w:tcPr>
          <w:p>
            <w:pPr>
              <w:ind w:leftChars="0" w:left="0" w:right="0"/>
            </w:pPr>
            <w:r>
              <w:t>JPBX</w:t>
            </w:r>
          </w:p>
        </w:tc>
        <w:tc>
          <w:tcPr>
            <w:cnfStyle w:evenVBand="false" w:oddVBand="true" w:firstColumn="false"/>
            <w:tcW w:w="25.000000%" w:type="pct"/>
          </w:tcPr>
          <w:p>
            <w:pPr>
              <w:ind w:leftChars="0" w:left="0" w:right="0"/>
            </w:pPr>
            <w:r>
              <w:t>JPBX</w:t>
            </w:r>
          </w:p>
        </w:tc>
        <w:tc>
          <w:tcPr>
            <w:cnfStyle w:evenVBand="true" w:oddVBand="false" w:firstColumn="false"/>
            <w:tcW w:w="25.000000%" w:type="pct"/>
          </w:tcPr>
          <w:p>
            <w:pPr>
              <w:ind w:leftChars="0" w:left="0" w:right="0"/>
            </w:pPr>
            <w:r>
              <w:t>1037</w:t>
            </w:r>
          </w:p>
        </w:tc>
      </w:tr>
      <w:tr>
        <w:trPr>
          <w:cnfStyle w:evenHBand="false" w:oddHBand="true" w:firstRow="false"/>
        </w:trPr>
        <w:tc>
          <w:tcPr>
            <w:cnfStyle w:evenVBand="false" w:oddVBand="true" w:firstColumn="false"/>
            <w:tcW w:w="25.000000%" w:type="pct"/>
          </w:tcPr>
          <w:p>
            <w:pPr>
              <w:ind w:leftChars="0" w:left="0" w:right="0"/>
            </w:pPr>
            <w:r>
              <w:t>JPCB</w:t>
            </w:r>
          </w:p>
        </w:tc>
        <w:tc>
          <w:tcPr>
            <w:cnfStyle w:evenVBand="true" w:oddVBand="false" w:firstColumn="false"/>
            <w:tcW w:w="25.000000%" w:type="pct"/>
          </w:tcPr>
          <w:p>
            <w:pPr>
              <w:ind w:leftChars="0" w:left="0" w:right="0"/>
            </w:pPr>
            <w:r>
              <w:t>JPCB</w:t>
            </w:r>
          </w:p>
        </w:tc>
        <w:tc>
          <w:tcPr>
            <w:cnfStyle w:evenVBand="false" w:oddVBand="true" w:firstColumn="false"/>
            <w:tcW w:w="25.000000%" w:type="pct"/>
          </w:tcPr>
          <w:p>
            <w:pPr>
              <w:ind w:leftChars="0" w:left="0" w:right="0"/>
            </w:pPr>
            <w:r>
              <w:t>JPMORGAN CHASE BANK N.A. LONDON BRANCH</w:t>
            </w:r>
          </w:p>
        </w:tc>
        <w:tc>
          <w:tcPr>
            <w:cnfStyle w:evenVBand="true" w:oddVBand="false" w:firstColumn="false"/>
            <w:tcW w:w="25.000000%" w:type="pct"/>
          </w:tcPr>
          <w:p>
            <w:pPr>
              <w:ind w:leftChars="0" w:left="0" w:right="0"/>
            </w:pPr>
            <w:r>
              <w:t>1038</w:t>
            </w:r>
          </w:p>
        </w:tc>
      </w:tr>
      <w:tr>
        <w:trPr>
          <w:cnfStyle w:evenHBand="true" w:oddHBand="false" w:firstRow="false"/>
        </w:trPr>
        <w:tc>
          <w:tcPr>
            <w:cnfStyle w:evenVBand="false" w:oddVBand="true" w:firstColumn="false"/>
            <w:tcW w:w="25.000000%" w:type="pct"/>
          </w:tcPr>
          <w:p>
            <w:pPr>
              <w:ind w:leftChars="0" w:left="0" w:right="0"/>
            </w:pPr>
            <w:r>
              <w:t>JPEU</w:t>
            </w:r>
          </w:p>
        </w:tc>
        <w:tc>
          <w:tcPr>
            <w:cnfStyle w:evenVBand="true" w:oddVBand="false" w:firstColumn="false"/>
            <w:tcW w:w="25.000000%" w:type="pct"/>
          </w:tcPr>
          <w:p>
            <w:pPr>
              <w:ind w:leftChars="0" w:left="0" w:right="0"/>
            </w:pPr>
            <w:r>
              <w:t>JPEU</w:t>
            </w:r>
          </w:p>
        </w:tc>
        <w:tc>
          <w:tcPr>
            <w:cnfStyle w:evenVBand="false" w:oddVBand="true" w:firstColumn="false"/>
            <w:tcW w:w="25.000000%" w:type="pct"/>
          </w:tcPr>
          <w:p>
            <w:pPr>
              <w:ind w:leftChars="0" w:left="0" w:right="0"/>
            </w:pPr>
            <w:r>
              <w:t>J.P. MORGAN SE - SYSTEMATIC INTERNALISER</w:t>
            </w:r>
          </w:p>
        </w:tc>
        <w:tc>
          <w:tcPr>
            <w:cnfStyle w:evenVBand="true" w:oddVBand="false" w:firstColumn="false"/>
            <w:tcW w:w="25.000000%" w:type="pct"/>
          </w:tcPr>
          <w:p>
            <w:pPr>
              <w:ind w:leftChars="0" w:left="0" w:right="0"/>
            </w:pPr>
            <w:r>
              <w:t>1039</w:t>
            </w:r>
          </w:p>
        </w:tc>
      </w:tr>
      <w:tr>
        <w:trPr>
          <w:cnfStyle w:evenHBand="false" w:oddHBand="true" w:firstRow="false"/>
        </w:trPr>
        <w:tc>
          <w:tcPr>
            <w:cnfStyle w:evenVBand="false" w:oddVBand="true" w:firstColumn="false"/>
            <w:tcW w:w="25.000000%" w:type="pct"/>
          </w:tcPr>
          <w:p>
            <w:pPr>
              <w:ind w:leftChars="0" w:left="0" w:right="0"/>
            </w:pPr>
            <w:r>
              <w:t>JPMI</w:t>
            </w:r>
          </w:p>
        </w:tc>
        <w:tc>
          <w:tcPr>
            <w:cnfStyle w:evenVBand="true" w:oddVBand="false" w:firstColumn="false"/>
            <w:tcW w:w="25.000000%" w:type="pct"/>
          </w:tcPr>
          <w:p>
            <w:pPr>
              <w:ind w:leftChars="0" w:left="0" w:right="0"/>
            </w:pPr>
            <w:r>
              <w:t>JPMI</w:t>
            </w:r>
          </w:p>
        </w:tc>
        <w:tc>
          <w:tcPr>
            <w:cnfStyle w:evenVBand="false" w:oddVBand="true" w:firstColumn="false"/>
            <w:tcW w:w="25.000000%" w:type="pct"/>
          </w:tcPr>
          <w:p>
            <w:pPr>
              <w:ind w:leftChars="0" w:left="0" w:right="0"/>
            </w:pPr>
            <w:r>
              <w:t>JP MORGAN - JPMI MARKET</w:t>
            </w:r>
          </w:p>
        </w:tc>
        <w:tc>
          <w:tcPr>
            <w:cnfStyle w:evenVBand="true" w:oddVBand="false" w:firstColumn="false"/>
            <w:tcW w:w="25.000000%" w:type="pct"/>
          </w:tcPr>
          <w:p>
            <w:pPr>
              <w:ind w:leftChars="0" w:left="0" w:right="0"/>
            </w:pPr>
            <w:r>
              <w:t>1040</w:t>
            </w:r>
          </w:p>
        </w:tc>
      </w:tr>
      <w:tr>
        <w:trPr>
          <w:cnfStyle w:evenHBand="true" w:oddHBand="false" w:firstRow="false"/>
        </w:trPr>
        <w:tc>
          <w:tcPr>
            <w:cnfStyle w:evenVBand="false" w:oddVBand="true" w:firstColumn="false"/>
            <w:tcW w:w="25.000000%" w:type="pct"/>
          </w:tcPr>
          <w:p>
            <w:pPr>
              <w:ind w:leftChars="0" w:left="0" w:right="0"/>
            </w:pPr>
            <w:r>
              <w:t>JPMS</w:t>
            </w:r>
          </w:p>
        </w:tc>
        <w:tc>
          <w:tcPr>
            <w:cnfStyle w:evenVBand="true" w:oddVBand="false" w:firstColumn="false"/>
            <w:tcW w:w="25.000000%" w:type="pct"/>
          </w:tcPr>
          <w:p>
            <w:pPr>
              <w:ind w:leftChars="0" w:left="0" w:right="0"/>
            </w:pPr>
            <w:r>
              <w:t>JPMS</w:t>
            </w:r>
          </w:p>
        </w:tc>
        <w:tc>
          <w:tcPr>
            <w:cnfStyle w:evenVBand="false" w:oddVBand="true" w:firstColumn="false"/>
            <w:tcW w:w="25.000000%" w:type="pct"/>
          </w:tcPr>
          <w:p>
            <w:pPr>
              <w:ind w:leftChars="0" w:left="0" w:right="0"/>
            </w:pPr>
            <w:r>
              <w:t>JPMS, LLC</w:t>
            </w:r>
          </w:p>
        </w:tc>
        <w:tc>
          <w:tcPr>
            <w:cnfStyle w:evenVBand="true" w:oddVBand="false" w:firstColumn="false"/>
            <w:tcW w:w="25.000000%" w:type="pct"/>
          </w:tcPr>
          <w:p>
            <w:pPr>
              <w:ind w:leftChars="0" w:left="0" w:right="0"/>
            </w:pPr>
            <w:r>
              <w:t>1041</w:t>
            </w:r>
          </w:p>
        </w:tc>
      </w:tr>
      <w:tr>
        <w:trPr>
          <w:cnfStyle w:evenHBand="false" w:oddHBand="true" w:firstRow="false"/>
        </w:trPr>
        <w:tc>
          <w:tcPr>
            <w:cnfStyle w:evenVBand="false" w:oddVBand="true" w:firstColumn="false"/>
            <w:tcW w:w="25.000000%" w:type="pct"/>
          </w:tcPr>
          <w:p>
            <w:pPr>
              <w:ind w:leftChars="0" w:left="0" w:right="0"/>
            </w:pPr>
            <w:r>
              <w:t>JPMX</w:t>
            </w:r>
          </w:p>
        </w:tc>
        <w:tc>
          <w:tcPr>
            <w:cnfStyle w:evenVBand="true" w:oddVBand="false" w:firstColumn="false"/>
            <w:tcW w:w="25.000000%" w:type="pct"/>
          </w:tcPr>
          <w:p>
            <w:pPr>
              <w:ind w:leftChars="0" w:left="0" w:right="0"/>
            </w:pPr>
            <w:r>
              <w:t>JPMX</w:t>
            </w:r>
          </w:p>
        </w:tc>
        <w:tc>
          <w:tcPr>
            <w:cnfStyle w:evenVBand="false" w:oddVBand="true" w:firstColumn="false"/>
            <w:tcW w:w="25.000000%" w:type="pct"/>
          </w:tcPr>
          <w:p>
            <w:pPr>
              <w:ind w:leftChars="0" w:left="0" w:right="0"/>
            </w:pPr>
            <w:r>
              <w:t>JPMX</w:t>
            </w:r>
          </w:p>
        </w:tc>
        <w:tc>
          <w:tcPr>
            <w:cnfStyle w:evenVBand="true" w:oddVBand="false" w:firstColumn="false"/>
            <w:tcW w:w="25.000000%" w:type="pct"/>
          </w:tcPr>
          <w:p>
            <w:pPr>
              <w:ind w:leftChars="0" w:left="0" w:right="0"/>
            </w:pPr>
            <w:r>
              <w:t>1042</w:t>
            </w:r>
          </w:p>
        </w:tc>
      </w:tr>
      <w:tr>
        <w:trPr>
          <w:cnfStyle w:evenHBand="true" w:oddHBand="false" w:firstRow="false"/>
        </w:trPr>
        <w:tc>
          <w:tcPr>
            <w:cnfStyle w:evenVBand="false" w:oddVBand="true" w:firstColumn="false"/>
            <w:tcW w:w="25.000000%" w:type="pct"/>
          </w:tcPr>
          <w:p>
            <w:pPr>
              <w:ind w:leftChars="0" w:left="0" w:right="0"/>
            </w:pPr>
            <w:r>
              <w:t>JPSI</w:t>
            </w:r>
          </w:p>
        </w:tc>
        <w:tc>
          <w:tcPr>
            <w:cnfStyle w:evenVBand="true" w:oddVBand="false" w:firstColumn="false"/>
            <w:tcW w:w="25.000000%" w:type="pct"/>
          </w:tcPr>
          <w:p>
            <w:pPr>
              <w:ind w:leftChars="0" w:left="0" w:right="0"/>
            </w:pPr>
            <w:r>
              <w:t>JPSI</w:t>
            </w:r>
          </w:p>
        </w:tc>
        <w:tc>
          <w:tcPr>
            <w:cnfStyle w:evenVBand="false" w:oddVBand="true" w:firstColumn="false"/>
            <w:tcW w:w="25.000000%" w:type="pct"/>
          </w:tcPr>
          <w:p>
            <w:pPr>
              <w:ind w:leftChars="0" w:left="0" w:right="0"/>
            </w:pPr>
            <w:r>
              <w:t>J.P. MORGAN SECURITIES PLC</w:t>
            </w:r>
          </w:p>
        </w:tc>
        <w:tc>
          <w:tcPr>
            <w:cnfStyle w:evenVBand="true" w:oddVBand="false" w:firstColumn="false"/>
            <w:tcW w:w="25.000000%" w:type="pct"/>
          </w:tcPr>
          <w:p>
            <w:pPr>
              <w:ind w:leftChars="0" w:left="0" w:right="0"/>
            </w:pPr>
            <w:r>
              <w:t>1043</w:t>
            </w:r>
          </w:p>
        </w:tc>
      </w:tr>
      <w:tr>
        <w:trPr>
          <w:cnfStyle w:evenHBand="false" w:oddHBand="true" w:firstRow="false"/>
        </w:trPr>
        <w:tc>
          <w:tcPr>
            <w:cnfStyle w:evenVBand="false" w:oddVBand="true" w:firstColumn="false"/>
            <w:tcW w:w="25.000000%" w:type="pct"/>
          </w:tcPr>
          <w:p>
            <w:pPr>
              <w:ind w:leftChars="0" w:left="0" w:right="0"/>
            </w:pPr>
            <w:r>
              <w:t>JSEB</w:t>
            </w:r>
          </w:p>
        </w:tc>
        <w:tc>
          <w:tcPr>
            <w:cnfStyle w:evenVBand="true" w:oddVBand="false" w:firstColumn="false"/>
            <w:tcW w:w="25.000000%" w:type="pct"/>
          </w:tcPr>
          <w:p>
            <w:pPr>
              <w:ind w:leftChars="0" w:left="0" w:right="0"/>
            </w:pPr>
            <w:r>
              <w:t>JSEB</w:t>
            </w:r>
          </w:p>
        </w:tc>
        <w:tc>
          <w:tcPr>
            <w:cnfStyle w:evenVBand="false" w:oddVBand="true" w:firstColumn="false"/>
            <w:tcW w:w="25.000000%" w:type="pct"/>
          </w:tcPr>
          <w:p>
            <w:pPr>
              <w:ind w:leftChars="0" w:left="0" w:right="0"/>
            </w:pPr>
            <w:r>
              <w:t>JSE BOND ELECTRONIC TRADING PLATFORM</w:t>
            </w:r>
          </w:p>
        </w:tc>
        <w:tc>
          <w:tcPr>
            <w:cnfStyle w:evenVBand="true" w:oddVBand="false" w:firstColumn="false"/>
            <w:tcW w:w="25.000000%" w:type="pct"/>
          </w:tcPr>
          <w:p>
            <w:pPr>
              <w:ind w:leftChars="0" w:left="0" w:right="0"/>
            </w:pPr>
            <w:r>
              <w:t>1044</w:t>
            </w:r>
          </w:p>
        </w:tc>
      </w:tr>
      <w:tr>
        <w:trPr>
          <w:cnfStyle w:evenHBand="true" w:oddHBand="false" w:firstRow="false"/>
        </w:trPr>
        <w:tc>
          <w:tcPr>
            <w:cnfStyle w:evenVBand="false" w:oddVBand="true" w:firstColumn="false"/>
            <w:tcW w:w="25.000000%" w:type="pct"/>
          </w:tcPr>
          <w:p>
            <w:pPr>
              <w:ind w:leftChars="0" w:left="0" w:right="0"/>
            </w:pPr>
            <w:r>
              <w:t>JSEF</w:t>
            </w:r>
          </w:p>
        </w:tc>
        <w:tc>
          <w:tcPr>
            <w:cnfStyle w:evenVBand="true" w:oddVBand="false" w:firstColumn="false"/>
            <w:tcW w:w="25.000000%" w:type="pct"/>
          </w:tcPr>
          <w:p>
            <w:pPr>
              <w:ind w:leftChars="0" w:left="0" w:right="0"/>
            </w:pPr>
            <w:r>
              <w:t>JSEF</w:t>
            </w:r>
          </w:p>
        </w:tc>
        <w:tc>
          <w:tcPr>
            <w:cnfStyle w:evenVBand="false" w:oddVBand="true" w:firstColumn="false"/>
            <w:tcW w:w="25.000000%" w:type="pct"/>
          </w:tcPr>
          <w:p>
            <w:pPr>
              <w:ind w:leftChars="0" w:left="0" w:right="0"/>
            </w:pPr>
            <w:r>
              <w:t>JAVELIN SEF, LLC</w:t>
            </w:r>
          </w:p>
        </w:tc>
        <w:tc>
          <w:tcPr>
            <w:cnfStyle w:evenVBand="true" w:oddVBand="false" w:firstColumn="false"/>
            <w:tcW w:w="25.000000%" w:type="pct"/>
          </w:tcPr>
          <w:p>
            <w:pPr>
              <w:ind w:leftChars="0" w:left="0" w:right="0"/>
            </w:pPr>
            <w:r>
              <w:t>1045</w:t>
            </w:r>
          </w:p>
        </w:tc>
      </w:tr>
      <w:tr>
        <w:trPr>
          <w:cnfStyle w:evenHBand="false" w:oddHBand="true" w:firstRow="false"/>
        </w:trPr>
        <w:tc>
          <w:tcPr>
            <w:cnfStyle w:evenVBand="false" w:oddVBand="true" w:firstColumn="false"/>
            <w:tcW w:w="25.000000%" w:type="pct"/>
          </w:tcPr>
          <w:p>
            <w:pPr>
              <w:ind w:leftChars="0" w:left="0" w:right="0"/>
            </w:pPr>
            <w:r>
              <w:t>JSER</w:t>
            </w:r>
          </w:p>
        </w:tc>
        <w:tc>
          <w:tcPr>
            <w:cnfStyle w:evenVBand="true" w:oddVBand="false" w:firstColumn="false"/>
            <w:tcW w:w="25.000000%" w:type="pct"/>
          </w:tcPr>
          <w:p>
            <w:pPr>
              <w:ind w:leftChars="0" w:left="0" w:right="0"/>
            </w:pPr>
            <w:r>
              <w:t>JSER</w:t>
            </w:r>
          </w:p>
        </w:tc>
        <w:tc>
          <w:tcPr>
            <w:cnfStyle w:evenVBand="false" w:oddVBand="true" w:firstColumn="false"/>
            <w:tcW w:w="25.000000%" w:type="pct"/>
          </w:tcPr>
          <w:p>
            <w:pPr>
              <w:ind w:leftChars="0" w:left="0" w:right="0"/>
            </w:pPr>
            <w:r>
              <w:t>JSE REPO MARKET</w:t>
            </w:r>
          </w:p>
        </w:tc>
        <w:tc>
          <w:tcPr>
            <w:cnfStyle w:evenVBand="true" w:oddVBand="false" w:firstColumn="false"/>
            <w:tcW w:w="25.000000%" w:type="pct"/>
          </w:tcPr>
          <w:p>
            <w:pPr>
              <w:ind w:leftChars="0" w:left="0" w:right="0"/>
            </w:pPr>
            <w:r>
              <w:t>1046</w:t>
            </w:r>
          </w:p>
        </w:tc>
      </w:tr>
      <w:tr>
        <w:trPr>
          <w:cnfStyle w:evenHBand="true" w:oddHBand="false" w:firstRow="false"/>
        </w:trPr>
        <w:tc>
          <w:tcPr>
            <w:cnfStyle w:evenVBand="false" w:oddVBand="true" w:firstColumn="false"/>
            <w:tcW w:w="25.000000%" w:type="pct"/>
          </w:tcPr>
          <w:p>
            <w:pPr>
              <w:ind w:leftChars="0" w:left="0" w:right="0"/>
            </w:pPr>
            <w:r>
              <w:t>JSES</w:t>
            </w:r>
          </w:p>
        </w:tc>
        <w:tc>
          <w:tcPr>
            <w:cnfStyle w:evenVBand="true" w:oddVBand="false" w:firstColumn="false"/>
            <w:tcW w:w="25.000000%" w:type="pct"/>
          </w:tcPr>
          <w:p>
            <w:pPr>
              <w:ind w:leftChars="0" w:left="0" w:right="0"/>
            </w:pPr>
            <w:r>
              <w:t>JSES</w:t>
            </w:r>
          </w:p>
        </w:tc>
        <w:tc>
          <w:tcPr>
            <w:cnfStyle w:evenVBand="false" w:oddVBand="true" w:firstColumn="false"/>
            <w:tcW w:w="25.000000%" w:type="pct"/>
          </w:tcPr>
          <w:p>
            <w:pPr>
              <w:ind w:leftChars="0" w:left="0" w:right="0"/>
            </w:pPr>
            <w:r>
              <w:t>JANE STREET EXECUTION SERVICES LLC</w:t>
            </w:r>
          </w:p>
        </w:tc>
        <w:tc>
          <w:tcPr>
            <w:cnfStyle w:evenVBand="true" w:oddVBand="false" w:firstColumn="false"/>
            <w:tcW w:w="25.000000%" w:type="pct"/>
          </w:tcPr>
          <w:p>
            <w:pPr>
              <w:ind w:leftChars="0" w:left="0" w:right="0"/>
            </w:pPr>
            <w:r>
              <w:t>1047</w:t>
            </w:r>
          </w:p>
        </w:tc>
      </w:tr>
      <w:tr>
        <w:trPr>
          <w:cnfStyle w:evenHBand="false" w:oddHBand="true" w:firstRow="false"/>
        </w:trPr>
        <w:tc>
          <w:tcPr>
            <w:cnfStyle w:evenVBand="false" w:oddVBand="true" w:firstColumn="false"/>
            <w:tcW w:w="25.000000%" w:type="pct"/>
          </w:tcPr>
          <w:p>
            <w:pPr>
              <w:ind w:leftChars="0" w:left="0" w:right="0"/>
            </w:pPr>
            <w:r>
              <w:t>JSJX</w:t>
            </w:r>
          </w:p>
        </w:tc>
        <w:tc>
          <w:tcPr>
            <w:cnfStyle w:evenVBand="true" w:oddVBand="false" w:firstColumn="false"/>
            <w:tcW w:w="25.000000%" w:type="pct"/>
          </w:tcPr>
          <w:p>
            <w:pPr>
              <w:ind w:leftChars="0" w:left="0" w:right="0"/>
            </w:pPr>
            <w:r>
              <w:t>JSJX</w:t>
            </w:r>
          </w:p>
        </w:tc>
        <w:tc>
          <w:tcPr>
            <w:cnfStyle w:evenVBand="false" w:oddVBand="true" w:firstColumn="false"/>
            <w:tcW w:w="25.000000%" w:type="pct"/>
          </w:tcPr>
          <w:p>
            <w:pPr>
              <w:ind w:leftChars="0" w:left="0" w:right="0"/>
            </w:pPr>
            <w:r>
              <w:t>JANE STREET JX</w:t>
            </w:r>
          </w:p>
        </w:tc>
        <w:tc>
          <w:tcPr>
            <w:cnfStyle w:evenVBand="true" w:oddVBand="false" w:firstColumn="false"/>
            <w:tcW w:w="25.000000%" w:type="pct"/>
          </w:tcPr>
          <w:p>
            <w:pPr>
              <w:ind w:leftChars="0" w:left="0" w:right="0"/>
            </w:pPr>
            <w:r>
              <w:t>1048</w:t>
            </w:r>
          </w:p>
        </w:tc>
      </w:tr>
      <w:tr>
        <w:trPr>
          <w:cnfStyle w:evenHBand="true" w:oddHBand="false" w:firstRow="false"/>
        </w:trPr>
        <w:tc>
          <w:tcPr>
            <w:cnfStyle w:evenVBand="false" w:oddVBand="true" w:firstColumn="false"/>
            <w:tcW w:w="25.000000%" w:type="pct"/>
          </w:tcPr>
          <w:p>
            <w:pPr>
              <w:ind w:leftChars="0" w:left="0" w:right="0"/>
            </w:pPr>
            <w:r>
              <w:t>JSSI</w:t>
            </w:r>
          </w:p>
        </w:tc>
        <w:tc>
          <w:tcPr>
            <w:cnfStyle w:evenVBand="true" w:oddVBand="false" w:firstColumn="false"/>
            <w:tcW w:w="25.000000%" w:type="pct"/>
          </w:tcPr>
          <w:p>
            <w:pPr>
              <w:ind w:leftChars="0" w:left="0" w:right="0"/>
            </w:pPr>
            <w:r>
              <w:t>JSSI</w:t>
            </w:r>
          </w:p>
        </w:tc>
        <w:tc>
          <w:tcPr>
            <w:cnfStyle w:evenVBand="false" w:oddVBand="true" w:firstColumn="false"/>
            <w:tcW w:w="25.000000%" w:type="pct"/>
          </w:tcPr>
          <w:p>
            <w:pPr>
              <w:ind w:leftChars="0" w:left="0" w:right="0"/>
            </w:pPr>
            <w:r>
              <w:t>JANE STREET FINANCIAL LTD - SYSTEMATIC INTERNALISER</w:t>
            </w:r>
          </w:p>
        </w:tc>
        <w:tc>
          <w:tcPr>
            <w:cnfStyle w:evenVBand="true" w:oddVBand="false" w:firstColumn="false"/>
            <w:tcW w:w="25.000000%" w:type="pct"/>
          </w:tcPr>
          <w:p>
            <w:pPr>
              <w:ind w:leftChars="0" w:left="0" w:right="0"/>
            </w:pPr>
            <w:r>
              <w:t>1049</w:t>
            </w:r>
          </w:p>
        </w:tc>
      </w:tr>
      <w:tr>
        <w:trPr>
          <w:cnfStyle w:evenHBand="false" w:oddHBand="true" w:firstRow="false"/>
        </w:trPr>
        <w:tc>
          <w:tcPr>
            <w:cnfStyle w:evenVBand="false" w:oddVBand="true" w:firstColumn="false"/>
            <w:tcW w:w="25.000000%" w:type="pct"/>
          </w:tcPr>
          <w:p>
            <w:pPr>
              <w:ind w:leftChars="0" w:left="0" w:right="0"/>
            </w:pPr>
            <w:r>
              <w:t>JYSI</w:t>
            </w:r>
          </w:p>
        </w:tc>
        <w:tc>
          <w:tcPr>
            <w:cnfStyle w:evenVBand="true" w:oddVBand="false" w:firstColumn="false"/>
            <w:tcW w:w="25.000000%" w:type="pct"/>
          </w:tcPr>
          <w:p>
            <w:pPr>
              <w:ind w:leftChars="0" w:left="0" w:right="0"/>
            </w:pPr>
            <w:r>
              <w:t>JYSI</w:t>
            </w:r>
          </w:p>
        </w:tc>
        <w:tc>
          <w:tcPr>
            <w:cnfStyle w:evenVBand="false" w:oddVBand="true" w:firstColumn="false"/>
            <w:tcW w:w="25.000000%" w:type="pct"/>
          </w:tcPr>
          <w:p>
            <w:pPr>
              <w:ind w:leftChars="0" w:left="0" w:right="0"/>
            </w:pPr>
            <w:r>
              <w:t>DEN JYSKE SPAREKASSE - SYSTEMATIC INTERNALISER</w:t>
            </w:r>
          </w:p>
        </w:tc>
        <w:tc>
          <w:tcPr>
            <w:cnfStyle w:evenVBand="true" w:oddVBand="false" w:firstColumn="false"/>
            <w:tcW w:w="25.000000%" w:type="pct"/>
          </w:tcPr>
          <w:p>
            <w:pPr>
              <w:ind w:leftChars="0" w:left="0" w:right="0"/>
            </w:pPr>
            <w:r>
              <w:t>1050</w:t>
            </w:r>
          </w:p>
        </w:tc>
      </w:tr>
      <w:tr>
        <w:trPr>
          <w:cnfStyle w:evenHBand="true" w:oddHBand="false" w:firstRow="false"/>
        </w:trPr>
        <w:tc>
          <w:tcPr>
            <w:cnfStyle w:evenVBand="false" w:oddVBand="true" w:firstColumn="false"/>
            <w:tcW w:w="25.000000%" w:type="pct"/>
          </w:tcPr>
          <w:p>
            <w:pPr>
              <w:ind w:leftChars="0" w:left="0" w:right="0"/>
            </w:pPr>
            <w:r>
              <w:t>KABU</w:t>
            </w:r>
          </w:p>
        </w:tc>
        <w:tc>
          <w:tcPr>
            <w:cnfStyle w:evenVBand="true" w:oddVBand="false" w:firstColumn="false"/>
            <w:tcW w:w="25.000000%" w:type="pct"/>
          </w:tcPr>
          <w:p>
            <w:pPr>
              <w:ind w:leftChars="0" w:left="0" w:right="0"/>
            </w:pPr>
            <w:r>
              <w:t>KABU</w:t>
            </w:r>
          </w:p>
        </w:tc>
        <w:tc>
          <w:tcPr>
            <w:cnfStyle w:evenVBand="false" w:oddVBand="true" w:firstColumn="false"/>
            <w:tcW w:w="25.000000%" w:type="pct"/>
          </w:tcPr>
          <w:p>
            <w:pPr>
              <w:ind w:leftChars="0" w:left="0" w:right="0"/>
            </w:pPr>
            <w:r>
              <w:t>KABU.COM PTS</w:t>
            </w:r>
          </w:p>
        </w:tc>
        <w:tc>
          <w:tcPr>
            <w:cnfStyle w:evenVBand="true" w:oddVBand="false" w:firstColumn="false"/>
            <w:tcW w:w="25.000000%" w:type="pct"/>
          </w:tcPr>
          <w:p>
            <w:pPr>
              <w:ind w:leftChars="0" w:left="0" w:right="0"/>
            </w:pPr>
            <w:r>
              <w:t>1051</w:t>
            </w:r>
          </w:p>
        </w:tc>
      </w:tr>
      <w:tr>
        <w:trPr>
          <w:cnfStyle w:evenHBand="false" w:oddHBand="true" w:firstRow="false"/>
        </w:trPr>
        <w:tc>
          <w:tcPr>
            <w:cnfStyle w:evenVBand="false" w:oddVBand="true" w:firstColumn="false"/>
            <w:tcW w:w="25.000000%" w:type="pct"/>
          </w:tcPr>
          <w:p>
            <w:pPr>
              <w:ind w:leftChars="0" w:left="0" w:right="0"/>
            </w:pPr>
            <w:r>
              <w:t>KAIX</w:t>
            </w:r>
          </w:p>
        </w:tc>
        <w:tc>
          <w:tcPr>
            <w:cnfStyle w:evenVBand="true" w:oddVBand="false" w:firstColumn="false"/>
            <w:tcW w:w="25.000000%" w:type="pct"/>
          </w:tcPr>
          <w:p>
            <w:pPr>
              <w:ind w:leftChars="0" w:left="0" w:right="0"/>
            </w:pPr>
            <w:r>
              <w:t>KAIX</w:t>
            </w:r>
          </w:p>
        </w:tc>
        <w:tc>
          <w:tcPr>
            <w:cnfStyle w:evenVBand="false" w:oddVBand="true" w:firstColumn="false"/>
            <w:tcW w:w="25.000000%" w:type="pct"/>
          </w:tcPr>
          <w:p>
            <w:pPr>
              <w:ind w:leftChars="0" w:left="0" w:right="0"/>
            </w:pPr>
            <w:r>
              <w:t>KAI-X</w:t>
            </w:r>
          </w:p>
        </w:tc>
        <w:tc>
          <w:tcPr>
            <w:cnfStyle w:evenVBand="true" w:oddVBand="false" w:firstColumn="false"/>
            <w:tcW w:w="25.000000%" w:type="pct"/>
          </w:tcPr>
          <w:p>
            <w:pPr>
              <w:ind w:leftChars="0" w:left="0" w:right="0"/>
            </w:pPr>
            <w:r>
              <w:t>1052</w:t>
            </w:r>
          </w:p>
        </w:tc>
      </w:tr>
      <w:tr>
        <w:trPr>
          <w:cnfStyle w:evenHBand="true" w:oddHBand="false" w:firstRow="false"/>
        </w:trPr>
        <w:tc>
          <w:tcPr>
            <w:cnfStyle w:evenVBand="false" w:oddVBand="true" w:firstColumn="false"/>
            <w:tcW w:w="25.000000%" w:type="pct"/>
          </w:tcPr>
          <w:p>
            <w:pPr>
              <w:ind w:leftChars="0" w:left="0" w:right="0"/>
            </w:pPr>
            <w:r>
              <w:t>KBCB</w:t>
            </w:r>
          </w:p>
        </w:tc>
        <w:tc>
          <w:tcPr>
            <w:cnfStyle w:evenVBand="true" w:oddVBand="false" w:firstColumn="false"/>
            <w:tcW w:w="25.000000%" w:type="pct"/>
          </w:tcPr>
          <w:p>
            <w:pPr>
              <w:ind w:leftChars="0" w:left="0" w:right="0"/>
            </w:pPr>
            <w:r>
              <w:t>KBCB</w:t>
            </w:r>
          </w:p>
        </w:tc>
        <w:tc>
          <w:tcPr>
            <w:cnfStyle w:evenVBand="false" w:oddVBand="true" w:firstColumn="false"/>
            <w:tcW w:w="25.000000%" w:type="pct"/>
          </w:tcPr>
          <w:p>
            <w:pPr>
              <w:ind w:leftChars="0" w:left="0" w:right="0"/>
            </w:pPr>
            <w:r>
              <w:t>KBC BANK NV  GROUP MARKETS - SYSTEMATIC INTERNALISER</w:t>
            </w:r>
          </w:p>
        </w:tc>
        <w:tc>
          <w:tcPr>
            <w:cnfStyle w:evenVBand="true" w:oddVBand="false" w:firstColumn="false"/>
            <w:tcW w:w="25.000000%" w:type="pct"/>
          </w:tcPr>
          <w:p>
            <w:pPr>
              <w:ind w:leftChars="0" w:left="0" w:right="0"/>
            </w:pPr>
            <w:r>
              <w:t>1053</w:t>
            </w:r>
          </w:p>
        </w:tc>
      </w:tr>
      <w:tr>
        <w:trPr>
          <w:cnfStyle w:evenHBand="false" w:oddHBand="true" w:firstRow="false"/>
        </w:trPr>
        <w:tc>
          <w:tcPr>
            <w:cnfStyle w:evenVBand="false" w:oddVBand="true" w:firstColumn="false"/>
            <w:tcW w:w="25.000000%" w:type="pct"/>
          </w:tcPr>
          <w:p>
            <w:pPr>
              <w:ind w:leftChars="0" w:left="0" w:right="0"/>
            </w:pPr>
            <w:r>
              <w:t>KBLC</w:t>
            </w:r>
          </w:p>
        </w:tc>
        <w:tc>
          <w:tcPr>
            <w:cnfStyle w:evenVBand="true" w:oddVBand="false" w:firstColumn="false"/>
            <w:tcW w:w="25.000000%" w:type="pct"/>
          </w:tcPr>
          <w:p>
            <w:pPr>
              <w:ind w:leftChars="0" w:left="0" w:right="0"/>
            </w:pPr>
            <w:r>
              <w:t>KBLC</w:t>
            </w:r>
          </w:p>
        </w:tc>
        <w:tc>
          <w:tcPr>
            <w:cnfStyle w:evenVBand="false" w:oddVBand="true" w:firstColumn="false"/>
            <w:tcW w:w="25.000000%" w:type="pct"/>
          </w:tcPr>
          <w:p>
            <w:pPr>
              <w:ind w:leftChars="0" w:left="0" w:right="0"/>
            </w:pPr>
            <w:r>
              <w:t>QUINTET PRIVATE BANK (EUROPE) S.A. - EURO COMMERCIAL PAPERS</w:t>
            </w:r>
          </w:p>
        </w:tc>
        <w:tc>
          <w:tcPr>
            <w:cnfStyle w:evenVBand="true" w:oddVBand="false" w:firstColumn="false"/>
            <w:tcW w:w="25.000000%" w:type="pct"/>
          </w:tcPr>
          <w:p>
            <w:pPr>
              <w:ind w:leftChars="0" w:left="0" w:right="0"/>
            </w:pPr>
            <w:r>
              <w:t>1054</w:t>
            </w:r>
          </w:p>
        </w:tc>
      </w:tr>
      <w:tr>
        <w:trPr>
          <w:cnfStyle w:evenHBand="true" w:oddHBand="false" w:firstRow="false"/>
        </w:trPr>
        <w:tc>
          <w:tcPr>
            <w:cnfStyle w:evenVBand="false" w:oddVBand="true" w:firstColumn="false"/>
            <w:tcW w:w="25.000000%" w:type="pct"/>
          </w:tcPr>
          <w:p>
            <w:pPr>
              <w:ind w:leftChars="0" w:left="0" w:right="0"/>
            </w:pPr>
            <w:r>
              <w:t>KBLL</w:t>
            </w:r>
          </w:p>
        </w:tc>
        <w:tc>
          <w:tcPr>
            <w:cnfStyle w:evenVBand="true" w:oddVBand="false" w:firstColumn="false"/>
            <w:tcW w:w="25.000000%" w:type="pct"/>
          </w:tcPr>
          <w:p>
            <w:pPr>
              <w:ind w:leftChars="0" w:left="0" w:right="0"/>
            </w:pPr>
            <w:r>
              <w:t>KBLL</w:t>
            </w:r>
          </w:p>
        </w:tc>
        <w:tc>
          <w:tcPr>
            <w:cnfStyle w:evenVBand="false" w:oddVBand="true" w:firstColumn="false"/>
            <w:tcW w:w="25.000000%" w:type="pct"/>
          </w:tcPr>
          <w:p>
            <w:pPr>
              <w:ind w:leftChars="0" w:left="0" w:right="0"/>
            </w:pPr>
            <w:r>
              <w:t>QUINTET PRIVATE BANK (EUROPE) S.A.</w:t>
            </w:r>
          </w:p>
        </w:tc>
        <w:tc>
          <w:tcPr>
            <w:cnfStyle w:evenVBand="true" w:oddVBand="false" w:firstColumn="false"/>
            <w:tcW w:w="25.000000%" w:type="pct"/>
          </w:tcPr>
          <w:p>
            <w:pPr>
              <w:ind w:leftChars="0" w:left="0" w:right="0"/>
            </w:pPr>
            <w:r>
              <w:t>1055</w:t>
            </w:r>
          </w:p>
        </w:tc>
      </w:tr>
      <w:tr>
        <w:trPr>
          <w:cnfStyle w:evenHBand="false" w:oddHBand="true" w:firstRow="false"/>
        </w:trPr>
        <w:tc>
          <w:tcPr>
            <w:cnfStyle w:evenVBand="false" w:oddVBand="true" w:firstColumn="false"/>
            <w:tcW w:w="25.000000%" w:type="pct"/>
          </w:tcPr>
          <w:p>
            <w:pPr>
              <w:ind w:leftChars="0" w:left="0" w:right="0"/>
            </w:pPr>
            <w:r>
              <w:t>KBLM</w:t>
            </w:r>
          </w:p>
        </w:tc>
        <w:tc>
          <w:tcPr>
            <w:cnfStyle w:evenVBand="true" w:oddVBand="false" w:firstColumn="false"/>
            <w:tcW w:w="25.000000%" w:type="pct"/>
          </w:tcPr>
          <w:p>
            <w:pPr>
              <w:ind w:leftChars="0" w:left="0" w:right="0"/>
            </w:pPr>
            <w:r>
              <w:t>KBLM</w:t>
            </w:r>
          </w:p>
        </w:tc>
        <w:tc>
          <w:tcPr>
            <w:cnfStyle w:evenVBand="false" w:oddVBand="true" w:firstColumn="false"/>
            <w:tcW w:w="25.000000%" w:type="pct"/>
          </w:tcPr>
          <w:p>
            <w:pPr>
              <w:ind w:leftChars="0" w:left="0" w:right="0"/>
            </w:pPr>
            <w:r>
              <w:t>KYTE BROKING LIMITED</w:t>
            </w:r>
          </w:p>
        </w:tc>
        <w:tc>
          <w:tcPr>
            <w:cnfStyle w:evenVBand="true" w:oddVBand="false" w:firstColumn="false"/>
            <w:tcW w:w="25.000000%" w:type="pct"/>
          </w:tcPr>
          <w:p>
            <w:pPr>
              <w:ind w:leftChars="0" w:left="0" w:right="0"/>
            </w:pPr>
            <w:r>
              <w:t>1056</w:t>
            </w:r>
          </w:p>
        </w:tc>
      </w:tr>
      <w:tr>
        <w:trPr>
          <w:cnfStyle w:evenHBand="true" w:oddHBand="false" w:firstRow="false"/>
        </w:trPr>
        <w:tc>
          <w:tcPr>
            <w:cnfStyle w:evenVBand="false" w:oddVBand="true" w:firstColumn="false"/>
            <w:tcW w:w="25.000000%" w:type="pct"/>
          </w:tcPr>
          <w:p>
            <w:pPr>
              <w:ind w:leftChars="0" w:left="0" w:right="0"/>
            </w:pPr>
            <w:r>
              <w:t>KBLS</w:t>
            </w:r>
          </w:p>
        </w:tc>
        <w:tc>
          <w:tcPr>
            <w:cnfStyle w:evenVBand="true" w:oddVBand="false" w:firstColumn="false"/>
            <w:tcW w:w="25.000000%" w:type="pct"/>
          </w:tcPr>
          <w:p>
            <w:pPr>
              <w:ind w:leftChars="0" w:left="0" w:right="0"/>
            </w:pPr>
            <w:r>
              <w:t>KBLS</w:t>
            </w:r>
          </w:p>
        </w:tc>
        <w:tc>
          <w:tcPr>
            <w:cnfStyle w:evenVBand="false" w:oddVBand="true" w:firstColumn="false"/>
            <w:tcW w:w="25.000000%" w:type="pct"/>
          </w:tcPr>
          <w:p>
            <w:pPr>
              <w:ind w:leftChars="0" w:left="0" w:right="0"/>
            </w:pPr>
            <w:r>
              <w:t>QUINTET PRIVATE BANK (EUROPE) S.A. - STRUCTURED PRODUCTS</w:t>
            </w:r>
          </w:p>
        </w:tc>
        <w:tc>
          <w:tcPr>
            <w:cnfStyle w:evenVBand="true" w:oddVBand="false" w:firstColumn="false"/>
            <w:tcW w:w="25.000000%" w:type="pct"/>
          </w:tcPr>
          <w:p>
            <w:pPr>
              <w:ind w:leftChars="0" w:left="0" w:right="0"/>
            </w:pPr>
            <w:r>
              <w:t>1057</w:t>
            </w:r>
          </w:p>
        </w:tc>
      </w:tr>
      <w:tr>
        <w:trPr>
          <w:cnfStyle w:evenHBand="false" w:oddHBand="true" w:firstRow="false"/>
        </w:trPr>
        <w:tc>
          <w:tcPr>
            <w:cnfStyle w:evenVBand="false" w:oddVBand="true" w:firstColumn="false"/>
            <w:tcW w:w="25.000000%" w:type="pct"/>
          </w:tcPr>
          <w:p>
            <w:pPr>
              <w:ind w:leftChars="0" w:left="0" w:right="0"/>
            </w:pPr>
            <w:r>
              <w:t>KBLT</w:t>
            </w:r>
          </w:p>
        </w:tc>
        <w:tc>
          <w:tcPr>
            <w:cnfStyle w:evenVBand="true" w:oddVBand="false" w:firstColumn="false"/>
            <w:tcW w:w="25.000000%" w:type="pct"/>
          </w:tcPr>
          <w:p>
            <w:pPr>
              <w:ind w:leftChars="0" w:left="0" w:right="0"/>
            </w:pPr>
            <w:r>
              <w:t>KBLT</w:t>
            </w:r>
          </w:p>
        </w:tc>
        <w:tc>
          <w:tcPr>
            <w:cnfStyle w:evenVBand="false" w:oddVBand="true" w:firstColumn="false"/>
            <w:tcW w:w="25.000000%" w:type="pct"/>
          </w:tcPr>
          <w:p>
            <w:pPr>
              <w:ind w:leftChars="0" w:left="0" w:right="0"/>
            </w:pPr>
            <w:r>
              <w:t>QUINTET PRIVATE BANK (EUROPE) S.A. - FX TREASURY DERIVATIVES</w:t>
            </w:r>
          </w:p>
        </w:tc>
        <w:tc>
          <w:tcPr>
            <w:cnfStyle w:evenVBand="true" w:oddVBand="false" w:firstColumn="false"/>
            <w:tcW w:w="25.000000%" w:type="pct"/>
          </w:tcPr>
          <w:p>
            <w:pPr>
              <w:ind w:leftChars="0" w:left="0" w:right="0"/>
            </w:pPr>
            <w:r>
              <w:t>1058</w:t>
            </w:r>
          </w:p>
        </w:tc>
      </w:tr>
      <w:tr>
        <w:trPr>
          <w:cnfStyle w:evenHBand="true" w:oddHBand="false" w:firstRow="false"/>
        </w:trPr>
        <w:tc>
          <w:tcPr>
            <w:cnfStyle w:evenVBand="false" w:oddVBand="true" w:firstColumn="false"/>
            <w:tcW w:w="25.000000%" w:type="pct"/>
          </w:tcPr>
          <w:p>
            <w:pPr>
              <w:ind w:leftChars="0" w:left="0" w:right="0"/>
            </w:pPr>
            <w:r>
              <w:t>KCCP</w:t>
            </w:r>
          </w:p>
        </w:tc>
        <w:tc>
          <w:tcPr>
            <w:cnfStyle w:evenVBand="true" w:oddVBand="false" w:firstColumn="false"/>
            <w:tcW w:w="25.000000%" w:type="pct"/>
          </w:tcPr>
          <w:p>
            <w:pPr>
              <w:ind w:leftChars="0" w:left="0" w:right="0"/>
            </w:pPr>
            <w:r>
              <w:t>KCCP</w:t>
            </w:r>
          </w:p>
        </w:tc>
        <w:tc>
          <w:tcPr>
            <w:cnfStyle w:evenVBand="false" w:oddVBand="true" w:firstColumn="false"/>
            <w:tcW w:w="25.000000%" w:type="pct"/>
          </w:tcPr>
          <w:p>
            <w:pPr>
              <w:ind w:leftChars="0" w:left="0" w:right="0"/>
            </w:pPr>
            <w:r>
              <w:t>KELER CCP</w:t>
            </w:r>
          </w:p>
        </w:tc>
        <w:tc>
          <w:tcPr>
            <w:cnfStyle w:evenVBand="true" w:oddVBand="false" w:firstColumn="false"/>
            <w:tcW w:w="25.000000%" w:type="pct"/>
          </w:tcPr>
          <w:p>
            <w:pPr>
              <w:ind w:leftChars="0" w:left="0" w:right="0"/>
            </w:pPr>
            <w:r>
              <w:t>1059</w:t>
            </w:r>
          </w:p>
        </w:tc>
      </w:tr>
      <w:tr>
        <w:trPr>
          <w:cnfStyle w:evenHBand="false" w:oddHBand="true" w:firstRow="false"/>
        </w:trPr>
        <w:tc>
          <w:tcPr>
            <w:cnfStyle w:evenVBand="false" w:oddVBand="true" w:firstColumn="false"/>
            <w:tcW w:w="25.000000%" w:type="pct"/>
          </w:tcPr>
          <w:p>
            <w:pPr>
              <w:ind w:leftChars="0" w:left="0" w:right="0"/>
            </w:pPr>
            <w:r>
              <w:t>KDPW</w:t>
            </w:r>
          </w:p>
        </w:tc>
        <w:tc>
          <w:tcPr>
            <w:cnfStyle w:evenVBand="true" w:oddVBand="false" w:firstColumn="false"/>
            <w:tcW w:w="25.000000%" w:type="pct"/>
          </w:tcPr>
          <w:p>
            <w:pPr>
              <w:ind w:leftChars="0" w:left="0" w:right="0"/>
            </w:pPr>
            <w:r>
              <w:t>KDPW</w:t>
            </w:r>
          </w:p>
        </w:tc>
        <w:tc>
          <w:tcPr>
            <w:cnfStyle w:evenVBand="false" w:oddVBand="true" w:firstColumn="false"/>
            <w:tcW w:w="25.000000%" w:type="pct"/>
          </w:tcPr>
          <w:p>
            <w:pPr>
              <w:ind w:leftChars="0" w:left="0" w:right="0"/>
            </w:pPr>
            <w:r>
              <w:t>KDPW_CCP</w:t>
            </w:r>
          </w:p>
        </w:tc>
        <w:tc>
          <w:tcPr>
            <w:cnfStyle w:evenVBand="true" w:oddVBand="false" w:firstColumn="false"/>
            <w:tcW w:w="25.000000%" w:type="pct"/>
          </w:tcPr>
          <w:p>
            <w:pPr>
              <w:ind w:leftChars="0" w:left="0" w:right="0"/>
            </w:pPr>
            <w:r>
              <w:t>1060</w:t>
            </w:r>
          </w:p>
        </w:tc>
      </w:tr>
      <w:tr>
        <w:trPr>
          <w:cnfStyle w:evenHBand="true" w:oddHBand="false" w:firstRow="false"/>
        </w:trPr>
        <w:tc>
          <w:tcPr>
            <w:cnfStyle w:evenVBand="false" w:oddVBand="true" w:firstColumn="false"/>
            <w:tcW w:w="25.000000%" w:type="pct"/>
          </w:tcPr>
          <w:p>
            <w:pPr>
              <w:ind w:leftChars="0" w:left="0" w:right="0"/>
            </w:pPr>
            <w:r>
              <w:t>KELR</w:t>
            </w:r>
          </w:p>
        </w:tc>
        <w:tc>
          <w:tcPr>
            <w:cnfStyle w:evenVBand="true" w:oddVBand="false" w:firstColumn="false"/>
            <w:tcW w:w="25.000000%" w:type="pct"/>
          </w:tcPr>
          <w:p>
            <w:pPr>
              <w:ind w:leftChars="0" w:left="0" w:right="0"/>
            </w:pPr>
            <w:r>
              <w:t>KELR</w:t>
            </w:r>
          </w:p>
        </w:tc>
        <w:tc>
          <w:tcPr>
            <w:cnfStyle w:evenVBand="false" w:oddVBand="true" w:firstColumn="false"/>
            <w:tcW w:w="25.000000%" w:type="pct"/>
          </w:tcPr>
          <w:p>
            <w:pPr>
              <w:ind w:leftChars="0" w:left="0" w:right="0"/>
            </w:pPr>
            <w:r>
              <w:t>KELER</w:t>
            </w:r>
          </w:p>
        </w:tc>
        <w:tc>
          <w:tcPr>
            <w:cnfStyle w:evenVBand="true" w:oddVBand="false" w:firstColumn="false"/>
            <w:tcW w:w="25.000000%" w:type="pct"/>
          </w:tcPr>
          <w:p>
            <w:pPr>
              <w:ind w:leftChars="0" w:left="0" w:right="0"/>
            </w:pPr>
            <w:r>
              <w:t>1061</w:t>
            </w:r>
          </w:p>
        </w:tc>
      </w:tr>
      <w:tr>
        <w:trPr>
          <w:cnfStyle w:evenHBand="false" w:oddHBand="true" w:firstRow="false"/>
        </w:trPr>
        <w:tc>
          <w:tcPr>
            <w:cnfStyle w:evenVBand="false" w:oddVBand="true" w:firstColumn="false"/>
            <w:tcW w:w="25.000000%" w:type="pct"/>
          </w:tcPr>
          <w:p>
            <w:pPr>
              <w:ind w:leftChars="0" w:left="0" w:right="0"/>
            </w:pPr>
            <w:r>
              <w:t>KHHU</w:t>
            </w:r>
          </w:p>
        </w:tc>
        <w:tc>
          <w:tcPr>
            <w:cnfStyle w:evenVBand="true" w:oddVBand="false" w:firstColumn="false"/>
            <w:tcW w:w="25.000000%" w:type="pct"/>
          </w:tcPr>
          <w:p>
            <w:pPr>
              <w:ind w:leftChars="0" w:left="0" w:right="0"/>
            </w:pPr>
            <w:r>
              <w:t>KHHU</w:t>
            </w:r>
          </w:p>
        </w:tc>
        <w:tc>
          <w:tcPr>
            <w:cnfStyle w:evenVBand="false" w:oddVBand="true" w:firstColumn="false"/>
            <w:tcW w:w="25.000000%" w:type="pct"/>
          </w:tcPr>
          <w:p>
            <w:pPr>
              <w:ind w:leftChars="0" w:left="0" w:right="0"/>
            </w:pPr>
            <w:r>
              <w:t>K AND H BANK ZRT - SYSTEMATIC INTERNALISER</w:t>
            </w:r>
          </w:p>
        </w:tc>
        <w:tc>
          <w:tcPr>
            <w:cnfStyle w:evenVBand="true" w:oddVBand="false" w:firstColumn="false"/>
            <w:tcW w:w="25.000000%" w:type="pct"/>
          </w:tcPr>
          <w:p>
            <w:pPr>
              <w:ind w:leftChars="0" w:left="0" w:right="0"/>
            </w:pPr>
            <w:r>
              <w:t>1062</w:t>
            </w:r>
          </w:p>
        </w:tc>
      </w:tr>
      <w:tr>
        <w:trPr>
          <w:cnfStyle w:evenHBand="true" w:oddHBand="false" w:firstRow="false"/>
        </w:trPr>
        <w:tc>
          <w:tcPr>
            <w:cnfStyle w:evenVBand="false" w:oddVBand="true" w:firstColumn="false"/>
            <w:tcW w:w="25.000000%" w:type="pct"/>
          </w:tcPr>
          <w:p>
            <w:pPr>
              <w:ind w:leftChars="0" w:left="0" w:right="0"/>
            </w:pPr>
            <w:r>
              <w:t>KLEU</w:t>
            </w:r>
          </w:p>
        </w:tc>
        <w:tc>
          <w:tcPr>
            <w:cnfStyle w:evenVBand="true" w:oddVBand="false" w:firstColumn="false"/>
            <w:tcW w:w="25.000000%" w:type="pct"/>
          </w:tcPr>
          <w:p>
            <w:pPr>
              <w:ind w:leftChars="0" w:left="0" w:right="0"/>
            </w:pPr>
            <w:r>
              <w:t>KLEU</w:t>
            </w:r>
          </w:p>
        </w:tc>
        <w:tc>
          <w:tcPr>
            <w:cnfStyle w:evenVBand="false" w:oddVBand="true" w:firstColumn="false"/>
            <w:tcW w:w="25.000000%" w:type="pct"/>
          </w:tcPr>
          <w:p>
            <w:pPr>
              <w:ind w:leftChars="0" w:left="0" w:right="0"/>
            </w:pPr>
            <w:r>
              <w:t>KNIGHT LINK EUROPE</w:t>
            </w:r>
          </w:p>
        </w:tc>
        <w:tc>
          <w:tcPr>
            <w:cnfStyle w:evenVBand="true" w:oddVBand="false" w:firstColumn="false"/>
            <w:tcW w:w="25.000000%" w:type="pct"/>
          </w:tcPr>
          <w:p>
            <w:pPr>
              <w:ind w:leftChars="0" w:left="0" w:right="0"/>
            </w:pPr>
            <w:r>
              <w:t>1063</w:t>
            </w:r>
          </w:p>
        </w:tc>
      </w:tr>
      <w:tr>
        <w:trPr>
          <w:cnfStyle w:evenHBand="false" w:oddHBand="true" w:firstRow="false"/>
        </w:trPr>
        <w:tc>
          <w:tcPr>
            <w:cnfStyle w:evenVBand="false" w:oddVBand="true" w:firstColumn="false"/>
            <w:tcW w:w="25.000000%" w:type="pct"/>
          </w:tcPr>
          <w:p>
            <w:pPr>
              <w:ind w:leftChars="0" w:left="0" w:right="0"/>
            </w:pPr>
            <w:r>
              <w:t>KLSH</w:t>
            </w:r>
          </w:p>
        </w:tc>
        <w:tc>
          <w:tcPr>
            <w:cnfStyle w:evenVBand="true" w:oddVBand="false" w:firstColumn="false"/>
            <w:tcW w:w="25.000000%" w:type="pct"/>
          </w:tcPr>
          <w:p>
            <w:pPr>
              <w:ind w:leftChars="0" w:left="0" w:right="0"/>
            </w:pPr>
            <w:r>
              <w:t>KLSH</w:t>
            </w:r>
          </w:p>
        </w:tc>
        <w:tc>
          <w:tcPr>
            <w:cnfStyle w:evenVBand="false" w:oddVBand="true" w:firstColumn="false"/>
            <w:tcW w:w="25.000000%" w:type="pct"/>
          </w:tcPr>
          <w:p>
            <w:pPr>
              <w:ind w:leftChars="0" w:left="0" w:right="0"/>
            </w:pPr>
            <w:r>
              <w:t>KALSHIEX LLC</w:t>
            </w:r>
          </w:p>
        </w:tc>
        <w:tc>
          <w:tcPr>
            <w:cnfStyle w:evenVBand="true" w:oddVBand="false" w:firstColumn="false"/>
            <w:tcW w:w="25.000000%" w:type="pct"/>
          </w:tcPr>
          <w:p>
            <w:pPr>
              <w:ind w:leftChars="0" w:left="0" w:right="0"/>
            </w:pPr>
            <w:r>
              <w:t>1064</w:t>
            </w:r>
          </w:p>
        </w:tc>
      </w:tr>
      <w:tr>
        <w:trPr>
          <w:cnfStyle w:evenHBand="true" w:oddHBand="false" w:firstRow="false"/>
        </w:trPr>
        <w:tc>
          <w:tcPr>
            <w:cnfStyle w:evenVBand="false" w:oddVBand="true" w:firstColumn="false"/>
            <w:tcW w:w="25.000000%" w:type="pct"/>
          </w:tcPr>
          <w:p>
            <w:pPr>
              <w:ind w:leftChars="0" w:left="0" w:right="0"/>
            </w:pPr>
            <w:r>
              <w:t>KMTS</w:t>
            </w:r>
          </w:p>
        </w:tc>
        <w:tc>
          <w:tcPr>
            <w:cnfStyle w:evenVBand="true" w:oddVBand="false" w:firstColumn="false"/>
            <w:tcW w:w="25.000000%" w:type="pct"/>
          </w:tcPr>
          <w:p>
            <w:pPr>
              <w:ind w:leftChars="0" w:left="0" w:right="0"/>
            </w:pPr>
            <w:r>
              <w:t>KMTS</w:t>
            </w:r>
          </w:p>
        </w:tc>
        <w:tc>
          <w:tcPr>
            <w:cnfStyle w:evenVBand="false" w:oddVBand="true" w:firstColumn="false"/>
            <w:tcW w:w="25.000000%" w:type="pct"/>
          </w:tcPr>
          <w:p>
            <w:pPr>
              <w:ind w:leftChars="0" w:left="0" w:right="0"/>
            </w:pPr>
            <w:r>
              <w:t>EUROMTS LINKERS MARKET</w:t>
            </w:r>
          </w:p>
        </w:tc>
        <w:tc>
          <w:tcPr>
            <w:cnfStyle w:evenVBand="true" w:oddVBand="false" w:firstColumn="false"/>
            <w:tcW w:w="25.000000%" w:type="pct"/>
          </w:tcPr>
          <w:p>
            <w:pPr>
              <w:ind w:leftChars="0" w:left="0" w:right="0"/>
            </w:pPr>
            <w:r>
              <w:t>1065</w:t>
            </w:r>
          </w:p>
        </w:tc>
      </w:tr>
      <w:tr>
        <w:trPr>
          <w:cnfStyle w:evenHBand="false" w:oddHBand="true" w:firstRow="false"/>
        </w:trPr>
        <w:tc>
          <w:tcPr>
            <w:cnfStyle w:evenVBand="false" w:oddVBand="true" w:firstColumn="false"/>
            <w:tcW w:w="25.000000%" w:type="pct"/>
          </w:tcPr>
          <w:p>
            <w:pPr>
              <w:ind w:leftChars="0" w:left="0" w:right="0"/>
            </w:pPr>
            <w:r>
              <w:t>KMUX</w:t>
            </w:r>
          </w:p>
        </w:tc>
        <w:tc>
          <w:tcPr>
            <w:cnfStyle w:evenVBand="true" w:oddVBand="false" w:firstColumn="false"/>
            <w:tcW w:w="25.000000%" w:type="pct"/>
          </w:tcPr>
          <w:p>
            <w:pPr>
              <w:ind w:leftChars="0" w:left="0" w:right="0"/>
            </w:pPr>
            <w:r>
              <w:t>KMUX</w:t>
            </w:r>
          </w:p>
        </w:tc>
        <w:tc>
          <w:tcPr>
            <w:cnfStyle w:evenVBand="false" w:oddVBand="true" w:firstColumn="false"/>
            <w:tcW w:w="25.000000%" w:type="pct"/>
          </w:tcPr>
          <w:p>
            <w:pPr>
              <w:ind w:leftChars="0" w:left="0" w:right="0"/>
            </w:pPr>
            <w:r>
              <w:t>ZURCHER KANTONALBANK - EKMU-X</w:t>
            </w:r>
          </w:p>
        </w:tc>
        <w:tc>
          <w:tcPr>
            <w:cnfStyle w:evenVBand="true" w:oddVBand="false" w:firstColumn="false"/>
            <w:tcW w:w="25.000000%" w:type="pct"/>
          </w:tcPr>
          <w:p>
            <w:pPr>
              <w:ind w:leftChars="0" w:left="0" w:right="0"/>
            </w:pPr>
            <w:r>
              <w:t>1066</w:t>
            </w:r>
          </w:p>
        </w:tc>
      </w:tr>
      <w:tr>
        <w:trPr>
          <w:cnfStyle w:evenHBand="true" w:oddHBand="false" w:firstRow="false"/>
        </w:trPr>
        <w:tc>
          <w:tcPr>
            <w:cnfStyle w:evenVBand="false" w:oddVBand="true" w:firstColumn="false"/>
            <w:tcW w:w="25.000000%" w:type="pct"/>
          </w:tcPr>
          <w:p>
            <w:pPr>
              <w:ind w:leftChars="0" w:left="0" w:right="0"/>
            </w:pPr>
            <w:r>
              <w:t>KNCM</w:t>
            </w:r>
          </w:p>
        </w:tc>
        <w:tc>
          <w:tcPr>
            <w:cnfStyle w:evenVBand="true" w:oddVBand="false" w:firstColumn="false"/>
            <w:tcW w:w="25.000000%" w:type="pct"/>
          </w:tcPr>
          <w:p>
            <w:pPr>
              <w:ind w:leftChars="0" w:left="0" w:right="0"/>
            </w:pPr>
            <w:r>
              <w:t>KNCM</w:t>
            </w:r>
          </w:p>
        </w:tc>
        <w:tc>
          <w:tcPr>
            <w:cnfStyle w:evenVBand="false" w:oddVBand="true" w:firstColumn="false"/>
            <w:tcW w:w="25.000000%" w:type="pct"/>
          </w:tcPr>
          <w:p>
            <w:pPr>
              <w:ind w:leftChars="0" w:left="0" w:right="0"/>
            </w:pPr>
            <w:r>
              <w:t>KNIGHT CAPITAL MARKETS LLC</w:t>
            </w:r>
          </w:p>
        </w:tc>
        <w:tc>
          <w:tcPr>
            <w:cnfStyle w:evenVBand="true" w:oddVBand="false" w:firstColumn="false"/>
            <w:tcW w:w="25.000000%" w:type="pct"/>
          </w:tcPr>
          <w:p>
            <w:pPr>
              <w:ind w:leftChars="0" w:left="0" w:right="0"/>
            </w:pPr>
            <w:r>
              <w:t>1067</w:t>
            </w:r>
          </w:p>
        </w:tc>
      </w:tr>
      <w:tr>
        <w:trPr>
          <w:cnfStyle w:evenHBand="false" w:oddHBand="true" w:firstRow="false"/>
        </w:trPr>
        <w:tc>
          <w:tcPr>
            <w:cnfStyle w:evenVBand="false" w:oddVBand="true" w:firstColumn="false"/>
            <w:tcW w:w="25.000000%" w:type="pct"/>
          </w:tcPr>
          <w:p>
            <w:pPr>
              <w:ind w:leftChars="0" w:left="0" w:right="0"/>
            </w:pPr>
            <w:r>
              <w:t>KNEM</w:t>
            </w:r>
          </w:p>
        </w:tc>
        <w:tc>
          <w:tcPr>
            <w:cnfStyle w:evenVBand="true" w:oddVBand="false" w:firstColumn="false"/>
            <w:tcW w:w="25.000000%" w:type="pct"/>
          </w:tcPr>
          <w:p>
            <w:pPr>
              <w:ind w:leftChars="0" w:left="0" w:right="0"/>
            </w:pPr>
            <w:r>
              <w:t>KNEM</w:t>
            </w:r>
          </w:p>
        </w:tc>
        <w:tc>
          <w:tcPr>
            <w:cnfStyle w:evenVBand="false" w:oddVBand="true" w:firstColumn="false"/>
            <w:tcW w:w="25.000000%" w:type="pct"/>
          </w:tcPr>
          <w:p>
            <w:pPr>
              <w:ind w:leftChars="0" w:left="0" w:right="0"/>
            </w:pPr>
            <w:r>
              <w:t>KNIGHT EQUITY MARKETS LP</w:t>
            </w:r>
          </w:p>
        </w:tc>
        <w:tc>
          <w:tcPr>
            <w:cnfStyle w:evenVBand="true" w:oddVBand="false" w:firstColumn="false"/>
            <w:tcW w:w="25.000000%" w:type="pct"/>
          </w:tcPr>
          <w:p>
            <w:pPr>
              <w:ind w:leftChars="0" w:left="0" w:right="0"/>
            </w:pPr>
            <w:r>
              <w:t>1068</w:t>
            </w:r>
          </w:p>
        </w:tc>
      </w:tr>
      <w:tr>
        <w:trPr>
          <w:cnfStyle w:evenHBand="true" w:oddHBand="false" w:firstRow="false"/>
        </w:trPr>
        <w:tc>
          <w:tcPr>
            <w:cnfStyle w:evenVBand="false" w:oddVBand="true" w:firstColumn="false"/>
            <w:tcW w:w="25.000000%" w:type="pct"/>
          </w:tcPr>
          <w:p>
            <w:pPr>
              <w:ind w:leftChars="0" w:left="0" w:right="0"/>
            </w:pPr>
            <w:r>
              <w:t>KNIG</w:t>
            </w:r>
          </w:p>
        </w:tc>
        <w:tc>
          <w:tcPr>
            <w:cnfStyle w:evenVBand="true" w:oddVBand="false" w:firstColumn="false"/>
            <w:tcW w:w="25.000000%" w:type="pct"/>
          </w:tcPr>
          <w:p>
            <w:pPr>
              <w:ind w:leftChars="0" w:left="0" w:right="0"/>
            </w:pPr>
            <w:r>
              <w:t>KNIG</w:t>
            </w:r>
          </w:p>
        </w:tc>
        <w:tc>
          <w:tcPr>
            <w:cnfStyle w:evenVBand="false" w:oddVBand="true" w:firstColumn="false"/>
            <w:tcW w:w="25.000000%" w:type="pct"/>
          </w:tcPr>
          <w:p>
            <w:pPr>
              <w:ind w:leftChars="0" w:left="0" w:right="0"/>
            </w:pPr>
            <w:r>
              <w:t>KNIGHT</w:t>
            </w:r>
          </w:p>
        </w:tc>
        <w:tc>
          <w:tcPr>
            <w:cnfStyle w:evenVBand="true" w:oddVBand="false" w:firstColumn="false"/>
            <w:tcW w:w="25.000000%" w:type="pct"/>
          </w:tcPr>
          <w:p>
            <w:pPr>
              <w:ind w:leftChars="0" w:left="0" w:right="0"/>
            </w:pPr>
            <w:r>
              <w:t>1069</w:t>
            </w:r>
          </w:p>
        </w:tc>
      </w:tr>
      <w:tr>
        <w:trPr>
          <w:cnfStyle w:evenHBand="false" w:oddHBand="true" w:firstRow="false"/>
        </w:trPr>
        <w:tc>
          <w:tcPr>
            <w:cnfStyle w:evenVBand="false" w:oddVBand="true" w:firstColumn="false"/>
            <w:tcW w:w="25.000000%" w:type="pct"/>
          </w:tcPr>
          <w:p>
            <w:pPr>
              <w:ind w:leftChars="0" w:left="0" w:right="0"/>
            </w:pPr>
            <w:r>
              <w:t>KNLI</w:t>
            </w:r>
          </w:p>
        </w:tc>
        <w:tc>
          <w:tcPr>
            <w:cnfStyle w:evenVBand="true" w:oddVBand="false" w:firstColumn="false"/>
            <w:tcW w:w="25.000000%" w:type="pct"/>
          </w:tcPr>
          <w:p>
            <w:pPr>
              <w:ind w:leftChars="0" w:left="0" w:right="0"/>
            </w:pPr>
            <w:r>
              <w:t>KNLI</w:t>
            </w:r>
          </w:p>
        </w:tc>
        <w:tc>
          <w:tcPr>
            <w:cnfStyle w:evenVBand="false" w:oddVBand="true" w:firstColumn="false"/>
            <w:tcW w:w="25.000000%" w:type="pct"/>
          </w:tcPr>
          <w:p>
            <w:pPr>
              <w:ind w:leftChars="0" w:left="0" w:right="0"/>
            </w:pPr>
            <w:r>
              <w:t>KNIGHT LINK</w:t>
            </w:r>
          </w:p>
        </w:tc>
        <w:tc>
          <w:tcPr>
            <w:cnfStyle w:evenVBand="true" w:oddVBand="false" w:firstColumn="false"/>
            <w:tcW w:w="25.000000%" w:type="pct"/>
          </w:tcPr>
          <w:p>
            <w:pPr>
              <w:ind w:leftChars="0" w:left="0" w:right="0"/>
            </w:pPr>
            <w:r>
              <w:t>1070</w:t>
            </w:r>
          </w:p>
        </w:tc>
      </w:tr>
      <w:tr>
        <w:trPr>
          <w:cnfStyle w:evenHBand="true" w:oddHBand="false" w:firstRow="false"/>
        </w:trPr>
        <w:tc>
          <w:tcPr>
            <w:cnfStyle w:evenVBand="false" w:oddVBand="true" w:firstColumn="false"/>
            <w:tcW w:w="25.000000%" w:type="pct"/>
          </w:tcPr>
          <w:p>
            <w:pPr>
              <w:ind w:leftChars="0" w:left="0" w:right="0"/>
            </w:pPr>
            <w:r>
              <w:t>KNMX</w:t>
            </w:r>
          </w:p>
        </w:tc>
        <w:tc>
          <w:tcPr>
            <w:cnfStyle w:evenVBand="true" w:oddVBand="false" w:firstColumn="false"/>
            <w:tcW w:w="25.000000%" w:type="pct"/>
          </w:tcPr>
          <w:p>
            <w:pPr>
              <w:ind w:leftChars="0" w:left="0" w:right="0"/>
            </w:pPr>
            <w:r>
              <w:t>KNMX</w:t>
            </w:r>
          </w:p>
        </w:tc>
        <w:tc>
          <w:tcPr>
            <w:cnfStyle w:evenVBand="false" w:oddVBand="true" w:firstColumn="false"/>
            <w:tcW w:w="25.000000%" w:type="pct"/>
          </w:tcPr>
          <w:p>
            <w:pPr>
              <w:ind w:leftChars="0" w:left="0" w:right="0"/>
            </w:pPr>
            <w:r>
              <w:t>KNIGHT MATCH ATS</w:t>
            </w:r>
          </w:p>
        </w:tc>
        <w:tc>
          <w:tcPr>
            <w:cnfStyle w:evenVBand="true" w:oddVBand="false" w:firstColumn="false"/>
            <w:tcW w:w="25.000000%" w:type="pct"/>
          </w:tcPr>
          <w:p>
            <w:pPr>
              <w:ind w:leftChars="0" w:left="0" w:right="0"/>
            </w:pPr>
            <w:r>
              <w:t>1071</w:t>
            </w:r>
          </w:p>
        </w:tc>
      </w:tr>
      <w:tr>
        <w:trPr>
          <w:cnfStyle w:evenHBand="false" w:oddHBand="true" w:firstRow="false"/>
        </w:trPr>
        <w:tc>
          <w:tcPr>
            <w:cnfStyle w:evenVBand="false" w:oddVBand="true" w:firstColumn="false"/>
            <w:tcW w:w="25.000000%" w:type="pct"/>
          </w:tcPr>
          <w:p>
            <w:pPr>
              <w:ind w:leftChars="0" w:left="0" w:right="0"/>
            </w:pPr>
            <w:r>
              <w:t>KOCN</w:t>
            </w:r>
          </w:p>
        </w:tc>
        <w:tc>
          <w:tcPr>
            <w:cnfStyle w:evenVBand="true" w:oddVBand="false" w:firstColumn="false"/>
            <w:tcW w:w="25.000000%" w:type="pct"/>
          </w:tcPr>
          <w:p>
            <w:pPr>
              <w:ind w:leftChars="0" w:left="0" w:right="0"/>
            </w:pPr>
            <w:r>
              <w:t>KOCN</w:t>
            </w:r>
          </w:p>
        </w:tc>
        <w:tc>
          <w:tcPr>
            <w:cnfStyle w:evenVBand="false" w:oddVBand="true" w:firstColumn="false"/>
            <w:tcW w:w="25.000000%" w:type="pct"/>
          </w:tcPr>
          <w:p>
            <w:pPr>
              <w:ind w:leftChars="0" w:left="0" w:right="0"/>
            </w:pPr>
            <w:r>
              <w:t>KOREA ECN SECURITIES CO. LTD (ATS)</w:t>
            </w:r>
          </w:p>
        </w:tc>
        <w:tc>
          <w:tcPr>
            <w:cnfStyle w:evenVBand="true" w:oddVBand="false" w:firstColumn="false"/>
            <w:tcW w:w="25.000000%" w:type="pct"/>
          </w:tcPr>
          <w:p>
            <w:pPr>
              <w:ind w:leftChars="0" w:left="0" w:right="0"/>
            </w:pPr>
            <w:r>
              <w:t>1072</w:t>
            </w:r>
          </w:p>
        </w:tc>
      </w:tr>
      <w:tr>
        <w:trPr>
          <w:cnfStyle w:evenHBand="true" w:oddHBand="false" w:firstRow="false"/>
        </w:trPr>
        <w:tc>
          <w:tcPr>
            <w:cnfStyle w:evenVBand="false" w:oddVBand="true" w:firstColumn="false"/>
            <w:tcW w:w="25.000000%" w:type="pct"/>
          </w:tcPr>
          <w:p>
            <w:pPr>
              <w:ind w:leftChars="0" w:left="0" w:right="0"/>
            </w:pPr>
            <w:r>
              <w:t>KOME</w:t>
            </w:r>
          </w:p>
        </w:tc>
        <w:tc>
          <w:tcPr>
            <w:cnfStyle w:evenVBand="true" w:oddVBand="false" w:firstColumn="false"/>
            <w:tcW w:w="25.000000%" w:type="pct"/>
          </w:tcPr>
          <w:p>
            <w:pPr>
              <w:ind w:leftChars="0" w:left="0" w:right="0"/>
            </w:pPr>
            <w:r>
              <w:t>KOME</w:t>
            </w:r>
          </w:p>
        </w:tc>
        <w:tc>
          <w:tcPr>
            <w:cnfStyle w:evenVBand="false" w:oddVBand="true" w:firstColumn="false"/>
            <w:tcW w:w="25.000000%" w:type="pct"/>
          </w:tcPr>
          <w:p>
            <w:pPr>
              <w:ind w:leftChars="0" w:left="0" w:right="0"/>
            </w:pPr>
            <w:r>
              <w:t>KOMERCNI BANKA, A.S.</w:t>
            </w:r>
          </w:p>
        </w:tc>
        <w:tc>
          <w:tcPr>
            <w:cnfStyle w:evenVBand="true" w:oddVBand="false" w:firstColumn="false"/>
            <w:tcW w:w="25.000000%" w:type="pct"/>
          </w:tcPr>
          <w:p>
            <w:pPr>
              <w:ind w:leftChars="0" w:left="0" w:right="0"/>
            </w:pPr>
            <w:r>
              <w:t>1073</w:t>
            </w:r>
          </w:p>
        </w:tc>
      </w:tr>
      <w:tr>
        <w:trPr>
          <w:cnfStyle w:evenHBand="false" w:oddHBand="true" w:firstRow="false"/>
        </w:trPr>
        <w:tc>
          <w:tcPr>
            <w:cnfStyle w:evenVBand="false" w:oddVBand="true" w:firstColumn="false"/>
            <w:tcW w:w="25.000000%" w:type="pct"/>
          </w:tcPr>
          <w:p>
            <w:pPr>
              <w:ind w:leftChars="0" w:left="0" w:right="0"/>
            </w:pPr>
            <w:r>
              <w:t>KOTF</w:t>
            </w:r>
          </w:p>
        </w:tc>
        <w:tc>
          <w:tcPr>
            <w:cnfStyle w:evenVBand="true" w:oddVBand="false" w:firstColumn="false"/>
            <w:tcW w:w="25.000000%" w:type="pct"/>
          </w:tcPr>
          <w:p>
            <w:pPr>
              <w:ind w:leftChars="0" w:left="0" w:right="0"/>
            </w:pPr>
            <w:r>
              <w:t>KOTF</w:t>
            </w:r>
          </w:p>
        </w:tc>
        <w:tc>
          <w:tcPr>
            <w:cnfStyle w:evenVBand="false" w:oddVBand="true" w:firstColumn="false"/>
            <w:tcW w:w="25.000000%" w:type="pct"/>
          </w:tcPr>
          <w:p>
            <w:pPr>
              <w:ind w:leftChars="0" w:left="0" w:right="0"/>
            </w:pPr>
            <w:r>
              <w:t>OTFLINK</w:t>
            </w:r>
          </w:p>
        </w:tc>
        <w:tc>
          <w:tcPr>
            <w:cnfStyle w:evenVBand="true" w:oddVBand="false" w:firstColumn="false"/>
            <w:tcW w:w="25.000000%" w:type="pct"/>
          </w:tcPr>
          <w:p>
            <w:pPr>
              <w:ind w:leftChars="0" w:left="0" w:right="0"/>
            </w:pPr>
            <w:r>
              <w:t>1074</w:t>
            </w:r>
          </w:p>
        </w:tc>
      </w:tr>
      <w:tr>
        <w:trPr>
          <w:cnfStyle w:evenHBand="true" w:oddHBand="false" w:firstRow="false"/>
        </w:trPr>
        <w:tc>
          <w:tcPr>
            <w:cnfStyle w:evenVBand="false" w:oddVBand="true" w:firstColumn="false"/>
            <w:tcW w:w="25.000000%" w:type="pct"/>
          </w:tcPr>
          <w:p>
            <w:pPr>
              <w:ind w:leftChars="0" w:left="0" w:right="0"/>
            </w:pPr>
            <w:r>
              <w:t>KRME</w:t>
            </w:r>
          </w:p>
        </w:tc>
        <w:tc>
          <w:tcPr>
            <w:cnfStyle w:evenVBand="true" w:oddVBand="false" w:firstColumn="false"/>
            <w:tcW w:w="25.000000%" w:type="pct"/>
          </w:tcPr>
          <w:p>
            <w:pPr>
              <w:ind w:leftChars="0" w:left="0" w:right="0"/>
            </w:pPr>
            <w:r>
              <w:t>KRME</w:t>
            </w:r>
          </w:p>
        </w:tc>
        <w:tc>
          <w:tcPr>
            <w:cnfStyle w:evenVBand="false" w:oddVBand="true" w:firstColumn="false"/>
            <w:tcW w:w="25.000000%" w:type="pct"/>
          </w:tcPr>
          <w:p>
            <w:pPr>
              <w:ind w:leftChars="0" w:left="0" w:right="0"/>
            </w:pPr>
            <w:r>
              <w:t>PAYWARD MENA HOLDINGS LTD.</w:t>
            </w:r>
          </w:p>
        </w:tc>
        <w:tc>
          <w:tcPr>
            <w:cnfStyle w:evenVBand="true" w:oddVBand="false" w:firstColumn="false"/>
            <w:tcW w:w="25.000000%" w:type="pct"/>
          </w:tcPr>
          <w:p>
            <w:pPr>
              <w:ind w:leftChars="0" w:left="0" w:right="0"/>
            </w:pPr>
            <w:r>
              <w:t>1075</w:t>
            </w:r>
          </w:p>
        </w:tc>
      </w:tr>
      <w:tr>
        <w:trPr>
          <w:cnfStyle w:evenHBand="false" w:oddHBand="true" w:firstRow="false"/>
        </w:trPr>
        <w:tc>
          <w:tcPr>
            <w:cnfStyle w:evenVBand="false" w:oddVBand="true" w:firstColumn="false"/>
            <w:tcW w:w="25.000000%" w:type="pct"/>
          </w:tcPr>
          <w:p>
            <w:pPr>
              <w:ind w:leftChars="0" w:left="0" w:right="0"/>
            </w:pPr>
            <w:r>
              <w:t>LAFD</w:t>
            </w:r>
          </w:p>
        </w:tc>
        <w:tc>
          <w:tcPr>
            <w:cnfStyle w:evenVBand="true" w:oddVBand="false" w:firstColumn="false"/>
            <w:tcW w:w="25.000000%" w:type="pct"/>
          </w:tcPr>
          <w:p>
            <w:pPr>
              <w:ind w:leftChars="0" w:left="0" w:right="0"/>
            </w:pPr>
            <w:r>
              <w:t>LAFD</w:t>
            </w:r>
          </w:p>
        </w:tc>
        <w:tc>
          <w:tcPr>
            <w:cnfStyle w:evenVBand="false" w:oddVBand="true" w:firstColumn="false"/>
            <w:tcW w:w="25.000000%" w:type="pct"/>
          </w:tcPr>
          <w:p>
            <w:pPr>
              <w:ind w:leftChars="0" w:left="0" w:right="0"/>
            </w:pPr>
            <w:r>
              <w:t>FLOW DARK</w:t>
            </w:r>
          </w:p>
        </w:tc>
        <w:tc>
          <w:tcPr>
            <w:cnfStyle w:evenVBand="true" w:oddVBand="false" w:firstColumn="false"/>
            <w:tcW w:w="25.000000%" w:type="pct"/>
          </w:tcPr>
          <w:p>
            <w:pPr>
              <w:ind w:leftChars="0" w:left="0" w:right="0"/>
            </w:pPr>
            <w:r>
              <w:t>1076</w:t>
            </w:r>
          </w:p>
        </w:tc>
      </w:tr>
      <w:tr>
        <w:trPr>
          <w:cnfStyle w:evenHBand="true" w:oddHBand="false" w:firstRow="false"/>
        </w:trPr>
        <w:tc>
          <w:tcPr>
            <w:cnfStyle w:evenVBand="false" w:oddVBand="true" w:firstColumn="false"/>
            <w:tcW w:w="25.000000%" w:type="pct"/>
          </w:tcPr>
          <w:p>
            <w:pPr>
              <w:ind w:leftChars="0" w:left="0" w:right="0"/>
            </w:pPr>
            <w:r>
              <w:t>LAFL</w:t>
            </w:r>
          </w:p>
        </w:tc>
        <w:tc>
          <w:tcPr>
            <w:cnfStyle w:evenVBand="true" w:oddVBand="false" w:firstColumn="false"/>
            <w:tcW w:w="25.000000%" w:type="pct"/>
          </w:tcPr>
          <w:p>
            <w:pPr>
              <w:ind w:leftChars="0" w:left="0" w:right="0"/>
            </w:pPr>
            <w:r>
              <w:t>LAFL</w:t>
            </w:r>
          </w:p>
        </w:tc>
        <w:tc>
          <w:tcPr>
            <w:cnfStyle w:evenVBand="false" w:oddVBand="true" w:firstColumn="false"/>
            <w:tcW w:w="25.000000%" w:type="pct"/>
          </w:tcPr>
          <w:p>
            <w:pPr>
              <w:ind w:leftChars="0" w:left="0" w:right="0"/>
            </w:pPr>
            <w:r>
              <w:t>LAVAFLOW ECN</w:t>
            </w:r>
          </w:p>
        </w:tc>
        <w:tc>
          <w:tcPr>
            <w:cnfStyle w:evenVBand="true" w:oddVBand="false" w:firstColumn="false"/>
            <w:tcW w:w="25.000000%" w:type="pct"/>
          </w:tcPr>
          <w:p>
            <w:pPr>
              <w:ind w:leftChars="0" w:left="0" w:right="0"/>
            </w:pPr>
            <w:r>
              <w:t>1077</w:t>
            </w:r>
          </w:p>
        </w:tc>
      </w:tr>
      <w:tr>
        <w:trPr>
          <w:cnfStyle w:evenHBand="false" w:oddHBand="true" w:firstRow="false"/>
        </w:trPr>
        <w:tc>
          <w:tcPr>
            <w:cnfStyle w:evenVBand="false" w:oddVBand="true" w:firstColumn="false"/>
            <w:tcW w:w="25.000000%" w:type="pct"/>
          </w:tcPr>
          <w:p>
            <w:pPr>
              <w:ind w:leftChars="0" w:left="0" w:right="0"/>
            </w:pPr>
            <w:r>
              <w:t>LAFX</w:t>
            </w:r>
          </w:p>
        </w:tc>
        <w:tc>
          <w:tcPr>
            <w:cnfStyle w:evenVBand="true" w:oddVBand="false" w:firstColumn="false"/>
            <w:tcW w:w="25.000000%" w:type="pct"/>
          </w:tcPr>
          <w:p>
            <w:pPr>
              <w:ind w:leftChars="0" w:left="0" w:right="0"/>
            </w:pPr>
            <w:r>
              <w:t>LAFX</w:t>
            </w:r>
          </w:p>
        </w:tc>
        <w:tc>
          <w:tcPr>
            <w:cnfStyle w:evenVBand="false" w:oddVBand="true" w:firstColumn="false"/>
            <w:tcW w:w="25.000000%" w:type="pct"/>
          </w:tcPr>
          <w:p>
            <w:pPr>
              <w:ind w:leftChars="0" w:left="0" w:right="0"/>
            </w:pPr>
            <w:r>
              <w:t>LAVAFX</w:t>
            </w:r>
          </w:p>
        </w:tc>
        <w:tc>
          <w:tcPr>
            <w:cnfStyle w:evenVBand="true" w:oddVBand="false" w:firstColumn="false"/>
            <w:tcW w:w="25.000000%" w:type="pct"/>
          </w:tcPr>
          <w:p>
            <w:pPr>
              <w:ind w:leftChars="0" w:left="0" w:right="0"/>
            </w:pPr>
            <w:r>
              <w:t>1078</w:t>
            </w:r>
          </w:p>
        </w:tc>
      </w:tr>
      <w:tr>
        <w:trPr>
          <w:cnfStyle w:evenHBand="true" w:oddHBand="false" w:firstRow="false"/>
        </w:trPr>
        <w:tc>
          <w:tcPr>
            <w:cnfStyle w:evenVBand="false" w:oddVBand="true" w:firstColumn="false"/>
            <w:tcW w:w="25.000000%" w:type="pct"/>
          </w:tcPr>
          <w:p>
            <w:pPr>
              <w:ind w:leftChars="0" w:left="0" w:right="0"/>
            </w:pPr>
            <w:r>
              <w:t>LAMP</w:t>
            </w:r>
          </w:p>
        </w:tc>
        <w:tc>
          <w:tcPr>
            <w:cnfStyle w:evenVBand="true" w:oddVBand="false" w:firstColumn="false"/>
            <w:tcW w:w="25.000000%" w:type="pct"/>
          </w:tcPr>
          <w:p>
            <w:pPr>
              <w:ind w:leftChars="0" w:left="0" w:right="0"/>
            </w:pPr>
            <w:r>
              <w:t>LAMP</w:t>
            </w:r>
          </w:p>
        </w:tc>
        <w:tc>
          <w:tcPr>
            <w:cnfStyle w:evenVBand="false" w:oddVBand="true" w:firstColumn="false"/>
            <w:tcW w:w="25.000000%" w:type="pct"/>
          </w:tcPr>
          <w:p>
            <w:pPr>
              <w:ind w:leftChars="0" w:left="0" w:right="0"/>
            </w:pPr>
            <w:r>
              <w:t>LAMPOST CAPITAL</w:t>
            </w:r>
          </w:p>
        </w:tc>
        <w:tc>
          <w:tcPr>
            <w:cnfStyle w:evenVBand="true" w:oddVBand="false" w:firstColumn="false"/>
            <w:tcW w:w="25.000000%" w:type="pct"/>
          </w:tcPr>
          <w:p>
            <w:pPr>
              <w:ind w:leftChars="0" w:left="0" w:right="0"/>
            </w:pPr>
            <w:r>
              <w:t>1079</w:t>
            </w:r>
          </w:p>
        </w:tc>
      </w:tr>
      <w:tr>
        <w:trPr>
          <w:cnfStyle w:evenHBand="false" w:oddHBand="true" w:firstRow="false"/>
        </w:trPr>
        <w:tc>
          <w:tcPr>
            <w:cnfStyle w:evenVBand="false" w:oddVBand="true" w:firstColumn="false"/>
            <w:tcW w:w="25.000000%" w:type="pct"/>
          </w:tcPr>
          <w:p>
            <w:pPr>
              <w:ind w:leftChars="0" w:left="0" w:right="0"/>
            </w:pPr>
            <w:r>
              <w:t>LASF</w:t>
            </w:r>
          </w:p>
        </w:tc>
        <w:tc>
          <w:tcPr>
            <w:cnfStyle w:evenVBand="true" w:oddVBand="false" w:firstColumn="false"/>
            <w:tcW w:w="25.000000%" w:type="pct"/>
          </w:tcPr>
          <w:p>
            <w:pPr>
              <w:ind w:leftChars="0" w:left="0" w:right="0"/>
            </w:pPr>
            <w:r>
              <w:t>LASF</w:t>
            </w:r>
          </w:p>
        </w:tc>
        <w:tc>
          <w:tcPr>
            <w:cnfStyle w:evenVBand="false" w:oddVBand="true" w:firstColumn="false"/>
            <w:tcW w:w="25.000000%" w:type="pct"/>
          </w:tcPr>
          <w:p>
            <w:pPr>
              <w:ind w:leftChars="0" w:left="0" w:right="0"/>
            </w:pPr>
            <w:r>
              <w:t>LATAM SEF</w:t>
            </w:r>
          </w:p>
        </w:tc>
        <w:tc>
          <w:tcPr>
            <w:cnfStyle w:evenVBand="true" w:oddVBand="false" w:firstColumn="false"/>
            <w:tcW w:w="25.000000%" w:type="pct"/>
          </w:tcPr>
          <w:p>
            <w:pPr>
              <w:ind w:leftChars="0" w:left="0" w:right="0"/>
            </w:pPr>
            <w:r>
              <w:t>1080</w:t>
            </w:r>
          </w:p>
        </w:tc>
      </w:tr>
      <w:tr>
        <w:trPr>
          <w:cnfStyle w:evenHBand="true" w:oddHBand="false" w:firstRow="false"/>
        </w:trPr>
        <w:tc>
          <w:tcPr>
            <w:cnfStyle w:evenVBand="false" w:oddVBand="true" w:firstColumn="false"/>
            <w:tcW w:w="25.000000%" w:type="pct"/>
          </w:tcPr>
          <w:p>
            <w:pPr>
              <w:ind w:leftChars="0" w:left="0" w:right="0"/>
            </w:pPr>
            <w:r>
              <w:t>LASP</w:t>
            </w:r>
          </w:p>
        </w:tc>
        <w:tc>
          <w:tcPr>
            <w:cnfStyle w:evenVBand="true" w:oddVBand="false" w:firstColumn="false"/>
            <w:tcW w:w="25.000000%" w:type="pct"/>
          </w:tcPr>
          <w:p>
            <w:pPr>
              <w:ind w:leftChars="0" w:left="0" w:right="0"/>
            </w:pPr>
            <w:r>
              <w:t>LASP</w:t>
            </w:r>
          </w:p>
        </w:tc>
        <w:tc>
          <w:tcPr>
            <w:cnfStyle w:evenVBand="false" w:oddVBand="true" w:firstColumn="false"/>
            <w:tcW w:w="25.000000%" w:type="pct"/>
          </w:tcPr>
          <w:p>
            <w:pPr>
              <w:ind w:leftChars="0" w:left="0" w:right="0"/>
            </w:pPr>
            <w:r>
              <w:t>LAN AND SPAR BANK A/S</w:t>
            </w:r>
          </w:p>
        </w:tc>
        <w:tc>
          <w:tcPr>
            <w:cnfStyle w:evenVBand="true" w:oddVBand="false" w:firstColumn="false"/>
            <w:tcW w:w="25.000000%" w:type="pct"/>
          </w:tcPr>
          <w:p>
            <w:pPr>
              <w:ind w:leftChars="0" w:left="0" w:right="0"/>
            </w:pPr>
            <w:r>
              <w:t>1081</w:t>
            </w:r>
          </w:p>
        </w:tc>
      </w:tr>
      <w:tr>
        <w:trPr>
          <w:cnfStyle w:evenHBand="false" w:oddHBand="true" w:firstRow="false"/>
        </w:trPr>
        <w:tc>
          <w:tcPr>
            <w:cnfStyle w:evenVBand="false" w:oddVBand="true" w:firstColumn="false"/>
            <w:tcW w:w="25.000000%" w:type="pct"/>
          </w:tcPr>
          <w:p>
            <w:pPr>
              <w:ind w:leftChars="0" w:left="0" w:right="0"/>
            </w:pPr>
            <w:r>
              <w:t>LATG</w:t>
            </w:r>
          </w:p>
        </w:tc>
        <w:tc>
          <w:tcPr>
            <w:cnfStyle w:evenVBand="true" w:oddVBand="false" w:firstColumn="false"/>
            <w:tcW w:w="25.000000%" w:type="pct"/>
          </w:tcPr>
          <w:p>
            <w:pPr>
              <w:ind w:leftChars="0" w:left="0" w:right="0"/>
            </w:pPr>
            <w:r>
              <w:t>LATG</w:t>
            </w:r>
          </w:p>
        </w:tc>
        <w:tc>
          <w:tcPr>
            <w:cnfStyle w:evenVBand="false" w:oddVBand="true" w:firstColumn="false"/>
            <w:tcW w:w="25.000000%" w:type="pct"/>
          </w:tcPr>
          <w:p>
            <w:pPr>
              <w:ind w:leftChars="0" w:left="0" w:right="0"/>
            </w:pPr>
            <w:r>
              <w:t>GFI SECURITIES LLC - CREDITMATCH (LATG)</w:t>
            </w:r>
          </w:p>
        </w:tc>
        <w:tc>
          <w:tcPr>
            <w:cnfStyle w:evenVBand="true" w:oddVBand="false" w:firstColumn="false"/>
            <w:tcW w:w="25.000000%" w:type="pct"/>
          </w:tcPr>
          <w:p>
            <w:pPr>
              <w:ind w:leftChars="0" w:left="0" w:right="0"/>
            </w:pPr>
            <w:r>
              <w:t>1082</w:t>
            </w:r>
          </w:p>
        </w:tc>
      </w:tr>
      <w:tr>
        <w:trPr>
          <w:cnfStyle w:evenHBand="true" w:oddHBand="false" w:firstRow="false"/>
        </w:trPr>
        <w:tc>
          <w:tcPr>
            <w:cnfStyle w:evenVBand="false" w:oddVBand="true" w:firstColumn="false"/>
            <w:tcW w:w="25.000000%" w:type="pct"/>
          </w:tcPr>
          <w:p>
            <w:pPr>
              <w:ind w:leftChars="0" w:left="0" w:right="0"/>
            </w:pPr>
            <w:r>
              <w:t>LAVA</w:t>
            </w:r>
          </w:p>
        </w:tc>
        <w:tc>
          <w:tcPr>
            <w:cnfStyle w:evenVBand="true" w:oddVBand="false" w:firstColumn="false"/>
            <w:tcW w:w="25.000000%" w:type="pct"/>
          </w:tcPr>
          <w:p>
            <w:pPr>
              <w:ind w:leftChars="0" w:left="0" w:right="0"/>
            </w:pPr>
            <w:r>
              <w:t>LAVA</w:t>
            </w:r>
          </w:p>
        </w:tc>
        <w:tc>
          <w:tcPr>
            <w:cnfStyle w:evenVBand="false" w:oddVBand="true" w:firstColumn="false"/>
            <w:tcW w:w="25.000000%" w:type="pct"/>
          </w:tcPr>
          <w:p>
            <w:pPr>
              <w:ind w:leftChars="0" w:left="0" w:right="0"/>
            </w:pPr>
            <w:r>
              <w:t>LAVA TRADING (CITI)</w:t>
            </w:r>
          </w:p>
        </w:tc>
        <w:tc>
          <w:tcPr>
            <w:cnfStyle w:evenVBand="true" w:oddVBand="false" w:firstColumn="false"/>
            <w:tcW w:w="25.000000%" w:type="pct"/>
          </w:tcPr>
          <w:p>
            <w:pPr>
              <w:ind w:leftChars="0" w:left="0" w:right="0"/>
            </w:pPr>
            <w:r>
              <w:t>1083</w:t>
            </w:r>
          </w:p>
        </w:tc>
      </w:tr>
      <w:tr>
        <w:trPr>
          <w:cnfStyle w:evenHBand="false" w:oddHBand="true" w:firstRow="false"/>
        </w:trPr>
        <w:tc>
          <w:tcPr>
            <w:cnfStyle w:evenVBand="false" w:oddVBand="true" w:firstColumn="false"/>
            <w:tcW w:w="25.000000%" w:type="pct"/>
          </w:tcPr>
          <w:p>
            <w:pPr>
              <w:ind w:leftChars="0" w:left="0" w:right="0"/>
            </w:pPr>
            <w:r>
              <w:t>LBBW</w:t>
            </w:r>
          </w:p>
        </w:tc>
        <w:tc>
          <w:tcPr>
            <w:cnfStyle w:evenVBand="true" w:oddVBand="false" w:firstColumn="false"/>
            <w:tcW w:w="25.000000%" w:type="pct"/>
          </w:tcPr>
          <w:p>
            <w:pPr>
              <w:ind w:leftChars="0" w:left="0" w:right="0"/>
            </w:pPr>
            <w:r>
              <w:t>LBBW</w:t>
            </w:r>
          </w:p>
        </w:tc>
        <w:tc>
          <w:tcPr>
            <w:cnfStyle w:evenVBand="false" w:oddVBand="true" w:firstColumn="false"/>
            <w:tcW w:w="25.000000%" w:type="pct"/>
          </w:tcPr>
          <w:p>
            <w:pPr>
              <w:ind w:leftChars="0" w:left="0" w:right="0"/>
            </w:pPr>
            <w:r>
              <w:t>LBBW - LANDESBANK BADEN-WUERTTEMBERG</w:t>
            </w:r>
          </w:p>
        </w:tc>
        <w:tc>
          <w:tcPr>
            <w:cnfStyle w:evenVBand="true" w:oddVBand="false" w:firstColumn="false"/>
            <w:tcW w:w="25.000000%" w:type="pct"/>
          </w:tcPr>
          <w:p>
            <w:pPr>
              <w:ind w:leftChars="0" w:left="0" w:right="0"/>
            </w:pPr>
            <w:r>
              <w:t>1084</w:t>
            </w:r>
          </w:p>
        </w:tc>
      </w:tr>
      <w:tr>
        <w:trPr>
          <w:cnfStyle w:evenHBand="true" w:oddHBand="false" w:firstRow="false"/>
        </w:trPr>
        <w:tc>
          <w:tcPr>
            <w:cnfStyle w:evenVBand="false" w:oddVBand="true" w:firstColumn="false"/>
            <w:tcW w:w="25.000000%" w:type="pct"/>
          </w:tcPr>
          <w:p>
            <w:pPr>
              <w:ind w:leftChars="0" w:left="0" w:right="0"/>
            </w:pPr>
            <w:r>
              <w:t>LBCM</w:t>
            </w:r>
          </w:p>
        </w:tc>
        <w:tc>
          <w:tcPr>
            <w:cnfStyle w:evenVBand="true" w:oddVBand="false" w:firstColumn="false"/>
            <w:tcW w:w="25.000000%" w:type="pct"/>
          </w:tcPr>
          <w:p>
            <w:pPr>
              <w:ind w:leftChars="0" w:left="0" w:right="0"/>
            </w:pPr>
            <w:r>
              <w:t>LBCM</w:t>
            </w:r>
          </w:p>
        </w:tc>
        <w:tc>
          <w:tcPr>
            <w:cnfStyle w:evenVBand="false" w:oddVBand="true" w:firstColumn="false"/>
            <w:tcW w:w="25.000000%" w:type="pct"/>
          </w:tcPr>
          <w:p>
            <w:pPr>
              <w:ind w:leftChars="0" w:left="0" w:right="0"/>
            </w:pPr>
            <w:r>
              <w:t>LLOYDS BANK CORPORATE MARKETS - SYSTEMATIC INTERNALISER</w:t>
            </w:r>
          </w:p>
        </w:tc>
        <w:tc>
          <w:tcPr>
            <w:cnfStyle w:evenVBand="true" w:oddVBand="false" w:firstColumn="false"/>
            <w:tcW w:w="25.000000%" w:type="pct"/>
          </w:tcPr>
          <w:p>
            <w:pPr>
              <w:ind w:leftChars="0" w:left="0" w:right="0"/>
            </w:pPr>
            <w:r>
              <w:t>1085</w:t>
            </w:r>
          </w:p>
        </w:tc>
      </w:tr>
      <w:tr>
        <w:trPr>
          <w:cnfStyle w:evenHBand="false" w:oddHBand="true" w:firstRow="false"/>
        </w:trPr>
        <w:tc>
          <w:tcPr>
            <w:cnfStyle w:evenVBand="false" w:oddVBand="true" w:firstColumn="false"/>
            <w:tcW w:w="25.000000%" w:type="pct"/>
          </w:tcPr>
          <w:p>
            <w:pPr>
              <w:ind w:leftChars="0" w:left="0" w:right="0"/>
            </w:pPr>
            <w:r>
              <w:t>LBCW</w:t>
            </w:r>
          </w:p>
        </w:tc>
        <w:tc>
          <w:tcPr>
            <w:cnfStyle w:evenVBand="true" w:oddVBand="false" w:firstColumn="false"/>
            <w:tcW w:w="25.000000%" w:type="pct"/>
          </w:tcPr>
          <w:p>
            <w:pPr>
              <w:ind w:leftChars="0" w:left="0" w:right="0"/>
            </w:pPr>
            <w:r>
              <w:t>LBCW</w:t>
            </w:r>
          </w:p>
        </w:tc>
        <w:tc>
          <w:tcPr>
            <w:cnfStyle w:evenVBand="false" w:oddVBand="true" w:firstColumn="false"/>
            <w:tcW w:w="25.000000%" w:type="pct"/>
          </w:tcPr>
          <w:p>
            <w:pPr>
              <w:ind w:leftChars="0" w:left="0" w:right="0"/>
            </w:pPr>
            <w:r>
              <w:t>LLOYDS BANK CORPORATE MARKETS WERTPAPIERHANDELSBANK GMBH - SYSTEMATIC INTERNALISER</w:t>
            </w:r>
          </w:p>
        </w:tc>
        <w:tc>
          <w:tcPr>
            <w:cnfStyle w:evenVBand="true" w:oddVBand="false" w:firstColumn="false"/>
            <w:tcW w:w="25.000000%" w:type="pct"/>
          </w:tcPr>
          <w:p>
            <w:pPr>
              <w:ind w:leftChars="0" w:left="0" w:right="0"/>
            </w:pPr>
            <w:r>
              <w:t>1086</w:t>
            </w:r>
          </w:p>
        </w:tc>
      </w:tr>
      <w:tr>
        <w:trPr>
          <w:cnfStyle w:evenHBand="true" w:oddHBand="false" w:firstRow="false"/>
        </w:trPr>
        <w:tc>
          <w:tcPr>
            <w:cnfStyle w:evenVBand="false" w:oddVBand="true" w:firstColumn="false"/>
            <w:tcW w:w="25.000000%" w:type="pct"/>
          </w:tcPr>
          <w:p>
            <w:pPr>
              <w:ind w:leftChars="0" w:left="0" w:right="0"/>
            </w:pPr>
            <w:r>
              <w:t>LBWL</w:t>
            </w:r>
          </w:p>
        </w:tc>
        <w:tc>
          <w:tcPr>
            <w:cnfStyle w:evenVBand="true" w:oddVBand="false" w:firstColumn="false"/>
            <w:tcW w:w="25.000000%" w:type="pct"/>
          </w:tcPr>
          <w:p>
            <w:pPr>
              <w:ind w:leftChars="0" w:left="0" w:right="0"/>
            </w:pPr>
            <w:r>
              <w:t>LBWL</w:t>
            </w:r>
          </w:p>
        </w:tc>
        <w:tc>
          <w:tcPr>
            <w:cnfStyle w:evenVBand="false" w:oddVBand="true" w:firstColumn="false"/>
            <w:tcW w:w="25.000000%" w:type="pct"/>
          </w:tcPr>
          <w:p>
            <w:pPr>
              <w:ind w:leftChars="0" w:left="0" w:right="0"/>
            </w:pPr>
            <w:r>
              <w:t>LBBW - LANDESBANK BADEN-WUERTTEMBERG - LIQUIDITY PROVIDER</w:t>
            </w:r>
          </w:p>
        </w:tc>
        <w:tc>
          <w:tcPr>
            <w:cnfStyle w:evenVBand="true" w:oddVBand="false" w:firstColumn="false"/>
            <w:tcW w:w="25.000000%" w:type="pct"/>
          </w:tcPr>
          <w:p>
            <w:pPr>
              <w:ind w:leftChars="0" w:left="0" w:right="0"/>
            </w:pPr>
            <w:r>
              <w:t>1087</w:t>
            </w:r>
          </w:p>
        </w:tc>
      </w:tr>
      <w:tr>
        <w:trPr>
          <w:cnfStyle w:evenHBand="false" w:oddHBand="true" w:firstRow="false"/>
        </w:trPr>
        <w:tc>
          <w:tcPr>
            <w:cnfStyle w:evenVBand="false" w:oddVBand="true" w:firstColumn="false"/>
            <w:tcW w:w="25.000000%" w:type="pct"/>
          </w:tcPr>
          <w:p>
            <w:pPr>
              <w:ind w:leftChars="0" w:left="0" w:right="0"/>
            </w:pPr>
            <w:r>
              <w:t>LBWS</w:t>
            </w:r>
          </w:p>
        </w:tc>
        <w:tc>
          <w:tcPr>
            <w:cnfStyle w:evenVBand="true" w:oddVBand="false" w:firstColumn="false"/>
            <w:tcW w:w="25.000000%" w:type="pct"/>
          </w:tcPr>
          <w:p>
            <w:pPr>
              <w:ind w:leftChars="0" w:left="0" w:right="0"/>
            </w:pPr>
            <w:r>
              <w:t>LBWS</w:t>
            </w:r>
          </w:p>
        </w:tc>
        <w:tc>
          <w:tcPr>
            <w:cnfStyle w:evenVBand="false" w:oddVBand="true" w:firstColumn="false"/>
            <w:tcW w:w="25.000000%" w:type="pct"/>
          </w:tcPr>
          <w:p>
            <w:pPr>
              <w:ind w:leftChars="0" w:left="0" w:right="0"/>
            </w:pPr>
            <w:r>
              <w:t>LBBW - LANDESBANK BADEN-WUERTTEMBERG - SYSTEMATIC INTERNALISER</w:t>
            </w:r>
          </w:p>
        </w:tc>
        <w:tc>
          <w:tcPr>
            <w:cnfStyle w:evenVBand="true" w:oddVBand="false" w:firstColumn="false"/>
            <w:tcW w:w="25.000000%" w:type="pct"/>
          </w:tcPr>
          <w:p>
            <w:pPr>
              <w:ind w:leftChars="0" w:left="0" w:right="0"/>
            </w:pPr>
            <w:r>
              <w:t>1088</w:t>
            </w:r>
          </w:p>
        </w:tc>
      </w:tr>
      <w:tr>
        <w:trPr>
          <w:cnfStyle w:evenHBand="true" w:oddHBand="false" w:firstRow="false"/>
        </w:trPr>
        <w:tc>
          <w:tcPr>
            <w:cnfStyle w:evenVBand="false" w:oddVBand="true" w:firstColumn="false"/>
            <w:tcW w:w="25.000000%" w:type="pct"/>
          </w:tcPr>
          <w:p>
            <w:pPr>
              <w:ind w:leftChars="0" w:left="0" w:right="0"/>
            </w:pPr>
            <w:r>
              <w:t>LCHC</w:t>
            </w:r>
          </w:p>
        </w:tc>
        <w:tc>
          <w:tcPr>
            <w:cnfStyle w:evenVBand="true" w:oddVBand="false" w:firstColumn="false"/>
            <w:tcW w:w="25.000000%" w:type="pct"/>
          </w:tcPr>
          <w:p>
            <w:pPr>
              <w:ind w:leftChars="0" w:left="0" w:right="0"/>
            </w:pPr>
            <w:r>
              <w:t>LCHC</w:t>
            </w:r>
          </w:p>
        </w:tc>
        <w:tc>
          <w:tcPr>
            <w:cnfStyle w:evenVBand="false" w:oddVBand="true" w:firstColumn="false"/>
            <w:tcW w:w="25.000000%" w:type="pct"/>
          </w:tcPr>
          <w:p>
            <w:pPr>
              <w:ind w:leftChars="0" w:left="0" w:right="0"/>
            </w:pPr>
            <w:r>
              <w:t>LCH.CLEARNET</w:t>
            </w:r>
          </w:p>
        </w:tc>
        <w:tc>
          <w:tcPr>
            <w:cnfStyle w:evenVBand="true" w:oddVBand="false" w:firstColumn="false"/>
            <w:tcW w:w="25.000000%" w:type="pct"/>
          </w:tcPr>
          <w:p>
            <w:pPr>
              <w:ind w:leftChars="0" w:left="0" w:right="0"/>
            </w:pPr>
            <w:r>
              <w:t>1089</w:t>
            </w:r>
          </w:p>
        </w:tc>
      </w:tr>
      <w:tr>
        <w:trPr>
          <w:cnfStyle w:evenHBand="false" w:oddHBand="true" w:firstRow="false"/>
        </w:trPr>
        <w:tc>
          <w:tcPr>
            <w:cnfStyle w:evenVBand="false" w:oddVBand="true" w:firstColumn="false"/>
            <w:tcW w:w="25.000000%" w:type="pct"/>
          </w:tcPr>
          <w:p>
            <w:pPr>
              <w:ind w:leftChars="0" w:left="0" w:right="0"/>
            </w:pPr>
            <w:r>
              <w:t>LCUR</w:t>
            </w:r>
          </w:p>
        </w:tc>
        <w:tc>
          <w:tcPr>
            <w:cnfStyle w:evenVBand="true" w:oddVBand="false" w:firstColumn="false"/>
            <w:tcW w:w="25.000000%" w:type="pct"/>
          </w:tcPr>
          <w:p>
            <w:pPr>
              <w:ind w:leftChars="0" w:left="0" w:right="0"/>
            </w:pPr>
            <w:r>
              <w:t>LCUR</w:t>
            </w:r>
          </w:p>
        </w:tc>
        <w:tc>
          <w:tcPr>
            <w:cnfStyle w:evenVBand="false" w:oddVBand="true" w:firstColumn="false"/>
            <w:tcW w:w="25.000000%" w:type="pct"/>
          </w:tcPr>
          <w:p>
            <w:pPr>
              <w:ind w:leftChars="0" w:left="0" w:right="0"/>
            </w:pPr>
            <w:r>
              <w:t>CURRENEX LDFX</w:t>
            </w:r>
          </w:p>
        </w:tc>
        <w:tc>
          <w:tcPr>
            <w:cnfStyle w:evenVBand="true" w:oddVBand="false" w:firstColumn="false"/>
            <w:tcW w:w="25.000000%" w:type="pct"/>
          </w:tcPr>
          <w:p>
            <w:pPr>
              <w:ind w:leftChars="0" w:left="0" w:right="0"/>
            </w:pPr>
            <w:r>
              <w:t>1090</w:t>
            </w:r>
          </w:p>
        </w:tc>
      </w:tr>
      <w:tr>
        <w:trPr>
          <w:cnfStyle w:evenHBand="true" w:oddHBand="false" w:firstRow="false"/>
        </w:trPr>
        <w:tc>
          <w:tcPr>
            <w:cnfStyle w:evenVBand="false" w:oddVBand="true" w:firstColumn="false"/>
            <w:tcW w:w="25.000000%" w:type="pct"/>
          </w:tcPr>
          <w:p>
            <w:pPr>
              <w:ind w:leftChars="0" w:left="0" w:right="0"/>
            </w:pPr>
            <w:r>
              <w:t>LEBV</w:t>
            </w:r>
          </w:p>
        </w:tc>
        <w:tc>
          <w:tcPr>
            <w:cnfStyle w:evenVBand="true" w:oddVBand="false" w:firstColumn="false"/>
            <w:tcW w:w="25.000000%" w:type="pct"/>
          </w:tcPr>
          <w:p>
            <w:pPr>
              <w:ind w:leftChars="0" w:left="0" w:right="0"/>
            </w:pPr>
            <w:r>
              <w:t>LEBV</w:t>
            </w:r>
          </w:p>
        </w:tc>
        <w:tc>
          <w:tcPr>
            <w:cnfStyle w:evenVBand="false" w:oddVBand="true" w:firstColumn="false"/>
            <w:tcW w:w="25.000000%" w:type="pct"/>
          </w:tcPr>
          <w:p>
            <w:pPr>
              <w:ind w:leftChars="0" w:left="0" w:right="0"/>
            </w:pPr>
            <w:r>
              <w:t>LEDGEREDGE B.V.</w:t>
            </w:r>
          </w:p>
        </w:tc>
        <w:tc>
          <w:tcPr>
            <w:cnfStyle w:evenVBand="true" w:oddVBand="false" w:firstColumn="false"/>
            <w:tcW w:w="25.000000%" w:type="pct"/>
          </w:tcPr>
          <w:p>
            <w:pPr>
              <w:ind w:leftChars="0" w:left="0" w:right="0"/>
            </w:pPr>
            <w:r>
              <w:t>1091</w:t>
            </w:r>
          </w:p>
        </w:tc>
      </w:tr>
      <w:tr>
        <w:trPr>
          <w:cnfStyle w:evenHBand="false" w:oddHBand="true" w:firstRow="false"/>
        </w:trPr>
        <w:tc>
          <w:tcPr>
            <w:cnfStyle w:evenVBand="false" w:oddVBand="true" w:firstColumn="false"/>
            <w:tcW w:w="25.000000%" w:type="pct"/>
          </w:tcPr>
          <w:p>
            <w:pPr>
              <w:ind w:leftChars="0" w:left="0" w:right="0"/>
            </w:pPr>
            <w:r>
              <w:t>LEDG</w:t>
            </w:r>
          </w:p>
        </w:tc>
        <w:tc>
          <w:tcPr>
            <w:cnfStyle w:evenVBand="true" w:oddVBand="false" w:firstColumn="false"/>
            <w:tcW w:w="25.000000%" w:type="pct"/>
          </w:tcPr>
          <w:p>
            <w:pPr>
              <w:ind w:leftChars="0" w:left="0" w:right="0"/>
            </w:pPr>
            <w:r>
              <w:t>LEDG</w:t>
            </w:r>
          </w:p>
        </w:tc>
        <w:tc>
          <w:tcPr>
            <w:cnfStyle w:evenVBand="false" w:oddVBand="true" w:firstColumn="false"/>
            <w:tcW w:w="25.000000%" w:type="pct"/>
          </w:tcPr>
          <w:p>
            <w:pPr>
              <w:ind w:leftChars="0" w:left="0" w:right="0"/>
            </w:pPr>
            <w:r>
              <w:t>LEDGERX</w:t>
            </w:r>
          </w:p>
        </w:tc>
        <w:tc>
          <w:tcPr>
            <w:cnfStyle w:evenVBand="true" w:oddVBand="false" w:firstColumn="false"/>
            <w:tcW w:w="25.000000%" w:type="pct"/>
          </w:tcPr>
          <w:p>
            <w:pPr>
              <w:ind w:leftChars="0" w:left="0" w:right="0"/>
            </w:pPr>
            <w:r>
              <w:t>1092</w:t>
            </w:r>
          </w:p>
        </w:tc>
      </w:tr>
      <w:tr>
        <w:trPr>
          <w:cnfStyle w:evenHBand="true" w:oddHBand="false" w:firstRow="false"/>
        </w:trPr>
        <w:tc>
          <w:tcPr>
            <w:cnfStyle w:evenVBand="false" w:oddVBand="true" w:firstColumn="false"/>
            <w:tcW w:w="25.000000%" w:type="pct"/>
          </w:tcPr>
          <w:p>
            <w:pPr>
              <w:ind w:leftChars="0" w:left="0" w:right="0"/>
            </w:pPr>
            <w:r>
              <w:t>LELE</w:t>
            </w:r>
          </w:p>
        </w:tc>
        <w:tc>
          <w:tcPr>
            <w:cnfStyle w:evenVBand="true" w:oddVBand="false" w:firstColumn="false"/>
            <w:tcW w:w="25.000000%" w:type="pct"/>
          </w:tcPr>
          <w:p>
            <w:pPr>
              <w:ind w:leftChars="0" w:left="0" w:right="0"/>
            </w:pPr>
            <w:r>
              <w:t>LELE</w:t>
            </w:r>
          </w:p>
        </w:tc>
        <w:tc>
          <w:tcPr>
            <w:cnfStyle w:evenVBand="false" w:oddVBand="true" w:firstColumn="false"/>
            <w:tcW w:w="25.000000%" w:type="pct"/>
          </w:tcPr>
          <w:p>
            <w:pPr>
              <w:ind w:leftChars="0" w:left="0" w:right="0"/>
            </w:pPr>
            <w:r>
              <w:t>LEDGEREDGE</w:t>
            </w:r>
          </w:p>
        </w:tc>
        <w:tc>
          <w:tcPr>
            <w:cnfStyle w:evenVBand="true" w:oddVBand="false" w:firstColumn="false"/>
            <w:tcW w:w="25.000000%" w:type="pct"/>
          </w:tcPr>
          <w:p>
            <w:pPr>
              <w:ind w:leftChars="0" w:left="0" w:right="0"/>
            </w:pPr>
            <w:r>
              <w:t>1093</w:t>
            </w:r>
          </w:p>
        </w:tc>
      </w:tr>
      <w:tr>
        <w:trPr>
          <w:cnfStyle w:evenHBand="false" w:oddHBand="true" w:firstRow="false"/>
        </w:trPr>
        <w:tc>
          <w:tcPr>
            <w:cnfStyle w:evenVBand="false" w:oddVBand="true" w:firstColumn="false"/>
            <w:tcW w:w="25.000000%" w:type="pct"/>
          </w:tcPr>
          <w:p>
            <w:pPr>
              <w:ind w:leftChars="0" w:left="0" w:right="0"/>
            </w:pPr>
            <w:r>
              <w:t>LESI</w:t>
            </w:r>
          </w:p>
        </w:tc>
        <w:tc>
          <w:tcPr>
            <w:cnfStyle w:evenVBand="true" w:oddVBand="false" w:firstColumn="false"/>
            <w:tcW w:w="25.000000%" w:type="pct"/>
          </w:tcPr>
          <w:p>
            <w:pPr>
              <w:ind w:leftChars="0" w:left="0" w:right="0"/>
            </w:pPr>
            <w:r>
              <w:t>LESI</w:t>
            </w:r>
          </w:p>
        </w:tc>
        <w:tc>
          <w:tcPr>
            <w:cnfStyle w:evenVBand="false" w:oddVBand="true" w:firstColumn="false"/>
            <w:tcW w:w="25.000000%" w:type="pct"/>
          </w:tcPr>
          <w:p>
            <w:pPr>
              <w:ind w:leftChars="0" w:left="0" w:right="0"/>
            </w:pPr>
            <w:r>
              <w:t>LEDGEREDGE SECURITIES INC.</w:t>
            </w:r>
          </w:p>
        </w:tc>
        <w:tc>
          <w:tcPr>
            <w:cnfStyle w:evenVBand="true" w:oddVBand="false" w:firstColumn="false"/>
            <w:tcW w:w="25.000000%" w:type="pct"/>
          </w:tcPr>
          <w:p>
            <w:pPr>
              <w:ind w:leftChars="0" w:left="0" w:right="0"/>
            </w:pPr>
            <w:r>
              <w:t>1094</w:t>
            </w:r>
          </w:p>
        </w:tc>
      </w:tr>
      <w:tr>
        <w:trPr>
          <w:cnfStyle w:evenHBand="true" w:oddHBand="false" w:firstRow="false"/>
        </w:trPr>
        <w:tc>
          <w:tcPr>
            <w:cnfStyle w:evenVBand="false" w:oddVBand="true" w:firstColumn="false"/>
            <w:tcW w:w="25.000000%" w:type="pct"/>
          </w:tcPr>
          <w:p>
            <w:pPr>
              <w:ind w:leftChars="0" w:left="0" w:right="0"/>
            </w:pPr>
            <w:r>
              <w:t>LEUE</w:t>
            </w:r>
          </w:p>
        </w:tc>
        <w:tc>
          <w:tcPr>
            <w:cnfStyle w:evenVBand="true" w:oddVBand="false" w:firstColumn="false"/>
            <w:tcW w:w="25.000000%" w:type="pct"/>
          </w:tcPr>
          <w:p>
            <w:pPr>
              <w:ind w:leftChars="0" w:left="0" w:right="0"/>
            </w:pPr>
            <w:r>
              <w:t>LEUE</w:t>
            </w:r>
          </w:p>
        </w:tc>
        <w:tc>
          <w:tcPr>
            <w:cnfStyle w:evenVBand="false" w:oddVBand="true" w:firstColumn="false"/>
            <w:tcW w:w="25.000000%" w:type="pct"/>
          </w:tcPr>
          <w:p>
            <w:pPr>
              <w:ind w:leftChars="0" w:left="0" w:right="0"/>
            </w:pPr>
            <w:r>
              <w:t>LIQUIDNET EU LIMITED EQUITY MTF</w:t>
            </w:r>
          </w:p>
        </w:tc>
        <w:tc>
          <w:tcPr>
            <w:cnfStyle w:evenVBand="true" w:oddVBand="false" w:firstColumn="false"/>
            <w:tcW w:w="25.000000%" w:type="pct"/>
          </w:tcPr>
          <w:p>
            <w:pPr>
              <w:ind w:leftChars="0" w:left="0" w:right="0"/>
            </w:pPr>
            <w:r>
              <w:t>1095</w:t>
            </w:r>
          </w:p>
        </w:tc>
      </w:tr>
      <w:tr>
        <w:trPr>
          <w:cnfStyle w:evenHBand="false" w:oddHBand="true" w:firstRow="false"/>
        </w:trPr>
        <w:tc>
          <w:tcPr>
            <w:cnfStyle w:evenVBand="false" w:oddVBand="true" w:firstColumn="false"/>
            <w:tcW w:w="25.000000%" w:type="pct"/>
          </w:tcPr>
          <w:p>
            <w:pPr>
              <w:ind w:leftChars="0" w:left="0" w:right="0"/>
            </w:pPr>
            <w:r>
              <w:t>LEUF</w:t>
            </w:r>
          </w:p>
        </w:tc>
        <w:tc>
          <w:tcPr>
            <w:cnfStyle w:evenVBand="true" w:oddVBand="false" w:firstColumn="false"/>
            <w:tcW w:w="25.000000%" w:type="pct"/>
          </w:tcPr>
          <w:p>
            <w:pPr>
              <w:ind w:leftChars="0" w:left="0" w:right="0"/>
            </w:pPr>
            <w:r>
              <w:t>LEUF</w:t>
            </w:r>
          </w:p>
        </w:tc>
        <w:tc>
          <w:tcPr>
            <w:cnfStyle w:evenVBand="false" w:oddVBand="true" w:firstColumn="false"/>
            <w:tcW w:w="25.000000%" w:type="pct"/>
          </w:tcPr>
          <w:p>
            <w:pPr>
              <w:ind w:leftChars="0" w:left="0" w:right="0"/>
            </w:pPr>
            <w:r>
              <w:t>LIQUIDNET EU LIMITED FIXED INCOME MTF</w:t>
            </w:r>
          </w:p>
        </w:tc>
        <w:tc>
          <w:tcPr>
            <w:cnfStyle w:evenVBand="true" w:oddVBand="false" w:firstColumn="false"/>
            <w:tcW w:w="25.000000%" w:type="pct"/>
          </w:tcPr>
          <w:p>
            <w:pPr>
              <w:ind w:leftChars="0" w:left="0" w:right="0"/>
            </w:pPr>
            <w:r>
              <w:t>1096</w:t>
            </w:r>
          </w:p>
        </w:tc>
      </w:tr>
      <w:tr>
        <w:trPr>
          <w:cnfStyle w:evenHBand="true" w:oddHBand="false" w:firstRow="false"/>
        </w:trPr>
        <w:tc>
          <w:tcPr>
            <w:cnfStyle w:evenVBand="false" w:oddVBand="true" w:firstColumn="false"/>
            <w:tcW w:w="25.000000%" w:type="pct"/>
          </w:tcPr>
          <w:p>
            <w:pPr>
              <w:ind w:leftChars="0" w:left="0" w:right="0"/>
            </w:pPr>
            <w:r>
              <w:t>LEVL</w:t>
            </w:r>
          </w:p>
        </w:tc>
        <w:tc>
          <w:tcPr>
            <w:cnfStyle w:evenVBand="true" w:oddVBand="false" w:firstColumn="false"/>
            <w:tcW w:w="25.000000%" w:type="pct"/>
          </w:tcPr>
          <w:p>
            <w:pPr>
              <w:ind w:leftChars="0" w:left="0" w:right="0"/>
            </w:pPr>
            <w:r>
              <w:t>LEVL</w:t>
            </w:r>
          </w:p>
        </w:tc>
        <w:tc>
          <w:tcPr>
            <w:cnfStyle w:evenVBand="false" w:oddVBand="true" w:firstColumn="false"/>
            <w:tcW w:w="25.000000%" w:type="pct"/>
          </w:tcPr>
          <w:p>
            <w:pPr>
              <w:ind w:leftChars="0" w:left="0" w:right="0"/>
            </w:pPr>
            <w:r>
              <w:t>LEVEL ATS</w:t>
            </w:r>
          </w:p>
        </w:tc>
        <w:tc>
          <w:tcPr>
            <w:cnfStyle w:evenVBand="true" w:oddVBand="false" w:firstColumn="false"/>
            <w:tcW w:w="25.000000%" w:type="pct"/>
          </w:tcPr>
          <w:p>
            <w:pPr>
              <w:ind w:leftChars="0" w:left="0" w:right="0"/>
            </w:pPr>
            <w:r>
              <w:t>1097</w:t>
            </w:r>
          </w:p>
        </w:tc>
      </w:tr>
      <w:tr>
        <w:trPr>
          <w:cnfStyle w:evenHBand="false" w:oddHBand="true" w:firstRow="false"/>
        </w:trPr>
        <w:tc>
          <w:tcPr>
            <w:cnfStyle w:evenVBand="false" w:oddVBand="true" w:firstColumn="false"/>
            <w:tcW w:w="25.000000%" w:type="pct"/>
          </w:tcPr>
          <w:p>
            <w:pPr>
              <w:ind w:leftChars="0" w:left="0" w:right="0"/>
            </w:pPr>
            <w:r>
              <w:t>LICA</w:t>
            </w:r>
          </w:p>
        </w:tc>
        <w:tc>
          <w:tcPr>
            <w:cnfStyle w:evenVBand="true" w:oddVBand="false" w:firstColumn="false"/>
            <w:tcW w:w="25.000000%" w:type="pct"/>
          </w:tcPr>
          <w:p>
            <w:pPr>
              <w:ind w:leftChars="0" w:left="0" w:right="0"/>
            </w:pPr>
            <w:r>
              <w:t>LICA</w:t>
            </w:r>
          </w:p>
        </w:tc>
        <w:tc>
          <w:tcPr>
            <w:cnfStyle w:evenVBand="false" w:oddVBand="true" w:firstColumn="false"/>
            <w:tcW w:w="25.000000%" w:type="pct"/>
          </w:tcPr>
          <w:p>
            <w:pPr>
              <w:ind w:leftChars="0" w:left="0" w:right="0"/>
            </w:pPr>
            <w:r>
              <w:t>LIQUIDNET CANADA ATS</w:t>
            </w:r>
          </w:p>
        </w:tc>
        <w:tc>
          <w:tcPr>
            <w:cnfStyle w:evenVBand="true" w:oddVBand="false" w:firstColumn="false"/>
            <w:tcW w:w="25.000000%" w:type="pct"/>
          </w:tcPr>
          <w:p>
            <w:pPr>
              <w:ind w:leftChars="0" w:left="0" w:right="0"/>
            </w:pPr>
            <w:r>
              <w:t>1098</w:t>
            </w:r>
          </w:p>
        </w:tc>
      </w:tr>
      <w:tr>
        <w:trPr>
          <w:cnfStyle w:evenHBand="true" w:oddHBand="false" w:firstRow="false"/>
        </w:trPr>
        <w:tc>
          <w:tcPr>
            <w:cnfStyle w:evenVBand="false" w:oddVBand="true" w:firstColumn="false"/>
            <w:tcW w:w="25.000000%" w:type="pct"/>
          </w:tcPr>
          <w:p>
            <w:pPr>
              <w:ind w:leftChars="0" w:left="0" w:right="0"/>
            </w:pPr>
            <w:r>
              <w:t>LIFI</w:t>
            </w:r>
          </w:p>
        </w:tc>
        <w:tc>
          <w:tcPr>
            <w:cnfStyle w:evenVBand="true" w:oddVBand="false" w:firstColumn="false"/>
            <w:tcW w:w="25.000000%" w:type="pct"/>
          </w:tcPr>
          <w:p>
            <w:pPr>
              <w:ind w:leftChars="0" w:left="0" w:right="0"/>
            </w:pPr>
            <w:r>
              <w:t>LIFI</w:t>
            </w:r>
          </w:p>
        </w:tc>
        <w:tc>
          <w:tcPr>
            <w:cnfStyle w:evenVBand="false" w:oddVBand="true" w:firstColumn="false"/>
            <w:tcW w:w="25.000000%" w:type="pct"/>
          </w:tcPr>
          <w:p>
            <w:pPr>
              <w:ind w:leftChars="0" w:left="0" w:right="0"/>
            </w:pPr>
            <w:r>
              <w:t>LIQUIDNET, INC. FIXED INCOME ATS</w:t>
            </w:r>
          </w:p>
        </w:tc>
        <w:tc>
          <w:tcPr>
            <w:cnfStyle w:evenVBand="true" w:oddVBand="false" w:firstColumn="false"/>
            <w:tcW w:w="25.000000%" w:type="pct"/>
          </w:tcPr>
          <w:p>
            <w:pPr>
              <w:ind w:leftChars="0" w:left="0" w:right="0"/>
            </w:pPr>
            <w:r>
              <w:t>1099</w:t>
            </w:r>
          </w:p>
        </w:tc>
      </w:tr>
      <w:tr>
        <w:trPr>
          <w:cnfStyle w:evenHBand="false" w:oddHBand="true" w:firstRow="false"/>
        </w:trPr>
        <w:tc>
          <w:tcPr>
            <w:cnfStyle w:evenVBand="false" w:oddVBand="true" w:firstColumn="false"/>
            <w:tcW w:w="25.000000%" w:type="pct"/>
          </w:tcPr>
          <w:p>
            <w:pPr>
              <w:ind w:leftChars="0" w:left="0" w:right="0"/>
            </w:pPr>
            <w:r>
              <w:t>LIGA</w:t>
            </w:r>
          </w:p>
        </w:tc>
        <w:tc>
          <w:tcPr>
            <w:cnfStyle w:evenVBand="true" w:oddVBand="false" w:firstColumn="false"/>
            <w:tcW w:w="25.000000%" w:type="pct"/>
          </w:tcPr>
          <w:p>
            <w:pPr>
              <w:ind w:leftChars="0" w:left="0" w:right="0"/>
            </w:pPr>
            <w:r>
              <w:t>LIGA</w:t>
            </w:r>
          </w:p>
        </w:tc>
        <w:tc>
          <w:tcPr>
            <w:cnfStyle w:evenVBand="false" w:oddVBand="true" w:firstColumn="false"/>
            <w:tcW w:w="25.000000%" w:type="pct"/>
          </w:tcPr>
          <w:p>
            <w:pPr>
              <w:ind w:leftChars="0" w:left="0" w:right="0"/>
            </w:pPr>
            <w:r>
              <w:t>LIGA BANK EG - SYSTEMATIC INTERNALISER</w:t>
            </w:r>
          </w:p>
        </w:tc>
        <w:tc>
          <w:tcPr>
            <w:cnfStyle w:evenVBand="true" w:oddVBand="false" w:firstColumn="false"/>
            <w:tcW w:w="25.000000%" w:type="pct"/>
          </w:tcPr>
          <w:p>
            <w:pPr>
              <w:ind w:leftChars="0" w:left="0" w:right="0"/>
            </w:pPr>
            <w:r>
              <w:t>1100</w:t>
            </w:r>
          </w:p>
        </w:tc>
      </w:tr>
      <w:tr>
        <w:trPr>
          <w:cnfStyle w:evenHBand="true" w:oddHBand="false" w:firstRow="false"/>
        </w:trPr>
        <w:tc>
          <w:tcPr>
            <w:cnfStyle w:evenVBand="false" w:oddVBand="true" w:firstColumn="false"/>
            <w:tcW w:w="25.000000%" w:type="pct"/>
          </w:tcPr>
          <w:p>
            <w:pPr>
              <w:ind w:leftChars="0" w:left="0" w:right="0"/>
            </w:pPr>
            <w:r>
              <w:t>LIQF</w:t>
            </w:r>
          </w:p>
        </w:tc>
        <w:tc>
          <w:tcPr>
            <w:cnfStyle w:evenVBand="true" w:oddVBand="false" w:firstColumn="false"/>
            <w:tcW w:w="25.000000%" w:type="pct"/>
          </w:tcPr>
          <w:p>
            <w:pPr>
              <w:ind w:leftChars="0" w:left="0" w:right="0"/>
            </w:pPr>
            <w:r>
              <w:t>LIQF</w:t>
            </w:r>
          </w:p>
        </w:tc>
        <w:tc>
          <w:tcPr>
            <w:cnfStyle w:evenVBand="false" w:oddVBand="true" w:firstColumn="false"/>
            <w:tcW w:w="25.000000%" w:type="pct"/>
          </w:tcPr>
          <w:p>
            <w:pPr>
              <w:ind w:leftChars="0" w:left="0" w:right="0"/>
            </w:pPr>
            <w:r>
              <w:t>LIQUIDNET EUROPE LIMITED</w:t>
            </w:r>
          </w:p>
        </w:tc>
        <w:tc>
          <w:tcPr>
            <w:cnfStyle w:evenVBand="true" w:oddVBand="false" w:firstColumn="false"/>
            <w:tcW w:w="25.000000%" w:type="pct"/>
          </w:tcPr>
          <w:p>
            <w:pPr>
              <w:ind w:leftChars="0" w:left="0" w:right="0"/>
            </w:pPr>
            <w:r>
              <w:t>1101</w:t>
            </w:r>
          </w:p>
        </w:tc>
      </w:tr>
      <w:tr>
        <w:trPr>
          <w:cnfStyle w:evenHBand="false" w:oddHBand="true" w:firstRow="false"/>
        </w:trPr>
        <w:tc>
          <w:tcPr>
            <w:cnfStyle w:evenVBand="false" w:oddVBand="true" w:firstColumn="false"/>
            <w:tcW w:w="25.000000%" w:type="pct"/>
          </w:tcPr>
          <w:p>
            <w:pPr>
              <w:ind w:leftChars="0" w:left="0" w:right="0"/>
            </w:pPr>
            <w:r>
              <w:t>LIQH</w:t>
            </w:r>
          </w:p>
        </w:tc>
        <w:tc>
          <w:tcPr>
            <w:cnfStyle w:evenVBand="true" w:oddVBand="false" w:firstColumn="false"/>
            <w:tcW w:w="25.000000%" w:type="pct"/>
          </w:tcPr>
          <w:p>
            <w:pPr>
              <w:ind w:leftChars="0" w:left="0" w:right="0"/>
            </w:pPr>
            <w:r>
              <w:t>LIQH</w:t>
            </w:r>
          </w:p>
        </w:tc>
        <w:tc>
          <w:tcPr>
            <w:cnfStyle w:evenVBand="false" w:oddVBand="true" w:firstColumn="false"/>
            <w:tcW w:w="25.000000%" w:type="pct"/>
          </w:tcPr>
          <w:p>
            <w:pPr>
              <w:ind w:leftChars="0" w:left="0" w:right="0"/>
            </w:pPr>
            <w:r>
              <w:t>LIQUIDNET H20</w:t>
            </w:r>
          </w:p>
        </w:tc>
        <w:tc>
          <w:tcPr>
            <w:cnfStyle w:evenVBand="true" w:oddVBand="false" w:firstColumn="false"/>
            <w:tcW w:w="25.000000%" w:type="pct"/>
          </w:tcPr>
          <w:p>
            <w:pPr>
              <w:ind w:leftChars="0" w:left="0" w:right="0"/>
            </w:pPr>
            <w:r>
              <w:t>1102</w:t>
            </w:r>
          </w:p>
        </w:tc>
      </w:tr>
      <w:tr>
        <w:trPr>
          <w:cnfStyle w:evenHBand="true" w:oddHBand="false" w:firstRow="false"/>
        </w:trPr>
        <w:tc>
          <w:tcPr>
            <w:cnfStyle w:evenVBand="false" w:oddVBand="true" w:firstColumn="false"/>
            <w:tcW w:w="25.000000%" w:type="pct"/>
          </w:tcPr>
          <w:p>
            <w:pPr>
              <w:ind w:leftChars="0" w:left="0" w:right="0"/>
            </w:pPr>
            <w:r>
              <w:t>LIQU</w:t>
            </w:r>
          </w:p>
        </w:tc>
        <w:tc>
          <w:tcPr>
            <w:cnfStyle w:evenVBand="true" w:oddVBand="false" w:firstColumn="false"/>
            <w:tcW w:w="25.000000%" w:type="pct"/>
          </w:tcPr>
          <w:p>
            <w:pPr>
              <w:ind w:leftChars="0" w:left="0" w:right="0"/>
            </w:pPr>
            <w:r>
              <w:t>LIQU</w:t>
            </w:r>
          </w:p>
        </w:tc>
        <w:tc>
          <w:tcPr>
            <w:cnfStyle w:evenVBand="false" w:oddVBand="true" w:firstColumn="false"/>
            <w:tcW w:w="25.000000%" w:type="pct"/>
          </w:tcPr>
          <w:p>
            <w:pPr>
              <w:ind w:leftChars="0" w:left="0" w:right="0"/>
            </w:pPr>
            <w:r>
              <w:t>LIQUIDNET SYSTEMS</w:t>
            </w:r>
          </w:p>
        </w:tc>
        <w:tc>
          <w:tcPr>
            <w:cnfStyle w:evenVBand="true" w:oddVBand="false" w:firstColumn="false"/>
            <w:tcW w:w="25.000000%" w:type="pct"/>
          </w:tcPr>
          <w:p>
            <w:pPr>
              <w:ind w:leftChars="0" w:left="0" w:right="0"/>
            </w:pPr>
            <w:r>
              <w:t>1103</w:t>
            </w:r>
          </w:p>
        </w:tc>
      </w:tr>
      <w:tr>
        <w:trPr>
          <w:cnfStyle w:evenHBand="false" w:oddHBand="true" w:firstRow="false"/>
        </w:trPr>
        <w:tc>
          <w:tcPr>
            <w:cnfStyle w:evenVBand="false" w:oddVBand="true" w:firstColumn="false"/>
            <w:tcW w:w="25.000000%" w:type="pct"/>
          </w:tcPr>
          <w:p>
            <w:pPr>
              <w:ind w:leftChars="0" w:left="0" w:right="0"/>
            </w:pPr>
            <w:r>
              <w:t>LISX</w:t>
            </w:r>
          </w:p>
        </w:tc>
        <w:tc>
          <w:tcPr>
            <w:cnfStyle w:evenVBand="true" w:oddVBand="false" w:firstColumn="false"/>
            <w:tcW w:w="25.000000%" w:type="pct"/>
          </w:tcPr>
          <w:p>
            <w:pPr>
              <w:ind w:leftChars="0" w:left="0" w:right="0"/>
            </w:pPr>
            <w:r>
              <w:t>LISX</w:t>
            </w:r>
          </w:p>
        </w:tc>
        <w:tc>
          <w:tcPr>
            <w:cnfStyle w:evenVBand="false" w:oddVBand="true" w:firstColumn="false"/>
            <w:tcW w:w="25.000000%" w:type="pct"/>
          </w:tcPr>
          <w:p>
            <w:pPr>
              <w:ind w:leftChars="0" w:left="0" w:right="0"/>
            </w:pPr>
            <w:r>
              <w:t>CBOE  EUROPE - LIS SERVICE</w:t>
            </w:r>
          </w:p>
        </w:tc>
        <w:tc>
          <w:tcPr>
            <w:cnfStyle w:evenVBand="true" w:oddVBand="false" w:firstColumn="false"/>
            <w:tcW w:w="25.000000%" w:type="pct"/>
          </w:tcPr>
          <w:p>
            <w:pPr>
              <w:ind w:leftChars="0" w:left="0" w:right="0"/>
            </w:pPr>
            <w:r>
              <w:t>1104</w:t>
            </w:r>
          </w:p>
        </w:tc>
      </w:tr>
      <w:tr>
        <w:trPr>
          <w:cnfStyle w:evenHBand="true" w:oddHBand="false" w:firstRow="false"/>
        </w:trPr>
        <w:tc>
          <w:tcPr>
            <w:cnfStyle w:evenVBand="false" w:oddVBand="true" w:firstColumn="false"/>
            <w:tcW w:w="25.000000%" w:type="pct"/>
          </w:tcPr>
          <w:p>
            <w:pPr>
              <w:ind w:leftChars="0" w:left="0" w:right="0"/>
            </w:pPr>
            <w:r>
              <w:t>LISZ</w:t>
            </w:r>
          </w:p>
        </w:tc>
        <w:tc>
          <w:tcPr>
            <w:cnfStyle w:evenVBand="true" w:oddVBand="false" w:firstColumn="false"/>
            <w:tcW w:w="25.000000%" w:type="pct"/>
          </w:tcPr>
          <w:p>
            <w:pPr>
              <w:ind w:leftChars="0" w:left="0" w:right="0"/>
            </w:pPr>
            <w:r>
              <w:t>LISZ</w:t>
            </w:r>
          </w:p>
        </w:tc>
        <w:tc>
          <w:tcPr>
            <w:cnfStyle w:evenVBand="false" w:oddVBand="true" w:firstColumn="false"/>
            <w:tcW w:w="25.000000%" w:type="pct"/>
          </w:tcPr>
          <w:p>
            <w:pPr>
              <w:ind w:leftChars="0" w:left="0" w:right="0"/>
            </w:pPr>
            <w:r>
              <w:t>CBOE EUROPE - LIS SERVICE (NL)</w:t>
            </w:r>
          </w:p>
        </w:tc>
        <w:tc>
          <w:tcPr>
            <w:cnfStyle w:evenVBand="true" w:oddVBand="false" w:firstColumn="false"/>
            <w:tcW w:w="25.000000%" w:type="pct"/>
          </w:tcPr>
          <w:p>
            <w:pPr>
              <w:ind w:leftChars="0" w:left="0" w:right="0"/>
            </w:pPr>
            <w:r>
              <w:t>1105</w:t>
            </w:r>
          </w:p>
        </w:tc>
      </w:tr>
      <w:tr>
        <w:trPr>
          <w:cnfStyle w:evenHBand="false" w:oddHBand="true" w:firstRow="false"/>
        </w:trPr>
        <w:tc>
          <w:tcPr>
            <w:cnfStyle w:evenVBand="false" w:oddVBand="true" w:firstColumn="false"/>
            <w:tcW w:w="25.000000%" w:type="pct"/>
          </w:tcPr>
          <w:p>
            <w:pPr>
              <w:ind w:leftChars="0" w:left="0" w:right="0"/>
            </w:pPr>
            <w:r>
              <w:t>LIUH</w:t>
            </w:r>
          </w:p>
        </w:tc>
        <w:tc>
          <w:tcPr>
            <w:cnfStyle w:evenVBand="true" w:oddVBand="false" w:firstColumn="false"/>
            <w:tcW w:w="25.000000%" w:type="pct"/>
          </w:tcPr>
          <w:p>
            <w:pPr>
              <w:ind w:leftChars="0" w:left="0" w:right="0"/>
            </w:pPr>
            <w:r>
              <w:t>LIUH</w:t>
            </w:r>
          </w:p>
        </w:tc>
        <w:tc>
          <w:tcPr>
            <w:cnfStyle w:evenVBand="false" w:oddVBand="true" w:firstColumn="false"/>
            <w:tcW w:w="25.000000%" w:type="pct"/>
          </w:tcPr>
          <w:p>
            <w:pPr>
              <w:ind w:leftChars="0" w:left="0" w:right="0"/>
            </w:pPr>
            <w:r>
              <w:t>LIQUIDNET, INC. H2O ATS</w:t>
            </w:r>
          </w:p>
        </w:tc>
        <w:tc>
          <w:tcPr>
            <w:cnfStyle w:evenVBand="true" w:oddVBand="false" w:firstColumn="false"/>
            <w:tcW w:w="25.000000%" w:type="pct"/>
          </w:tcPr>
          <w:p>
            <w:pPr>
              <w:ind w:leftChars="0" w:left="0" w:right="0"/>
            </w:pPr>
            <w:r>
              <w:t>1106</w:t>
            </w:r>
          </w:p>
        </w:tc>
      </w:tr>
      <w:tr>
        <w:trPr>
          <w:cnfStyle w:evenHBand="true" w:oddHBand="false" w:firstRow="false"/>
        </w:trPr>
        <w:tc>
          <w:tcPr>
            <w:cnfStyle w:evenVBand="false" w:oddVBand="true" w:firstColumn="false"/>
            <w:tcW w:w="25.000000%" w:type="pct"/>
          </w:tcPr>
          <w:p>
            <w:pPr>
              <w:ind w:leftChars="0" w:left="0" w:right="0"/>
            </w:pPr>
            <w:r>
              <w:t>LIUS</w:t>
            </w:r>
          </w:p>
        </w:tc>
        <w:tc>
          <w:tcPr>
            <w:cnfStyle w:evenVBand="true" w:oddVBand="false" w:firstColumn="false"/>
            <w:tcW w:w="25.000000%" w:type="pct"/>
          </w:tcPr>
          <w:p>
            <w:pPr>
              <w:ind w:leftChars="0" w:left="0" w:right="0"/>
            </w:pPr>
            <w:r>
              <w:t>LIUS</w:t>
            </w:r>
          </w:p>
        </w:tc>
        <w:tc>
          <w:tcPr>
            <w:cnfStyle w:evenVBand="false" w:oddVBand="true" w:firstColumn="false"/>
            <w:tcW w:w="25.000000%" w:type="pct"/>
          </w:tcPr>
          <w:p>
            <w:pPr>
              <w:ind w:leftChars="0" w:left="0" w:right="0"/>
            </w:pPr>
            <w:r>
              <w:t>LIQUIDNET, INC.</w:t>
            </w:r>
          </w:p>
        </w:tc>
        <w:tc>
          <w:tcPr>
            <w:cnfStyle w:evenVBand="true" w:oddVBand="false" w:firstColumn="false"/>
            <w:tcW w:w="25.000000%" w:type="pct"/>
          </w:tcPr>
          <w:p>
            <w:pPr>
              <w:ind w:leftChars="0" w:left="0" w:right="0"/>
            </w:pPr>
            <w:r>
              <w:t>1107</w:t>
            </w:r>
          </w:p>
        </w:tc>
      </w:tr>
      <w:tr>
        <w:trPr>
          <w:cnfStyle w:evenHBand="false" w:oddHBand="true" w:firstRow="false"/>
        </w:trPr>
        <w:tc>
          <w:tcPr>
            <w:cnfStyle w:evenVBand="false" w:oddVBand="true" w:firstColumn="false"/>
            <w:tcW w:w="25.000000%" w:type="pct"/>
          </w:tcPr>
          <w:p>
            <w:pPr>
              <w:ind w:leftChars="0" w:left="0" w:right="0"/>
            </w:pPr>
            <w:r>
              <w:t>LLAT</w:t>
            </w:r>
          </w:p>
        </w:tc>
        <w:tc>
          <w:tcPr>
            <w:cnfStyle w:evenVBand="true" w:oddVBand="false" w:firstColumn="false"/>
            <w:tcW w:w="25.000000%" w:type="pct"/>
          </w:tcPr>
          <w:p>
            <w:pPr>
              <w:ind w:leftChars="0" w:left="0" w:right="0"/>
            </w:pPr>
            <w:r>
              <w:t>LLAT</w:t>
            </w:r>
          </w:p>
        </w:tc>
        <w:tc>
          <w:tcPr>
            <w:cnfStyle w:evenVBand="false" w:oddVBand="true" w:firstColumn="false"/>
            <w:tcW w:w="25.000000%" w:type="pct"/>
          </w:tcPr>
          <w:p>
            <w:pPr>
              <w:ind w:leftChars="0" w:left="0" w:right="0"/>
            </w:pPr>
            <w:r>
              <w:t>LIECHTENSTEINISCHE LANDESBANK (OSTERREICH) AG - SYSTEMATIC INTERNALISER</w:t>
            </w:r>
          </w:p>
        </w:tc>
        <w:tc>
          <w:tcPr>
            <w:cnfStyle w:evenVBand="true" w:oddVBand="false" w:firstColumn="false"/>
            <w:tcW w:w="25.000000%" w:type="pct"/>
          </w:tcPr>
          <w:p>
            <w:pPr>
              <w:ind w:leftChars="0" w:left="0" w:right="0"/>
            </w:pPr>
            <w:r>
              <w:t>1108</w:t>
            </w:r>
          </w:p>
        </w:tc>
      </w:tr>
      <w:tr>
        <w:trPr>
          <w:cnfStyle w:evenHBand="true" w:oddHBand="false" w:firstRow="false"/>
        </w:trPr>
        <w:tc>
          <w:tcPr>
            <w:cnfStyle w:evenVBand="false" w:oddVBand="true" w:firstColumn="false"/>
            <w:tcW w:w="25.000000%" w:type="pct"/>
          </w:tcPr>
          <w:p>
            <w:pPr>
              <w:ind w:leftChars="0" w:left="0" w:right="0"/>
            </w:pPr>
            <w:r>
              <w:t>LMAD</w:t>
            </w:r>
          </w:p>
        </w:tc>
        <w:tc>
          <w:tcPr>
            <w:cnfStyle w:evenVBand="true" w:oddVBand="false" w:firstColumn="false"/>
            <w:tcW w:w="25.000000%" w:type="pct"/>
          </w:tcPr>
          <w:p>
            <w:pPr>
              <w:ind w:leftChars="0" w:left="0" w:right="0"/>
            </w:pPr>
            <w:r>
              <w:t>LMAD</w:t>
            </w:r>
          </w:p>
        </w:tc>
        <w:tc>
          <w:tcPr>
            <w:cnfStyle w:evenVBand="false" w:oddVBand="true" w:firstColumn="false"/>
            <w:tcW w:w="25.000000%" w:type="pct"/>
          </w:tcPr>
          <w:p>
            <w:pPr>
              <w:ind w:leftChars="0" w:left="0" w:right="0"/>
            </w:pPr>
            <w:r>
              <w:t>LMAX - DERIVATIVES</w:t>
            </w:r>
          </w:p>
        </w:tc>
        <w:tc>
          <w:tcPr>
            <w:cnfStyle w:evenVBand="true" w:oddVBand="false" w:firstColumn="false"/>
            <w:tcW w:w="25.000000%" w:type="pct"/>
          </w:tcPr>
          <w:p>
            <w:pPr>
              <w:ind w:leftChars="0" w:left="0" w:right="0"/>
            </w:pPr>
            <w:r>
              <w:t>1109</w:t>
            </w:r>
          </w:p>
        </w:tc>
      </w:tr>
      <w:tr>
        <w:trPr>
          <w:cnfStyle w:evenHBand="false" w:oddHBand="true" w:firstRow="false"/>
        </w:trPr>
        <w:tc>
          <w:tcPr>
            <w:cnfStyle w:evenVBand="false" w:oddVBand="true" w:firstColumn="false"/>
            <w:tcW w:w="25.000000%" w:type="pct"/>
          </w:tcPr>
          <w:p>
            <w:pPr>
              <w:ind w:leftChars="0" w:left="0" w:right="0"/>
            </w:pPr>
            <w:r>
              <w:t>LMAE</w:t>
            </w:r>
          </w:p>
        </w:tc>
        <w:tc>
          <w:tcPr>
            <w:cnfStyle w:evenVBand="true" w:oddVBand="false" w:firstColumn="false"/>
            <w:tcW w:w="25.000000%" w:type="pct"/>
          </w:tcPr>
          <w:p>
            <w:pPr>
              <w:ind w:leftChars="0" w:left="0" w:right="0"/>
            </w:pPr>
            <w:r>
              <w:t>LMAE</w:t>
            </w:r>
          </w:p>
        </w:tc>
        <w:tc>
          <w:tcPr>
            <w:cnfStyle w:evenVBand="false" w:oddVBand="true" w:firstColumn="false"/>
            <w:tcW w:w="25.000000%" w:type="pct"/>
          </w:tcPr>
          <w:p>
            <w:pPr>
              <w:ind w:leftChars="0" w:left="0" w:right="0"/>
            </w:pPr>
            <w:r>
              <w:t>LMAX - EQUITIES</w:t>
            </w:r>
          </w:p>
        </w:tc>
        <w:tc>
          <w:tcPr>
            <w:cnfStyle w:evenVBand="true" w:oddVBand="false" w:firstColumn="false"/>
            <w:tcW w:w="25.000000%" w:type="pct"/>
          </w:tcPr>
          <w:p>
            <w:pPr>
              <w:ind w:leftChars="0" w:left="0" w:right="0"/>
            </w:pPr>
            <w:r>
              <w:t>1110</w:t>
            </w:r>
          </w:p>
        </w:tc>
      </w:tr>
      <w:tr>
        <w:trPr>
          <w:cnfStyle w:evenHBand="true" w:oddHBand="false" w:firstRow="false"/>
        </w:trPr>
        <w:tc>
          <w:tcPr>
            <w:cnfStyle w:evenVBand="false" w:oddVBand="true" w:firstColumn="false"/>
            <w:tcW w:w="25.000000%" w:type="pct"/>
          </w:tcPr>
          <w:p>
            <w:pPr>
              <w:ind w:leftChars="0" w:left="0" w:right="0"/>
            </w:pPr>
            <w:r>
              <w:t>LMAF</w:t>
            </w:r>
          </w:p>
        </w:tc>
        <w:tc>
          <w:tcPr>
            <w:cnfStyle w:evenVBand="true" w:oddVBand="false" w:firstColumn="false"/>
            <w:tcW w:w="25.000000%" w:type="pct"/>
          </w:tcPr>
          <w:p>
            <w:pPr>
              <w:ind w:leftChars="0" w:left="0" w:right="0"/>
            </w:pPr>
            <w:r>
              <w:t>LMAF</w:t>
            </w:r>
          </w:p>
        </w:tc>
        <w:tc>
          <w:tcPr>
            <w:cnfStyle w:evenVBand="false" w:oddVBand="true" w:firstColumn="false"/>
            <w:tcW w:w="25.000000%" w:type="pct"/>
          </w:tcPr>
          <w:p>
            <w:pPr>
              <w:ind w:leftChars="0" w:left="0" w:right="0"/>
            </w:pPr>
            <w:r>
              <w:t>LMAX - FX</w:t>
            </w:r>
          </w:p>
        </w:tc>
        <w:tc>
          <w:tcPr>
            <w:cnfStyle w:evenVBand="true" w:oddVBand="false" w:firstColumn="false"/>
            <w:tcW w:w="25.000000%" w:type="pct"/>
          </w:tcPr>
          <w:p>
            <w:pPr>
              <w:ind w:leftChars="0" w:left="0" w:right="0"/>
            </w:pPr>
            <w:r>
              <w:t>1111</w:t>
            </w:r>
          </w:p>
        </w:tc>
      </w:tr>
      <w:tr>
        <w:trPr>
          <w:cnfStyle w:evenHBand="false" w:oddHBand="true" w:firstRow="false"/>
        </w:trPr>
        <w:tc>
          <w:tcPr>
            <w:cnfStyle w:evenVBand="false" w:oddVBand="true" w:firstColumn="false"/>
            <w:tcW w:w="25.000000%" w:type="pct"/>
          </w:tcPr>
          <w:p>
            <w:pPr>
              <w:ind w:leftChars="0" w:left="0" w:right="0"/>
            </w:pPr>
            <w:r>
              <w:t>LMAO</w:t>
            </w:r>
          </w:p>
        </w:tc>
        <w:tc>
          <w:tcPr>
            <w:cnfStyle w:evenVBand="true" w:oddVBand="false" w:firstColumn="false"/>
            <w:tcW w:w="25.000000%" w:type="pct"/>
          </w:tcPr>
          <w:p>
            <w:pPr>
              <w:ind w:leftChars="0" w:left="0" w:right="0"/>
            </w:pPr>
            <w:r>
              <w:t>LMAO</w:t>
            </w:r>
          </w:p>
        </w:tc>
        <w:tc>
          <w:tcPr>
            <w:cnfStyle w:evenVBand="false" w:oddVBand="true" w:firstColumn="false"/>
            <w:tcW w:w="25.000000%" w:type="pct"/>
          </w:tcPr>
          <w:p>
            <w:pPr>
              <w:ind w:leftChars="0" w:left="0" w:right="0"/>
            </w:pPr>
            <w:r>
              <w:t>LMAX - INDICES/RATES/COMMODITIES</w:t>
            </w:r>
          </w:p>
        </w:tc>
        <w:tc>
          <w:tcPr>
            <w:cnfStyle w:evenVBand="true" w:oddVBand="false" w:firstColumn="false"/>
            <w:tcW w:w="25.000000%" w:type="pct"/>
          </w:tcPr>
          <w:p>
            <w:pPr>
              <w:ind w:leftChars="0" w:left="0" w:right="0"/>
            </w:pPr>
            <w:r>
              <w:t>1112</w:t>
            </w:r>
          </w:p>
        </w:tc>
      </w:tr>
      <w:tr>
        <w:trPr>
          <w:cnfStyle w:evenHBand="true" w:oddHBand="false" w:firstRow="false"/>
        </w:trPr>
        <w:tc>
          <w:tcPr>
            <w:cnfStyle w:evenVBand="false" w:oddVBand="true" w:firstColumn="false"/>
            <w:tcW w:w="25.000000%" w:type="pct"/>
          </w:tcPr>
          <w:p>
            <w:pPr>
              <w:ind w:leftChars="0" w:left="0" w:right="0"/>
            </w:pPr>
            <w:r>
              <w:t>LMAX</w:t>
            </w:r>
          </w:p>
        </w:tc>
        <w:tc>
          <w:tcPr>
            <w:cnfStyle w:evenVBand="true" w:oddVBand="false" w:firstColumn="false"/>
            <w:tcW w:w="25.000000%" w:type="pct"/>
          </w:tcPr>
          <w:p>
            <w:pPr>
              <w:ind w:leftChars="0" w:left="0" w:right="0"/>
            </w:pPr>
            <w:r>
              <w:t>LMAX</w:t>
            </w:r>
          </w:p>
        </w:tc>
        <w:tc>
          <w:tcPr>
            <w:cnfStyle w:evenVBand="false" w:oddVBand="true" w:firstColumn="false"/>
            <w:tcW w:w="25.000000%" w:type="pct"/>
          </w:tcPr>
          <w:p>
            <w:pPr>
              <w:ind w:leftChars="0" w:left="0" w:right="0"/>
            </w:pPr>
            <w:r>
              <w:t>LMAX</w:t>
            </w:r>
          </w:p>
        </w:tc>
        <w:tc>
          <w:tcPr>
            <w:cnfStyle w:evenVBand="true" w:oddVBand="false" w:firstColumn="false"/>
            <w:tcW w:w="25.000000%" w:type="pct"/>
          </w:tcPr>
          <w:p>
            <w:pPr>
              <w:ind w:leftChars="0" w:left="0" w:right="0"/>
            </w:pPr>
            <w:r>
              <w:t>1113</w:t>
            </w:r>
          </w:p>
        </w:tc>
      </w:tr>
      <w:tr>
        <w:trPr>
          <w:cnfStyle w:evenHBand="false" w:oddHBand="true" w:firstRow="false"/>
        </w:trPr>
        <w:tc>
          <w:tcPr>
            <w:cnfStyle w:evenVBand="false" w:oddVBand="true" w:firstColumn="false"/>
            <w:tcW w:w="25.000000%" w:type="pct"/>
          </w:tcPr>
          <w:p>
            <w:pPr>
              <w:ind w:leftChars="0" w:left="0" w:right="0"/>
            </w:pPr>
            <w:r>
              <w:t>LMEC</w:t>
            </w:r>
          </w:p>
        </w:tc>
        <w:tc>
          <w:tcPr>
            <w:cnfStyle w:evenVBand="true" w:oddVBand="false" w:firstColumn="false"/>
            <w:tcW w:w="25.000000%" w:type="pct"/>
          </w:tcPr>
          <w:p>
            <w:pPr>
              <w:ind w:leftChars="0" w:left="0" w:right="0"/>
            </w:pPr>
            <w:r>
              <w:t>LMEC</w:t>
            </w:r>
          </w:p>
        </w:tc>
        <w:tc>
          <w:tcPr>
            <w:cnfStyle w:evenVBand="false" w:oddVBand="true" w:firstColumn="false"/>
            <w:tcW w:w="25.000000%" w:type="pct"/>
          </w:tcPr>
          <w:p>
            <w:pPr>
              <w:ind w:leftChars="0" w:left="0" w:right="0"/>
            </w:pPr>
            <w:r>
              <w:t>LME CLEAR</w:t>
            </w:r>
          </w:p>
        </w:tc>
        <w:tc>
          <w:tcPr>
            <w:cnfStyle w:evenVBand="true" w:oddVBand="false" w:firstColumn="false"/>
            <w:tcW w:w="25.000000%" w:type="pct"/>
          </w:tcPr>
          <w:p>
            <w:pPr>
              <w:ind w:leftChars="0" w:left="0" w:right="0"/>
            </w:pPr>
            <w:r>
              <w:t>1114</w:t>
            </w:r>
          </w:p>
        </w:tc>
      </w:tr>
      <w:tr>
        <w:trPr>
          <w:cnfStyle w:evenHBand="true" w:oddHBand="false" w:firstRow="false"/>
        </w:trPr>
        <w:tc>
          <w:tcPr>
            <w:cnfStyle w:evenVBand="false" w:oddVBand="true" w:firstColumn="false"/>
            <w:tcW w:w="25.000000%" w:type="pct"/>
          </w:tcPr>
          <w:p>
            <w:pPr>
              <w:ind w:leftChars="0" w:left="0" w:right="0"/>
            </w:pPr>
            <w:r>
              <w:t>LMNR</w:t>
            </w:r>
          </w:p>
        </w:tc>
        <w:tc>
          <w:tcPr>
            <w:cnfStyle w:evenVBand="true" w:oddVBand="false" w:firstColumn="false"/>
            <w:tcW w:w="25.000000%" w:type="pct"/>
          </w:tcPr>
          <w:p>
            <w:pPr>
              <w:ind w:leftChars="0" w:left="0" w:right="0"/>
            </w:pPr>
            <w:r>
              <w:t>LMNR</w:t>
            </w:r>
          </w:p>
        </w:tc>
        <w:tc>
          <w:tcPr>
            <w:cnfStyle w:evenVBand="false" w:oddVBand="true" w:firstColumn="false"/>
            <w:tcW w:w="25.000000%" w:type="pct"/>
          </w:tcPr>
          <w:p>
            <w:pPr>
              <w:ind w:leftChars="0" w:left="0" w:right="0"/>
            </w:pPr>
            <w:r>
              <w:t>LUMINOR BANK AS</w:t>
            </w:r>
          </w:p>
        </w:tc>
        <w:tc>
          <w:tcPr>
            <w:cnfStyle w:evenVBand="true" w:oddVBand="false" w:firstColumn="false"/>
            <w:tcW w:w="25.000000%" w:type="pct"/>
          </w:tcPr>
          <w:p>
            <w:pPr>
              <w:ind w:leftChars="0" w:left="0" w:right="0"/>
            </w:pPr>
            <w:r>
              <w:t>1115</w:t>
            </w:r>
          </w:p>
        </w:tc>
      </w:tr>
      <w:tr>
        <w:trPr>
          <w:cnfStyle w:evenHBand="false" w:oddHBand="true" w:firstRow="false"/>
        </w:trPr>
        <w:tc>
          <w:tcPr>
            <w:cnfStyle w:evenVBand="false" w:oddVBand="true" w:firstColumn="false"/>
            <w:tcW w:w="25.000000%" w:type="pct"/>
          </w:tcPr>
          <w:p>
            <w:pPr>
              <w:ind w:leftChars="0" w:left="0" w:right="0"/>
            </w:pPr>
            <w:r>
              <w:t>LMNX</w:t>
            </w:r>
          </w:p>
        </w:tc>
        <w:tc>
          <w:tcPr>
            <w:cnfStyle w:evenVBand="true" w:oddVBand="false" w:firstColumn="false"/>
            <w:tcW w:w="25.000000%" w:type="pct"/>
          </w:tcPr>
          <w:p>
            <w:pPr>
              <w:ind w:leftChars="0" w:left="0" w:right="0"/>
            </w:pPr>
            <w:r>
              <w:t>LMNX</w:t>
            </w:r>
          </w:p>
        </w:tc>
        <w:tc>
          <w:tcPr>
            <w:cnfStyle w:evenVBand="false" w:oddVBand="true" w:firstColumn="false"/>
            <w:tcW w:w="25.000000%" w:type="pct"/>
          </w:tcPr>
          <w:p>
            <w:pPr>
              <w:ind w:leftChars="0" w:left="0" w:right="0"/>
            </w:pPr>
            <w:r>
              <w:t>LUMINEX TRADING &amp; ANALYTICS LLC - ATS</w:t>
            </w:r>
          </w:p>
        </w:tc>
        <w:tc>
          <w:tcPr>
            <w:cnfStyle w:evenVBand="true" w:oddVBand="false" w:firstColumn="false"/>
            <w:tcW w:w="25.000000%" w:type="pct"/>
          </w:tcPr>
          <w:p>
            <w:pPr>
              <w:ind w:leftChars="0" w:left="0" w:right="0"/>
            </w:pPr>
            <w:r>
              <w:t>1116</w:t>
            </w:r>
          </w:p>
        </w:tc>
      </w:tr>
      <w:tr>
        <w:trPr>
          <w:cnfStyle w:evenHBand="true" w:oddHBand="false" w:firstRow="false"/>
        </w:trPr>
        <w:tc>
          <w:tcPr>
            <w:cnfStyle w:evenVBand="false" w:oddVBand="true" w:firstColumn="false"/>
            <w:tcW w:w="25.000000%" w:type="pct"/>
          </w:tcPr>
          <w:p>
            <w:pPr>
              <w:ind w:leftChars="0" w:left="0" w:right="0"/>
            </w:pPr>
            <w:r>
              <w:t>LMTS</w:t>
            </w:r>
          </w:p>
        </w:tc>
        <w:tc>
          <w:tcPr>
            <w:cnfStyle w:evenVBand="true" w:oddVBand="false" w:firstColumn="false"/>
            <w:tcW w:w="25.000000%" w:type="pct"/>
          </w:tcPr>
          <w:p>
            <w:pPr>
              <w:ind w:leftChars="0" w:left="0" w:right="0"/>
            </w:pPr>
            <w:r>
              <w:t>LMTS</w:t>
            </w:r>
          </w:p>
        </w:tc>
        <w:tc>
          <w:tcPr>
            <w:cnfStyle w:evenVBand="false" w:oddVBand="true" w:firstColumn="false"/>
            <w:tcW w:w="25.000000%" w:type="pct"/>
          </w:tcPr>
          <w:p>
            <w:pPr>
              <w:ind w:leftChars="0" w:left="0" w:right="0"/>
            </w:pPr>
            <w:r>
              <w:t>EUROGLOBALMTS</w:t>
            </w:r>
          </w:p>
        </w:tc>
        <w:tc>
          <w:tcPr>
            <w:cnfStyle w:evenVBand="true" w:oddVBand="false" w:firstColumn="false"/>
            <w:tcW w:w="25.000000%" w:type="pct"/>
          </w:tcPr>
          <w:p>
            <w:pPr>
              <w:ind w:leftChars="0" w:left="0" w:right="0"/>
            </w:pPr>
            <w:r>
              <w:t>1117</w:t>
            </w:r>
          </w:p>
        </w:tc>
      </w:tr>
      <w:tr>
        <w:trPr>
          <w:cnfStyle w:evenHBand="false" w:oddHBand="true" w:firstRow="false"/>
        </w:trPr>
        <w:tc>
          <w:tcPr>
            <w:cnfStyle w:evenVBand="false" w:oddVBand="true" w:firstColumn="false"/>
            <w:tcW w:w="25.000000%" w:type="pct"/>
          </w:tcPr>
          <w:p>
            <w:pPr>
              <w:ind w:leftChars="0" w:left="0" w:right="0"/>
            </w:pPr>
            <w:r>
              <w:t>LNEQ</w:t>
            </w:r>
          </w:p>
        </w:tc>
        <w:tc>
          <w:tcPr>
            <w:cnfStyle w:evenVBand="true" w:oddVBand="false" w:firstColumn="false"/>
            <w:tcW w:w="25.000000%" w:type="pct"/>
          </w:tcPr>
          <w:p>
            <w:pPr>
              <w:ind w:leftChars="0" w:left="0" w:right="0"/>
            </w:pPr>
            <w:r>
              <w:t>LNEQ</w:t>
            </w:r>
          </w:p>
        </w:tc>
        <w:tc>
          <w:tcPr>
            <w:cnfStyle w:evenVBand="false" w:oddVBand="true" w:firstColumn="false"/>
            <w:tcW w:w="25.000000%" w:type="pct"/>
          </w:tcPr>
          <w:p>
            <w:pPr>
              <w:ind w:leftChars="0" w:left="0" w:right="0"/>
            </w:pPr>
            <w:r>
              <w:t>TP ICAP EU - MTF - LIQUIDNET EU EQUITY</w:t>
            </w:r>
          </w:p>
        </w:tc>
        <w:tc>
          <w:tcPr>
            <w:cnfStyle w:evenVBand="true" w:oddVBand="false" w:firstColumn="false"/>
            <w:tcW w:w="25.000000%" w:type="pct"/>
          </w:tcPr>
          <w:p>
            <w:pPr>
              <w:ind w:leftChars="0" w:left="0" w:right="0"/>
            </w:pPr>
            <w:r>
              <w:t>1118</w:t>
            </w:r>
          </w:p>
        </w:tc>
      </w:tr>
      <w:tr>
        <w:trPr>
          <w:cnfStyle w:evenHBand="true" w:oddHBand="false" w:firstRow="false"/>
        </w:trPr>
        <w:tc>
          <w:tcPr>
            <w:cnfStyle w:evenVBand="false" w:oddVBand="true" w:firstColumn="false"/>
            <w:tcW w:w="25.000000%" w:type="pct"/>
          </w:tcPr>
          <w:p>
            <w:pPr>
              <w:ind w:leftChars="0" w:left="0" w:right="0"/>
            </w:pPr>
            <w:r>
              <w:t>LNFI</w:t>
            </w:r>
          </w:p>
        </w:tc>
        <w:tc>
          <w:tcPr>
            <w:cnfStyle w:evenVBand="true" w:oddVBand="false" w:firstColumn="false"/>
            <w:tcW w:w="25.000000%" w:type="pct"/>
          </w:tcPr>
          <w:p>
            <w:pPr>
              <w:ind w:leftChars="0" w:left="0" w:right="0"/>
            </w:pPr>
            <w:r>
              <w:t>LNFI</w:t>
            </w:r>
          </w:p>
        </w:tc>
        <w:tc>
          <w:tcPr>
            <w:cnfStyle w:evenVBand="false" w:oddVBand="true" w:firstColumn="false"/>
            <w:tcW w:w="25.000000%" w:type="pct"/>
          </w:tcPr>
          <w:p>
            <w:pPr>
              <w:ind w:leftChars="0" w:left="0" w:right="0"/>
            </w:pPr>
            <w:r>
              <w:t>TP ICAP EU - MTF - LIQUIDNET EU FIXED INCOME</w:t>
            </w:r>
          </w:p>
        </w:tc>
        <w:tc>
          <w:tcPr>
            <w:cnfStyle w:evenVBand="true" w:oddVBand="false" w:firstColumn="false"/>
            <w:tcW w:w="25.000000%" w:type="pct"/>
          </w:tcPr>
          <w:p>
            <w:pPr>
              <w:ind w:leftChars="0" w:left="0" w:right="0"/>
            </w:pPr>
            <w:r>
              <w:t>1119</w:t>
            </w:r>
          </w:p>
        </w:tc>
      </w:tr>
      <w:tr>
        <w:trPr>
          <w:cnfStyle w:evenHBand="false" w:oddHBand="true" w:firstRow="false"/>
        </w:trPr>
        <w:tc>
          <w:tcPr>
            <w:cnfStyle w:evenVBand="false" w:oddVBand="true" w:firstColumn="false"/>
            <w:tcW w:w="25.000000%" w:type="pct"/>
          </w:tcPr>
          <w:p>
            <w:pPr>
              <w:ind w:leftChars="0" w:left="0" w:right="0"/>
            </w:pPr>
            <w:r>
              <w:t>LOTC</w:t>
            </w:r>
          </w:p>
        </w:tc>
        <w:tc>
          <w:tcPr>
            <w:cnfStyle w:evenVBand="true" w:oddVBand="false" w:firstColumn="false"/>
            <w:tcW w:w="25.000000%" w:type="pct"/>
          </w:tcPr>
          <w:p>
            <w:pPr>
              <w:ind w:leftChars="0" w:left="0" w:right="0"/>
            </w:pPr>
            <w:r>
              <w:t>LOTC</w:t>
            </w:r>
          </w:p>
        </w:tc>
        <w:tc>
          <w:tcPr>
            <w:cnfStyle w:evenVBand="false" w:oddVBand="true" w:firstColumn="false"/>
            <w:tcW w:w="25.000000%" w:type="pct"/>
          </w:tcPr>
          <w:p>
            <w:pPr>
              <w:ind w:leftChars="0" w:left="0" w:right="0"/>
            </w:pPr>
            <w:r>
              <w:t>OTC MARKET</w:t>
            </w:r>
          </w:p>
        </w:tc>
        <w:tc>
          <w:tcPr>
            <w:cnfStyle w:evenVBand="true" w:oddVBand="false" w:firstColumn="false"/>
            <w:tcW w:w="25.000000%" w:type="pct"/>
          </w:tcPr>
          <w:p>
            <w:pPr>
              <w:ind w:leftChars="0" w:left="0" w:right="0"/>
            </w:pPr>
            <w:r>
              <w:t>1120</w:t>
            </w:r>
          </w:p>
        </w:tc>
      </w:tr>
      <w:tr>
        <w:trPr>
          <w:cnfStyle w:evenHBand="true" w:oddHBand="false" w:firstRow="false"/>
        </w:trPr>
        <w:tc>
          <w:tcPr>
            <w:cnfStyle w:evenVBand="false" w:oddVBand="true" w:firstColumn="false"/>
            <w:tcW w:w="25.000000%" w:type="pct"/>
          </w:tcPr>
          <w:p>
            <w:pPr>
              <w:ind w:leftChars="0" w:left="0" w:right="0"/>
            </w:pPr>
            <w:r>
              <w:t>LOUI</w:t>
            </w:r>
          </w:p>
        </w:tc>
        <w:tc>
          <w:tcPr>
            <w:cnfStyle w:evenVBand="true" w:oddVBand="false" w:firstColumn="false"/>
            <w:tcW w:w="25.000000%" w:type="pct"/>
          </w:tcPr>
          <w:p>
            <w:pPr>
              <w:ind w:leftChars="0" w:left="0" w:right="0"/>
            </w:pPr>
            <w:r>
              <w:t>LOUI</w:t>
            </w:r>
          </w:p>
        </w:tc>
        <w:tc>
          <w:tcPr>
            <w:cnfStyle w:evenVBand="false" w:oddVBand="true" w:firstColumn="false"/>
            <w:tcW w:w="25.000000%" w:type="pct"/>
          </w:tcPr>
          <w:p>
            <w:pPr>
              <w:ind w:leftChars="0" w:left="0" w:right="0"/>
            </w:pPr>
            <w:r>
              <w:t>LOUIS CAPITAL MARKETS UK LLP</w:t>
            </w:r>
          </w:p>
        </w:tc>
        <w:tc>
          <w:tcPr>
            <w:cnfStyle w:evenVBand="true" w:oddVBand="false" w:firstColumn="false"/>
            <w:tcW w:w="25.000000%" w:type="pct"/>
          </w:tcPr>
          <w:p>
            <w:pPr>
              <w:ind w:leftChars="0" w:left="0" w:right="0"/>
            </w:pPr>
            <w:r>
              <w:t>1121</w:t>
            </w:r>
          </w:p>
        </w:tc>
      </w:tr>
      <w:tr>
        <w:trPr>
          <w:cnfStyle w:evenHBand="false" w:oddHBand="true" w:firstRow="false"/>
        </w:trPr>
        <w:tc>
          <w:tcPr>
            <w:cnfStyle w:evenVBand="false" w:oddVBand="true" w:firstColumn="false"/>
            <w:tcW w:w="25.000000%" w:type="pct"/>
          </w:tcPr>
          <w:p>
            <w:pPr>
              <w:ind w:leftChars="0" w:left="0" w:right="0"/>
            </w:pPr>
            <w:r>
              <w:t>LOYD</w:t>
            </w:r>
          </w:p>
        </w:tc>
        <w:tc>
          <w:tcPr>
            <w:cnfStyle w:evenVBand="true" w:oddVBand="false" w:firstColumn="false"/>
            <w:tcW w:w="25.000000%" w:type="pct"/>
          </w:tcPr>
          <w:p>
            <w:pPr>
              <w:ind w:leftChars="0" w:left="0" w:right="0"/>
            </w:pPr>
            <w:r>
              <w:t>LOYD</w:t>
            </w:r>
          </w:p>
        </w:tc>
        <w:tc>
          <w:tcPr>
            <w:cnfStyle w:evenVBand="false" w:oddVBand="true" w:firstColumn="false"/>
            <w:tcW w:w="25.000000%" w:type="pct"/>
          </w:tcPr>
          <w:p>
            <w:pPr>
              <w:ind w:leftChars="0" w:left="0" w:right="0"/>
            </w:pPr>
            <w:r>
              <w:t>LLOYDS BANK - SYSTEMATIC INTERNALISER</w:t>
            </w:r>
          </w:p>
        </w:tc>
        <w:tc>
          <w:tcPr>
            <w:cnfStyle w:evenVBand="true" w:oddVBand="false" w:firstColumn="false"/>
            <w:tcW w:w="25.000000%" w:type="pct"/>
          </w:tcPr>
          <w:p>
            <w:pPr>
              <w:ind w:leftChars="0" w:left="0" w:right="0"/>
            </w:pPr>
            <w:r>
              <w:t>1122</w:t>
            </w:r>
          </w:p>
        </w:tc>
      </w:tr>
      <w:tr>
        <w:trPr>
          <w:cnfStyle w:evenHBand="true" w:oddHBand="false" w:firstRow="false"/>
        </w:trPr>
        <w:tc>
          <w:tcPr>
            <w:cnfStyle w:evenVBand="false" w:oddVBand="true" w:firstColumn="false"/>
            <w:tcW w:w="25.000000%" w:type="pct"/>
          </w:tcPr>
          <w:p>
            <w:pPr>
              <w:ind w:leftChars="0" w:left="0" w:right="0"/>
            </w:pPr>
            <w:r>
              <w:t>LPPM</w:t>
            </w:r>
          </w:p>
        </w:tc>
        <w:tc>
          <w:tcPr>
            <w:cnfStyle w:evenVBand="true" w:oddVBand="false" w:firstColumn="false"/>
            <w:tcW w:w="25.000000%" w:type="pct"/>
          </w:tcPr>
          <w:p>
            <w:pPr>
              <w:ind w:leftChars="0" w:left="0" w:right="0"/>
            </w:pPr>
            <w:r>
              <w:t>LPPM</w:t>
            </w:r>
          </w:p>
        </w:tc>
        <w:tc>
          <w:tcPr>
            <w:cnfStyle w:evenVBand="false" w:oddVBand="true" w:firstColumn="false"/>
            <w:tcW w:w="25.000000%" w:type="pct"/>
          </w:tcPr>
          <w:p>
            <w:pPr>
              <w:ind w:leftChars="0" w:left="0" w:right="0"/>
            </w:pPr>
            <w:r>
              <w:t>LONDON PLATINUM AND PALLADIUM MARKET</w:t>
            </w:r>
          </w:p>
        </w:tc>
        <w:tc>
          <w:tcPr>
            <w:cnfStyle w:evenVBand="true" w:oddVBand="false" w:firstColumn="false"/>
            <w:tcW w:w="25.000000%" w:type="pct"/>
          </w:tcPr>
          <w:p>
            <w:pPr>
              <w:ind w:leftChars="0" w:left="0" w:right="0"/>
            </w:pPr>
            <w:r>
              <w:t>1123</w:t>
            </w:r>
          </w:p>
        </w:tc>
      </w:tr>
      <w:tr>
        <w:trPr>
          <w:cnfStyle w:evenHBand="false" w:oddHBand="true" w:firstRow="false"/>
        </w:trPr>
        <w:tc>
          <w:tcPr>
            <w:cnfStyle w:evenVBand="false" w:oddVBand="true" w:firstColumn="false"/>
            <w:tcW w:w="25.000000%" w:type="pct"/>
          </w:tcPr>
          <w:p>
            <w:pPr>
              <w:ind w:leftChars="0" w:left="0" w:right="0"/>
            </w:pPr>
            <w:r>
              <w:t>LPSF</w:t>
            </w:r>
          </w:p>
        </w:tc>
        <w:tc>
          <w:tcPr>
            <w:cnfStyle w:evenVBand="true" w:oddVBand="false" w:firstColumn="false"/>
            <w:tcW w:w="25.000000%" w:type="pct"/>
          </w:tcPr>
          <w:p>
            <w:pPr>
              <w:ind w:leftChars="0" w:left="0" w:right="0"/>
            </w:pPr>
            <w:r>
              <w:t>LPSF</w:t>
            </w:r>
          </w:p>
        </w:tc>
        <w:tc>
          <w:tcPr>
            <w:cnfStyle w:evenVBand="false" w:oddVBand="true" w:firstColumn="false"/>
            <w:tcW w:w="25.000000%" w:type="pct"/>
          </w:tcPr>
          <w:p>
            <w:pPr>
              <w:ind w:leftChars="0" w:left="0" w:right="0"/>
            </w:pPr>
            <w:r>
              <w:t>LPSFX LLC</w:t>
            </w:r>
          </w:p>
        </w:tc>
        <w:tc>
          <w:tcPr>
            <w:cnfStyle w:evenVBand="true" w:oddVBand="false" w:firstColumn="false"/>
            <w:tcW w:w="25.000000%" w:type="pct"/>
          </w:tcPr>
          <w:p>
            <w:pPr>
              <w:ind w:leftChars="0" w:left="0" w:right="0"/>
            </w:pPr>
            <w:r>
              <w:t>1124</w:t>
            </w:r>
          </w:p>
        </w:tc>
      </w:tr>
      <w:tr>
        <w:trPr>
          <w:cnfStyle w:evenHBand="true" w:oddHBand="false" w:firstRow="false"/>
        </w:trPr>
        <w:tc>
          <w:tcPr>
            <w:cnfStyle w:evenVBand="false" w:oddVBand="true" w:firstColumn="false"/>
            <w:tcW w:w="25.000000%" w:type="pct"/>
          </w:tcPr>
          <w:p>
            <w:pPr>
              <w:ind w:leftChars="0" w:left="0" w:right="0"/>
            </w:pPr>
            <w:r>
              <w:t>LQED</w:t>
            </w:r>
          </w:p>
        </w:tc>
        <w:tc>
          <w:tcPr>
            <w:cnfStyle w:evenVBand="true" w:oddVBand="false" w:firstColumn="false"/>
            <w:tcW w:w="25.000000%" w:type="pct"/>
          </w:tcPr>
          <w:p>
            <w:pPr>
              <w:ind w:leftChars="0" w:left="0" w:right="0"/>
            </w:pPr>
            <w:r>
              <w:t>LQED</w:t>
            </w:r>
          </w:p>
        </w:tc>
        <w:tc>
          <w:tcPr>
            <w:cnfStyle w:evenVBand="false" w:oddVBand="true" w:firstColumn="false"/>
            <w:tcW w:w="25.000000%" w:type="pct"/>
          </w:tcPr>
          <w:p>
            <w:pPr>
              <w:ind w:leftChars="0" w:left="0" w:right="0"/>
            </w:pPr>
            <w:r>
              <w:t>LIQUIDITYEDGE</w:t>
            </w:r>
          </w:p>
        </w:tc>
        <w:tc>
          <w:tcPr>
            <w:cnfStyle w:evenVBand="true" w:oddVBand="false" w:firstColumn="false"/>
            <w:tcW w:w="25.000000%" w:type="pct"/>
          </w:tcPr>
          <w:p>
            <w:pPr>
              <w:ind w:leftChars="0" w:left="0" w:right="0"/>
            </w:pPr>
            <w:r>
              <w:t>1125</w:t>
            </w:r>
          </w:p>
        </w:tc>
      </w:tr>
      <w:tr>
        <w:trPr>
          <w:cnfStyle w:evenHBand="false" w:oddHBand="true" w:firstRow="false"/>
        </w:trPr>
        <w:tc>
          <w:tcPr>
            <w:cnfStyle w:evenVBand="false" w:oddVBand="true" w:firstColumn="false"/>
            <w:tcW w:w="25.000000%" w:type="pct"/>
          </w:tcPr>
          <w:p>
            <w:pPr>
              <w:ind w:leftChars="0" w:left="0" w:right="0"/>
            </w:pPr>
            <w:r>
              <w:t>LQFI</w:t>
            </w:r>
          </w:p>
        </w:tc>
        <w:tc>
          <w:tcPr>
            <w:cnfStyle w:evenVBand="true" w:oddVBand="false" w:firstColumn="false"/>
            <w:tcW w:w="25.000000%" w:type="pct"/>
          </w:tcPr>
          <w:p>
            <w:pPr>
              <w:ind w:leftChars="0" w:left="0" w:right="0"/>
            </w:pPr>
            <w:r>
              <w:t>LQFI</w:t>
            </w:r>
          </w:p>
        </w:tc>
        <w:tc>
          <w:tcPr>
            <w:cnfStyle w:evenVBand="false" w:oddVBand="true" w:firstColumn="false"/>
            <w:tcW w:w="25.000000%" w:type="pct"/>
          </w:tcPr>
          <w:p>
            <w:pPr>
              <w:ind w:leftChars="0" w:left="0" w:right="0"/>
            </w:pPr>
            <w:r>
              <w:t>CITI LIQUIFI</w:t>
            </w:r>
          </w:p>
        </w:tc>
        <w:tc>
          <w:tcPr>
            <w:cnfStyle w:evenVBand="true" w:oddVBand="false" w:firstColumn="false"/>
            <w:tcW w:w="25.000000%" w:type="pct"/>
          </w:tcPr>
          <w:p>
            <w:pPr>
              <w:ind w:leftChars="0" w:left="0" w:right="0"/>
            </w:pPr>
            <w:r>
              <w:t>1126</w:t>
            </w:r>
          </w:p>
        </w:tc>
      </w:tr>
      <w:tr>
        <w:trPr>
          <w:cnfStyle w:evenHBand="true" w:oddHBand="false" w:firstRow="false"/>
        </w:trPr>
        <w:tc>
          <w:tcPr>
            <w:cnfStyle w:evenVBand="false" w:oddVBand="true" w:firstColumn="false"/>
            <w:tcW w:w="25.000000%" w:type="pct"/>
          </w:tcPr>
          <w:p>
            <w:pPr>
              <w:ind w:leftChars="0" w:left="0" w:right="0"/>
            </w:pPr>
            <w:r>
              <w:t>LSSI</w:t>
            </w:r>
          </w:p>
        </w:tc>
        <w:tc>
          <w:tcPr>
            <w:cnfStyle w:evenVBand="true" w:oddVBand="false" w:firstColumn="false"/>
            <w:tcW w:w="25.000000%" w:type="pct"/>
          </w:tcPr>
          <w:p>
            <w:pPr>
              <w:ind w:leftChars="0" w:left="0" w:right="0"/>
            </w:pPr>
            <w:r>
              <w:t>LSSI</w:t>
            </w:r>
          </w:p>
        </w:tc>
        <w:tc>
          <w:tcPr>
            <w:cnfStyle w:evenVBand="false" w:oddVBand="true" w:firstColumn="false"/>
            <w:tcW w:w="25.000000%" w:type="pct"/>
          </w:tcPr>
          <w:p>
            <w:pPr>
              <w:ind w:leftChars="0" w:left="0" w:right="0"/>
            </w:pPr>
            <w:r>
              <w:t>LANG AND SCHWARZ TRADE CENTER - SYSTEMATIC INTERNALISER</w:t>
            </w:r>
          </w:p>
        </w:tc>
        <w:tc>
          <w:tcPr>
            <w:cnfStyle w:evenVBand="true" w:oddVBand="false" w:firstColumn="false"/>
            <w:tcW w:w="25.000000%" w:type="pct"/>
          </w:tcPr>
          <w:p>
            <w:pPr>
              <w:ind w:leftChars="0" w:left="0" w:right="0"/>
            </w:pPr>
            <w:r>
              <w:t>1127</w:t>
            </w:r>
          </w:p>
        </w:tc>
      </w:tr>
      <w:tr>
        <w:trPr>
          <w:cnfStyle w:evenHBand="false" w:oddHBand="true" w:firstRow="false"/>
        </w:trPr>
        <w:tc>
          <w:tcPr>
            <w:cnfStyle w:evenVBand="false" w:oddVBand="true" w:firstColumn="false"/>
            <w:tcW w:w="25.000000%" w:type="pct"/>
          </w:tcPr>
          <w:p>
            <w:pPr>
              <w:ind w:leftChars="0" w:left="0" w:right="0"/>
            </w:pPr>
            <w:r>
              <w:t>LTAA</w:t>
            </w:r>
          </w:p>
        </w:tc>
        <w:tc>
          <w:tcPr>
            <w:cnfStyle w:evenVBand="true" w:oddVBand="false" w:firstColumn="false"/>
            <w:tcW w:w="25.000000%" w:type="pct"/>
          </w:tcPr>
          <w:p>
            <w:pPr>
              <w:ind w:leftChars="0" w:left="0" w:right="0"/>
            </w:pPr>
            <w:r>
              <w:t>LTAA</w:t>
            </w:r>
          </w:p>
        </w:tc>
        <w:tc>
          <w:tcPr>
            <w:cnfStyle w:evenVBand="false" w:oddVBand="true" w:firstColumn="false"/>
            <w:tcW w:w="25.000000%" w:type="pct"/>
          </w:tcPr>
          <w:p>
            <w:pPr>
              <w:ind w:leftChars="0" w:left="0" w:right="0"/>
            </w:pPr>
            <w:r>
              <w:t>LUMINEX TRADING &amp; ANALYTICS LLC</w:t>
            </w:r>
          </w:p>
        </w:tc>
        <w:tc>
          <w:tcPr>
            <w:cnfStyle w:evenVBand="true" w:oddVBand="false" w:firstColumn="false"/>
            <w:tcW w:w="25.000000%" w:type="pct"/>
          </w:tcPr>
          <w:p>
            <w:pPr>
              <w:ind w:leftChars="0" w:left="0" w:right="0"/>
            </w:pPr>
            <w:r>
              <w:t>1128</w:t>
            </w:r>
          </w:p>
        </w:tc>
      </w:tr>
      <w:tr>
        <w:trPr>
          <w:cnfStyle w:evenHBand="true" w:oddHBand="false" w:firstRow="false"/>
        </w:trPr>
        <w:tc>
          <w:tcPr>
            <w:cnfStyle w:evenVBand="false" w:oddVBand="true" w:firstColumn="false"/>
            <w:tcW w:w="25.000000%" w:type="pct"/>
          </w:tcPr>
          <w:p>
            <w:pPr>
              <w:ind w:leftChars="0" w:left="0" w:right="0"/>
            </w:pPr>
            <w:r>
              <w:t>LTSE</w:t>
            </w:r>
          </w:p>
        </w:tc>
        <w:tc>
          <w:tcPr>
            <w:cnfStyle w:evenVBand="true" w:oddVBand="false" w:firstColumn="false"/>
            <w:tcW w:w="25.000000%" w:type="pct"/>
          </w:tcPr>
          <w:p>
            <w:pPr>
              <w:ind w:leftChars="0" w:left="0" w:right="0"/>
            </w:pPr>
            <w:r>
              <w:t>LTSE</w:t>
            </w:r>
          </w:p>
        </w:tc>
        <w:tc>
          <w:tcPr>
            <w:cnfStyle w:evenVBand="false" w:oddVBand="true" w:firstColumn="false"/>
            <w:tcW w:w="25.000000%" w:type="pct"/>
          </w:tcPr>
          <w:p>
            <w:pPr>
              <w:ind w:leftChars="0" w:left="0" w:right="0"/>
            </w:pPr>
            <w:r>
              <w:t>LONG-TERM STOCK EXCHANGE, INC.</w:t>
            </w:r>
          </w:p>
        </w:tc>
        <w:tc>
          <w:tcPr>
            <w:cnfStyle w:evenVBand="true" w:oddVBand="false" w:firstColumn="false"/>
            <w:tcW w:w="25.000000%" w:type="pct"/>
          </w:tcPr>
          <w:p>
            <w:pPr>
              <w:ind w:leftChars="0" w:left="0" w:right="0"/>
            </w:pPr>
            <w:r>
              <w:t>1129</w:t>
            </w:r>
          </w:p>
        </w:tc>
      </w:tr>
      <w:tr>
        <w:trPr>
          <w:cnfStyle w:evenHBand="false" w:oddHBand="true" w:firstRow="false"/>
        </w:trPr>
        <w:tc>
          <w:tcPr>
            <w:cnfStyle w:evenVBand="false" w:oddVBand="true" w:firstColumn="false"/>
            <w:tcW w:w="25.000000%" w:type="pct"/>
          </w:tcPr>
          <w:p>
            <w:pPr>
              <w:ind w:leftChars="0" w:left="0" w:right="0"/>
            </w:pPr>
            <w:r>
              <w:t>LXJP</w:t>
            </w:r>
          </w:p>
        </w:tc>
        <w:tc>
          <w:tcPr>
            <w:cnfStyle w:evenVBand="true" w:oddVBand="false" w:firstColumn="false"/>
            <w:tcW w:w="25.000000%" w:type="pct"/>
          </w:tcPr>
          <w:p>
            <w:pPr>
              <w:ind w:leftChars="0" w:left="0" w:right="0"/>
            </w:pPr>
            <w:r>
              <w:t>LXJP</w:t>
            </w:r>
          </w:p>
        </w:tc>
        <w:tc>
          <w:tcPr>
            <w:cnfStyle w:evenVBand="false" w:oddVBand="true" w:firstColumn="false"/>
            <w:tcW w:w="25.000000%" w:type="pct"/>
          </w:tcPr>
          <w:p>
            <w:pPr>
              <w:ind w:leftChars="0" w:left="0" w:right="0"/>
            </w:pPr>
            <w:r>
              <w:t>BARCLAYS LX JAPAN</w:t>
            </w:r>
          </w:p>
        </w:tc>
        <w:tc>
          <w:tcPr>
            <w:cnfStyle w:evenVBand="true" w:oddVBand="false" w:firstColumn="false"/>
            <w:tcW w:w="25.000000%" w:type="pct"/>
          </w:tcPr>
          <w:p>
            <w:pPr>
              <w:ind w:leftChars="0" w:left="0" w:right="0"/>
            </w:pPr>
            <w:r>
              <w:t>1130</w:t>
            </w:r>
          </w:p>
        </w:tc>
      </w:tr>
      <w:tr>
        <w:trPr>
          <w:cnfStyle w:evenHBand="true" w:oddHBand="false" w:firstRow="false"/>
        </w:trPr>
        <w:tc>
          <w:tcPr>
            <w:cnfStyle w:evenVBand="false" w:oddVBand="true" w:firstColumn="false"/>
            <w:tcW w:w="25.000000%" w:type="pct"/>
          </w:tcPr>
          <w:p>
            <w:pPr>
              <w:ind w:leftChars="0" w:left="0" w:right="0"/>
            </w:pPr>
            <w:r>
              <w:t>LYNX</w:t>
            </w:r>
          </w:p>
        </w:tc>
        <w:tc>
          <w:tcPr>
            <w:cnfStyle w:evenVBand="true" w:oddVBand="false" w:firstColumn="false"/>
            <w:tcW w:w="25.000000%" w:type="pct"/>
          </w:tcPr>
          <w:p>
            <w:pPr>
              <w:ind w:leftChars="0" w:left="0" w:right="0"/>
            </w:pPr>
            <w:r>
              <w:t>LYNX</w:t>
            </w:r>
          </w:p>
        </w:tc>
        <w:tc>
          <w:tcPr>
            <w:cnfStyle w:evenVBand="false" w:oddVBand="true" w:firstColumn="false"/>
            <w:tcW w:w="25.000000%" w:type="pct"/>
          </w:tcPr>
          <w:p>
            <w:pPr>
              <w:ind w:leftChars="0" w:left="0" w:right="0"/>
            </w:pPr>
            <w:r>
              <w:t>LYNX ATS</w:t>
            </w:r>
          </w:p>
        </w:tc>
        <w:tc>
          <w:tcPr>
            <w:cnfStyle w:evenVBand="true" w:oddVBand="false" w:firstColumn="false"/>
            <w:tcW w:w="25.000000%" w:type="pct"/>
          </w:tcPr>
          <w:p>
            <w:pPr>
              <w:ind w:leftChars="0" w:left="0" w:right="0"/>
            </w:pPr>
            <w:r>
              <w:t>1131</w:t>
            </w:r>
          </w:p>
        </w:tc>
      </w:tr>
      <w:tr>
        <w:trPr>
          <w:cnfStyle w:evenHBand="false" w:oddHBand="true" w:firstRow="false"/>
        </w:trPr>
        <w:tc>
          <w:tcPr>
            <w:cnfStyle w:evenVBand="false" w:oddVBand="true" w:firstColumn="false"/>
            <w:tcW w:w="25.000000%" w:type="pct"/>
          </w:tcPr>
          <w:p>
            <w:pPr>
              <w:ind w:leftChars="0" w:left="0" w:right="0"/>
            </w:pPr>
            <w:r>
              <w:t>MABX</w:t>
            </w:r>
          </w:p>
        </w:tc>
        <w:tc>
          <w:tcPr>
            <w:cnfStyle w:evenVBand="true" w:oddVBand="false" w:firstColumn="false"/>
            <w:tcW w:w="25.000000%" w:type="pct"/>
          </w:tcPr>
          <w:p>
            <w:pPr>
              <w:ind w:leftChars="0" w:left="0" w:right="0"/>
            </w:pPr>
            <w:r>
              <w:t>MABX</w:t>
            </w:r>
          </w:p>
        </w:tc>
        <w:tc>
          <w:tcPr>
            <w:cnfStyle w:evenVBand="false" w:oddVBand="true" w:firstColumn="false"/>
            <w:tcW w:w="25.000000%" w:type="pct"/>
          </w:tcPr>
          <w:p>
            <w:pPr>
              <w:ind w:leftChars="0" w:left="0" w:right="0"/>
            </w:pPr>
            <w:r>
              <w:t>BME MTF EQUITY (IIC AND ECR SEGMENTS)</w:t>
            </w:r>
          </w:p>
        </w:tc>
        <w:tc>
          <w:tcPr>
            <w:cnfStyle w:evenVBand="true" w:oddVBand="false" w:firstColumn="false"/>
            <w:tcW w:w="25.000000%" w:type="pct"/>
          </w:tcPr>
          <w:p>
            <w:pPr>
              <w:ind w:leftChars="0" w:left="0" w:right="0"/>
            </w:pPr>
            <w:r>
              <w:t>1132</w:t>
            </w:r>
          </w:p>
        </w:tc>
      </w:tr>
      <w:tr>
        <w:trPr>
          <w:cnfStyle w:evenHBand="true" w:oddHBand="false" w:firstRow="false"/>
        </w:trPr>
        <w:tc>
          <w:tcPr>
            <w:cnfStyle w:evenVBand="false" w:oddVBand="true" w:firstColumn="false"/>
            <w:tcW w:w="25.000000%" w:type="pct"/>
          </w:tcPr>
          <w:p>
            <w:pPr>
              <w:ind w:leftChars="0" w:left="0" w:right="0"/>
            </w:pPr>
            <w:r>
              <w:t>MACB</w:t>
            </w:r>
          </w:p>
        </w:tc>
        <w:tc>
          <w:tcPr>
            <w:cnfStyle w:evenVBand="true" w:oddVBand="false" w:firstColumn="false"/>
            <w:tcW w:w="25.000000%" w:type="pct"/>
          </w:tcPr>
          <w:p>
            <w:pPr>
              <w:ind w:leftChars="0" w:left="0" w:right="0"/>
            </w:pPr>
            <w:r>
              <w:t>MACB</w:t>
            </w:r>
          </w:p>
        </w:tc>
        <w:tc>
          <w:tcPr>
            <w:cnfStyle w:evenVBand="false" w:oddVBand="true" w:firstColumn="false"/>
            <w:tcW w:w="25.000000%" w:type="pct"/>
          </w:tcPr>
          <w:p>
            <w:pPr>
              <w:ind w:leftChars="0" w:left="0" w:right="0"/>
            </w:pPr>
            <w:r>
              <w:t>MACQUARIE AUSTRALIA BLOCK CROSSING</w:t>
            </w:r>
          </w:p>
        </w:tc>
        <w:tc>
          <w:tcPr>
            <w:cnfStyle w:evenVBand="true" w:oddVBand="false" w:firstColumn="false"/>
            <w:tcW w:w="25.000000%" w:type="pct"/>
          </w:tcPr>
          <w:p>
            <w:pPr>
              <w:ind w:leftChars="0" w:left="0" w:right="0"/>
            </w:pPr>
            <w:r>
              <w:t>1133</w:t>
            </w:r>
          </w:p>
        </w:tc>
      </w:tr>
      <w:tr>
        <w:trPr>
          <w:cnfStyle w:evenHBand="false" w:oddHBand="true" w:firstRow="false"/>
        </w:trPr>
        <w:tc>
          <w:tcPr>
            <w:cnfStyle w:evenVBand="false" w:oddVBand="true" w:firstColumn="false"/>
            <w:tcW w:w="25.000000%" w:type="pct"/>
          </w:tcPr>
          <w:p>
            <w:pPr>
              <w:ind w:leftChars="0" w:left="0" w:right="0"/>
            </w:pPr>
            <w:r>
              <w:t>MACX</w:t>
            </w:r>
          </w:p>
        </w:tc>
        <w:tc>
          <w:tcPr>
            <w:cnfStyle w:evenVBand="true" w:oddVBand="false" w:firstColumn="false"/>
            <w:tcW w:w="25.000000%" w:type="pct"/>
          </w:tcPr>
          <w:p>
            <w:pPr>
              <w:ind w:leftChars="0" w:left="0" w:right="0"/>
            </w:pPr>
            <w:r>
              <w:t>MACX</w:t>
            </w:r>
          </w:p>
        </w:tc>
        <w:tc>
          <w:tcPr>
            <w:cnfStyle w:evenVBand="false" w:oddVBand="true" w:firstColumn="false"/>
            <w:tcW w:w="25.000000%" w:type="pct"/>
          </w:tcPr>
          <w:p>
            <w:pPr>
              <w:ind w:leftChars="0" w:left="0" w:right="0"/>
            </w:pPr>
            <w:r>
              <w:t>MERCATO ALTERNATIVO DEL CAPITALE</w:t>
            </w:r>
          </w:p>
        </w:tc>
        <w:tc>
          <w:tcPr>
            <w:cnfStyle w:evenVBand="true" w:oddVBand="false" w:firstColumn="false"/>
            <w:tcW w:w="25.000000%" w:type="pct"/>
          </w:tcPr>
          <w:p>
            <w:pPr>
              <w:ind w:leftChars="0" w:left="0" w:right="0"/>
            </w:pPr>
            <w:r>
              <w:t>1134</w:t>
            </w:r>
          </w:p>
        </w:tc>
      </w:tr>
      <w:tr>
        <w:trPr>
          <w:cnfStyle w:evenHBand="true" w:oddHBand="false" w:firstRow="false"/>
        </w:trPr>
        <w:tc>
          <w:tcPr>
            <w:cnfStyle w:evenVBand="false" w:oddVBand="true" w:firstColumn="false"/>
            <w:tcW w:w="25.000000%" w:type="pct"/>
          </w:tcPr>
          <w:p>
            <w:pPr>
              <w:ind w:leftChars="0" w:left="0" w:right="0"/>
            </w:pPr>
            <w:r>
              <w:t>MAEL</w:t>
            </w:r>
          </w:p>
        </w:tc>
        <w:tc>
          <w:tcPr>
            <w:cnfStyle w:evenVBand="true" w:oddVBand="false" w:firstColumn="false"/>
            <w:tcW w:w="25.000000%" w:type="pct"/>
          </w:tcPr>
          <w:p>
            <w:pPr>
              <w:ind w:leftChars="0" w:left="0" w:right="0"/>
            </w:pPr>
            <w:r>
              <w:t>MAEL</w:t>
            </w:r>
          </w:p>
        </w:tc>
        <w:tc>
          <w:tcPr>
            <w:cnfStyle w:evenVBand="false" w:oddVBand="true" w:firstColumn="false"/>
            <w:tcW w:w="25.000000%" w:type="pct"/>
          </w:tcPr>
          <w:p>
            <w:pPr>
              <w:ind w:leftChars="0" w:left="0" w:right="0"/>
            </w:pPr>
            <w:r>
              <w:t>MARKETAXESS EUROPE LIMITED</w:t>
            </w:r>
          </w:p>
        </w:tc>
        <w:tc>
          <w:tcPr>
            <w:cnfStyle w:evenVBand="true" w:oddVBand="false" w:firstColumn="false"/>
            <w:tcW w:w="25.000000%" w:type="pct"/>
          </w:tcPr>
          <w:p>
            <w:pPr>
              <w:ind w:leftChars="0" w:left="0" w:right="0"/>
            </w:pPr>
            <w:r>
              <w:t>1135</w:t>
            </w:r>
          </w:p>
        </w:tc>
      </w:tr>
      <w:tr>
        <w:trPr>
          <w:cnfStyle w:evenHBand="false" w:oddHBand="true" w:firstRow="false"/>
        </w:trPr>
        <w:tc>
          <w:tcPr>
            <w:cnfStyle w:evenVBand="false" w:oddVBand="true" w:firstColumn="false"/>
            <w:tcW w:w="25.000000%" w:type="pct"/>
          </w:tcPr>
          <w:p>
            <w:pPr>
              <w:ind w:leftChars="0" w:left="0" w:right="0"/>
            </w:pPr>
            <w:r>
              <w:t>MAGM</w:t>
            </w:r>
          </w:p>
        </w:tc>
        <w:tc>
          <w:tcPr>
            <w:cnfStyle w:evenVBand="true" w:oddVBand="false" w:firstColumn="false"/>
            <w:tcW w:w="25.000000%" w:type="pct"/>
          </w:tcPr>
          <w:p>
            <w:pPr>
              <w:ind w:leftChars="0" w:left="0" w:right="0"/>
            </w:pPr>
            <w:r>
              <w:t>MAGM</w:t>
            </w:r>
          </w:p>
        </w:tc>
        <w:tc>
          <w:tcPr>
            <w:cnfStyle w:evenVBand="false" w:oddVBand="true" w:firstColumn="false"/>
            <w:tcW w:w="25.000000%" w:type="pct"/>
          </w:tcPr>
          <w:p>
            <w:pPr>
              <w:ind w:leftChars="0" w:left="0" w:right="0"/>
            </w:pPr>
            <w:r>
              <w:t>MAGMA ATS</w:t>
            </w:r>
          </w:p>
        </w:tc>
        <w:tc>
          <w:tcPr>
            <w:cnfStyle w:evenVBand="true" w:oddVBand="false" w:firstColumn="false"/>
            <w:tcW w:w="25.000000%" w:type="pct"/>
          </w:tcPr>
          <w:p>
            <w:pPr>
              <w:ind w:leftChars="0" w:left="0" w:right="0"/>
            </w:pPr>
            <w:r>
              <w:t>1136</w:t>
            </w:r>
          </w:p>
        </w:tc>
      </w:tr>
      <w:tr>
        <w:trPr>
          <w:cnfStyle w:evenHBand="true" w:oddHBand="false" w:firstRow="false"/>
        </w:trPr>
        <w:tc>
          <w:tcPr>
            <w:cnfStyle w:evenVBand="false" w:oddVBand="true" w:firstColumn="false"/>
            <w:tcW w:w="25.000000%" w:type="pct"/>
          </w:tcPr>
          <w:p>
            <w:pPr>
              <w:ind w:leftChars="0" w:left="0" w:right="0"/>
            </w:pPr>
            <w:r>
              <w:t>MAKX</w:t>
            </w:r>
          </w:p>
        </w:tc>
        <w:tc>
          <w:tcPr>
            <w:cnfStyle w:evenVBand="true" w:oddVBand="false" w:firstColumn="false"/>
            <w:tcW w:w="25.000000%" w:type="pct"/>
          </w:tcPr>
          <w:p>
            <w:pPr>
              <w:ind w:leftChars="0" w:left="0" w:right="0"/>
            </w:pPr>
            <w:r>
              <w:t>MAKX</w:t>
            </w:r>
          </w:p>
        </w:tc>
        <w:tc>
          <w:tcPr>
            <w:cnfStyle w:evenVBand="false" w:oddVBand="true" w:firstColumn="false"/>
            <w:tcW w:w="25.000000%" w:type="pct"/>
          </w:tcPr>
          <w:p>
            <w:pPr>
              <w:ind w:leftChars="0" w:left="0" w:right="0"/>
            </w:pPr>
            <w:r>
              <w:t>MAKOR SECURITIES LONDON LTD</w:t>
            </w:r>
          </w:p>
        </w:tc>
        <w:tc>
          <w:tcPr>
            <w:cnfStyle w:evenVBand="true" w:oddVBand="false" w:firstColumn="false"/>
            <w:tcW w:w="25.000000%" w:type="pct"/>
          </w:tcPr>
          <w:p>
            <w:pPr>
              <w:ind w:leftChars="0" w:left="0" w:right="0"/>
            </w:pPr>
            <w:r>
              <w:t>1137</w:t>
            </w:r>
          </w:p>
        </w:tc>
      </w:tr>
      <w:tr>
        <w:trPr>
          <w:cnfStyle w:evenHBand="false" w:oddHBand="true" w:firstRow="false"/>
        </w:trPr>
        <w:tc>
          <w:tcPr>
            <w:cnfStyle w:evenVBand="false" w:oddVBand="true" w:firstColumn="false"/>
            <w:tcW w:w="25.000000%" w:type="pct"/>
          </w:tcPr>
          <w:p>
            <w:pPr>
              <w:ind w:leftChars="0" w:left="0" w:right="0"/>
            </w:pPr>
            <w:r>
              <w:t>MALM</w:t>
            </w:r>
          </w:p>
        </w:tc>
        <w:tc>
          <w:tcPr>
            <w:cnfStyle w:evenVBand="true" w:oddVBand="false" w:firstColumn="false"/>
            <w:tcW w:w="25.000000%" w:type="pct"/>
          </w:tcPr>
          <w:p>
            <w:pPr>
              <w:ind w:leftChars="0" w:left="0" w:right="0"/>
            </w:pPr>
            <w:r>
              <w:t>MALM</w:t>
            </w:r>
          </w:p>
        </w:tc>
        <w:tc>
          <w:tcPr>
            <w:cnfStyle w:evenVBand="false" w:oddVBand="true" w:firstColumn="false"/>
            <w:tcW w:w="25.000000%" w:type="pct"/>
          </w:tcPr>
          <w:p>
            <w:pPr>
              <w:ind w:leftChars="0" w:left="0" w:right="0"/>
            </w:pPr>
            <w:r>
              <w:t>MARKETAXESS SINGAPORE PTE LIMITED - LIVE MARKETS</w:t>
            </w:r>
          </w:p>
        </w:tc>
        <w:tc>
          <w:tcPr>
            <w:cnfStyle w:evenVBand="true" w:oddVBand="false" w:firstColumn="false"/>
            <w:tcW w:w="25.000000%" w:type="pct"/>
          </w:tcPr>
          <w:p>
            <w:pPr>
              <w:ind w:leftChars="0" w:left="0" w:right="0"/>
            </w:pPr>
            <w:r>
              <w:t>1138</w:t>
            </w:r>
          </w:p>
        </w:tc>
      </w:tr>
      <w:tr>
        <w:trPr>
          <w:cnfStyle w:evenHBand="true" w:oddHBand="false" w:firstRow="false"/>
        </w:trPr>
        <w:tc>
          <w:tcPr>
            <w:cnfStyle w:evenVBand="false" w:oddVBand="true" w:firstColumn="false"/>
            <w:tcW w:w="25.000000%" w:type="pct"/>
          </w:tcPr>
          <w:p>
            <w:pPr>
              <w:ind w:leftChars="0" w:left="0" w:right="0"/>
            </w:pPr>
            <w:r>
              <w:t>MALX</w:t>
            </w:r>
          </w:p>
        </w:tc>
        <w:tc>
          <w:tcPr>
            <w:cnfStyle w:evenVBand="true" w:oddVBand="false" w:firstColumn="false"/>
            <w:tcW w:w="25.000000%" w:type="pct"/>
          </w:tcPr>
          <w:p>
            <w:pPr>
              <w:ind w:leftChars="0" w:left="0" w:right="0"/>
            </w:pPr>
            <w:r>
              <w:t>MALX</w:t>
            </w:r>
          </w:p>
        </w:tc>
        <w:tc>
          <w:tcPr>
            <w:cnfStyle w:evenVBand="false" w:oddVBand="true" w:firstColumn="false"/>
            <w:tcW w:w="25.000000%" w:type="pct"/>
          </w:tcPr>
          <w:p>
            <w:pPr>
              <w:ind w:leftChars="0" w:left="0" w:right="0"/>
            </w:pPr>
            <w:r>
              <w:t>MALDIVES STOCK EXCHANGE</w:t>
            </w:r>
          </w:p>
        </w:tc>
        <w:tc>
          <w:tcPr>
            <w:cnfStyle w:evenVBand="true" w:oddVBand="false" w:firstColumn="false"/>
            <w:tcW w:w="25.000000%" w:type="pct"/>
          </w:tcPr>
          <w:p>
            <w:pPr>
              <w:ind w:leftChars="0" w:left="0" w:right="0"/>
            </w:pPr>
            <w:r>
              <w:t>1139</w:t>
            </w:r>
          </w:p>
        </w:tc>
      </w:tr>
      <w:tr>
        <w:trPr>
          <w:cnfStyle w:evenHBand="false" w:oddHBand="true" w:firstRow="false"/>
        </w:trPr>
        <w:tc>
          <w:tcPr>
            <w:cnfStyle w:evenVBand="false" w:oddVBand="true" w:firstColumn="false"/>
            <w:tcW w:w="25.000000%" w:type="pct"/>
          </w:tcPr>
          <w:p>
            <w:pPr>
              <w:ind w:leftChars="0" w:left="0" w:right="0"/>
            </w:pPr>
            <w:r>
              <w:t>MANL</w:t>
            </w:r>
          </w:p>
        </w:tc>
        <w:tc>
          <w:tcPr>
            <w:cnfStyle w:evenVBand="true" w:oddVBand="false" w:firstColumn="false"/>
            <w:tcW w:w="25.000000%" w:type="pct"/>
          </w:tcPr>
          <w:p>
            <w:pPr>
              <w:ind w:leftChars="0" w:left="0" w:right="0"/>
            </w:pPr>
            <w:r>
              <w:t>MANL</w:t>
            </w:r>
          </w:p>
        </w:tc>
        <w:tc>
          <w:tcPr>
            <w:cnfStyle w:evenVBand="false" w:oddVBand="true" w:firstColumn="false"/>
            <w:tcW w:w="25.000000%" w:type="pct"/>
          </w:tcPr>
          <w:p>
            <w:pPr>
              <w:ind w:leftChars="0" w:left="0" w:right="0"/>
            </w:pPr>
            <w:r>
              <w:t>MARKETAXESS NL B.V.</w:t>
            </w:r>
          </w:p>
        </w:tc>
        <w:tc>
          <w:tcPr>
            <w:cnfStyle w:evenVBand="true" w:oddVBand="false" w:firstColumn="false"/>
            <w:tcW w:w="25.000000%" w:type="pct"/>
          </w:tcPr>
          <w:p>
            <w:pPr>
              <w:ind w:leftChars="0" w:left="0" w:right="0"/>
            </w:pPr>
            <w:r>
              <w:t>1140</w:t>
            </w:r>
          </w:p>
        </w:tc>
      </w:tr>
      <w:tr>
        <w:trPr>
          <w:cnfStyle w:evenHBand="true" w:oddHBand="false" w:firstRow="false"/>
        </w:trPr>
        <w:tc>
          <w:tcPr>
            <w:cnfStyle w:evenVBand="false" w:oddVBand="true" w:firstColumn="false"/>
            <w:tcW w:w="25.000000%" w:type="pct"/>
          </w:tcPr>
          <w:p>
            <w:pPr>
              <w:ind w:leftChars="0" w:left="0" w:right="0"/>
            </w:pPr>
            <w:r>
              <w:t>MAQE</w:t>
            </w:r>
          </w:p>
        </w:tc>
        <w:tc>
          <w:tcPr>
            <w:cnfStyle w:evenVBand="true" w:oddVBand="false" w:firstColumn="false"/>
            <w:tcW w:w="25.000000%" w:type="pct"/>
          </w:tcPr>
          <w:p>
            <w:pPr>
              <w:ind w:leftChars="0" w:left="0" w:right="0"/>
            </w:pPr>
            <w:r>
              <w:t>MAQE</w:t>
            </w:r>
          </w:p>
        </w:tc>
        <w:tc>
          <w:tcPr>
            <w:cnfStyle w:evenVBand="false" w:oddVBand="true" w:firstColumn="false"/>
            <w:tcW w:w="25.000000%" w:type="pct"/>
          </w:tcPr>
          <w:p>
            <w:pPr>
              <w:ind w:leftChars="0" w:left="0" w:right="0"/>
            </w:pPr>
            <w:r>
              <w:t>MACQUARIE BANK EUROPE DESIGNATED ACTIVITY COMPANY - SYSTEMATIC INTERNALISER</w:t>
            </w:r>
          </w:p>
        </w:tc>
        <w:tc>
          <w:tcPr>
            <w:cnfStyle w:evenVBand="true" w:oddVBand="false" w:firstColumn="false"/>
            <w:tcW w:w="25.000000%" w:type="pct"/>
          </w:tcPr>
          <w:p>
            <w:pPr>
              <w:ind w:leftChars="0" w:left="0" w:right="0"/>
            </w:pPr>
            <w:r>
              <w:t>1141</w:t>
            </w:r>
          </w:p>
        </w:tc>
      </w:tr>
      <w:tr>
        <w:trPr>
          <w:cnfStyle w:evenHBand="false" w:oddHBand="true" w:firstRow="false"/>
        </w:trPr>
        <w:tc>
          <w:tcPr>
            <w:cnfStyle w:evenVBand="false" w:oddVBand="true" w:firstColumn="false"/>
            <w:tcW w:w="25.000000%" w:type="pct"/>
          </w:tcPr>
          <w:p>
            <w:pPr>
              <w:ind w:leftChars="0" w:left="0" w:right="0"/>
            </w:pPr>
            <w:r>
              <w:t>MAQH</w:t>
            </w:r>
          </w:p>
        </w:tc>
        <w:tc>
          <w:tcPr>
            <w:cnfStyle w:evenVBand="true" w:oddVBand="false" w:firstColumn="false"/>
            <w:tcW w:w="25.000000%" w:type="pct"/>
          </w:tcPr>
          <w:p>
            <w:pPr>
              <w:ind w:leftChars="0" w:left="0" w:right="0"/>
            </w:pPr>
            <w:r>
              <w:t>MAQH</w:t>
            </w:r>
          </w:p>
        </w:tc>
        <w:tc>
          <w:tcPr>
            <w:cnfStyle w:evenVBand="false" w:oddVBand="true" w:firstColumn="false"/>
            <w:tcW w:w="25.000000%" w:type="pct"/>
          </w:tcPr>
          <w:p>
            <w:pPr>
              <w:ind w:leftChars="0" w:left="0" w:right="0"/>
            </w:pPr>
            <w:r>
              <w:t>MACQUARIE INTERNAL MARKETS (HONG KONG)</w:t>
            </w:r>
          </w:p>
        </w:tc>
        <w:tc>
          <w:tcPr>
            <w:cnfStyle w:evenVBand="true" w:oddVBand="false" w:firstColumn="false"/>
            <w:tcW w:w="25.000000%" w:type="pct"/>
          </w:tcPr>
          <w:p>
            <w:pPr>
              <w:ind w:leftChars="0" w:left="0" w:right="0"/>
            </w:pPr>
            <w:r>
              <w:t>1142</w:t>
            </w:r>
          </w:p>
        </w:tc>
      </w:tr>
      <w:tr>
        <w:trPr>
          <w:cnfStyle w:evenHBand="true" w:oddHBand="false" w:firstRow="false"/>
        </w:trPr>
        <w:tc>
          <w:tcPr>
            <w:cnfStyle w:evenVBand="false" w:oddVBand="true" w:firstColumn="false"/>
            <w:tcW w:w="25.000000%" w:type="pct"/>
          </w:tcPr>
          <w:p>
            <w:pPr>
              <w:ind w:leftChars="0" w:left="0" w:right="0"/>
            </w:pPr>
            <w:r>
              <w:t>MAQI</w:t>
            </w:r>
          </w:p>
        </w:tc>
        <w:tc>
          <w:tcPr>
            <w:cnfStyle w:evenVBand="true" w:oddVBand="false" w:firstColumn="false"/>
            <w:tcW w:w="25.000000%" w:type="pct"/>
          </w:tcPr>
          <w:p>
            <w:pPr>
              <w:ind w:leftChars="0" w:left="0" w:right="0"/>
            </w:pPr>
            <w:r>
              <w:t>MAQI</w:t>
            </w:r>
          </w:p>
        </w:tc>
        <w:tc>
          <w:tcPr>
            <w:cnfStyle w:evenVBand="false" w:oddVBand="true" w:firstColumn="false"/>
            <w:tcW w:w="25.000000%" w:type="pct"/>
          </w:tcPr>
          <w:p>
            <w:pPr>
              <w:ind w:leftChars="0" w:left="0" w:right="0"/>
            </w:pPr>
            <w:r>
              <w:t>MACQUARIE BANK INTERNATIONAL LIMITED - SYSTEMATIC INTERNALISER</w:t>
            </w:r>
          </w:p>
        </w:tc>
        <w:tc>
          <w:tcPr>
            <w:cnfStyle w:evenVBand="true" w:oddVBand="false" w:firstColumn="false"/>
            <w:tcW w:w="25.000000%" w:type="pct"/>
          </w:tcPr>
          <w:p>
            <w:pPr>
              <w:ind w:leftChars="0" w:left="0" w:right="0"/>
            </w:pPr>
            <w:r>
              <w:t>1143</w:t>
            </w:r>
          </w:p>
        </w:tc>
      </w:tr>
      <w:tr>
        <w:trPr>
          <w:cnfStyle w:evenHBand="false" w:oddHBand="true" w:firstRow="false"/>
        </w:trPr>
        <w:tc>
          <w:tcPr>
            <w:cnfStyle w:evenVBand="false" w:oddVBand="true" w:firstColumn="false"/>
            <w:tcW w:w="25.000000%" w:type="pct"/>
          </w:tcPr>
          <w:p>
            <w:pPr>
              <w:ind w:leftChars="0" w:left="0" w:right="0"/>
            </w:pPr>
            <w:r>
              <w:t>MAQJ</w:t>
            </w:r>
          </w:p>
        </w:tc>
        <w:tc>
          <w:tcPr>
            <w:cnfStyle w:evenVBand="true" w:oddVBand="false" w:firstColumn="false"/>
            <w:tcW w:w="25.000000%" w:type="pct"/>
          </w:tcPr>
          <w:p>
            <w:pPr>
              <w:ind w:leftChars="0" w:left="0" w:right="0"/>
            </w:pPr>
            <w:r>
              <w:t>MAQJ</w:t>
            </w:r>
          </w:p>
        </w:tc>
        <w:tc>
          <w:tcPr>
            <w:cnfStyle w:evenVBand="false" w:oddVBand="true" w:firstColumn="false"/>
            <w:tcW w:w="25.000000%" w:type="pct"/>
          </w:tcPr>
          <w:p>
            <w:pPr>
              <w:ind w:leftChars="0" w:left="0" w:right="0"/>
            </w:pPr>
            <w:r>
              <w:t>MACQUARIE INTERNAL MARKETS (JAPAN)</w:t>
            </w:r>
          </w:p>
        </w:tc>
        <w:tc>
          <w:tcPr>
            <w:cnfStyle w:evenVBand="true" w:oddVBand="false" w:firstColumn="false"/>
            <w:tcW w:w="25.000000%" w:type="pct"/>
          </w:tcPr>
          <w:p>
            <w:pPr>
              <w:ind w:leftChars="0" w:left="0" w:right="0"/>
            </w:pPr>
            <w:r>
              <w:t>1144</w:t>
            </w:r>
          </w:p>
        </w:tc>
      </w:tr>
      <w:tr>
        <w:trPr>
          <w:cnfStyle w:evenHBand="true" w:oddHBand="false" w:firstRow="false"/>
        </w:trPr>
        <w:tc>
          <w:tcPr>
            <w:cnfStyle w:evenVBand="false" w:oddVBand="true" w:firstColumn="false"/>
            <w:tcW w:w="25.000000%" w:type="pct"/>
          </w:tcPr>
          <w:p>
            <w:pPr>
              <w:ind w:leftChars="0" w:left="0" w:right="0"/>
            </w:pPr>
            <w:r>
              <w:t>MAQL</w:t>
            </w:r>
          </w:p>
        </w:tc>
        <w:tc>
          <w:tcPr>
            <w:cnfStyle w:evenVBand="true" w:oddVBand="false" w:firstColumn="false"/>
            <w:tcW w:w="25.000000%" w:type="pct"/>
          </w:tcPr>
          <w:p>
            <w:pPr>
              <w:ind w:leftChars="0" w:left="0" w:right="0"/>
            </w:pPr>
            <w:r>
              <w:t>MAQL</w:t>
            </w:r>
          </w:p>
        </w:tc>
        <w:tc>
          <w:tcPr>
            <w:cnfStyle w:evenVBand="false" w:oddVBand="true" w:firstColumn="false"/>
            <w:tcW w:w="25.000000%" w:type="pct"/>
          </w:tcPr>
          <w:p>
            <w:pPr>
              <w:ind w:leftChars="0" w:left="0" w:right="0"/>
            </w:pPr>
            <w:r>
              <w:t>MACQUARIE CAPITAL EUROPE LIMITED</w:t>
            </w:r>
          </w:p>
        </w:tc>
        <w:tc>
          <w:tcPr>
            <w:cnfStyle w:evenVBand="true" w:oddVBand="false" w:firstColumn="false"/>
            <w:tcW w:w="25.000000%" w:type="pct"/>
          </w:tcPr>
          <w:p>
            <w:pPr>
              <w:ind w:leftChars="0" w:left="0" w:right="0"/>
            </w:pPr>
            <w:r>
              <w:t>1145</w:t>
            </w:r>
          </w:p>
        </w:tc>
      </w:tr>
      <w:tr>
        <w:trPr>
          <w:cnfStyle w:evenHBand="false" w:oddHBand="true" w:firstRow="false"/>
        </w:trPr>
        <w:tc>
          <w:tcPr>
            <w:cnfStyle w:evenVBand="false" w:oddVBand="true" w:firstColumn="false"/>
            <w:tcW w:w="25.000000%" w:type="pct"/>
          </w:tcPr>
          <w:p>
            <w:pPr>
              <w:ind w:leftChars="0" w:left="0" w:right="0"/>
            </w:pPr>
            <w:r>
              <w:t>MAQU</w:t>
            </w:r>
          </w:p>
        </w:tc>
        <w:tc>
          <w:tcPr>
            <w:cnfStyle w:evenVBand="true" w:oddVBand="false" w:firstColumn="false"/>
            <w:tcW w:w="25.000000%" w:type="pct"/>
          </w:tcPr>
          <w:p>
            <w:pPr>
              <w:ind w:leftChars="0" w:left="0" w:right="0"/>
            </w:pPr>
            <w:r>
              <w:t>MAQU</w:t>
            </w:r>
          </w:p>
        </w:tc>
        <w:tc>
          <w:tcPr>
            <w:cnfStyle w:evenVBand="false" w:oddVBand="true" w:firstColumn="false"/>
            <w:tcW w:w="25.000000%" w:type="pct"/>
          </w:tcPr>
          <w:p>
            <w:pPr>
              <w:ind w:leftChars="0" w:left="0" w:right="0"/>
            </w:pPr>
            <w:r>
              <w:t>MACQUARIE BANK LIMITED, LONDON BRANCH - SYSTEMATIC INTERNALISER</w:t>
            </w:r>
          </w:p>
        </w:tc>
        <w:tc>
          <w:tcPr>
            <w:cnfStyle w:evenVBand="true" w:oddVBand="false" w:firstColumn="false"/>
            <w:tcW w:w="25.000000%" w:type="pct"/>
          </w:tcPr>
          <w:p>
            <w:pPr>
              <w:ind w:leftChars="0" w:left="0" w:right="0"/>
            </w:pPr>
            <w:r>
              <w:t>1146</w:t>
            </w:r>
          </w:p>
        </w:tc>
      </w:tr>
      <w:tr>
        <w:trPr>
          <w:cnfStyle w:evenHBand="true" w:oddHBand="false" w:firstRow="false"/>
        </w:trPr>
        <w:tc>
          <w:tcPr>
            <w:cnfStyle w:evenVBand="false" w:oddVBand="true" w:firstColumn="false"/>
            <w:tcW w:w="25.000000%" w:type="pct"/>
          </w:tcPr>
          <w:p>
            <w:pPr>
              <w:ind w:leftChars="0" w:left="0" w:right="0"/>
            </w:pPr>
            <w:r>
              <w:t>MAQX</w:t>
            </w:r>
          </w:p>
        </w:tc>
        <w:tc>
          <w:tcPr>
            <w:cnfStyle w:evenVBand="true" w:oddVBand="false" w:firstColumn="false"/>
            <w:tcW w:w="25.000000%" w:type="pct"/>
          </w:tcPr>
          <w:p>
            <w:pPr>
              <w:ind w:leftChars="0" w:left="0" w:right="0"/>
            </w:pPr>
            <w:r>
              <w:t>MAQX</w:t>
            </w:r>
          </w:p>
        </w:tc>
        <w:tc>
          <w:tcPr>
            <w:cnfStyle w:evenVBand="false" w:oddVBand="true" w:firstColumn="false"/>
            <w:tcW w:w="25.000000%" w:type="pct"/>
          </w:tcPr>
          <w:p>
            <w:pPr>
              <w:ind w:leftChars="0" w:left="0" w:right="0"/>
            </w:pPr>
            <w:r>
              <w:t>MACQUARIE INTERNAL MARKETS (AUSTRALIA)</w:t>
            </w:r>
          </w:p>
        </w:tc>
        <w:tc>
          <w:tcPr>
            <w:cnfStyle w:evenVBand="true" w:oddVBand="false" w:firstColumn="false"/>
            <w:tcW w:w="25.000000%" w:type="pct"/>
          </w:tcPr>
          <w:p>
            <w:pPr>
              <w:ind w:leftChars="0" w:left="0" w:right="0"/>
            </w:pPr>
            <w:r>
              <w:t>1147</w:t>
            </w:r>
          </w:p>
        </w:tc>
      </w:tr>
      <w:tr>
        <w:trPr>
          <w:cnfStyle w:evenHBand="false" w:oddHBand="true" w:firstRow="false"/>
        </w:trPr>
        <w:tc>
          <w:tcPr>
            <w:cnfStyle w:evenVBand="false" w:oddVBand="true" w:firstColumn="false"/>
            <w:tcW w:w="25.000000%" w:type="pct"/>
          </w:tcPr>
          <w:p>
            <w:pPr>
              <w:ind w:leftChars="0" w:left="0" w:right="0"/>
            </w:pPr>
            <w:r>
              <w:t>MARF</w:t>
            </w:r>
          </w:p>
        </w:tc>
        <w:tc>
          <w:tcPr>
            <w:cnfStyle w:evenVBand="true" w:oddVBand="false" w:firstColumn="false"/>
            <w:tcW w:w="25.000000%" w:type="pct"/>
          </w:tcPr>
          <w:p>
            <w:pPr>
              <w:ind w:leftChars="0" w:left="0" w:right="0"/>
            </w:pPr>
            <w:r>
              <w:t>MARF</w:t>
            </w:r>
          </w:p>
        </w:tc>
        <w:tc>
          <w:tcPr>
            <w:cnfStyle w:evenVBand="false" w:oddVBand="true" w:firstColumn="false"/>
            <w:tcW w:w="25.000000%" w:type="pct"/>
          </w:tcPr>
          <w:p>
            <w:pPr>
              <w:ind w:leftChars="0" w:left="0" w:right="0"/>
            </w:pPr>
            <w:r>
              <w:t>MERCADO ALTERNATIVO DE RENTA FIJA</w:t>
            </w:r>
          </w:p>
        </w:tc>
        <w:tc>
          <w:tcPr>
            <w:cnfStyle w:evenVBand="true" w:oddVBand="false" w:firstColumn="false"/>
            <w:tcW w:w="25.000000%" w:type="pct"/>
          </w:tcPr>
          <w:p>
            <w:pPr>
              <w:ind w:leftChars="0" w:left="0" w:right="0"/>
            </w:pPr>
            <w:r>
              <w:t>1148</w:t>
            </w:r>
          </w:p>
        </w:tc>
      </w:tr>
      <w:tr>
        <w:trPr>
          <w:cnfStyle w:evenHBand="true" w:oddHBand="false" w:firstRow="false"/>
        </w:trPr>
        <w:tc>
          <w:tcPr>
            <w:cnfStyle w:evenVBand="false" w:oddVBand="true" w:firstColumn="false"/>
            <w:tcW w:w="25.000000%" w:type="pct"/>
          </w:tcPr>
          <w:p>
            <w:pPr>
              <w:ind w:leftChars="0" w:left="0" w:right="0"/>
            </w:pPr>
            <w:r>
              <w:t>MASG</w:t>
            </w:r>
          </w:p>
        </w:tc>
        <w:tc>
          <w:tcPr>
            <w:cnfStyle w:evenVBand="true" w:oddVBand="false" w:firstColumn="false"/>
            <w:tcW w:w="25.000000%" w:type="pct"/>
          </w:tcPr>
          <w:p>
            <w:pPr>
              <w:ind w:leftChars="0" w:left="0" w:right="0"/>
            </w:pPr>
            <w:r>
              <w:t>MASG</w:t>
            </w:r>
          </w:p>
        </w:tc>
        <w:tc>
          <w:tcPr>
            <w:cnfStyle w:evenVBand="false" w:oddVBand="true" w:firstColumn="false"/>
            <w:tcW w:w="25.000000%" w:type="pct"/>
          </w:tcPr>
          <w:p>
            <w:pPr>
              <w:ind w:leftChars="0" w:left="0" w:right="0"/>
            </w:pPr>
            <w:r>
              <w:t>MARKETAXESS SINGAPORE PTE LIMITED</w:t>
            </w:r>
          </w:p>
        </w:tc>
        <w:tc>
          <w:tcPr>
            <w:cnfStyle w:evenVBand="true" w:oddVBand="false" w:firstColumn="false"/>
            <w:tcW w:w="25.000000%" w:type="pct"/>
          </w:tcPr>
          <w:p>
            <w:pPr>
              <w:ind w:leftChars="0" w:left="0" w:right="0"/>
            </w:pPr>
            <w:r>
              <w:t>1149</w:t>
            </w:r>
          </w:p>
        </w:tc>
      </w:tr>
      <w:tr>
        <w:trPr>
          <w:cnfStyle w:evenHBand="false" w:oddHBand="true" w:firstRow="false"/>
        </w:trPr>
        <w:tc>
          <w:tcPr>
            <w:cnfStyle w:evenVBand="false" w:oddVBand="true" w:firstColumn="false"/>
            <w:tcW w:w="25.000000%" w:type="pct"/>
          </w:tcPr>
          <w:p>
            <w:pPr>
              <w:ind w:leftChars="0" w:left="0" w:right="0"/>
            </w:pPr>
            <w:r>
              <w:t>MATN</w:t>
            </w:r>
          </w:p>
        </w:tc>
        <w:tc>
          <w:tcPr>
            <w:cnfStyle w:evenVBand="true" w:oddVBand="false" w:firstColumn="false"/>
            <w:tcW w:w="25.000000%" w:type="pct"/>
          </w:tcPr>
          <w:p>
            <w:pPr>
              <w:ind w:leftChars="0" w:left="0" w:right="0"/>
            </w:pPr>
            <w:r>
              <w:t>MATN</w:t>
            </w:r>
          </w:p>
        </w:tc>
        <w:tc>
          <w:tcPr>
            <w:cnfStyle w:evenVBand="false" w:oddVBand="true" w:firstColumn="false"/>
            <w:tcW w:w="25.000000%" w:type="pct"/>
          </w:tcPr>
          <w:p>
            <w:pPr>
              <w:ind w:leftChars="0" w:left="0" w:right="0"/>
            </w:pPr>
            <w:r>
              <w:t>MATCH NOW</w:t>
            </w:r>
          </w:p>
        </w:tc>
        <w:tc>
          <w:tcPr>
            <w:cnfStyle w:evenVBand="true" w:oddVBand="false" w:firstColumn="false"/>
            <w:tcW w:w="25.000000%" w:type="pct"/>
          </w:tcPr>
          <w:p>
            <w:pPr>
              <w:ind w:leftChars="0" w:left="0" w:right="0"/>
            </w:pPr>
            <w:r>
              <w:t>1150</w:t>
            </w:r>
          </w:p>
        </w:tc>
      </w:tr>
      <w:tr>
        <w:trPr>
          <w:cnfStyle w:evenHBand="true" w:oddHBand="false" w:firstRow="false"/>
        </w:trPr>
        <w:tc>
          <w:tcPr>
            <w:cnfStyle w:evenVBand="false" w:oddVBand="true" w:firstColumn="false"/>
            <w:tcW w:w="25.000000%" w:type="pct"/>
          </w:tcPr>
          <w:p>
            <w:pPr>
              <w:ind w:leftChars="0" w:left="0" w:right="0"/>
            </w:pPr>
            <w:r>
              <w:t>MATX</w:t>
            </w:r>
          </w:p>
        </w:tc>
        <w:tc>
          <w:tcPr>
            <w:cnfStyle w:evenVBand="true" w:oddVBand="false" w:firstColumn="false"/>
            <w:tcW w:w="25.000000%" w:type="pct"/>
          </w:tcPr>
          <w:p>
            <w:pPr>
              <w:ind w:leftChars="0" w:left="0" w:right="0"/>
            </w:pPr>
            <w:r>
              <w:t>MATX</w:t>
            </w:r>
          </w:p>
        </w:tc>
        <w:tc>
          <w:tcPr>
            <w:cnfStyle w:evenVBand="false" w:oddVBand="true" w:firstColumn="false"/>
            <w:tcW w:w="25.000000%" w:type="pct"/>
          </w:tcPr>
          <w:p>
            <w:pPr>
              <w:ind w:leftChars="0" w:left="0" w:right="0"/>
            </w:pPr>
            <w:r>
              <w:t>MATRIX LIMITED</w:t>
            </w:r>
          </w:p>
        </w:tc>
        <w:tc>
          <w:tcPr>
            <w:cnfStyle w:evenVBand="true" w:oddVBand="false" w:firstColumn="false"/>
            <w:tcW w:w="25.000000%" w:type="pct"/>
          </w:tcPr>
          <w:p>
            <w:pPr>
              <w:ind w:leftChars="0" w:left="0" w:right="0"/>
            </w:pPr>
            <w:r>
              <w:t>1151</w:t>
            </w:r>
          </w:p>
        </w:tc>
      </w:tr>
      <w:tr>
        <w:trPr>
          <w:cnfStyle w:evenHBand="false" w:oddHBand="true" w:firstRow="false"/>
        </w:trPr>
        <w:tc>
          <w:tcPr>
            <w:cnfStyle w:evenVBand="false" w:oddVBand="true" w:firstColumn="false"/>
            <w:tcW w:w="25.000000%" w:type="pct"/>
          </w:tcPr>
          <w:p>
            <w:pPr>
              <w:ind w:leftChars="0" w:left="0" w:right="0"/>
            </w:pPr>
            <w:r>
              <w:t>MAXD</w:t>
            </w:r>
          </w:p>
        </w:tc>
        <w:tc>
          <w:tcPr>
            <w:cnfStyle w:evenVBand="true" w:oddVBand="false" w:firstColumn="false"/>
            <w:tcW w:w="25.000000%" w:type="pct"/>
          </w:tcPr>
          <w:p>
            <w:pPr>
              <w:ind w:leftChars="0" w:left="0" w:right="0"/>
            </w:pPr>
            <w:r>
              <w:t>MAXD</w:t>
            </w:r>
          </w:p>
        </w:tc>
        <w:tc>
          <w:tcPr>
            <w:cnfStyle w:evenVBand="false" w:oddVBand="true" w:firstColumn="false"/>
            <w:tcW w:w="25.000000%" w:type="pct"/>
          </w:tcPr>
          <w:p>
            <w:pPr>
              <w:ind w:leftChars="0" w:left="0" w:right="0"/>
            </w:pPr>
            <w:r>
              <w:t>MAX MARKETS LIMITED</w:t>
            </w:r>
          </w:p>
        </w:tc>
        <w:tc>
          <w:tcPr>
            <w:cnfStyle w:evenVBand="true" w:oddVBand="false" w:firstColumn="false"/>
            <w:tcW w:w="25.000000%" w:type="pct"/>
          </w:tcPr>
          <w:p>
            <w:pPr>
              <w:ind w:leftChars="0" w:left="0" w:right="0"/>
            </w:pPr>
            <w:r>
              <w:t>1152</w:t>
            </w:r>
          </w:p>
        </w:tc>
      </w:tr>
      <w:tr>
        <w:trPr>
          <w:cnfStyle w:evenHBand="true" w:oddHBand="false" w:firstRow="false"/>
        </w:trPr>
        <w:tc>
          <w:tcPr>
            <w:cnfStyle w:evenVBand="false" w:oddVBand="true" w:firstColumn="false"/>
            <w:tcW w:w="25.000000%" w:type="pct"/>
          </w:tcPr>
          <w:p>
            <w:pPr>
              <w:ind w:leftChars="0" w:left="0" w:right="0"/>
            </w:pPr>
            <w:r>
              <w:t>MBCP</w:t>
            </w:r>
          </w:p>
        </w:tc>
        <w:tc>
          <w:tcPr>
            <w:cnfStyle w:evenVBand="true" w:oddVBand="false" w:firstColumn="false"/>
            <w:tcW w:w="25.000000%" w:type="pct"/>
          </w:tcPr>
          <w:p>
            <w:pPr>
              <w:ind w:leftChars="0" w:left="0" w:right="0"/>
            </w:pPr>
            <w:r>
              <w:t>MBCP</w:t>
            </w:r>
          </w:p>
        </w:tc>
        <w:tc>
          <w:tcPr>
            <w:cnfStyle w:evenVBand="false" w:oddVBand="true" w:firstColumn="false"/>
            <w:tcW w:w="25.000000%" w:type="pct"/>
          </w:tcPr>
          <w:p>
            <w:pPr>
              <w:ind w:leftChars="0" w:left="0" w:right="0"/>
            </w:pPr>
            <w:r>
              <w:t>MILLENNIUM BCP-SYSTEMATIC INTERNALISER</w:t>
            </w:r>
          </w:p>
        </w:tc>
        <w:tc>
          <w:tcPr>
            <w:cnfStyle w:evenVBand="true" w:oddVBand="false" w:firstColumn="false"/>
            <w:tcW w:w="25.000000%" w:type="pct"/>
          </w:tcPr>
          <w:p>
            <w:pPr>
              <w:ind w:leftChars="0" w:left="0" w:right="0"/>
            </w:pPr>
            <w:r>
              <w:t>1153</w:t>
            </w:r>
          </w:p>
        </w:tc>
      </w:tr>
      <w:tr>
        <w:trPr>
          <w:cnfStyle w:evenHBand="false" w:oddHBand="true" w:firstRow="false"/>
        </w:trPr>
        <w:tc>
          <w:tcPr>
            <w:cnfStyle w:evenVBand="false" w:oddVBand="true" w:firstColumn="false"/>
            <w:tcW w:w="25.000000%" w:type="pct"/>
          </w:tcPr>
          <w:p>
            <w:pPr>
              <w:ind w:leftChars="0" w:left="0" w:right="0"/>
            </w:pPr>
            <w:r>
              <w:t>MBPL</w:t>
            </w:r>
          </w:p>
        </w:tc>
        <w:tc>
          <w:tcPr>
            <w:cnfStyle w:evenVBand="true" w:oddVBand="false" w:firstColumn="false"/>
            <w:tcW w:w="25.000000%" w:type="pct"/>
          </w:tcPr>
          <w:p>
            <w:pPr>
              <w:ind w:leftChars="0" w:left="0" w:right="0"/>
            </w:pPr>
            <w:r>
              <w:t>MBPL</w:t>
            </w:r>
          </w:p>
        </w:tc>
        <w:tc>
          <w:tcPr>
            <w:cnfStyle w:evenVBand="false" w:oddVBand="true" w:firstColumn="false"/>
            <w:tcW w:w="25.000000%" w:type="pct"/>
          </w:tcPr>
          <w:p>
            <w:pPr>
              <w:ind w:leftChars="0" w:left="0" w:right="0"/>
            </w:pPr>
            <w:r>
              <w:t>MBANK S.A. - SYSTEMATIC INTERNALISER</w:t>
            </w:r>
          </w:p>
        </w:tc>
        <w:tc>
          <w:tcPr>
            <w:cnfStyle w:evenVBand="true" w:oddVBand="false" w:firstColumn="false"/>
            <w:tcW w:w="25.000000%" w:type="pct"/>
          </w:tcPr>
          <w:p>
            <w:pPr>
              <w:ind w:leftChars="0" w:left="0" w:right="0"/>
            </w:pPr>
            <w:r>
              <w:t>1154</w:t>
            </w:r>
          </w:p>
        </w:tc>
      </w:tr>
      <w:tr>
        <w:trPr>
          <w:cnfStyle w:evenHBand="true" w:oddHBand="false" w:firstRow="false"/>
        </w:trPr>
        <w:tc>
          <w:tcPr>
            <w:cnfStyle w:evenVBand="false" w:oddVBand="true" w:firstColumn="false"/>
            <w:tcW w:w="25.000000%" w:type="pct"/>
          </w:tcPr>
          <w:p>
            <w:pPr>
              <w:ind w:leftChars="0" w:left="0" w:right="0"/>
            </w:pPr>
            <w:r>
              <w:t>MBSI</w:t>
            </w:r>
          </w:p>
        </w:tc>
        <w:tc>
          <w:tcPr>
            <w:cnfStyle w:evenVBand="true" w:oddVBand="false" w:firstColumn="false"/>
            <w:tcW w:w="25.000000%" w:type="pct"/>
          </w:tcPr>
          <w:p>
            <w:pPr>
              <w:ind w:leftChars="0" w:left="0" w:right="0"/>
            </w:pPr>
            <w:r>
              <w:t>MBSI</w:t>
            </w:r>
          </w:p>
        </w:tc>
        <w:tc>
          <w:tcPr>
            <w:cnfStyle w:evenVBand="false" w:oddVBand="true" w:firstColumn="false"/>
            <w:tcW w:w="25.000000%" w:type="pct"/>
          </w:tcPr>
          <w:p>
            <w:pPr>
              <w:ind w:leftChars="0" w:left="0" w:right="0"/>
            </w:pPr>
            <w:r>
              <w:t>MORGAN STANLEY BANK INTERNATIONAL LIMITED - SYSTEMATIC INTERNALISER</w:t>
            </w:r>
          </w:p>
        </w:tc>
        <w:tc>
          <w:tcPr>
            <w:cnfStyle w:evenVBand="true" w:oddVBand="false" w:firstColumn="false"/>
            <w:tcW w:w="25.000000%" w:type="pct"/>
          </w:tcPr>
          <w:p>
            <w:pPr>
              <w:ind w:leftChars="0" w:left="0" w:right="0"/>
            </w:pPr>
            <w:r>
              <w:t>1155</w:t>
            </w:r>
          </w:p>
        </w:tc>
      </w:tr>
      <w:tr>
        <w:trPr>
          <w:cnfStyle w:evenHBand="false" w:oddHBand="true" w:firstRow="false"/>
        </w:trPr>
        <w:tc>
          <w:tcPr>
            <w:cnfStyle w:evenVBand="false" w:oddVBand="true" w:firstColumn="false"/>
            <w:tcW w:w="25.000000%" w:type="pct"/>
          </w:tcPr>
          <w:p>
            <w:pPr>
              <w:ind w:leftChars="0" w:left="0" w:right="0"/>
            </w:pPr>
            <w:r>
              <w:t>MBUL</w:t>
            </w:r>
          </w:p>
        </w:tc>
        <w:tc>
          <w:tcPr>
            <w:cnfStyle w:evenVBand="true" w:oddVBand="false" w:firstColumn="false"/>
            <w:tcW w:w="25.000000%" w:type="pct"/>
          </w:tcPr>
          <w:p>
            <w:pPr>
              <w:ind w:leftChars="0" w:left="0" w:right="0"/>
            </w:pPr>
            <w:r>
              <w:t>MBUL</w:t>
            </w:r>
          </w:p>
        </w:tc>
        <w:tc>
          <w:tcPr>
            <w:cnfStyle w:evenVBand="false" w:oddVBand="true" w:firstColumn="false"/>
            <w:tcW w:w="25.000000%" w:type="pct"/>
          </w:tcPr>
          <w:p>
            <w:pPr>
              <w:ind w:leftChars="0" w:left="0" w:right="0"/>
            </w:pPr>
            <w:r>
              <w:t>MTF SOFIA</w:t>
            </w:r>
          </w:p>
        </w:tc>
        <w:tc>
          <w:tcPr>
            <w:cnfStyle w:evenVBand="true" w:oddVBand="false" w:firstColumn="false"/>
            <w:tcW w:w="25.000000%" w:type="pct"/>
          </w:tcPr>
          <w:p>
            <w:pPr>
              <w:ind w:leftChars="0" w:left="0" w:right="0"/>
            </w:pPr>
            <w:r>
              <w:t>1156</w:t>
            </w:r>
          </w:p>
        </w:tc>
      </w:tr>
      <w:tr>
        <w:trPr>
          <w:cnfStyle w:evenHBand="true" w:oddHBand="false" w:firstRow="false"/>
        </w:trPr>
        <w:tc>
          <w:tcPr>
            <w:cnfStyle w:evenVBand="false" w:oddVBand="true" w:firstColumn="false"/>
            <w:tcW w:w="25.000000%" w:type="pct"/>
          </w:tcPr>
          <w:p>
            <w:pPr>
              <w:ind w:leftChars="0" w:left="0" w:right="0"/>
            </w:pPr>
            <w:r>
              <w:t>MCAD</w:t>
            </w:r>
          </w:p>
        </w:tc>
        <w:tc>
          <w:tcPr>
            <w:cnfStyle w:evenVBand="true" w:oddVBand="false" w:firstColumn="false"/>
            <w:tcW w:w="25.000000%" w:type="pct"/>
          </w:tcPr>
          <w:p>
            <w:pPr>
              <w:ind w:leftChars="0" w:left="0" w:right="0"/>
            </w:pPr>
            <w:r>
              <w:t>MCAD</w:t>
            </w:r>
          </w:p>
        </w:tc>
        <w:tc>
          <w:tcPr>
            <w:cnfStyle w:evenVBand="false" w:oddVBand="true" w:firstColumn="false"/>
            <w:tcW w:w="25.000000%" w:type="pct"/>
          </w:tcPr>
          <w:p>
            <w:pPr>
              <w:ind w:leftChars="0" w:left="0" w:right="0"/>
            </w:pPr>
            <w:r>
              <w:t>MTS CASH DOMESTIC - MTF</w:t>
            </w:r>
          </w:p>
        </w:tc>
        <w:tc>
          <w:tcPr>
            <w:cnfStyle w:evenVBand="true" w:oddVBand="false" w:firstColumn="false"/>
            <w:tcW w:w="25.000000%" w:type="pct"/>
          </w:tcPr>
          <w:p>
            <w:pPr>
              <w:ind w:leftChars="0" w:left="0" w:right="0"/>
            </w:pPr>
            <w:r>
              <w:t>1157</w:t>
            </w:r>
          </w:p>
        </w:tc>
      </w:tr>
      <w:tr>
        <w:trPr>
          <w:cnfStyle w:evenHBand="false" w:oddHBand="true" w:firstRow="false"/>
        </w:trPr>
        <w:tc>
          <w:tcPr>
            <w:cnfStyle w:evenVBand="false" w:oddVBand="true" w:firstColumn="false"/>
            <w:tcW w:w="25.000000%" w:type="pct"/>
          </w:tcPr>
          <w:p>
            <w:pPr>
              <w:ind w:leftChars="0" w:left="0" w:right="0"/>
            </w:pPr>
            <w:r>
              <w:t>MCID</w:t>
            </w:r>
          </w:p>
        </w:tc>
        <w:tc>
          <w:tcPr>
            <w:cnfStyle w:evenVBand="true" w:oddVBand="false" w:firstColumn="false"/>
            <w:tcW w:w="25.000000%" w:type="pct"/>
          </w:tcPr>
          <w:p>
            <w:pPr>
              <w:ind w:leftChars="0" w:left="0" w:right="0"/>
            </w:pPr>
            <w:r>
              <w:t>MCID</w:t>
            </w:r>
          </w:p>
        </w:tc>
        <w:tc>
          <w:tcPr>
            <w:cnfStyle w:evenVBand="false" w:oddVBand="true" w:firstColumn="false"/>
            <w:tcW w:w="25.000000%" w:type="pct"/>
          </w:tcPr>
          <w:p>
            <w:pPr>
              <w:ind w:leftChars="0" w:left="0" w:right="0"/>
            </w:pPr>
            <w:r>
              <w:t>MACQUARIE CAPITAL (IRELAND)</w:t>
            </w:r>
          </w:p>
        </w:tc>
        <w:tc>
          <w:tcPr>
            <w:cnfStyle w:evenVBand="true" w:oddVBand="false" w:firstColumn="false"/>
            <w:tcW w:w="25.000000%" w:type="pct"/>
          </w:tcPr>
          <w:p>
            <w:pPr>
              <w:ind w:leftChars="0" w:left="0" w:right="0"/>
            </w:pPr>
            <w:r>
              <w:t>1158</w:t>
            </w:r>
          </w:p>
        </w:tc>
      </w:tr>
      <w:tr>
        <w:trPr>
          <w:cnfStyle w:evenHBand="true" w:oddHBand="false" w:firstRow="false"/>
        </w:trPr>
        <w:tc>
          <w:tcPr>
            <w:cnfStyle w:evenVBand="false" w:oddVBand="true" w:firstColumn="false"/>
            <w:tcW w:w="25.000000%" w:type="pct"/>
          </w:tcPr>
          <w:p>
            <w:pPr>
              <w:ind w:leftChars="0" w:left="0" w:right="0"/>
            </w:pPr>
            <w:r>
              <w:t>MCRY</w:t>
            </w:r>
          </w:p>
        </w:tc>
        <w:tc>
          <w:tcPr>
            <w:cnfStyle w:evenVBand="true" w:oddVBand="false" w:firstColumn="false"/>
            <w:tcW w:w="25.000000%" w:type="pct"/>
          </w:tcPr>
          <w:p>
            <w:pPr>
              <w:ind w:leftChars="0" w:left="0" w:right="0"/>
            </w:pPr>
            <w:r>
              <w:t>MCRY</w:t>
            </w:r>
          </w:p>
        </w:tc>
        <w:tc>
          <w:tcPr>
            <w:cnfStyle w:evenVBand="false" w:oddVBand="true" w:firstColumn="false"/>
            <w:tcW w:w="25.000000%" w:type="pct"/>
          </w:tcPr>
          <w:p>
            <w:pPr>
              <w:ind w:leftChars="0" w:left="0" w:right="0"/>
            </w:pPr>
            <w:r>
              <w:t>ISE MERCURY, LLC</w:t>
            </w:r>
          </w:p>
        </w:tc>
        <w:tc>
          <w:tcPr>
            <w:cnfStyle w:evenVBand="true" w:oddVBand="false" w:firstColumn="false"/>
            <w:tcW w:w="25.000000%" w:type="pct"/>
          </w:tcPr>
          <w:p>
            <w:pPr>
              <w:ind w:leftChars="0" w:left="0" w:right="0"/>
            </w:pPr>
            <w:r>
              <w:t>1159</w:t>
            </w:r>
          </w:p>
        </w:tc>
      </w:tr>
      <w:tr>
        <w:trPr>
          <w:cnfStyle w:evenHBand="false" w:oddHBand="true" w:firstRow="false"/>
        </w:trPr>
        <w:tc>
          <w:tcPr>
            <w:cnfStyle w:evenVBand="false" w:oddVBand="true" w:firstColumn="false"/>
            <w:tcW w:w="25.000000%" w:type="pct"/>
          </w:tcPr>
          <w:p>
            <w:pPr>
              <w:ind w:leftChars="0" w:left="0" w:right="0"/>
            </w:pPr>
            <w:r>
              <w:t>MCSE</w:t>
            </w:r>
          </w:p>
        </w:tc>
        <w:tc>
          <w:tcPr>
            <w:cnfStyle w:evenVBand="true" w:oddVBand="false" w:firstColumn="false"/>
            <w:tcW w:w="25.000000%" w:type="pct"/>
          </w:tcPr>
          <w:p>
            <w:pPr>
              <w:ind w:leftChars="0" w:left="0" w:right="0"/>
            </w:pPr>
            <w:r>
              <w:t>MCSE</w:t>
            </w:r>
          </w:p>
        </w:tc>
        <w:tc>
          <w:tcPr>
            <w:cnfStyle w:evenVBand="false" w:oddVBand="true" w:firstColumn="false"/>
            <w:tcW w:w="25.000000%" w:type="pct"/>
          </w:tcPr>
          <w:p>
            <w:pPr>
              <w:ind w:leftChars="0" w:left="0" w:right="0"/>
            </w:pPr>
            <w:r>
              <w:t>NASDAQ COPENHAGEN A/S - AUCTION ON DEMAND</w:t>
            </w:r>
          </w:p>
        </w:tc>
        <w:tc>
          <w:tcPr>
            <w:cnfStyle w:evenVBand="true" w:oddVBand="false" w:firstColumn="false"/>
            <w:tcW w:w="25.000000%" w:type="pct"/>
          </w:tcPr>
          <w:p>
            <w:pPr>
              <w:ind w:leftChars="0" w:left="0" w:right="0"/>
            </w:pPr>
            <w:r>
              <w:t>1160</w:t>
            </w:r>
          </w:p>
        </w:tc>
      </w:tr>
      <w:tr>
        <w:trPr>
          <w:cnfStyle w:evenHBand="true" w:oddHBand="false" w:firstRow="false"/>
        </w:trPr>
        <w:tc>
          <w:tcPr>
            <w:cnfStyle w:evenVBand="false" w:oddVBand="true" w:firstColumn="false"/>
            <w:tcW w:w="25.000000%" w:type="pct"/>
          </w:tcPr>
          <w:p>
            <w:pPr>
              <w:ind w:leftChars="0" w:left="0" w:right="0"/>
            </w:pPr>
            <w:r>
              <w:t>MCUR</w:t>
            </w:r>
          </w:p>
        </w:tc>
        <w:tc>
          <w:tcPr>
            <w:cnfStyle w:evenVBand="true" w:oddVBand="false" w:firstColumn="false"/>
            <w:tcW w:w="25.000000%" w:type="pct"/>
          </w:tcPr>
          <w:p>
            <w:pPr>
              <w:ind w:leftChars="0" w:left="0" w:right="0"/>
            </w:pPr>
            <w:r>
              <w:t>MCUR</w:t>
            </w:r>
          </w:p>
        </w:tc>
        <w:tc>
          <w:tcPr>
            <w:cnfStyle w:evenVBand="false" w:oddVBand="true" w:firstColumn="false"/>
            <w:tcW w:w="25.000000%" w:type="pct"/>
          </w:tcPr>
          <w:p>
            <w:pPr>
              <w:ind w:leftChars="0" w:left="0" w:right="0"/>
            </w:pPr>
            <w:r>
              <w:t>CURRENEX MTF</w:t>
            </w:r>
          </w:p>
        </w:tc>
        <w:tc>
          <w:tcPr>
            <w:cnfStyle w:evenVBand="true" w:oddVBand="false" w:firstColumn="false"/>
            <w:tcW w:w="25.000000%" w:type="pct"/>
          </w:tcPr>
          <w:p>
            <w:pPr>
              <w:ind w:leftChars="0" w:left="0" w:right="0"/>
            </w:pPr>
            <w:r>
              <w:t>1161</w:t>
            </w:r>
          </w:p>
        </w:tc>
      </w:tr>
      <w:tr>
        <w:trPr>
          <w:cnfStyle w:evenHBand="false" w:oddHBand="true" w:firstRow="false"/>
        </w:trPr>
        <w:tc>
          <w:tcPr>
            <w:cnfStyle w:evenVBand="false" w:oddVBand="true" w:firstColumn="false"/>
            <w:tcW w:w="25.000000%" w:type="pct"/>
          </w:tcPr>
          <w:p>
            <w:pPr>
              <w:ind w:leftChars="0" w:left="0" w:right="0"/>
            </w:pPr>
            <w:r>
              <w:t>MCXR</w:t>
            </w:r>
          </w:p>
        </w:tc>
        <w:tc>
          <w:tcPr>
            <w:cnfStyle w:evenVBand="true" w:oddVBand="false" w:firstColumn="false"/>
            <w:tcW w:w="25.000000%" w:type="pct"/>
          </w:tcPr>
          <w:p>
            <w:pPr>
              <w:ind w:leftChars="0" w:left="0" w:right="0"/>
            </w:pPr>
            <w:r>
              <w:t>MCXR</w:t>
            </w:r>
          </w:p>
        </w:tc>
        <w:tc>
          <w:tcPr>
            <w:cnfStyle w:evenVBand="false" w:oddVBand="true" w:firstColumn="false"/>
            <w:tcW w:w="25.000000%" w:type="pct"/>
          </w:tcPr>
          <w:p>
            <w:pPr>
              <w:ind w:leftChars="0" w:left="0" w:right="0"/>
            </w:pPr>
            <w:r>
              <w:t>CURRENEX MTF - RFQ</w:t>
            </w:r>
          </w:p>
        </w:tc>
        <w:tc>
          <w:tcPr>
            <w:cnfStyle w:evenVBand="true" w:oddVBand="false" w:firstColumn="false"/>
            <w:tcW w:w="25.000000%" w:type="pct"/>
          </w:tcPr>
          <w:p>
            <w:pPr>
              <w:ind w:leftChars="0" w:left="0" w:right="0"/>
            </w:pPr>
            <w:r>
              <w:t>1162</w:t>
            </w:r>
          </w:p>
        </w:tc>
      </w:tr>
      <w:tr>
        <w:trPr>
          <w:cnfStyle w:evenHBand="true" w:oddHBand="false" w:firstRow="false"/>
        </w:trPr>
        <w:tc>
          <w:tcPr>
            <w:cnfStyle w:evenVBand="false" w:oddVBand="true" w:firstColumn="false"/>
            <w:tcW w:w="25.000000%" w:type="pct"/>
          </w:tcPr>
          <w:p>
            <w:pPr>
              <w:ind w:leftChars="0" w:left="0" w:right="0"/>
            </w:pPr>
            <w:r>
              <w:t>MCXS</w:t>
            </w:r>
          </w:p>
        </w:tc>
        <w:tc>
          <w:tcPr>
            <w:cnfStyle w:evenVBand="true" w:oddVBand="false" w:firstColumn="false"/>
            <w:tcW w:w="25.000000%" w:type="pct"/>
          </w:tcPr>
          <w:p>
            <w:pPr>
              <w:ind w:leftChars="0" w:left="0" w:right="0"/>
            </w:pPr>
            <w:r>
              <w:t>MCXS</w:t>
            </w:r>
          </w:p>
        </w:tc>
        <w:tc>
          <w:tcPr>
            <w:cnfStyle w:evenVBand="false" w:oddVBand="true" w:firstColumn="false"/>
            <w:tcW w:w="25.000000%" w:type="pct"/>
          </w:tcPr>
          <w:p>
            <w:pPr>
              <w:ind w:leftChars="0" w:left="0" w:right="0"/>
            </w:pPr>
            <w:r>
              <w:t>CURRENEX MTF - STREAMING</w:t>
            </w:r>
          </w:p>
        </w:tc>
        <w:tc>
          <w:tcPr>
            <w:cnfStyle w:evenVBand="true" w:oddVBand="false" w:firstColumn="false"/>
            <w:tcW w:w="25.000000%" w:type="pct"/>
          </w:tcPr>
          <w:p>
            <w:pPr>
              <w:ind w:leftChars="0" w:left="0" w:right="0"/>
            </w:pPr>
            <w:r>
              <w:t>1163</w:t>
            </w:r>
          </w:p>
        </w:tc>
      </w:tr>
      <w:tr>
        <w:trPr>
          <w:cnfStyle w:evenHBand="false" w:oddHBand="true" w:firstRow="false"/>
        </w:trPr>
        <w:tc>
          <w:tcPr>
            <w:cnfStyle w:evenVBand="false" w:oddVBand="true" w:firstColumn="false"/>
            <w:tcW w:w="25.000000%" w:type="pct"/>
          </w:tcPr>
          <w:p>
            <w:pPr>
              <w:ind w:leftChars="0" w:left="0" w:right="0"/>
            </w:pPr>
            <w:r>
              <w:t>MCXX</w:t>
            </w:r>
          </w:p>
        </w:tc>
        <w:tc>
          <w:tcPr>
            <w:cnfStyle w:evenVBand="true" w:oddVBand="false" w:firstColumn="false"/>
            <w:tcW w:w="25.000000%" w:type="pct"/>
          </w:tcPr>
          <w:p>
            <w:pPr>
              <w:ind w:leftChars="0" w:left="0" w:right="0"/>
            </w:pPr>
            <w:r>
              <w:t>MCXX</w:t>
            </w:r>
          </w:p>
        </w:tc>
        <w:tc>
          <w:tcPr>
            <w:cnfStyle w:evenVBand="false" w:oddVBand="true" w:firstColumn="false"/>
            <w:tcW w:w="25.000000%" w:type="pct"/>
          </w:tcPr>
          <w:p>
            <w:pPr>
              <w:ind w:leftChars="0" w:left="0" w:right="0"/>
            </w:pPr>
            <w:r>
              <w:t>METROPOLITAN STOCK EXCHANGE OF INDIA LIMITED</w:t>
            </w:r>
          </w:p>
        </w:tc>
        <w:tc>
          <w:tcPr>
            <w:cnfStyle w:evenVBand="true" w:oddVBand="false" w:firstColumn="false"/>
            <w:tcW w:w="25.000000%" w:type="pct"/>
          </w:tcPr>
          <w:p>
            <w:pPr>
              <w:ind w:leftChars="0" w:left="0" w:right="0"/>
            </w:pPr>
            <w:r>
              <w:t>1164</w:t>
            </w:r>
          </w:p>
        </w:tc>
      </w:tr>
      <w:tr>
        <w:trPr>
          <w:cnfStyle w:evenHBand="true" w:oddHBand="false" w:firstRow="false"/>
        </w:trPr>
        <w:tc>
          <w:tcPr>
            <w:cnfStyle w:evenVBand="false" w:oddVBand="true" w:firstColumn="false"/>
            <w:tcW w:w="25.000000%" w:type="pct"/>
          </w:tcPr>
          <w:p>
            <w:pPr>
              <w:ind w:leftChars="0" w:left="0" w:right="0"/>
            </w:pPr>
            <w:r>
              <w:t>MCZK</w:t>
            </w:r>
          </w:p>
        </w:tc>
        <w:tc>
          <w:tcPr>
            <w:cnfStyle w:evenVBand="true" w:oddVBand="false" w:firstColumn="false"/>
            <w:tcW w:w="25.000000%" w:type="pct"/>
          </w:tcPr>
          <w:p>
            <w:pPr>
              <w:ind w:leftChars="0" w:left="0" w:right="0"/>
            </w:pPr>
            <w:r>
              <w:t>MCZK</w:t>
            </w:r>
          </w:p>
        </w:tc>
        <w:tc>
          <w:tcPr>
            <w:cnfStyle w:evenVBand="false" w:oddVBand="true" w:firstColumn="false"/>
            <w:tcW w:w="25.000000%" w:type="pct"/>
          </w:tcPr>
          <w:p>
            <w:pPr>
              <w:ind w:leftChars="0" w:left="0" w:right="0"/>
            </w:pPr>
            <w:r>
              <w:t>MTS CZECH REPUBLIC</w:t>
            </w:r>
          </w:p>
        </w:tc>
        <w:tc>
          <w:tcPr>
            <w:cnfStyle w:evenVBand="true" w:oddVBand="false" w:firstColumn="false"/>
            <w:tcW w:w="25.000000%" w:type="pct"/>
          </w:tcPr>
          <w:p>
            <w:pPr>
              <w:ind w:leftChars="0" w:left="0" w:right="0"/>
            </w:pPr>
            <w:r>
              <w:t>1165</w:t>
            </w:r>
          </w:p>
        </w:tc>
      </w:tr>
      <w:tr>
        <w:trPr>
          <w:cnfStyle w:evenHBand="false" w:oddHBand="true" w:firstRow="false"/>
        </w:trPr>
        <w:tc>
          <w:tcPr>
            <w:cnfStyle w:evenVBand="false" w:oddVBand="true" w:firstColumn="false"/>
            <w:tcW w:w="25.000000%" w:type="pct"/>
          </w:tcPr>
          <w:p>
            <w:pPr>
              <w:ind w:leftChars="0" w:left="0" w:right="0"/>
            </w:pPr>
            <w:r>
              <w:t>MDIP</w:t>
            </w:r>
          </w:p>
        </w:tc>
        <w:tc>
          <w:tcPr>
            <w:cnfStyle w:evenVBand="true" w:oddVBand="false" w:firstColumn="false"/>
            <w:tcW w:w="25.000000%" w:type="pct"/>
          </w:tcPr>
          <w:p>
            <w:pPr>
              <w:ind w:leftChars="0" w:left="0" w:right="0"/>
            </w:pPr>
            <w:r>
              <w:t>MDIP</w:t>
            </w:r>
          </w:p>
        </w:tc>
        <w:tc>
          <w:tcPr>
            <w:cnfStyle w:evenVBand="false" w:oddVBand="true" w:firstColumn="false"/>
            <w:tcW w:w="25.000000%" w:type="pct"/>
          </w:tcPr>
          <w:p>
            <w:pPr>
              <w:ind w:leftChars="0" w:left="0" w:right="0"/>
            </w:pPr>
            <w:r>
              <w:t>MEDIP  (MTS PORTUGAL SGMR, SA)</w:t>
            </w:r>
          </w:p>
        </w:tc>
        <w:tc>
          <w:tcPr>
            <w:cnfStyle w:evenVBand="true" w:oddVBand="false" w:firstColumn="false"/>
            <w:tcW w:w="25.000000%" w:type="pct"/>
          </w:tcPr>
          <w:p>
            <w:pPr>
              <w:ind w:leftChars="0" w:left="0" w:right="0"/>
            </w:pPr>
            <w:r>
              <w:t>1166</w:t>
            </w:r>
          </w:p>
        </w:tc>
      </w:tr>
      <w:tr>
        <w:trPr>
          <w:cnfStyle w:evenHBand="true" w:oddHBand="false" w:firstRow="false"/>
        </w:trPr>
        <w:tc>
          <w:tcPr>
            <w:cnfStyle w:evenVBand="false" w:oddVBand="true" w:firstColumn="false"/>
            <w:tcW w:w="25.000000%" w:type="pct"/>
          </w:tcPr>
          <w:p>
            <w:pPr>
              <w:ind w:leftChars="0" w:left="0" w:right="0"/>
            </w:pPr>
            <w:r>
              <w:t>MDRV</w:t>
            </w:r>
          </w:p>
        </w:tc>
        <w:tc>
          <w:tcPr>
            <w:cnfStyle w:evenVBand="true" w:oddVBand="false" w:firstColumn="false"/>
            <w:tcW w:w="25.000000%" w:type="pct"/>
          </w:tcPr>
          <w:p>
            <w:pPr>
              <w:ind w:leftChars="0" w:left="0" w:right="0"/>
            </w:pPr>
            <w:r>
              <w:t>MDRV</w:t>
            </w:r>
          </w:p>
        </w:tc>
        <w:tc>
          <w:tcPr>
            <w:cnfStyle w:evenVBand="false" w:oddVBand="true" w:firstColumn="false"/>
            <w:tcW w:w="25.000000%" w:type="pct"/>
          </w:tcPr>
          <w:p>
            <w:pPr>
              <w:ind w:leftChars="0" w:left="0" w:right="0"/>
            </w:pPr>
            <w:r>
              <w:t>MIBGAS - DERIVATIVES</w:t>
            </w:r>
          </w:p>
        </w:tc>
        <w:tc>
          <w:tcPr>
            <w:cnfStyle w:evenVBand="true" w:oddVBand="false" w:firstColumn="false"/>
            <w:tcW w:w="25.000000%" w:type="pct"/>
          </w:tcPr>
          <w:p>
            <w:pPr>
              <w:ind w:leftChars="0" w:left="0" w:right="0"/>
            </w:pPr>
            <w:r>
              <w:t>1167</w:t>
            </w:r>
          </w:p>
        </w:tc>
      </w:tr>
      <w:tr>
        <w:trPr>
          <w:cnfStyle w:evenHBand="false" w:oddHBand="true" w:firstRow="false"/>
        </w:trPr>
        <w:tc>
          <w:tcPr>
            <w:cnfStyle w:evenVBand="false" w:oddVBand="true" w:firstColumn="false"/>
            <w:tcW w:w="25.000000%" w:type="pct"/>
          </w:tcPr>
          <w:p>
            <w:pPr>
              <w:ind w:leftChars="0" w:left="0" w:right="0"/>
            </w:pPr>
            <w:r>
              <w:t>MEAU</w:t>
            </w:r>
          </w:p>
        </w:tc>
        <w:tc>
          <w:tcPr>
            <w:cnfStyle w:evenVBand="true" w:oddVBand="false" w:firstColumn="false"/>
            <w:tcW w:w="25.000000%" w:type="pct"/>
          </w:tcPr>
          <w:p>
            <w:pPr>
              <w:ind w:leftChars="0" w:left="0" w:right="0"/>
            </w:pPr>
            <w:r>
              <w:t>MEAU</w:t>
            </w:r>
          </w:p>
        </w:tc>
        <w:tc>
          <w:tcPr>
            <w:cnfStyle w:evenVBand="false" w:oddVBand="true" w:firstColumn="false"/>
            <w:tcW w:w="25.000000%" w:type="pct"/>
          </w:tcPr>
          <w:p>
            <w:pPr>
              <w:ind w:leftChars="0" w:left="0" w:right="0"/>
            </w:pPr>
            <w:r>
              <w:t>MACQUARIE EXECUTION (AU)</w:t>
            </w:r>
          </w:p>
        </w:tc>
        <w:tc>
          <w:tcPr>
            <w:cnfStyle w:evenVBand="true" w:oddVBand="false" w:firstColumn="false"/>
            <w:tcW w:w="25.000000%" w:type="pct"/>
          </w:tcPr>
          <w:p>
            <w:pPr>
              <w:ind w:leftChars="0" w:left="0" w:right="0"/>
            </w:pPr>
            <w:r>
              <w:t>1168</w:t>
            </w:r>
          </w:p>
        </w:tc>
      </w:tr>
      <w:tr>
        <w:trPr>
          <w:cnfStyle w:evenHBand="true" w:oddHBand="false" w:firstRow="false"/>
        </w:trPr>
        <w:tc>
          <w:tcPr>
            <w:cnfStyle w:evenVBand="false" w:oddVBand="true" w:firstColumn="false"/>
            <w:tcW w:w="25.000000%" w:type="pct"/>
          </w:tcPr>
          <w:p>
            <w:pPr>
              <w:ind w:leftChars="0" w:left="0" w:right="0"/>
            </w:pPr>
            <w:r>
              <w:t>MEHK</w:t>
            </w:r>
          </w:p>
        </w:tc>
        <w:tc>
          <w:tcPr>
            <w:cnfStyle w:evenVBand="true" w:oddVBand="false" w:firstColumn="false"/>
            <w:tcW w:w="25.000000%" w:type="pct"/>
          </w:tcPr>
          <w:p>
            <w:pPr>
              <w:ind w:leftChars="0" w:left="0" w:right="0"/>
            </w:pPr>
            <w:r>
              <w:t>MEHK</w:t>
            </w:r>
          </w:p>
        </w:tc>
        <w:tc>
          <w:tcPr>
            <w:cnfStyle w:evenVBand="false" w:oddVBand="true" w:firstColumn="false"/>
            <w:tcW w:w="25.000000%" w:type="pct"/>
          </w:tcPr>
          <w:p>
            <w:pPr>
              <w:ind w:leftChars="0" w:left="0" w:right="0"/>
            </w:pPr>
            <w:r>
              <w:t>MACQUARIE EXECUTION (HK)</w:t>
            </w:r>
          </w:p>
        </w:tc>
        <w:tc>
          <w:tcPr>
            <w:cnfStyle w:evenVBand="true" w:oddVBand="false" w:firstColumn="false"/>
            <w:tcW w:w="25.000000%" w:type="pct"/>
          </w:tcPr>
          <w:p>
            <w:pPr>
              <w:ind w:leftChars="0" w:left="0" w:right="0"/>
            </w:pPr>
            <w:r>
              <w:t>1169</w:t>
            </w:r>
          </w:p>
        </w:tc>
      </w:tr>
      <w:tr>
        <w:trPr>
          <w:cnfStyle w:evenHBand="false" w:oddHBand="true" w:firstRow="false"/>
        </w:trPr>
        <w:tc>
          <w:tcPr>
            <w:cnfStyle w:evenVBand="false" w:oddVBand="true" w:firstColumn="false"/>
            <w:tcW w:w="25.000000%" w:type="pct"/>
          </w:tcPr>
          <w:p>
            <w:pPr>
              <w:ind w:leftChars="0" w:left="0" w:right="0"/>
            </w:pPr>
            <w:r>
              <w:t>MELO</w:t>
            </w:r>
          </w:p>
        </w:tc>
        <w:tc>
          <w:tcPr>
            <w:cnfStyle w:evenVBand="true" w:oddVBand="false" w:firstColumn="false"/>
            <w:tcW w:w="25.000000%" w:type="pct"/>
          </w:tcPr>
          <w:p>
            <w:pPr>
              <w:ind w:leftChars="0" w:left="0" w:right="0"/>
            </w:pPr>
            <w:r>
              <w:t>MELO</w:t>
            </w:r>
          </w:p>
        </w:tc>
        <w:tc>
          <w:tcPr>
            <w:cnfStyle w:evenVBand="false" w:oddVBand="true" w:firstColumn="false"/>
            <w:tcW w:w="25.000000%" w:type="pct"/>
          </w:tcPr>
          <w:p>
            <w:pPr>
              <w:ind w:leftChars="0" w:left="0" w:right="0"/>
            </w:pPr>
            <w:r>
              <w:t>NASDAQ MIDPOINT-ELO (M-ELO)</w:t>
            </w:r>
          </w:p>
        </w:tc>
        <w:tc>
          <w:tcPr>
            <w:cnfStyle w:evenVBand="true" w:oddVBand="false" w:firstColumn="false"/>
            <w:tcW w:w="25.000000%" w:type="pct"/>
          </w:tcPr>
          <w:p>
            <w:pPr>
              <w:ind w:leftChars="0" w:left="0" w:right="0"/>
            </w:pPr>
            <w:r>
              <w:t>1170</w:t>
            </w:r>
          </w:p>
        </w:tc>
      </w:tr>
      <w:tr>
        <w:trPr>
          <w:cnfStyle w:evenHBand="true" w:oddHBand="false" w:firstRow="false"/>
        </w:trPr>
        <w:tc>
          <w:tcPr>
            <w:cnfStyle w:evenVBand="false" w:oddVBand="true" w:firstColumn="false"/>
            <w:tcW w:w="25.000000%" w:type="pct"/>
          </w:tcPr>
          <w:p>
            <w:pPr>
              <w:ind w:leftChars="0" w:left="0" w:right="0"/>
            </w:pPr>
            <w:r>
              <w:t>MEMD</w:t>
            </w:r>
          </w:p>
        </w:tc>
        <w:tc>
          <w:tcPr>
            <w:cnfStyle w:evenVBand="true" w:oddVBand="false" w:firstColumn="false"/>
            <w:tcW w:w="25.000000%" w:type="pct"/>
          </w:tcPr>
          <w:p>
            <w:pPr>
              <w:ind w:leftChars="0" w:left="0" w:right="0"/>
            </w:pPr>
            <w:r>
              <w:t>MEMD</w:t>
            </w:r>
          </w:p>
        </w:tc>
        <w:tc>
          <w:tcPr>
            <w:cnfStyle w:evenVBand="false" w:oddVBand="true" w:firstColumn="false"/>
            <w:tcW w:w="25.000000%" w:type="pct"/>
          </w:tcPr>
          <w:p>
            <w:pPr>
              <w:ind w:leftChars="0" w:left="0" w:right="0"/>
            </w:pPr>
            <w:r>
              <w:t>MEMX LLC DARK</w:t>
            </w:r>
          </w:p>
        </w:tc>
        <w:tc>
          <w:tcPr>
            <w:cnfStyle w:evenVBand="true" w:oddVBand="false" w:firstColumn="false"/>
            <w:tcW w:w="25.000000%" w:type="pct"/>
          </w:tcPr>
          <w:p>
            <w:pPr>
              <w:ind w:leftChars="0" w:left="0" w:right="0"/>
            </w:pPr>
            <w:r>
              <w:t>1171</w:t>
            </w:r>
          </w:p>
        </w:tc>
      </w:tr>
      <w:tr>
        <w:trPr>
          <w:cnfStyle w:evenHBand="false" w:oddHBand="true" w:firstRow="false"/>
        </w:trPr>
        <w:tc>
          <w:tcPr>
            <w:cnfStyle w:evenVBand="false" w:oddVBand="true" w:firstColumn="false"/>
            <w:tcW w:w="25.000000%" w:type="pct"/>
          </w:tcPr>
          <w:p>
            <w:pPr>
              <w:ind w:leftChars="0" w:left="0" w:right="0"/>
            </w:pPr>
            <w:r>
              <w:t>MEMM</w:t>
            </w:r>
          </w:p>
        </w:tc>
        <w:tc>
          <w:tcPr>
            <w:cnfStyle w:evenVBand="true" w:oddVBand="false" w:firstColumn="false"/>
            <w:tcW w:w="25.000000%" w:type="pct"/>
          </w:tcPr>
          <w:p>
            <w:pPr>
              <w:ind w:leftChars="0" w:left="0" w:right="0"/>
            </w:pPr>
            <w:r>
              <w:t>MEMM</w:t>
            </w:r>
          </w:p>
        </w:tc>
        <w:tc>
          <w:tcPr>
            <w:cnfStyle w:evenVBand="false" w:oddVBand="true" w:firstColumn="false"/>
            <w:tcW w:w="25.000000%" w:type="pct"/>
          </w:tcPr>
          <w:p>
            <w:pPr>
              <w:ind w:leftChars="0" w:left="0" w:right="0"/>
            </w:pPr>
            <w:r>
              <w:t>MEMX LLC RETAIL MIDPOINT</w:t>
            </w:r>
          </w:p>
        </w:tc>
        <w:tc>
          <w:tcPr>
            <w:cnfStyle w:evenVBand="true" w:oddVBand="false" w:firstColumn="false"/>
            <w:tcW w:w="25.000000%" w:type="pct"/>
          </w:tcPr>
          <w:p>
            <w:pPr>
              <w:ind w:leftChars="0" w:left="0" w:right="0"/>
            </w:pPr>
            <w:r>
              <w:t>1172</w:t>
            </w:r>
          </w:p>
        </w:tc>
      </w:tr>
      <w:tr>
        <w:trPr>
          <w:cnfStyle w:evenHBand="true" w:oddHBand="false" w:firstRow="false"/>
        </w:trPr>
        <w:tc>
          <w:tcPr>
            <w:cnfStyle w:evenVBand="false" w:oddVBand="true" w:firstColumn="false"/>
            <w:tcW w:w="25.000000%" w:type="pct"/>
          </w:tcPr>
          <w:p>
            <w:pPr>
              <w:ind w:leftChars="0" w:left="0" w:right="0"/>
            </w:pPr>
            <w:r>
              <w:t>MEMX</w:t>
            </w:r>
          </w:p>
        </w:tc>
        <w:tc>
          <w:tcPr>
            <w:cnfStyle w:evenVBand="true" w:oddVBand="false" w:firstColumn="false"/>
            <w:tcW w:w="25.000000%" w:type="pct"/>
          </w:tcPr>
          <w:p>
            <w:pPr>
              <w:ind w:leftChars="0" w:left="0" w:right="0"/>
            </w:pPr>
            <w:r>
              <w:t>MEMX</w:t>
            </w:r>
          </w:p>
        </w:tc>
        <w:tc>
          <w:tcPr>
            <w:cnfStyle w:evenVBand="false" w:oddVBand="true" w:firstColumn="false"/>
            <w:tcW w:w="25.000000%" w:type="pct"/>
          </w:tcPr>
          <w:p>
            <w:pPr>
              <w:ind w:leftChars="0" w:left="0" w:right="0"/>
            </w:pPr>
            <w:r>
              <w:t>MEMX LLC EQUITIES</w:t>
            </w:r>
          </w:p>
        </w:tc>
        <w:tc>
          <w:tcPr>
            <w:cnfStyle w:evenVBand="true" w:oddVBand="false" w:firstColumn="false"/>
            <w:tcW w:w="25.000000%" w:type="pct"/>
          </w:tcPr>
          <w:p>
            <w:pPr>
              <w:ind w:leftChars="0" w:left="0" w:right="0"/>
            </w:pPr>
            <w:r>
              <w:t>1173</w:t>
            </w:r>
          </w:p>
        </w:tc>
      </w:tr>
      <w:tr>
        <w:trPr>
          <w:cnfStyle w:evenHBand="false" w:oddHBand="true" w:firstRow="false"/>
        </w:trPr>
        <w:tc>
          <w:tcPr>
            <w:cnfStyle w:evenVBand="false" w:oddVBand="true" w:firstColumn="false"/>
            <w:tcW w:w="25.000000%" w:type="pct"/>
          </w:tcPr>
          <w:p>
            <w:pPr>
              <w:ind w:leftChars="0" w:left="0" w:right="0"/>
            </w:pPr>
            <w:r>
              <w:t>MERD</w:t>
            </w:r>
          </w:p>
        </w:tc>
        <w:tc>
          <w:tcPr>
            <w:cnfStyle w:evenVBand="true" w:oddVBand="false" w:firstColumn="false"/>
            <w:tcW w:w="25.000000%" w:type="pct"/>
          </w:tcPr>
          <w:p>
            <w:pPr>
              <w:ind w:leftChars="0" w:left="0" w:right="0"/>
            </w:pPr>
            <w:r>
              <w:t>MERD</w:t>
            </w:r>
          </w:p>
        </w:tc>
        <w:tc>
          <w:tcPr>
            <w:cnfStyle w:evenVBand="false" w:oddVBand="true" w:firstColumn="false"/>
            <w:tcW w:w="25.000000%" w:type="pct"/>
          </w:tcPr>
          <w:p>
            <w:pPr>
              <w:ind w:leftChars="0" w:left="0" w:right="0"/>
            </w:pPr>
            <w:r>
              <w:t>MERKUR MARKET - DARK POOL</w:t>
            </w:r>
          </w:p>
        </w:tc>
        <w:tc>
          <w:tcPr>
            <w:cnfStyle w:evenVBand="true" w:oddVBand="false" w:firstColumn="false"/>
            <w:tcW w:w="25.000000%" w:type="pct"/>
          </w:tcPr>
          <w:p>
            <w:pPr>
              <w:ind w:leftChars="0" w:left="0" w:right="0"/>
            </w:pPr>
            <w:r>
              <w:t>1174</w:t>
            </w:r>
          </w:p>
        </w:tc>
      </w:tr>
      <w:tr>
        <w:trPr>
          <w:cnfStyle w:evenHBand="true" w:oddHBand="false" w:firstRow="false"/>
        </w:trPr>
        <w:tc>
          <w:tcPr>
            <w:cnfStyle w:evenVBand="false" w:oddVBand="true" w:firstColumn="false"/>
            <w:tcW w:w="25.000000%" w:type="pct"/>
          </w:tcPr>
          <w:p>
            <w:pPr>
              <w:ind w:leftChars="0" w:left="0" w:right="0"/>
            </w:pPr>
            <w:r>
              <w:t>MERF</w:t>
            </w:r>
          </w:p>
        </w:tc>
        <w:tc>
          <w:tcPr>
            <w:cnfStyle w:evenVBand="true" w:oddVBand="false" w:firstColumn="false"/>
            <w:tcW w:w="25.000000%" w:type="pct"/>
          </w:tcPr>
          <w:p>
            <w:pPr>
              <w:ind w:leftChars="0" w:left="0" w:right="0"/>
            </w:pPr>
            <w:r>
              <w:t>MERF</w:t>
            </w:r>
          </w:p>
        </w:tc>
        <w:tc>
          <w:tcPr>
            <w:cnfStyle w:evenVBand="false" w:oddVBand="true" w:firstColumn="false"/>
            <w:tcW w:w="25.000000%" w:type="pct"/>
          </w:tcPr>
          <w:p>
            <w:pPr>
              <w:ind w:leftChars="0" w:left="0" w:right="0"/>
            </w:pPr>
            <w:r>
              <w:t>MERCADO ELECTRONICO DE RENTA FIJA</w:t>
            </w:r>
          </w:p>
        </w:tc>
        <w:tc>
          <w:tcPr>
            <w:cnfStyle w:evenVBand="true" w:oddVBand="false" w:firstColumn="false"/>
            <w:tcW w:w="25.000000%" w:type="pct"/>
          </w:tcPr>
          <w:p>
            <w:pPr>
              <w:ind w:leftChars="0" w:left="0" w:right="0"/>
            </w:pPr>
            <w:r>
              <w:t>1175</w:t>
            </w:r>
          </w:p>
        </w:tc>
      </w:tr>
      <w:tr>
        <w:trPr>
          <w:cnfStyle w:evenHBand="false" w:oddHBand="true" w:firstRow="false"/>
        </w:trPr>
        <w:tc>
          <w:tcPr>
            <w:cnfStyle w:evenVBand="false" w:oddVBand="true" w:firstColumn="false"/>
            <w:tcW w:w="25.000000%" w:type="pct"/>
          </w:tcPr>
          <w:p>
            <w:pPr>
              <w:ind w:leftChars="0" w:left="0" w:right="0"/>
            </w:pPr>
            <w:r>
              <w:t>MERK</w:t>
            </w:r>
          </w:p>
        </w:tc>
        <w:tc>
          <w:tcPr>
            <w:cnfStyle w:evenVBand="true" w:oddVBand="false" w:firstColumn="false"/>
            <w:tcW w:w="25.000000%" w:type="pct"/>
          </w:tcPr>
          <w:p>
            <w:pPr>
              <w:ind w:leftChars="0" w:left="0" w:right="0"/>
            </w:pPr>
            <w:r>
              <w:t>MERK</w:t>
            </w:r>
          </w:p>
        </w:tc>
        <w:tc>
          <w:tcPr>
            <w:cnfStyle w:evenVBand="false" w:oddVBand="true" w:firstColumn="false"/>
            <w:tcW w:w="25.000000%" w:type="pct"/>
          </w:tcPr>
          <w:p>
            <w:pPr>
              <w:ind w:leftChars="0" w:left="0" w:right="0"/>
            </w:pPr>
            <w:r>
              <w:t>EURONEXT GROWTH - OSLO</w:t>
            </w:r>
          </w:p>
        </w:tc>
        <w:tc>
          <w:tcPr>
            <w:cnfStyle w:evenVBand="true" w:oddVBand="false" w:firstColumn="false"/>
            <w:tcW w:w="25.000000%" w:type="pct"/>
          </w:tcPr>
          <w:p>
            <w:pPr>
              <w:ind w:leftChars="0" w:left="0" w:right="0"/>
            </w:pPr>
            <w:r>
              <w:t>1176</w:t>
            </w:r>
          </w:p>
        </w:tc>
      </w:tr>
      <w:tr>
        <w:trPr>
          <w:cnfStyle w:evenHBand="true" w:oddHBand="false" w:firstRow="false"/>
        </w:trPr>
        <w:tc>
          <w:tcPr>
            <w:cnfStyle w:evenVBand="false" w:oddVBand="true" w:firstColumn="false"/>
            <w:tcW w:w="25.000000%" w:type="pct"/>
          </w:tcPr>
          <w:p>
            <w:pPr>
              <w:ind w:leftChars="0" w:left="0" w:right="0"/>
            </w:pPr>
            <w:r>
              <w:t>MESI</w:t>
            </w:r>
          </w:p>
        </w:tc>
        <w:tc>
          <w:tcPr>
            <w:cnfStyle w:evenVBand="true" w:oddVBand="false" w:firstColumn="false"/>
            <w:tcW w:w="25.000000%" w:type="pct"/>
          </w:tcPr>
          <w:p>
            <w:pPr>
              <w:ind w:leftChars="0" w:left="0" w:right="0"/>
            </w:pPr>
            <w:r>
              <w:t>MESI</w:t>
            </w:r>
          </w:p>
        </w:tc>
        <w:tc>
          <w:tcPr>
            <w:cnfStyle w:evenVBand="false" w:oddVBand="true" w:firstColumn="false"/>
            <w:tcW w:w="25.000000%" w:type="pct"/>
          </w:tcPr>
          <w:p>
            <w:pPr>
              <w:ind w:leftChars="0" w:left="0" w:right="0"/>
            </w:pPr>
            <w:r>
              <w:t>MORGAN STANLEY EUROPE S.E. - SYSTEMATIC INTERNALISER</w:t>
            </w:r>
          </w:p>
        </w:tc>
        <w:tc>
          <w:tcPr>
            <w:cnfStyle w:evenVBand="true" w:oddVBand="false" w:firstColumn="false"/>
            <w:tcW w:w="25.000000%" w:type="pct"/>
          </w:tcPr>
          <w:p>
            <w:pPr>
              <w:ind w:leftChars="0" w:left="0" w:right="0"/>
            </w:pPr>
            <w:r>
              <w:t>1177</w:t>
            </w:r>
          </w:p>
        </w:tc>
      </w:tr>
      <w:tr>
        <w:trPr>
          <w:cnfStyle w:evenHBand="false" w:oddHBand="true" w:firstRow="false"/>
        </w:trPr>
        <w:tc>
          <w:tcPr>
            <w:cnfStyle w:evenVBand="false" w:oddVBand="true" w:firstColumn="false"/>
            <w:tcW w:w="25.000000%" w:type="pct"/>
          </w:tcPr>
          <w:p>
            <w:pPr>
              <w:ind w:leftChars="0" w:left="0" w:right="0"/>
            </w:pPr>
            <w:r>
              <w:t>MESQ</w:t>
            </w:r>
          </w:p>
        </w:tc>
        <w:tc>
          <w:tcPr>
            <w:cnfStyle w:evenVBand="true" w:oddVBand="false" w:firstColumn="false"/>
            <w:tcW w:w="25.000000%" w:type="pct"/>
          </w:tcPr>
          <w:p>
            <w:pPr>
              <w:ind w:leftChars="0" w:left="0" w:right="0"/>
            </w:pPr>
            <w:r>
              <w:t>MESQ</w:t>
            </w:r>
          </w:p>
        </w:tc>
        <w:tc>
          <w:tcPr>
            <w:cnfStyle w:evenVBand="false" w:oddVBand="true" w:firstColumn="false"/>
            <w:tcW w:w="25.000000%" w:type="pct"/>
          </w:tcPr>
          <w:p>
            <w:pPr>
              <w:ind w:leftChars="0" w:left="0" w:right="0"/>
            </w:pPr>
            <w:r>
              <w:t>ACE MARKET</w:t>
            </w:r>
          </w:p>
        </w:tc>
        <w:tc>
          <w:tcPr>
            <w:cnfStyle w:evenVBand="true" w:oddVBand="false" w:firstColumn="false"/>
            <w:tcW w:w="25.000000%" w:type="pct"/>
          </w:tcPr>
          <w:p>
            <w:pPr>
              <w:ind w:leftChars="0" w:left="0" w:right="0"/>
            </w:pPr>
            <w:r>
              <w:t>1178</w:t>
            </w:r>
          </w:p>
        </w:tc>
      </w:tr>
      <w:tr>
        <w:trPr>
          <w:cnfStyle w:evenHBand="true" w:oddHBand="false" w:firstRow="false"/>
        </w:trPr>
        <w:tc>
          <w:tcPr>
            <w:cnfStyle w:evenVBand="false" w:oddVBand="true" w:firstColumn="false"/>
            <w:tcW w:w="25.000000%" w:type="pct"/>
          </w:tcPr>
          <w:p>
            <w:pPr>
              <w:ind w:leftChars="0" w:left="0" w:right="0"/>
            </w:pPr>
            <w:r>
              <w:t>METZ</w:t>
            </w:r>
          </w:p>
        </w:tc>
        <w:tc>
          <w:tcPr>
            <w:cnfStyle w:evenVBand="true" w:oddVBand="false" w:firstColumn="false"/>
            <w:tcW w:w="25.000000%" w:type="pct"/>
          </w:tcPr>
          <w:p>
            <w:pPr>
              <w:ind w:leftChars="0" w:left="0" w:right="0"/>
            </w:pPr>
            <w:r>
              <w:t>METZ</w:t>
            </w:r>
          </w:p>
        </w:tc>
        <w:tc>
          <w:tcPr>
            <w:cnfStyle w:evenVBand="false" w:oddVBand="true" w:firstColumn="false"/>
            <w:tcW w:w="25.000000%" w:type="pct"/>
          </w:tcPr>
          <w:p>
            <w:pPr>
              <w:ind w:leftChars="0" w:left="0" w:right="0"/>
            </w:pPr>
            <w:r>
              <w:t>MET ZURICH</w:t>
            </w:r>
          </w:p>
        </w:tc>
        <w:tc>
          <w:tcPr>
            <w:cnfStyle w:evenVBand="true" w:oddVBand="false" w:firstColumn="false"/>
            <w:tcW w:w="25.000000%" w:type="pct"/>
          </w:tcPr>
          <w:p>
            <w:pPr>
              <w:ind w:leftChars="0" w:left="0" w:right="0"/>
            </w:pPr>
            <w:r>
              <w:t>1179</w:t>
            </w:r>
          </w:p>
        </w:tc>
      </w:tr>
      <w:tr>
        <w:trPr>
          <w:cnfStyle w:evenHBand="false" w:oddHBand="true" w:firstRow="false"/>
        </w:trPr>
        <w:tc>
          <w:tcPr>
            <w:cnfStyle w:evenVBand="false" w:oddVBand="true" w:firstColumn="false"/>
            <w:tcW w:w="25.000000%" w:type="pct"/>
          </w:tcPr>
          <w:p>
            <w:pPr>
              <w:ind w:leftChars="0" w:left="0" w:right="0"/>
            </w:pPr>
            <w:r>
              <w:t>MFGL</w:t>
            </w:r>
          </w:p>
        </w:tc>
        <w:tc>
          <w:tcPr>
            <w:cnfStyle w:evenVBand="true" w:oddVBand="false" w:firstColumn="false"/>
            <w:tcW w:w="25.000000%" w:type="pct"/>
          </w:tcPr>
          <w:p>
            <w:pPr>
              <w:ind w:leftChars="0" w:left="0" w:right="0"/>
            </w:pPr>
            <w:r>
              <w:t>MFGL</w:t>
            </w:r>
          </w:p>
        </w:tc>
        <w:tc>
          <w:tcPr>
            <w:cnfStyle w:evenVBand="false" w:oddVBand="true" w:firstColumn="false"/>
            <w:tcW w:w="25.000000%" w:type="pct"/>
          </w:tcPr>
          <w:p>
            <w:pPr>
              <w:ind w:leftChars="0" w:left="0" w:right="0"/>
            </w:pPr>
            <w:r>
              <w:t>MF GLOBAL ENERGY MTF</w:t>
            </w:r>
          </w:p>
        </w:tc>
        <w:tc>
          <w:tcPr>
            <w:cnfStyle w:evenVBand="true" w:oddVBand="false" w:firstColumn="false"/>
            <w:tcW w:w="25.000000%" w:type="pct"/>
          </w:tcPr>
          <w:p>
            <w:pPr>
              <w:ind w:leftChars="0" w:left="0" w:right="0"/>
            </w:pPr>
            <w:r>
              <w:t>1180</w:t>
            </w:r>
          </w:p>
        </w:tc>
      </w:tr>
      <w:tr>
        <w:trPr>
          <w:cnfStyle w:evenHBand="true" w:oddHBand="false" w:firstRow="false"/>
        </w:trPr>
        <w:tc>
          <w:tcPr>
            <w:cnfStyle w:evenVBand="false" w:oddVBand="true" w:firstColumn="false"/>
            <w:tcW w:w="25.000000%" w:type="pct"/>
          </w:tcPr>
          <w:p>
            <w:pPr>
              <w:ind w:leftChars="0" w:left="0" w:right="0"/>
            </w:pPr>
            <w:r>
              <w:t>MFOX</w:t>
            </w:r>
          </w:p>
        </w:tc>
        <w:tc>
          <w:tcPr>
            <w:cnfStyle w:evenVBand="true" w:oddVBand="false" w:firstColumn="false"/>
            <w:tcW w:w="25.000000%" w:type="pct"/>
          </w:tcPr>
          <w:p>
            <w:pPr>
              <w:ind w:leftChars="0" w:left="0" w:right="0"/>
            </w:pPr>
            <w:r>
              <w:t>MFOX</w:t>
            </w:r>
          </w:p>
        </w:tc>
        <w:tc>
          <w:tcPr>
            <w:cnfStyle w:evenVBand="false" w:oddVBand="true" w:firstColumn="false"/>
            <w:tcW w:w="25.000000%" w:type="pct"/>
          </w:tcPr>
          <w:p>
            <w:pPr>
              <w:ind w:leftChars="0" w:left="0" w:right="0"/>
            </w:pPr>
            <w:r>
              <w:t>EURONEXT - MERCADO DE FUTUROS E OPÇÕES</w:t>
            </w:r>
          </w:p>
        </w:tc>
        <w:tc>
          <w:tcPr>
            <w:cnfStyle w:evenVBand="true" w:oddVBand="false" w:firstColumn="false"/>
            <w:tcW w:w="25.000000%" w:type="pct"/>
          </w:tcPr>
          <w:p>
            <w:pPr>
              <w:ind w:leftChars="0" w:left="0" w:right="0"/>
            </w:pPr>
            <w:r>
              <w:t>1181</w:t>
            </w:r>
          </w:p>
        </w:tc>
      </w:tr>
      <w:tr>
        <w:trPr>
          <w:cnfStyle w:evenHBand="false" w:oddHBand="true" w:firstRow="false"/>
        </w:trPr>
        <w:tc>
          <w:tcPr>
            <w:cnfStyle w:evenVBand="false" w:oddVBand="true" w:firstColumn="false"/>
            <w:tcW w:w="25.000000%" w:type="pct"/>
          </w:tcPr>
          <w:p>
            <w:pPr>
              <w:ind w:leftChars="0" w:left="0" w:right="0"/>
            </w:pPr>
            <w:r>
              <w:t>MFXA</w:t>
            </w:r>
          </w:p>
        </w:tc>
        <w:tc>
          <w:tcPr>
            <w:cnfStyle w:evenVBand="true" w:oddVBand="false" w:firstColumn="false"/>
            <w:tcW w:w="25.000000%" w:type="pct"/>
          </w:tcPr>
          <w:p>
            <w:pPr>
              <w:ind w:leftChars="0" w:left="0" w:right="0"/>
            </w:pPr>
            <w:r>
              <w:t>MFXA</w:t>
            </w:r>
          </w:p>
        </w:tc>
        <w:tc>
          <w:tcPr>
            <w:cnfStyle w:evenVBand="false" w:oddVBand="true" w:firstColumn="false"/>
            <w:tcW w:w="25.000000%" w:type="pct"/>
          </w:tcPr>
          <w:p>
            <w:pPr>
              <w:ind w:leftChars="0" w:left="0" w:right="0"/>
            </w:pPr>
            <w:r>
              <w:t>FX CONNECT - MTF - ALLOCATIONS</w:t>
            </w:r>
          </w:p>
        </w:tc>
        <w:tc>
          <w:tcPr>
            <w:cnfStyle w:evenVBand="true" w:oddVBand="false" w:firstColumn="false"/>
            <w:tcW w:w="25.000000%" w:type="pct"/>
          </w:tcPr>
          <w:p>
            <w:pPr>
              <w:ind w:leftChars="0" w:left="0" w:right="0"/>
            </w:pPr>
            <w:r>
              <w:t>1182</w:t>
            </w:r>
          </w:p>
        </w:tc>
      </w:tr>
      <w:tr>
        <w:trPr>
          <w:cnfStyle w:evenHBand="true" w:oddHBand="false" w:firstRow="false"/>
        </w:trPr>
        <w:tc>
          <w:tcPr>
            <w:cnfStyle w:evenVBand="false" w:oddVBand="true" w:firstColumn="false"/>
            <w:tcW w:w="25.000000%" w:type="pct"/>
          </w:tcPr>
          <w:p>
            <w:pPr>
              <w:ind w:leftChars="0" w:left="0" w:right="0"/>
            </w:pPr>
            <w:r>
              <w:t>MFXC</w:t>
            </w:r>
          </w:p>
        </w:tc>
        <w:tc>
          <w:tcPr>
            <w:cnfStyle w:evenVBand="true" w:oddVBand="false" w:firstColumn="false"/>
            <w:tcW w:w="25.000000%" w:type="pct"/>
          </w:tcPr>
          <w:p>
            <w:pPr>
              <w:ind w:leftChars="0" w:left="0" w:right="0"/>
            </w:pPr>
            <w:r>
              <w:t>MFXC</w:t>
            </w:r>
          </w:p>
        </w:tc>
        <w:tc>
          <w:tcPr>
            <w:cnfStyle w:evenVBand="false" w:oddVBand="true" w:firstColumn="false"/>
            <w:tcW w:w="25.000000%" w:type="pct"/>
          </w:tcPr>
          <w:p>
            <w:pPr>
              <w:ind w:leftChars="0" w:left="0" w:right="0"/>
            </w:pPr>
            <w:r>
              <w:t>FX CONNECT - MTF</w:t>
            </w:r>
          </w:p>
        </w:tc>
        <w:tc>
          <w:tcPr>
            <w:cnfStyle w:evenVBand="true" w:oddVBand="false" w:firstColumn="false"/>
            <w:tcW w:w="25.000000%" w:type="pct"/>
          </w:tcPr>
          <w:p>
            <w:pPr>
              <w:ind w:leftChars="0" w:left="0" w:right="0"/>
            </w:pPr>
            <w:r>
              <w:t>1183</w:t>
            </w:r>
          </w:p>
        </w:tc>
      </w:tr>
      <w:tr>
        <w:trPr>
          <w:cnfStyle w:evenHBand="false" w:oddHBand="true" w:firstRow="false"/>
        </w:trPr>
        <w:tc>
          <w:tcPr>
            <w:cnfStyle w:evenVBand="false" w:oddVBand="true" w:firstColumn="false"/>
            <w:tcW w:w="25.000000%" w:type="pct"/>
          </w:tcPr>
          <w:p>
            <w:pPr>
              <w:ind w:leftChars="0" w:left="0" w:right="0"/>
            </w:pPr>
            <w:r>
              <w:t>MFXR</w:t>
            </w:r>
          </w:p>
        </w:tc>
        <w:tc>
          <w:tcPr>
            <w:cnfStyle w:evenVBand="true" w:oddVBand="false" w:firstColumn="false"/>
            <w:tcW w:w="25.000000%" w:type="pct"/>
          </w:tcPr>
          <w:p>
            <w:pPr>
              <w:ind w:leftChars="0" w:left="0" w:right="0"/>
            </w:pPr>
            <w:r>
              <w:t>MFXR</w:t>
            </w:r>
          </w:p>
        </w:tc>
        <w:tc>
          <w:tcPr>
            <w:cnfStyle w:evenVBand="false" w:oddVBand="true" w:firstColumn="false"/>
            <w:tcW w:w="25.000000%" w:type="pct"/>
          </w:tcPr>
          <w:p>
            <w:pPr>
              <w:ind w:leftChars="0" w:left="0" w:right="0"/>
            </w:pPr>
            <w:r>
              <w:t>FX CONNECT - MTF - RFQ</w:t>
            </w:r>
          </w:p>
        </w:tc>
        <w:tc>
          <w:tcPr>
            <w:cnfStyle w:evenVBand="true" w:oddVBand="false" w:firstColumn="false"/>
            <w:tcW w:w="25.000000%" w:type="pct"/>
          </w:tcPr>
          <w:p>
            <w:pPr>
              <w:ind w:leftChars="0" w:left="0" w:right="0"/>
            </w:pPr>
            <w:r>
              <w:t>1184</w:t>
            </w:r>
          </w:p>
        </w:tc>
      </w:tr>
      <w:tr>
        <w:trPr>
          <w:cnfStyle w:evenHBand="true" w:oddHBand="false" w:firstRow="false"/>
        </w:trPr>
        <w:tc>
          <w:tcPr>
            <w:cnfStyle w:evenVBand="false" w:oddVBand="true" w:firstColumn="false"/>
            <w:tcW w:w="25.000000%" w:type="pct"/>
          </w:tcPr>
          <w:p>
            <w:pPr>
              <w:ind w:leftChars="0" w:left="0" w:right="0"/>
            </w:pPr>
            <w:r>
              <w:t>MHBD</w:t>
            </w:r>
          </w:p>
        </w:tc>
        <w:tc>
          <w:tcPr>
            <w:cnfStyle w:evenVBand="true" w:oddVBand="false" w:firstColumn="false"/>
            <w:tcW w:w="25.000000%" w:type="pct"/>
          </w:tcPr>
          <w:p>
            <w:pPr>
              <w:ind w:leftChars="0" w:left="0" w:right="0"/>
            </w:pPr>
            <w:r>
              <w:t>MHBD</w:t>
            </w:r>
          </w:p>
        </w:tc>
        <w:tc>
          <w:tcPr>
            <w:cnfStyle w:evenVBand="false" w:oddVBand="true" w:firstColumn="false"/>
            <w:tcW w:w="25.000000%" w:type="pct"/>
          </w:tcPr>
          <w:p>
            <w:pPr>
              <w:ind w:leftChars="0" w:left="0" w:right="0"/>
            </w:pPr>
            <w:r>
              <w:t>MIZUHO BANK, LTD. DUESSELDORF BRANCH - SYSTEMATIC INTERNALISER</w:t>
            </w:r>
          </w:p>
        </w:tc>
        <w:tc>
          <w:tcPr>
            <w:cnfStyle w:evenVBand="true" w:oddVBand="false" w:firstColumn="false"/>
            <w:tcW w:w="25.000000%" w:type="pct"/>
          </w:tcPr>
          <w:p>
            <w:pPr>
              <w:ind w:leftChars="0" w:left="0" w:right="0"/>
            </w:pPr>
            <w:r>
              <w:t>1185</w:t>
            </w:r>
          </w:p>
        </w:tc>
      </w:tr>
      <w:tr>
        <w:trPr>
          <w:cnfStyle w:evenHBand="false" w:oddHBand="true" w:firstRow="false"/>
        </w:trPr>
        <w:tc>
          <w:tcPr>
            <w:cnfStyle w:evenVBand="false" w:oddVBand="true" w:firstColumn="false"/>
            <w:tcW w:w="25.000000%" w:type="pct"/>
          </w:tcPr>
          <w:p>
            <w:pPr>
              <w:ind w:leftChars="0" w:left="0" w:right="0"/>
            </w:pPr>
            <w:r>
              <w:t>MHBE</w:t>
            </w:r>
          </w:p>
        </w:tc>
        <w:tc>
          <w:tcPr>
            <w:cnfStyle w:evenVBand="true" w:oddVBand="false" w:firstColumn="false"/>
            <w:tcW w:w="25.000000%" w:type="pct"/>
          </w:tcPr>
          <w:p>
            <w:pPr>
              <w:ind w:leftChars="0" w:left="0" w:right="0"/>
            </w:pPr>
            <w:r>
              <w:t>MHBE</w:t>
            </w:r>
          </w:p>
        </w:tc>
        <w:tc>
          <w:tcPr>
            <w:cnfStyle w:evenVBand="false" w:oddVBand="true" w:firstColumn="false"/>
            <w:tcW w:w="25.000000%" w:type="pct"/>
          </w:tcPr>
          <w:p>
            <w:pPr>
              <w:ind w:leftChars="0" w:left="0" w:right="0"/>
            </w:pPr>
            <w:r>
              <w:t>MIZUHO BANK EUROPE N.V. - SYSTEMATIC INTERNALISER</w:t>
            </w:r>
          </w:p>
        </w:tc>
        <w:tc>
          <w:tcPr>
            <w:cnfStyle w:evenVBand="true" w:oddVBand="false" w:firstColumn="false"/>
            <w:tcW w:w="25.000000%" w:type="pct"/>
          </w:tcPr>
          <w:p>
            <w:pPr>
              <w:ind w:leftChars="0" w:left="0" w:right="0"/>
            </w:pPr>
            <w:r>
              <w:t>1186</w:t>
            </w:r>
          </w:p>
        </w:tc>
      </w:tr>
      <w:tr>
        <w:trPr>
          <w:cnfStyle w:evenHBand="true" w:oddHBand="false" w:firstRow="false"/>
        </w:trPr>
        <w:tc>
          <w:tcPr>
            <w:cnfStyle w:evenVBand="false" w:oddVBand="true" w:firstColumn="false"/>
            <w:tcW w:w="25.000000%" w:type="pct"/>
          </w:tcPr>
          <w:p>
            <w:pPr>
              <w:ind w:leftChars="0" w:left="0" w:right="0"/>
            </w:pPr>
            <w:r>
              <w:t>MHBL</w:t>
            </w:r>
          </w:p>
        </w:tc>
        <w:tc>
          <w:tcPr>
            <w:cnfStyle w:evenVBand="true" w:oddVBand="false" w:firstColumn="false"/>
            <w:tcW w:w="25.000000%" w:type="pct"/>
          </w:tcPr>
          <w:p>
            <w:pPr>
              <w:ind w:leftChars="0" w:left="0" w:right="0"/>
            </w:pPr>
            <w:r>
              <w:t>MHBL</w:t>
            </w:r>
          </w:p>
        </w:tc>
        <w:tc>
          <w:tcPr>
            <w:cnfStyle w:evenVBand="false" w:oddVBand="true" w:firstColumn="false"/>
            <w:tcW w:w="25.000000%" w:type="pct"/>
          </w:tcPr>
          <w:p>
            <w:pPr>
              <w:ind w:leftChars="0" w:left="0" w:right="0"/>
            </w:pPr>
            <w:r>
              <w:t>MIZUHO BANK, LTD. LONDON BRANCH - SYSTEMATIC INTERNALISER</w:t>
            </w:r>
          </w:p>
        </w:tc>
        <w:tc>
          <w:tcPr>
            <w:cnfStyle w:evenVBand="true" w:oddVBand="false" w:firstColumn="false"/>
            <w:tcW w:w="25.000000%" w:type="pct"/>
          </w:tcPr>
          <w:p>
            <w:pPr>
              <w:ind w:leftChars="0" w:left="0" w:right="0"/>
            </w:pPr>
            <w:r>
              <w:t>1187</w:t>
            </w:r>
          </w:p>
        </w:tc>
      </w:tr>
      <w:tr>
        <w:trPr>
          <w:cnfStyle w:evenHBand="false" w:oddHBand="true" w:firstRow="false"/>
        </w:trPr>
        <w:tc>
          <w:tcPr>
            <w:cnfStyle w:evenVBand="false" w:oddVBand="true" w:firstColumn="false"/>
            <w:tcW w:w="25.000000%" w:type="pct"/>
          </w:tcPr>
          <w:p>
            <w:pPr>
              <w:ind w:leftChars="0" w:left="0" w:right="0"/>
            </w:pPr>
            <w:r>
              <w:t>MHBP</w:t>
            </w:r>
          </w:p>
        </w:tc>
        <w:tc>
          <w:tcPr>
            <w:cnfStyle w:evenVBand="true" w:oddVBand="false" w:firstColumn="false"/>
            <w:tcW w:w="25.000000%" w:type="pct"/>
          </w:tcPr>
          <w:p>
            <w:pPr>
              <w:ind w:leftChars="0" w:left="0" w:right="0"/>
            </w:pPr>
            <w:r>
              <w:t>MHBP</w:t>
            </w:r>
          </w:p>
        </w:tc>
        <w:tc>
          <w:tcPr>
            <w:cnfStyle w:evenVBand="false" w:oddVBand="true" w:firstColumn="false"/>
            <w:tcW w:w="25.000000%" w:type="pct"/>
          </w:tcPr>
          <w:p>
            <w:pPr>
              <w:ind w:leftChars="0" w:left="0" w:right="0"/>
            </w:pPr>
            <w:r>
              <w:t>MIZUHO BANK LTD. - PARIS BRANCH - SYSTEMATIC INTERNALISER</w:t>
            </w:r>
          </w:p>
        </w:tc>
        <w:tc>
          <w:tcPr>
            <w:cnfStyle w:evenVBand="true" w:oddVBand="false" w:firstColumn="false"/>
            <w:tcW w:w="25.000000%" w:type="pct"/>
          </w:tcPr>
          <w:p>
            <w:pPr>
              <w:ind w:leftChars="0" w:left="0" w:right="0"/>
            </w:pPr>
            <w:r>
              <w:t>1188</w:t>
            </w:r>
          </w:p>
        </w:tc>
      </w:tr>
      <w:tr>
        <w:trPr>
          <w:cnfStyle w:evenHBand="true" w:oddHBand="false" w:firstRow="false"/>
        </w:trPr>
        <w:tc>
          <w:tcPr>
            <w:cnfStyle w:evenVBand="false" w:oddVBand="true" w:firstColumn="false"/>
            <w:tcW w:w="25.000000%" w:type="pct"/>
          </w:tcPr>
          <w:p>
            <w:pPr>
              <w:ind w:leftChars="0" w:left="0" w:right="0"/>
            </w:pPr>
            <w:r>
              <w:t>MHEL</w:t>
            </w:r>
          </w:p>
        </w:tc>
        <w:tc>
          <w:tcPr>
            <w:cnfStyle w:evenVBand="true" w:oddVBand="false" w:firstColumn="false"/>
            <w:tcW w:w="25.000000%" w:type="pct"/>
          </w:tcPr>
          <w:p>
            <w:pPr>
              <w:ind w:leftChars="0" w:left="0" w:right="0"/>
            </w:pPr>
            <w:r>
              <w:t>MHEL</w:t>
            </w:r>
          </w:p>
        </w:tc>
        <w:tc>
          <w:tcPr>
            <w:cnfStyle w:evenVBand="false" w:oddVBand="true" w:firstColumn="false"/>
            <w:tcW w:w="25.000000%" w:type="pct"/>
          </w:tcPr>
          <w:p>
            <w:pPr>
              <w:ind w:leftChars="0" w:left="0" w:right="0"/>
            </w:pPr>
            <w:r>
              <w:t>NASDAQ HELSINKI LTD -  AUCTION ON DEMAND</w:t>
            </w:r>
          </w:p>
        </w:tc>
        <w:tc>
          <w:tcPr>
            <w:cnfStyle w:evenVBand="true" w:oddVBand="false" w:firstColumn="false"/>
            <w:tcW w:w="25.000000%" w:type="pct"/>
          </w:tcPr>
          <w:p>
            <w:pPr>
              <w:ind w:leftChars="0" w:left="0" w:right="0"/>
            </w:pPr>
            <w:r>
              <w:t>1189</w:t>
            </w:r>
          </w:p>
        </w:tc>
      </w:tr>
      <w:tr>
        <w:trPr>
          <w:cnfStyle w:evenHBand="false" w:oddHBand="true" w:firstRow="false"/>
        </w:trPr>
        <w:tc>
          <w:tcPr>
            <w:cnfStyle w:evenVBand="false" w:oddVBand="true" w:firstColumn="false"/>
            <w:tcW w:w="25.000000%" w:type="pct"/>
          </w:tcPr>
          <w:p>
            <w:pPr>
              <w:ind w:leftChars="0" w:left="0" w:right="0"/>
            </w:pPr>
            <w:r>
              <w:t>MHEU</w:t>
            </w:r>
          </w:p>
        </w:tc>
        <w:tc>
          <w:tcPr>
            <w:cnfStyle w:evenVBand="true" w:oddVBand="false" w:firstColumn="false"/>
            <w:tcW w:w="25.000000%" w:type="pct"/>
          </w:tcPr>
          <w:p>
            <w:pPr>
              <w:ind w:leftChars="0" w:left="0" w:right="0"/>
            </w:pPr>
            <w:r>
              <w:t>MHEU</w:t>
            </w:r>
          </w:p>
        </w:tc>
        <w:tc>
          <w:tcPr>
            <w:cnfStyle w:evenVBand="false" w:oddVBand="true" w:firstColumn="false"/>
            <w:tcW w:w="25.000000%" w:type="pct"/>
          </w:tcPr>
          <w:p>
            <w:pPr>
              <w:ind w:leftChars="0" w:left="0" w:right="0"/>
            </w:pPr>
            <w:r>
              <w:t>MIZUHO SECURITIES EUROPE - SYSTEMATIC INTERNALISER</w:t>
            </w:r>
          </w:p>
        </w:tc>
        <w:tc>
          <w:tcPr>
            <w:cnfStyle w:evenVBand="true" w:oddVBand="false" w:firstColumn="false"/>
            <w:tcW w:w="25.000000%" w:type="pct"/>
          </w:tcPr>
          <w:p>
            <w:pPr>
              <w:ind w:leftChars="0" w:left="0" w:right="0"/>
            </w:pPr>
            <w:r>
              <w:t>1190</w:t>
            </w:r>
          </w:p>
        </w:tc>
      </w:tr>
      <w:tr>
        <w:trPr>
          <w:cnfStyle w:evenHBand="true" w:oddHBand="false" w:firstRow="false"/>
        </w:trPr>
        <w:tc>
          <w:tcPr>
            <w:cnfStyle w:evenVBand="false" w:oddVBand="true" w:firstColumn="false"/>
            <w:tcW w:w="25.000000%" w:type="pct"/>
          </w:tcPr>
          <w:p>
            <w:pPr>
              <w:ind w:leftChars="0" w:left="0" w:right="0"/>
            </w:pPr>
            <w:r>
              <w:t>MHIP</w:t>
            </w:r>
          </w:p>
        </w:tc>
        <w:tc>
          <w:tcPr>
            <w:cnfStyle w:evenVBand="true" w:oddVBand="false" w:firstColumn="false"/>
            <w:tcW w:w="25.000000%" w:type="pct"/>
          </w:tcPr>
          <w:p>
            <w:pPr>
              <w:ind w:leftChars="0" w:left="0" w:right="0"/>
            </w:pPr>
            <w:r>
              <w:t>MHIP</w:t>
            </w:r>
          </w:p>
        </w:tc>
        <w:tc>
          <w:tcPr>
            <w:cnfStyle w:evenVBand="false" w:oddVBand="true" w:firstColumn="false"/>
            <w:tcW w:w="25.000000%" w:type="pct"/>
          </w:tcPr>
          <w:p>
            <w:pPr>
              <w:ind w:leftChars="0" w:left="0" w:right="0"/>
            </w:pPr>
            <w:r>
              <w:t>MIZUHO INTERNATIONAL - SYSTEMATIC INTERNALISER</w:t>
            </w:r>
          </w:p>
        </w:tc>
        <w:tc>
          <w:tcPr>
            <w:cnfStyle w:evenVBand="true" w:oddVBand="false" w:firstColumn="false"/>
            <w:tcW w:w="25.000000%" w:type="pct"/>
          </w:tcPr>
          <w:p>
            <w:pPr>
              <w:ind w:leftChars="0" w:left="0" w:right="0"/>
            </w:pPr>
            <w:r>
              <w:t>1191</w:t>
            </w:r>
          </w:p>
        </w:tc>
      </w:tr>
      <w:tr>
        <w:trPr>
          <w:cnfStyle w:evenHBand="false" w:oddHBand="true" w:firstRow="false"/>
        </w:trPr>
        <w:tc>
          <w:tcPr>
            <w:cnfStyle w:evenVBand="false" w:oddVBand="true" w:firstColumn="false"/>
            <w:tcW w:w="25.000000%" w:type="pct"/>
          </w:tcPr>
          <w:p>
            <w:pPr>
              <w:ind w:leftChars="0" w:left="0" w:right="0"/>
            </w:pPr>
            <w:r>
              <w:t>MIBG</w:t>
            </w:r>
          </w:p>
        </w:tc>
        <w:tc>
          <w:tcPr>
            <w:cnfStyle w:evenVBand="true" w:oddVBand="false" w:firstColumn="false"/>
            <w:tcW w:w="25.000000%" w:type="pct"/>
          </w:tcPr>
          <w:p>
            <w:pPr>
              <w:ind w:leftChars="0" w:left="0" w:right="0"/>
            </w:pPr>
            <w:r>
              <w:t>MIBG</w:t>
            </w:r>
          </w:p>
        </w:tc>
        <w:tc>
          <w:tcPr>
            <w:cnfStyle w:evenVBand="false" w:oddVBand="true" w:firstColumn="false"/>
            <w:tcW w:w="25.000000%" w:type="pct"/>
          </w:tcPr>
          <w:p>
            <w:pPr>
              <w:ind w:leftChars="0" w:left="0" w:right="0"/>
            </w:pPr>
            <w:r>
              <w:t>MERCADO ORGANIZADO DEL GAS</w:t>
            </w:r>
          </w:p>
        </w:tc>
        <w:tc>
          <w:tcPr>
            <w:cnfStyle w:evenVBand="true" w:oddVBand="false" w:firstColumn="false"/>
            <w:tcW w:w="25.000000%" w:type="pct"/>
          </w:tcPr>
          <w:p>
            <w:pPr>
              <w:ind w:leftChars="0" w:left="0" w:right="0"/>
            </w:pPr>
            <w:r>
              <w:t>1192</w:t>
            </w:r>
          </w:p>
        </w:tc>
      </w:tr>
      <w:tr>
        <w:trPr>
          <w:cnfStyle w:evenHBand="true" w:oddHBand="false" w:firstRow="false"/>
        </w:trPr>
        <w:tc>
          <w:tcPr>
            <w:cnfStyle w:evenVBand="false" w:oddVBand="true" w:firstColumn="false"/>
            <w:tcW w:w="25.000000%" w:type="pct"/>
          </w:tcPr>
          <w:p>
            <w:pPr>
              <w:ind w:leftChars="0" w:left="0" w:right="0"/>
            </w:pPr>
            <w:r>
              <w:t>MIBL</w:t>
            </w:r>
          </w:p>
        </w:tc>
        <w:tc>
          <w:tcPr>
            <w:cnfStyle w:evenVBand="true" w:oddVBand="false" w:firstColumn="false"/>
            <w:tcW w:w="25.000000%" w:type="pct"/>
          </w:tcPr>
          <w:p>
            <w:pPr>
              <w:ind w:leftChars="0" w:left="0" w:right="0"/>
            </w:pPr>
            <w:r>
              <w:t>MIBL</w:t>
            </w:r>
          </w:p>
        </w:tc>
        <w:tc>
          <w:tcPr>
            <w:cnfStyle w:evenVBand="false" w:oddVBand="true" w:firstColumn="false"/>
            <w:tcW w:w="25.000000%" w:type="pct"/>
          </w:tcPr>
          <w:p>
            <w:pPr>
              <w:ind w:leftChars="0" w:left="0" w:right="0"/>
            </w:pPr>
            <w:r>
              <w:t>MITSUBISHI UFJ INVESTOR SERVICES AND BANKING - SYSTEMATIC INTERNALISER</w:t>
            </w:r>
          </w:p>
        </w:tc>
        <w:tc>
          <w:tcPr>
            <w:cnfStyle w:evenVBand="true" w:oddVBand="false" w:firstColumn="false"/>
            <w:tcW w:w="25.000000%" w:type="pct"/>
          </w:tcPr>
          <w:p>
            <w:pPr>
              <w:ind w:leftChars="0" w:left="0" w:right="0"/>
            </w:pPr>
            <w:r>
              <w:t>1193</w:t>
            </w:r>
          </w:p>
        </w:tc>
      </w:tr>
      <w:tr>
        <w:trPr>
          <w:cnfStyle w:evenHBand="false" w:oddHBand="true" w:firstRow="false"/>
        </w:trPr>
        <w:tc>
          <w:tcPr>
            <w:cnfStyle w:evenVBand="false" w:oddVBand="true" w:firstColumn="false"/>
            <w:tcW w:w="25.000000%" w:type="pct"/>
          </w:tcPr>
          <w:p>
            <w:pPr>
              <w:ind w:leftChars="0" w:left="0" w:right="0"/>
            </w:pPr>
            <w:r>
              <w:t>MICE</w:t>
            </w:r>
          </w:p>
        </w:tc>
        <w:tc>
          <w:tcPr>
            <w:cnfStyle w:evenVBand="true" w:oddVBand="false" w:firstColumn="false"/>
            <w:tcW w:w="25.000000%" w:type="pct"/>
          </w:tcPr>
          <w:p>
            <w:pPr>
              <w:ind w:leftChars="0" w:left="0" w:right="0"/>
            </w:pPr>
            <w:r>
              <w:t>MICE</w:t>
            </w:r>
          </w:p>
        </w:tc>
        <w:tc>
          <w:tcPr>
            <w:cnfStyle w:evenVBand="false" w:oddVBand="true" w:firstColumn="false"/>
            <w:tcW w:w="25.000000%" w:type="pct"/>
          </w:tcPr>
          <w:p>
            <w:pPr>
              <w:ind w:leftChars="0" w:left="0" w:right="0"/>
            </w:pPr>
            <w:r>
              <w:t>NASDAQ ICELAND HF. - AUCTION ON DEMAND</w:t>
            </w:r>
          </w:p>
        </w:tc>
        <w:tc>
          <w:tcPr>
            <w:cnfStyle w:evenVBand="true" w:oddVBand="false" w:firstColumn="false"/>
            <w:tcW w:w="25.000000%" w:type="pct"/>
          </w:tcPr>
          <w:p>
            <w:pPr>
              <w:ind w:leftChars="0" w:left="0" w:right="0"/>
            </w:pPr>
            <w:r>
              <w:t>1194</w:t>
            </w:r>
          </w:p>
        </w:tc>
      </w:tr>
      <w:tr>
        <w:trPr>
          <w:cnfStyle w:evenHBand="true" w:oddHBand="false" w:firstRow="false"/>
        </w:trPr>
        <w:tc>
          <w:tcPr>
            <w:cnfStyle w:evenVBand="false" w:oddVBand="true" w:firstColumn="false"/>
            <w:tcW w:w="25.000000%" w:type="pct"/>
          </w:tcPr>
          <w:p>
            <w:pPr>
              <w:ind w:leftChars="0" w:left="0" w:right="0"/>
            </w:pPr>
            <w:r>
              <w:t>MIDC</w:t>
            </w:r>
          </w:p>
        </w:tc>
        <w:tc>
          <w:tcPr>
            <w:cnfStyle w:evenVBand="true" w:oddVBand="false" w:firstColumn="false"/>
            <w:tcW w:w="25.000000%" w:type="pct"/>
          </w:tcPr>
          <w:p>
            <w:pPr>
              <w:ind w:leftChars="0" w:left="0" w:right="0"/>
            </w:pPr>
            <w:r>
              <w:t>MIDC</w:t>
            </w:r>
          </w:p>
        </w:tc>
        <w:tc>
          <w:tcPr>
            <w:cnfStyle w:evenVBand="false" w:oddVBand="true" w:firstColumn="false"/>
            <w:tcW w:w="25.000000%" w:type="pct"/>
          </w:tcPr>
          <w:p>
            <w:pPr>
              <w:ind w:leftChars="0" w:left="0" w:right="0"/>
            </w:pPr>
            <w:r>
              <w:t>MIDCHAINS</w:t>
            </w:r>
          </w:p>
        </w:tc>
        <w:tc>
          <w:tcPr>
            <w:cnfStyle w:evenVBand="true" w:oddVBand="false" w:firstColumn="false"/>
            <w:tcW w:w="25.000000%" w:type="pct"/>
          </w:tcPr>
          <w:p>
            <w:pPr>
              <w:ind w:leftChars="0" w:left="0" w:right="0"/>
            </w:pPr>
            <w:r>
              <w:t>1195</w:t>
            </w:r>
          </w:p>
        </w:tc>
      </w:tr>
      <w:tr>
        <w:trPr>
          <w:cnfStyle w:evenHBand="false" w:oddHBand="true" w:firstRow="false"/>
        </w:trPr>
        <w:tc>
          <w:tcPr>
            <w:cnfStyle w:evenVBand="false" w:oddVBand="true" w:firstColumn="false"/>
            <w:tcW w:w="25.000000%" w:type="pct"/>
          </w:tcPr>
          <w:p>
            <w:pPr>
              <w:ind w:leftChars="0" w:left="0" w:right="0"/>
            </w:pPr>
            <w:r>
              <w:t>MIHI</w:t>
            </w:r>
          </w:p>
        </w:tc>
        <w:tc>
          <w:tcPr>
            <w:cnfStyle w:evenVBand="true" w:oddVBand="false" w:firstColumn="false"/>
            <w:tcW w:w="25.000000%" w:type="pct"/>
          </w:tcPr>
          <w:p>
            <w:pPr>
              <w:ind w:leftChars="0" w:left="0" w:right="0"/>
            </w:pPr>
            <w:r>
              <w:t>MIHI</w:t>
            </w:r>
          </w:p>
        </w:tc>
        <w:tc>
          <w:tcPr>
            <w:cnfStyle w:evenVBand="false" w:oddVBand="true" w:firstColumn="false"/>
            <w:tcW w:w="25.000000%" w:type="pct"/>
          </w:tcPr>
          <w:p>
            <w:pPr>
              <w:ind w:leftChars="0" w:left="0" w:right="0"/>
            </w:pPr>
            <w:r>
              <w:t>MIAMI INTERNATIONAL HOLDINGS, INC.</w:t>
            </w:r>
          </w:p>
        </w:tc>
        <w:tc>
          <w:tcPr>
            <w:cnfStyle w:evenVBand="true" w:oddVBand="false" w:firstColumn="false"/>
            <w:tcW w:w="25.000000%" w:type="pct"/>
          </w:tcPr>
          <w:p>
            <w:pPr>
              <w:ind w:leftChars="0" w:left="0" w:right="0"/>
            </w:pPr>
            <w:r>
              <w:t>1196</w:t>
            </w:r>
          </w:p>
        </w:tc>
      </w:tr>
      <w:tr>
        <w:trPr>
          <w:cnfStyle w:evenHBand="true" w:oddHBand="false" w:firstRow="false"/>
        </w:trPr>
        <w:tc>
          <w:tcPr>
            <w:cnfStyle w:evenVBand="false" w:oddVBand="true" w:firstColumn="false"/>
            <w:tcW w:w="25.000000%" w:type="pct"/>
          </w:tcPr>
          <w:p>
            <w:pPr>
              <w:ind w:leftChars="0" w:left="0" w:right="0"/>
            </w:pPr>
            <w:r>
              <w:t>MISX</w:t>
            </w:r>
          </w:p>
        </w:tc>
        <w:tc>
          <w:tcPr>
            <w:cnfStyle w:evenVBand="true" w:oddVBand="false" w:firstColumn="false"/>
            <w:tcW w:w="25.000000%" w:type="pct"/>
          </w:tcPr>
          <w:p>
            <w:pPr>
              <w:ind w:leftChars="0" w:left="0" w:right="0"/>
            </w:pPr>
            <w:r>
              <w:t>MISX</w:t>
            </w:r>
          </w:p>
        </w:tc>
        <w:tc>
          <w:tcPr>
            <w:cnfStyle w:evenVBand="false" w:oddVBand="true" w:firstColumn="false"/>
            <w:tcW w:w="25.000000%" w:type="pct"/>
          </w:tcPr>
          <w:p>
            <w:pPr>
              <w:ind w:leftChars="0" w:left="0" w:right="0"/>
            </w:pPr>
            <w:r>
              <w:t>MOSCOW EXCHANGE - ALL MARKETS</w:t>
            </w:r>
          </w:p>
        </w:tc>
        <w:tc>
          <w:tcPr>
            <w:cnfStyle w:evenVBand="true" w:oddVBand="false" w:firstColumn="false"/>
            <w:tcW w:w="25.000000%" w:type="pct"/>
          </w:tcPr>
          <w:p>
            <w:pPr>
              <w:ind w:leftChars="0" w:left="0" w:right="0"/>
            </w:pPr>
            <w:r>
              <w:t>1197</w:t>
            </w:r>
          </w:p>
        </w:tc>
      </w:tr>
      <w:tr>
        <w:trPr>
          <w:cnfStyle w:evenHBand="false" w:oddHBand="true" w:firstRow="false"/>
        </w:trPr>
        <w:tc>
          <w:tcPr>
            <w:cnfStyle w:evenVBand="false" w:oddVBand="true" w:firstColumn="false"/>
            <w:tcW w:w="25.000000%" w:type="pct"/>
          </w:tcPr>
          <w:p>
            <w:pPr>
              <w:ind w:leftChars="0" w:left="0" w:right="0"/>
            </w:pPr>
            <w:r>
              <w:t>MIVX</w:t>
            </w:r>
          </w:p>
        </w:tc>
        <w:tc>
          <w:tcPr>
            <w:cnfStyle w:evenVBand="true" w:oddVBand="false" w:firstColumn="false"/>
            <w:tcW w:w="25.000000%" w:type="pct"/>
          </w:tcPr>
          <w:p>
            <w:pPr>
              <w:ind w:leftChars="0" w:left="0" w:right="0"/>
            </w:pPr>
            <w:r>
              <w:t>MIVX</w:t>
            </w:r>
          </w:p>
        </w:tc>
        <w:tc>
          <w:tcPr>
            <w:cnfStyle w:evenVBand="false" w:oddVBand="true" w:firstColumn="false"/>
            <w:tcW w:w="25.000000%" w:type="pct"/>
          </w:tcPr>
          <w:p>
            <w:pPr>
              <w:ind w:leftChars="0" w:left="0" w:right="0"/>
            </w:pPr>
            <w:r>
              <w:t>EURONEXT MIV MILAN</w:t>
            </w:r>
          </w:p>
        </w:tc>
        <w:tc>
          <w:tcPr>
            <w:cnfStyle w:evenVBand="true" w:oddVBand="false" w:firstColumn="false"/>
            <w:tcW w:w="25.000000%" w:type="pct"/>
          </w:tcPr>
          <w:p>
            <w:pPr>
              <w:ind w:leftChars="0" w:left="0" w:right="0"/>
            </w:pPr>
            <w:r>
              <w:t>1198</w:t>
            </w:r>
          </w:p>
        </w:tc>
      </w:tr>
      <w:tr>
        <w:trPr>
          <w:cnfStyle w:evenHBand="true" w:oddHBand="false" w:firstRow="false"/>
        </w:trPr>
        <w:tc>
          <w:tcPr>
            <w:cnfStyle w:evenVBand="false" w:oddVBand="true" w:firstColumn="false"/>
            <w:tcW w:w="25.000000%" w:type="pct"/>
          </w:tcPr>
          <w:p>
            <w:pPr>
              <w:ind w:leftChars="0" w:left="0" w:right="0"/>
            </w:pPr>
            <w:r>
              <w:t>MIZX</w:t>
            </w:r>
          </w:p>
        </w:tc>
        <w:tc>
          <w:tcPr>
            <w:cnfStyle w:evenVBand="true" w:oddVBand="false" w:firstColumn="false"/>
            <w:tcW w:w="25.000000%" w:type="pct"/>
          </w:tcPr>
          <w:p>
            <w:pPr>
              <w:ind w:leftChars="0" w:left="0" w:right="0"/>
            </w:pPr>
            <w:r>
              <w:t>MIZX</w:t>
            </w:r>
          </w:p>
        </w:tc>
        <w:tc>
          <w:tcPr>
            <w:cnfStyle w:evenVBand="false" w:oddVBand="true" w:firstColumn="false"/>
            <w:tcW w:w="25.000000%" w:type="pct"/>
          </w:tcPr>
          <w:p>
            <w:pPr>
              <w:ind w:leftChars="0" w:left="0" w:right="0"/>
            </w:pPr>
            <w:r>
              <w:t>MIZUHO INTERNAL CROSSING</w:t>
            </w:r>
          </w:p>
        </w:tc>
        <w:tc>
          <w:tcPr>
            <w:cnfStyle w:evenVBand="true" w:oddVBand="false" w:firstColumn="false"/>
            <w:tcW w:w="25.000000%" w:type="pct"/>
          </w:tcPr>
          <w:p>
            <w:pPr>
              <w:ind w:leftChars="0" w:left="0" w:right="0"/>
            </w:pPr>
            <w:r>
              <w:t>1199</w:t>
            </w:r>
          </w:p>
        </w:tc>
      </w:tr>
      <w:tr>
        <w:trPr>
          <w:cnfStyle w:evenHBand="false" w:oddHBand="true" w:firstRow="false"/>
        </w:trPr>
        <w:tc>
          <w:tcPr>
            <w:cnfStyle w:evenVBand="false" w:oddVBand="true" w:firstColumn="false"/>
            <w:tcW w:w="25.000000%" w:type="pct"/>
          </w:tcPr>
          <w:p>
            <w:pPr>
              <w:ind w:leftChars="0" w:left="0" w:right="0"/>
            </w:pPr>
            <w:r>
              <w:t>MKAA</w:t>
            </w:r>
          </w:p>
        </w:tc>
        <w:tc>
          <w:tcPr>
            <w:cnfStyle w:evenVBand="true" w:oddVBand="false" w:firstColumn="false"/>
            <w:tcW w:w="25.000000%" w:type="pct"/>
          </w:tcPr>
          <w:p>
            <w:pPr>
              <w:ind w:leftChars="0" w:left="0" w:right="0"/>
            </w:pPr>
            <w:r>
              <w:t>MKAA</w:t>
            </w:r>
          </w:p>
        </w:tc>
        <w:tc>
          <w:tcPr>
            <w:cnfStyle w:evenVBand="false" w:oddVBand="true" w:firstColumn="false"/>
            <w:tcW w:w="25.000000%" w:type="pct"/>
          </w:tcPr>
          <w:p>
            <w:pPr>
              <w:ind w:leftChars="0" w:left="0" w:right="0"/>
            </w:pPr>
            <w:r>
              <w:t>MARKETAXESS ATS</w:t>
            </w:r>
          </w:p>
        </w:tc>
        <w:tc>
          <w:tcPr>
            <w:cnfStyle w:evenVBand="true" w:oddVBand="false" w:firstColumn="false"/>
            <w:tcW w:w="25.000000%" w:type="pct"/>
          </w:tcPr>
          <w:p>
            <w:pPr>
              <w:ind w:leftChars="0" w:left="0" w:right="0"/>
            </w:pPr>
            <w:r>
              <w:t>1200</w:t>
            </w:r>
          </w:p>
        </w:tc>
      </w:tr>
      <w:tr>
        <w:trPr>
          <w:cnfStyle w:evenHBand="true" w:oddHBand="false" w:firstRow="false"/>
        </w:trPr>
        <w:tc>
          <w:tcPr>
            <w:cnfStyle w:evenVBand="false" w:oddVBand="true" w:firstColumn="false"/>
            <w:tcW w:w="25.000000%" w:type="pct"/>
          </w:tcPr>
          <w:p>
            <w:pPr>
              <w:ind w:leftChars="0" w:left="0" w:right="0"/>
            </w:pPr>
            <w:r>
              <w:t>MKAP</w:t>
            </w:r>
          </w:p>
        </w:tc>
        <w:tc>
          <w:tcPr>
            <w:cnfStyle w:evenVBand="true" w:oddVBand="false" w:firstColumn="false"/>
            <w:tcW w:w="25.000000%" w:type="pct"/>
          </w:tcPr>
          <w:p>
            <w:pPr>
              <w:ind w:leftChars="0" w:left="0" w:right="0"/>
            </w:pPr>
            <w:r>
              <w:t>MKAP</w:t>
            </w:r>
          </w:p>
        </w:tc>
        <w:tc>
          <w:tcPr>
            <w:cnfStyle w:evenVBand="false" w:oddVBand="true" w:firstColumn="false"/>
            <w:tcW w:w="25.000000%" w:type="pct"/>
          </w:tcPr>
          <w:p>
            <w:pPr>
              <w:ind w:leftChars="0" w:left="0" w:right="0"/>
            </w:pPr>
            <w:r>
              <w:t>MERITKAPITAL - SYSTEMATIC INTERNALISER</w:t>
            </w:r>
          </w:p>
        </w:tc>
        <w:tc>
          <w:tcPr>
            <w:cnfStyle w:evenVBand="true" w:oddVBand="false" w:firstColumn="false"/>
            <w:tcW w:w="25.000000%" w:type="pct"/>
          </w:tcPr>
          <w:p>
            <w:pPr>
              <w:ind w:leftChars="0" w:left="0" w:right="0"/>
            </w:pPr>
            <w:r>
              <w:t>1201</w:t>
            </w:r>
          </w:p>
        </w:tc>
      </w:tr>
      <w:tr>
        <w:trPr>
          <w:cnfStyle w:evenHBand="false" w:oddHBand="true" w:firstRow="false"/>
        </w:trPr>
        <w:tc>
          <w:tcPr>
            <w:cnfStyle w:evenVBand="false" w:oddVBand="true" w:firstColumn="false"/>
            <w:tcW w:w="25.000000%" w:type="pct"/>
          </w:tcPr>
          <w:p>
            <w:pPr>
              <w:ind w:leftChars="0" w:left="0" w:right="0"/>
            </w:pPr>
            <w:r>
              <w:t>MKTF</w:t>
            </w:r>
          </w:p>
        </w:tc>
        <w:tc>
          <w:tcPr>
            <w:cnfStyle w:evenVBand="true" w:oddVBand="false" w:firstColumn="false"/>
            <w:tcW w:w="25.000000%" w:type="pct"/>
          </w:tcPr>
          <w:p>
            <w:pPr>
              <w:ind w:leftChars="0" w:left="0" w:right="0"/>
            </w:pPr>
            <w:r>
              <w:t>MKTF</w:t>
            </w:r>
          </w:p>
        </w:tc>
        <w:tc>
          <w:tcPr>
            <w:cnfStyle w:evenVBand="false" w:oddVBand="true" w:firstColumn="false"/>
            <w:tcW w:w="25.000000%" w:type="pct"/>
          </w:tcPr>
          <w:p>
            <w:pPr>
              <w:ind w:leftChars="0" w:left="0" w:right="0"/>
            </w:pPr>
            <w:r>
              <w:t>MARKET SECURITIES (FRANCE) SA</w:t>
            </w:r>
          </w:p>
        </w:tc>
        <w:tc>
          <w:tcPr>
            <w:cnfStyle w:evenVBand="true" w:oddVBand="false" w:firstColumn="false"/>
            <w:tcW w:w="25.000000%" w:type="pct"/>
          </w:tcPr>
          <w:p>
            <w:pPr>
              <w:ind w:leftChars="0" w:left="0" w:right="0"/>
            </w:pPr>
            <w:r>
              <w:t>1202</w:t>
            </w:r>
          </w:p>
        </w:tc>
      </w:tr>
      <w:tr>
        <w:trPr>
          <w:cnfStyle w:evenHBand="true" w:oddHBand="false" w:firstRow="false"/>
        </w:trPr>
        <w:tc>
          <w:tcPr>
            <w:cnfStyle w:evenVBand="false" w:oddVBand="true" w:firstColumn="false"/>
            <w:tcW w:w="25.000000%" w:type="pct"/>
          </w:tcPr>
          <w:p>
            <w:pPr>
              <w:ind w:leftChars="0" w:left="0" w:right="0"/>
            </w:pPr>
            <w:r>
              <w:t>MLAX</w:t>
            </w:r>
          </w:p>
        </w:tc>
        <w:tc>
          <w:tcPr>
            <w:cnfStyle w:evenVBand="true" w:oddVBand="false" w:firstColumn="false"/>
            <w:tcW w:w="25.000000%" w:type="pct"/>
          </w:tcPr>
          <w:p>
            <w:pPr>
              <w:ind w:leftChars="0" w:left="0" w:right="0"/>
            </w:pPr>
            <w:r>
              <w:t>MLAX</w:t>
            </w:r>
          </w:p>
        </w:tc>
        <w:tc>
          <w:tcPr>
            <w:cnfStyle w:evenVBand="false" w:oddVBand="true" w:firstColumn="false"/>
            <w:tcW w:w="25.000000%" w:type="pct"/>
          </w:tcPr>
          <w:p>
            <w:pPr>
              <w:ind w:leftChars="0" w:left="0" w:right="0"/>
            </w:pPr>
            <w:r>
              <w:t>BANK OF AMERICA - MERRILL LYNCH AUCTION CROSS</w:t>
            </w:r>
          </w:p>
        </w:tc>
        <w:tc>
          <w:tcPr>
            <w:cnfStyle w:evenVBand="true" w:oddVBand="false" w:firstColumn="false"/>
            <w:tcW w:w="25.000000%" w:type="pct"/>
          </w:tcPr>
          <w:p>
            <w:pPr>
              <w:ind w:leftChars="0" w:left="0" w:right="0"/>
            </w:pPr>
            <w:r>
              <w:t>1203</w:t>
            </w:r>
          </w:p>
        </w:tc>
      </w:tr>
      <w:tr>
        <w:trPr>
          <w:cnfStyle w:evenHBand="false" w:oddHBand="true" w:firstRow="false"/>
        </w:trPr>
        <w:tc>
          <w:tcPr>
            <w:cnfStyle w:evenVBand="false" w:oddVBand="true" w:firstColumn="false"/>
            <w:tcW w:w="25.000000%" w:type="pct"/>
          </w:tcPr>
          <w:p>
            <w:pPr>
              <w:ind w:leftChars="0" w:left="0" w:right="0"/>
            </w:pPr>
            <w:r>
              <w:t>MLCO</w:t>
            </w:r>
          </w:p>
        </w:tc>
        <w:tc>
          <w:tcPr>
            <w:cnfStyle w:evenVBand="true" w:oddVBand="false" w:firstColumn="false"/>
            <w:tcW w:w="25.000000%" w:type="pct"/>
          </w:tcPr>
          <w:p>
            <w:pPr>
              <w:ind w:leftChars="0" w:left="0" w:right="0"/>
            </w:pPr>
            <w:r>
              <w:t>MLCO</w:t>
            </w:r>
          </w:p>
        </w:tc>
        <w:tc>
          <w:tcPr>
            <w:cnfStyle w:evenVBand="false" w:oddVBand="true" w:firstColumn="false"/>
            <w:tcW w:w="25.000000%" w:type="pct"/>
          </w:tcPr>
          <w:p>
            <w:pPr>
              <w:ind w:leftChars="0" w:left="0" w:right="0"/>
            </w:pPr>
            <w:r>
              <w:t>BANK OF AMERICA - MERRILL LYNCH OTC</w:t>
            </w:r>
          </w:p>
        </w:tc>
        <w:tc>
          <w:tcPr>
            <w:cnfStyle w:evenVBand="true" w:oddVBand="false" w:firstColumn="false"/>
            <w:tcW w:w="25.000000%" w:type="pct"/>
          </w:tcPr>
          <w:p>
            <w:pPr>
              <w:ind w:leftChars="0" w:left="0" w:right="0"/>
            </w:pPr>
            <w:r>
              <w:t>1204</w:t>
            </w:r>
          </w:p>
        </w:tc>
      </w:tr>
      <w:tr>
        <w:trPr>
          <w:cnfStyle w:evenHBand="true" w:oddHBand="false" w:firstRow="false"/>
        </w:trPr>
        <w:tc>
          <w:tcPr>
            <w:cnfStyle w:evenVBand="false" w:oddVBand="true" w:firstColumn="false"/>
            <w:tcW w:w="25.000000%" w:type="pct"/>
          </w:tcPr>
          <w:p>
            <w:pPr>
              <w:ind w:leftChars="0" w:left="0" w:right="0"/>
            </w:pPr>
            <w:r>
              <w:t>MLER</w:t>
            </w:r>
          </w:p>
        </w:tc>
        <w:tc>
          <w:tcPr>
            <w:cnfStyle w:evenVBand="true" w:oddVBand="false" w:firstColumn="false"/>
            <w:tcW w:w="25.000000%" w:type="pct"/>
          </w:tcPr>
          <w:p>
            <w:pPr>
              <w:ind w:leftChars="0" w:left="0" w:right="0"/>
            </w:pPr>
            <w:r>
              <w:t>MLER</w:t>
            </w:r>
          </w:p>
        </w:tc>
        <w:tc>
          <w:tcPr>
            <w:cnfStyle w:evenVBand="false" w:oddVBand="true" w:firstColumn="false"/>
            <w:tcW w:w="25.000000%" w:type="pct"/>
          </w:tcPr>
          <w:p>
            <w:pPr>
              <w:ind w:leftChars="0" w:left="0" w:right="0"/>
            </w:pPr>
            <w:r>
              <w:t>BOFA SECURITIES EUROPE - RFQ - SYSTEMATIC INTERNALISER</w:t>
            </w:r>
          </w:p>
        </w:tc>
        <w:tc>
          <w:tcPr>
            <w:cnfStyle w:evenVBand="true" w:oddVBand="false" w:firstColumn="false"/>
            <w:tcW w:w="25.000000%" w:type="pct"/>
          </w:tcPr>
          <w:p>
            <w:pPr>
              <w:ind w:leftChars="0" w:left="0" w:right="0"/>
            </w:pPr>
            <w:r>
              <w:t>1205</w:t>
            </w:r>
          </w:p>
        </w:tc>
      </w:tr>
      <w:tr>
        <w:trPr>
          <w:cnfStyle w:evenHBand="false" w:oddHBand="true" w:firstRow="false"/>
        </w:trPr>
        <w:tc>
          <w:tcPr>
            <w:cnfStyle w:evenVBand="false" w:oddVBand="true" w:firstColumn="false"/>
            <w:tcW w:w="25.000000%" w:type="pct"/>
          </w:tcPr>
          <w:p>
            <w:pPr>
              <w:ind w:leftChars="0" w:left="0" w:right="0"/>
            </w:pPr>
            <w:r>
              <w:t>MLES</w:t>
            </w:r>
          </w:p>
        </w:tc>
        <w:tc>
          <w:tcPr>
            <w:cnfStyle w:evenVBand="true" w:oddVBand="false" w:firstColumn="false"/>
            <w:tcW w:w="25.000000%" w:type="pct"/>
          </w:tcPr>
          <w:p>
            <w:pPr>
              <w:ind w:leftChars="0" w:left="0" w:right="0"/>
            </w:pPr>
            <w:r>
              <w:t>MLES</w:t>
            </w:r>
          </w:p>
        </w:tc>
        <w:tc>
          <w:tcPr>
            <w:cnfStyle w:evenVBand="false" w:oddVBand="true" w:firstColumn="false"/>
            <w:tcW w:w="25.000000%" w:type="pct"/>
          </w:tcPr>
          <w:p>
            <w:pPr>
              <w:ind w:leftChars="0" w:left="0" w:right="0"/>
            </w:pPr>
            <w:r>
              <w:t>BOFA SECURITIES EUROPE - SYSTEMATIC INTERNALISER</w:t>
            </w:r>
          </w:p>
        </w:tc>
        <w:tc>
          <w:tcPr>
            <w:cnfStyle w:evenVBand="true" w:oddVBand="false" w:firstColumn="false"/>
            <w:tcW w:w="25.000000%" w:type="pct"/>
          </w:tcPr>
          <w:p>
            <w:pPr>
              <w:ind w:leftChars="0" w:left="0" w:right="0"/>
            </w:pPr>
            <w:r>
              <w:t>1206</w:t>
            </w:r>
          </w:p>
        </w:tc>
      </w:tr>
      <w:tr>
        <w:trPr>
          <w:cnfStyle w:evenHBand="true" w:oddHBand="false" w:firstRow="false"/>
        </w:trPr>
        <w:tc>
          <w:tcPr>
            <w:cnfStyle w:evenVBand="false" w:oddVBand="true" w:firstColumn="false"/>
            <w:tcW w:w="25.000000%" w:type="pct"/>
          </w:tcPr>
          <w:p>
            <w:pPr>
              <w:ind w:leftChars="0" w:left="0" w:right="0"/>
            </w:pPr>
            <w:r>
              <w:t>MLEU</w:t>
            </w:r>
          </w:p>
        </w:tc>
        <w:tc>
          <w:tcPr>
            <w:cnfStyle w:evenVBand="true" w:oddVBand="false" w:firstColumn="false"/>
            <w:tcW w:w="25.000000%" w:type="pct"/>
          </w:tcPr>
          <w:p>
            <w:pPr>
              <w:ind w:leftChars="0" w:left="0" w:right="0"/>
            </w:pPr>
            <w:r>
              <w:t>MLEU</w:t>
            </w:r>
          </w:p>
        </w:tc>
        <w:tc>
          <w:tcPr>
            <w:cnfStyle w:evenVBand="false" w:oddVBand="true" w:firstColumn="false"/>
            <w:tcW w:w="25.000000%" w:type="pct"/>
          </w:tcPr>
          <w:p>
            <w:pPr>
              <w:ind w:leftChars="0" w:left="0" w:right="0"/>
            </w:pPr>
            <w:r>
              <w:t>BANK OF AMERICA - MERRILL LYNCH OTC - EUROPE</w:t>
            </w:r>
          </w:p>
        </w:tc>
        <w:tc>
          <w:tcPr>
            <w:cnfStyle w:evenVBand="true" w:oddVBand="false" w:firstColumn="false"/>
            <w:tcW w:w="25.000000%" w:type="pct"/>
          </w:tcPr>
          <w:p>
            <w:pPr>
              <w:ind w:leftChars="0" w:left="0" w:right="0"/>
            </w:pPr>
            <w:r>
              <w:t>1207</w:t>
            </w:r>
          </w:p>
        </w:tc>
      </w:tr>
      <w:tr>
        <w:trPr>
          <w:cnfStyle w:evenHBand="false" w:oddHBand="true" w:firstRow="false"/>
        </w:trPr>
        <w:tc>
          <w:tcPr>
            <w:cnfStyle w:evenVBand="false" w:oddVBand="true" w:firstColumn="false"/>
            <w:tcW w:w="25.000000%" w:type="pct"/>
          </w:tcPr>
          <w:p>
            <w:pPr>
              <w:ind w:leftChars="0" w:left="0" w:right="0"/>
            </w:pPr>
            <w:r>
              <w:t>MLEX</w:t>
            </w:r>
          </w:p>
        </w:tc>
        <w:tc>
          <w:tcPr>
            <w:cnfStyle w:evenVBand="true" w:oddVBand="false" w:firstColumn="false"/>
            <w:tcW w:w="25.000000%" w:type="pct"/>
          </w:tcPr>
          <w:p>
            <w:pPr>
              <w:ind w:leftChars="0" w:left="0" w:right="0"/>
            </w:pPr>
            <w:r>
              <w:t>MLEX</w:t>
            </w:r>
          </w:p>
        </w:tc>
        <w:tc>
          <w:tcPr>
            <w:cnfStyle w:evenVBand="false" w:oddVBand="true" w:firstColumn="false"/>
            <w:tcW w:w="25.000000%" w:type="pct"/>
          </w:tcPr>
          <w:p>
            <w:pPr>
              <w:ind w:leftChars="0" w:left="0" w:right="0"/>
            </w:pPr>
            <w:r>
              <w:t>BOFA SECURITIES EUROPE</w:t>
            </w:r>
          </w:p>
        </w:tc>
        <w:tc>
          <w:tcPr>
            <w:cnfStyle w:evenVBand="true" w:oddVBand="false" w:firstColumn="false"/>
            <w:tcW w:w="25.000000%" w:type="pct"/>
          </w:tcPr>
          <w:p>
            <w:pPr>
              <w:ind w:leftChars="0" w:left="0" w:right="0"/>
            </w:pPr>
            <w:r>
              <w:t>1208</w:t>
            </w:r>
          </w:p>
        </w:tc>
      </w:tr>
      <w:tr>
        <w:trPr>
          <w:cnfStyle w:evenHBand="true" w:oddHBand="false" w:firstRow="false"/>
        </w:trPr>
        <w:tc>
          <w:tcPr>
            <w:cnfStyle w:evenVBand="false" w:oddVBand="true" w:firstColumn="false"/>
            <w:tcW w:w="25.000000%" w:type="pct"/>
          </w:tcPr>
          <w:p>
            <w:pPr>
              <w:ind w:leftChars="0" w:left="0" w:right="0"/>
            </w:pPr>
            <w:r>
              <w:t>MLIB</w:t>
            </w:r>
          </w:p>
        </w:tc>
        <w:tc>
          <w:tcPr>
            <w:cnfStyle w:evenVBand="true" w:oddVBand="false" w:firstColumn="false"/>
            <w:tcW w:w="25.000000%" w:type="pct"/>
          </w:tcPr>
          <w:p>
            <w:pPr>
              <w:ind w:leftChars="0" w:left="0" w:right="0"/>
            </w:pPr>
            <w:r>
              <w:t>MLIB</w:t>
            </w:r>
          </w:p>
        </w:tc>
        <w:tc>
          <w:tcPr>
            <w:cnfStyle w:evenVBand="false" w:oddVBand="true" w:firstColumn="false"/>
            <w:tcW w:w="25.000000%" w:type="pct"/>
          </w:tcPr>
          <w:p>
            <w:pPr>
              <w:ind w:leftChars="0" w:left="0" w:right="0"/>
            </w:pPr>
            <w:r>
              <w:t>MERRILL LYNCH INTERNATIONAL BANK DESIGNATED ACTIVITY COMPANY</w:t>
            </w:r>
          </w:p>
        </w:tc>
        <w:tc>
          <w:tcPr>
            <w:cnfStyle w:evenVBand="true" w:oddVBand="false" w:firstColumn="false"/>
            <w:tcW w:w="25.000000%" w:type="pct"/>
          </w:tcPr>
          <w:p>
            <w:pPr>
              <w:ind w:leftChars="0" w:left="0" w:right="0"/>
            </w:pPr>
            <w:r>
              <w:t>1209</w:t>
            </w:r>
          </w:p>
        </w:tc>
      </w:tr>
      <w:tr>
        <w:trPr>
          <w:cnfStyle w:evenHBand="false" w:oddHBand="true" w:firstRow="false"/>
        </w:trPr>
        <w:tc>
          <w:tcPr>
            <w:cnfStyle w:evenVBand="false" w:oddVBand="true" w:firstColumn="false"/>
            <w:tcW w:w="25.000000%" w:type="pct"/>
          </w:tcPr>
          <w:p>
            <w:pPr>
              <w:ind w:leftChars="0" w:left="0" w:right="0"/>
            </w:pPr>
            <w:r>
              <w:t>MLIX</w:t>
            </w:r>
          </w:p>
        </w:tc>
        <w:tc>
          <w:tcPr>
            <w:cnfStyle w:evenVBand="true" w:oddVBand="false" w:firstColumn="false"/>
            <w:tcW w:w="25.000000%" w:type="pct"/>
          </w:tcPr>
          <w:p>
            <w:pPr>
              <w:ind w:leftChars="0" w:left="0" w:right="0"/>
            </w:pPr>
            <w:r>
              <w:t>MLIX</w:t>
            </w:r>
          </w:p>
        </w:tc>
        <w:tc>
          <w:tcPr>
            <w:cnfStyle w:evenVBand="false" w:oddVBand="true" w:firstColumn="false"/>
            <w:tcW w:w="25.000000%" w:type="pct"/>
          </w:tcPr>
          <w:p>
            <w:pPr>
              <w:ind w:leftChars="0" w:left="0" w:right="0"/>
            </w:pPr>
            <w:r>
              <w:t>MERRILL LYNCH INTERNATIONAL</w:t>
            </w:r>
          </w:p>
        </w:tc>
        <w:tc>
          <w:tcPr>
            <w:cnfStyle w:evenVBand="true" w:oddVBand="false" w:firstColumn="false"/>
            <w:tcW w:w="25.000000%" w:type="pct"/>
          </w:tcPr>
          <w:p>
            <w:pPr>
              <w:ind w:leftChars="0" w:left="0" w:right="0"/>
            </w:pPr>
            <w:r>
              <w:t>1210</w:t>
            </w:r>
          </w:p>
        </w:tc>
      </w:tr>
      <w:tr>
        <w:trPr>
          <w:cnfStyle w:evenHBand="true" w:oddHBand="false" w:firstRow="false"/>
        </w:trPr>
        <w:tc>
          <w:tcPr>
            <w:cnfStyle w:evenVBand="false" w:oddVBand="true" w:firstColumn="false"/>
            <w:tcW w:w="25.000000%" w:type="pct"/>
          </w:tcPr>
          <w:p>
            <w:pPr>
              <w:ind w:leftChars="0" w:left="0" w:right="0"/>
            </w:pPr>
            <w:r>
              <w:t>MLRQ</w:t>
            </w:r>
          </w:p>
        </w:tc>
        <w:tc>
          <w:tcPr>
            <w:cnfStyle w:evenVBand="true" w:oddVBand="false" w:firstColumn="false"/>
            <w:tcW w:w="25.000000%" w:type="pct"/>
          </w:tcPr>
          <w:p>
            <w:pPr>
              <w:ind w:leftChars="0" w:left="0" w:right="0"/>
            </w:pPr>
            <w:r>
              <w:t>MLRQ</w:t>
            </w:r>
          </w:p>
        </w:tc>
        <w:tc>
          <w:tcPr>
            <w:cnfStyle w:evenVBand="false" w:oddVBand="true" w:firstColumn="false"/>
            <w:tcW w:w="25.000000%" w:type="pct"/>
          </w:tcPr>
          <w:p>
            <w:pPr>
              <w:ind w:leftChars="0" w:left="0" w:right="0"/>
            </w:pPr>
            <w:r>
              <w:t>MERRILL LYNCH INTERNATIONAL - RFQ - SYSTEMATIC INTERNALISER</w:t>
            </w:r>
          </w:p>
        </w:tc>
        <w:tc>
          <w:tcPr>
            <w:cnfStyle w:evenVBand="true" w:oddVBand="false" w:firstColumn="false"/>
            <w:tcW w:w="25.000000%" w:type="pct"/>
          </w:tcPr>
          <w:p>
            <w:pPr>
              <w:ind w:leftChars="0" w:left="0" w:right="0"/>
            </w:pPr>
            <w:r>
              <w:t>1211</w:t>
            </w:r>
          </w:p>
        </w:tc>
      </w:tr>
      <w:tr>
        <w:trPr>
          <w:cnfStyle w:evenHBand="false" w:oddHBand="true" w:firstRow="false"/>
        </w:trPr>
        <w:tc>
          <w:tcPr>
            <w:cnfStyle w:evenVBand="false" w:oddVBand="true" w:firstColumn="false"/>
            <w:tcW w:w="25.000000%" w:type="pct"/>
          </w:tcPr>
          <w:p>
            <w:pPr>
              <w:ind w:leftChars="0" w:left="0" w:right="0"/>
            </w:pPr>
            <w:r>
              <w:t>MLSI</w:t>
            </w:r>
          </w:p>
        </w:tc>
        <w:tc>
          <w:tcPr>
            <w:cnfStyle w:evenVBand="true" w:oddVBand="false" w:firstColumn="false"/>
            <w:tcW w:w="25.000000%" w:type="pct"/>
          </w:tcPr>
          <w:p>
            <w:pPr>
              <w:ind w:leftChars="0" w:left="0" w:right="0"/>
            </w:pPr>
            <w:r>
              <w:t>MLSI</w:t>
            </w:r>
          </w:p>
        </w:tc>
        <w:tc>
          <w:tcPr>
            <w:cnfStyle w:evenVBand="false" w:oddVBand="true" w:firstColumn="false"/>
            <w:tcW w:w="25.000000%" w:type="pct"/>
          </w:tcPr>
          <w:p>
            <w:pPr>
              <w:ind w:leftChars="0" w:left="0" w:right="0"/>
            </w:pPr>
            <w:r>
              <w:t>MERRILL LYNCH INTERNATIONAL - SYSTEMATIC INTERNALISER</w:t>
            </w:r>
          </w:p>
        </w:tc>
        <w:tc>
          <w:tcPr>
            <w:cnfStyle w:evenVBand="true" w:oddVBand="false" w:firstColumn="false"/>
            <w:tcW w:w="25.000000%" w:type="pct"/>
          </w:tcPr>
          <w:p>
            <w:pPr>
              <w:ind w:leftChars="0" w:left="0" w:right="0"/>
            </w:pPr>
            <w:r>
              <w:t>1212</w:t>
            </w:r>
          </w:p>
        </w:tc>
      </w:tr>
      <w:tr>
        <w:trPr>
          <w:cnfStyle w:evenHBand="true" w:oddHBand="false" w:firstRow="false"/>
        </w:trPr>
        <w:tc>
          <w:tcPr>
            <w:cnfStyle w:evenVBand="false" w:oddVBand="true" w:firstColumn="false"/>
            <w:tcW w:w="25.000000%" w:type="pct"/>
          </w:tcPr>
          <w:p>
            <w:pPr>
              <w:ind w:leftChars="0" w:left="0" w:right="0"/>
            </w:pPr>
            <w:r>
              <w:t>MLVE</w:t>
            </w:r>
          </w:p>
        </w:tc>
        <w:tc>
          <w:tcPr>
            <w:cnfStyle w:evenVBand="true" w:oddVBand="false" w:firstColumn="false"/>
            <w:tcW w:w="25.000000%" w:type="pct"/>
          </w:tcPr>
          <w:p>
            <w:pPr>
              <w:ind w:leftChars="0" w:left="0" w:right="0"/>
            </w:pPr>
            <w:r>
              <w:t>MLVE</w:t>
            </w:r>
          </w:p>
        </w:tc>
        <w:tc>
          <w:tcPr>
            <w:cnfStyle w:evenVBand="false" w:oddVBand="true" w:firstColumn="false"/>
            <w:tcW w:w="25.000000%" w:type="pct"/>
          </w:tcPr>
          <w:p>
            <w:pPr>
              <w:ind w:leftChars="0" w:left="0" w:right="0"/>
            </w:pPr>
            <w:r>
              <w:t>BANK OF AMERICA - MERRILL LYNCH VWAP CROSS - EUROPE</w:t>
            </w:r>
          </w:p>
        </w:tc>
        <w:tc>
          <w:tcPr>
            <w:cnfStyle w:evenVBand="true" w:oddVBand="false" w:firstColumn="false"/>
            <w:tcW w:w="25.000000%" w:type="pct"/>
          </w:tcPr>
          <w:p>
            <w:pPr>
              <w:ind w:leftChars="0" w:left="0" w:right="0"/>
            </w:pPr>
            <w:r>
              <w:t>1213</w:t>
            </w:r>
          </w:p>
        </w:tc>
      </w:tr>
      <w:tr>
        <w:trPr>
          <w:cnfStyle w:evenHBand="false" w:oddHBand="true" w:firstRow="false"/>
        </w:trPr>
        <w:tc>
          <w:tcPr>
            <w:cnfStyle w:evenVBand="false" w:oddVBand="true" w:firstColumn="false"/>
            <w:tcW w:w="25.000000%" w:type="pct"/>
          </w:tcPr>
          <w:p>
            <w:pPr>
              <w:ind w:leftChars="0" w:left="0" w:right="0"/>
            </w:pPr>
            <w:r>
              <w:t>MLVX</w:t>
            </w:r>
          </w:p>
        </w:tc>
        <w:tc>
          <w:tcPr>
            <w:cnfStyle w:evenVBand="true" w:oddVBand="false" w:firstColumn="false"/>
            <w:tcW w:w="25.000000%" w:type="pct"/>
          </w:tcPr>
          <w:p>
            <w:pPr>
              <w:ind w:leftChars="0" w:left="0" w:right="0"/>
            </w:pPr>
            <w:r>
              <w:t>MLVX</w:t>
            </w:r>
          </w:p>
        </w:tc>
        <w:tc>
          <w:tcPr>
            <w:cnfStyle w:evenVBand="false" w:oddVBand="true" w:firstColumn="false"/>
            <w:tcW w:w="25.000000%" w:type="pct"/>
          </w:tcPr>
          <w:p>
            <w:pPr>
              <w:ind w:leftChars="0" w:left="0" w:right="0"/>
            </w:pPr>
            <w:r>
              <w:t>BANK OF AMERICA - MERRILL LYNCH VWAP CROSS</w:t>
            </w:r>
          </w:p>
        </w:tc>
        <w:tc>
          <w:tcPr>
            <w:cnfStyle w:evenVBand="true" w:oddVBand="false" w:firstColumn="false"/>
            <w:tcW w:w="25.000000%" w:type="pct"/>
          </w:tcPr>
          <w:p>
            <w:pPr>
              <w:ind w:leftChars="0" w:left="0" w:right="0"/>
            </w:pPr>
            <w:r>
              <w:t>1214</w:t>
            </w:r>
          </w:p>
        </w:tc>
      </w:tr>
      <w:tr>
        <w:trPr>
          <w:cnfStyle w:evenHBand="true" w:oddHBand="false" w:firstRow="false"/>
        </w:trPr>
        <w:tc>
          <w:tcPr>
            <w:cnfStyle w:evenVBand="false" w:oddVBand="true" w:firstColumn="false"/>
            <w:tcW w:w="25.000000%" w:type="pct"/>
          </w:tcPr>
          <w:p>
            <w:pPr>
              <w:ind w:leftChars="0" w:left="0" w:right="0"/>
            </w:pPr>
            <w:r>
              <w:t>MLXB</w:t>
            </w:r>
          </w:p>
        </w:tc>
        <w:tc>
          <w:tcPr>
            <w:cnfStyle w:evenVBand="true" w:oddVBand="false" w:firstColumn="false"/>
            <w:tcW w:w="25.000000%" w:type="pct"/>
          </w:tcPr>
          <w:p>
            <w:pPr>
              <w:ind w:leftChars="0" w:left="0" w:right="0"/>
            </w:pPr>
            <w:r>
              <w:t>MLXB</w:t>
            </w:r>
          </w:p>
        </w:tc>
        <w:tc>
          <w:tcPr>
            <w:cnfStyle w:evenVBand="false" w:oddVBand="true" w:firstColumn="false"/>
            <w:tcW w:w="25.000000%" w:type="pct"/>
          </w:tcPr>
          <w:p>
            <w:pPr>
              <w:ind w:leftChars="0" w:left="0" w:right="0"/>
            </w:pPr>
            <w:r>
              <w:t>EURONEXT ACCESS BRUSSELS</w:t>
            </w:r>
          </w:p>
        </w:tc>
        <w:tc>
          <w:tcPr>
            <w:cnfStyle w:evenVBand="true" w:oddVBand="false" w:firstColumn="false"/>
            <w:tcW w:w="25.000000%" w:type="pct"/>
          </w:tcPr>
          <w:p>
            <w:pPr>
              <w:ind w:leftChars="0" w:left="0" w:right="0"/>
            </w:pPr>
            <w:r>
              <w:t>1215</w:t>
            </w:r>
          </w:p>
        </w:tc>
      </w:tr>
      <w:tr>
        <w:trPr>
          <w:cnfStyle w:evenHBand="false" w:oddHBand="true" w:firstRow="false"/>
        </w:trPr>
        <w:tc>
          <w:tcPr>
            <w:cnfStyle w:evenVBand="false" w:oddVBand="true" w:firstColumn="false"/>
            <w:tcW w:w="25.000000%" w:type="pct"/>
          </w:tcPr>
          <w:p>
            <w:pPr>
              <w:ind w:leftChars="0" w:left="0" w:right="0"/>
            </w:pPr>
            <w:r>
              <w:t>MLXN</w:t>
            </w:r>
          </w:p>
        </w:tc>
        <w:tc>
          <w:tcPr>
            <w:cnfStyle w:evenVBand="true" w:oddVBand="false" w:firstColumn="false"/>
            <w:tcW w:w="25.000000%" w:type="pct"/>
          </w:tcPr>
          <w:p>
            <w:pPr>
              <w:ind w:leftChars="0" w:left="0" w:right="0"/>
            </w:pPr>
            <w:r>
              <w:t>MLXN</w:t>
            </w:r>
          </w:p>
        </w:tc>
        <w:tc>
          <w:tcPr>
            <w:cnfStyle w:evenVBand="false" w:oddVBand="true" w:firstColumn="false"/>
            <w:tcW w:w="25.000000%" w:type="pct"/>
          </w:tcPr>
          <w:p>
            <w:pPr>
              <w:ind w:leftChars="0" w:left="0" w:right="0"/>
            </w:pPr>
            <w:r>
              <w:t>BANK OF AMERICA - MERRILL LYNCH INSTINCT X - EUROPE</w:t>
            </w:r>
          </w:p>
        </w:tc>
        <w:tc>
          <w:tcPr>
            <w:cnfStyle w:evenVBand="true" w:oddVBand="false" w:firstColumn="false"/>
            <w:tcW w:w="25.000000%" w:type="pct"/>
          </w:tcPr>
          <w:p>
            <w:pPr>
              <w:ind w:leftChars="0" w:left="0" w:right="0"/>
            </w:pPr>
            <w:r>
              <w:t>1216</w:t>
            </w:r>
          </w:p>
        </w:tc>
      </w:tr>
      <w:tr>
        <w:trPr>
          <w:cnfStyle w:evenHBand="true" w:oddHBand="false" w:firstRow="false"/>
        </w:trPr>
        <w:tc>
          <w:tcPr>
            <w:cnfStyle w:evenVBand="false" w:oddVBand="true" w:firstColumn="false"/>
            <w:tcW w:w="25.000000%" w:type="pct"/>
          </w:tcPr>
          <w:p>
            <w:pPr>
              <w:ind w:leftChars="0" w:left="0" w:right="0"/>
            </w:pPr>
            <w:r>
              <w:t>MNDK</w:t>
            </w:r>
          </w:p>
        </w:tc>
        <w:tc>
          <w:tcPr>
            <w:cnfStyle w:evenVBand="true" w:oddVBand="false" w:firstColumn="false"/>
            <w:tcW w:w="25.000000%" w:type="pct"/>
          </w:tcPr>
          <w:p>
            <w:pPr>
              <w:ind w:leftChars="0" w:left="0" w:right="0"/>
            </w:pPr>
            <w:r>
              <w:t>MNDK</w:t>
            </w:r>
          </w:p>
        </w:tc>
        <w:tc>
          <w:tcPr>
            <w:cnfStyle w:evenVBand="false" w:oddVBand="true" w:firstColumn="false"/>
            <w:tcW w:w="25.000000%" w:type="pct"/>
          </w:tcPr>
          <w:p>
            <w:pPr>
              <w:ind w:leftChars="0" w:left="0" w:right="0"/>
            </w:pPr>
            <w:r>
              <w:t>FIRST NORTH DENMARK - AUCTION ON DEMAND</w:t>
            </w:r>
          </w:p>
        </w:tc>
        <w:tc>
          <w:tcPr>
            <w:cnfStyle w:evenVBand="true" w:oddVBand="false" w:firstColumn="false"/>
            <w:tcW w:w="25.000000%" w:type="pct"/>
          </w:tcPr>
          <w:p>
            <w:pPr>
              <w:ind w:leftChars="0" w:left="0" w:right="0"/>
            </w:pPr>
            <w:r>
              <w:t>1217</w:t>
            </w:r>
          </w:p>
        </w:tc>
      </w:tr>
      <w:tr>
        <w:trPr>
          <w:cnfStyle w:evenHBand="false" w:oddHBand="true" w:firstRow="false"/>
        </w:trPr>
        <w:tc>
          <w:tcPr>
            <w:cnfStyle w:evenVBand="false" w:oddVBand="true" w:firstColumn="false"/>
            <w:tcW w:w="25.000000%" w:type="pct"/>
          </w:tcPr>
          <w:p>
            <w:pPr>
              <w:ind w:leftChars="0" w:left="0" w:right="0"/>
            </w:pPr>
            <w:r>
              <w:t>MNFI</w:t>
            </w:r>
          </w:p>
        </w:tc>
        <w:tc>
          <w:tcPr>
            <w:cnfStyle w:evenVBand="true" w:oddVBand="false" w:firstColumn="false"/>
            <w:tcW w:w="25.000000%" w:type="pct"/>
          </w:tcPr>
          <w:p>
            <w:pPr>
              <w:ind w:leftChars="0" w:left="0" w:right="0"/>
            </w:pPr>
            <w:r>
              <w:t>MNFI</w:t>
            </w:r>
          </w:p>
        </w:tc>
        <w:tc>
          <w:tcPr>
            <w:cnfStyle w:evenVBand="false" w:oddVBand="true" w:firstColumn="false"/>
            <w:tcW w:w="25.000000%" w:type="pct"/>
          </w:tcPr>
          <w:p>
            <w:pPr>
              <w:ind w:leftChars="0" w:left="0" w:right="0"/>
            </w:pPr>
            <w:r>
              <w:t>FIRST NORTH FINLAND - AUCTION ON DEMAND</w:t>
            </w:r>
          </w:p>
        </w:tc>
        <w:tc>
          <w:tcPr>
            <w:cnfStyle w:evenVBand="true" w:oddVBand="false" w:firstColumn="false"/>
            <w:tcW w:w="25.000000%" w:type="pct"/>
          </w:tcPr>
          <w:p>
            <w:pPr>
              <w:ind w:leftChars="0" w:left="0" w:right="0"/>
            </w:pPr>
            <w:r>
              <w:t>1218</w:t>
            </w:r>
          </w:p>
        </w:tc>
      </w:tr>
      <w:tr>
        <w:trPr>
          <w:cnfStyle w:evenHBand="true" w:oddHBand="false" w:firstRow="false"/>
        </w:trPr>
        <w:tc>
          <w:tcPr>
            <w:cnfStyle w:evenVBand="false" w:oddVBand="true" w:firstColumn="false"/>
            <w:tcW w:w="25.000000%" w:type="pct"/>
          </w:tcPr>
          <w:p>
            <w:pPr>
              <w:ind w:leftChars="0" w:left="0" w:right="0"/>
            </w:pPr>
            <w:r>
              <w:t>MNIS</w:t>
            </w:r>
          </w:p>
        </w:tc>
        <w:tc>
          <w:tcPr>
            <w:cnfStyle w:evenVBand="true" w:oddVBand="false" w:firstColumn="false"/>
            <w:tcW w:w="25.000000%" w:type="pct"/>
          </w:tcPr>
          <w:p>
            <w:pPr>
              <w:ind w:leftChars="0" w:left="0" w:right="0"/>
            </w:pPr>
            <w:r>
              <w:t>MNIS</w:t>
            </w:r>
          </w:p>
        </w:tc>
        <w:tc>
          <w:tcPr>
            <w:cnfStyle w:evenVBand="false" w:oddVBand="true" w:firstColumn="false"/>
            <w:tcW w:w="25.000000%" w:type="pct"/>
          </w:tcPr>
          <w:p>
            <w:pPr>
              <w:ind w:leftChars="0" w:left="0" w:right="0"/>
            </w:pPr>
            <w:r>
              <w:t>FIRST NORTH ICELAND - AUCTION ON DEMAND</w:t>
            </w:r>
          </w:p>
        </w:tc>
        <w:tc>
          <w:tcPr>
            <w:cnfStyle w:evenVBand="true" w:oddVBand="false" w:firstColumn="false"/>
            <w:tcW w:w="25.000000%" w:type="pct"/>
          </w:tcPr>
          <w:p>
            <w:pPr>
              <w:ind w:leftChars="0" w:left="0" w:right="0"/>
            </w:pPr>
            <w:r>
              <w:t>1219</w:t>
            </w:r>
          </w:p>
        </w:tc>
      </w:tr>
      <w:tr>
        <w:trPr>
          <w:cnfStyle w:evenHBand="false" w:oddHBand="true" w:firstRow="false"/>
        </w:trPr>
        <w:tc>
          <w:tcPr>
            <w:cnfStyle w:evenVBand="false" w:oddVBand="true" w:firstColumn="false"/>
            <w:tcW w:w="25.000000%" w:type="pct"/>
          </w:tcPr>
          <w:p>
            <w:pPr>
              <w:ind w:leftChars="0" w:left="0" w:right="0"/>
            </w:pPr>
            <w:r>
              <w:t>MNSE</w:t>
            </w:r>
          </w:p>
        </w:tc>
        <w:tc>
          <w:tcPr>
            <w:cnfStyle w:evenVBand="true" w:oddVBand="false" w:firstColumn="false"/>
            <w:tcW w:w="25.000000%" w:type="pct"/>
          </w:tcPr>
          <w:p>
            <w:pPr>
              <w:ind w:leftChars="0" w:left="0" w:right="0"/>
            </w:pPr>
            <w:r>
              <w:t>MNSE</w:t>
            </w:r>
          </w:p>
        </w:tc>
        <w:tc>
          <w:tcPr>
            <w:cnfStyle w:evenVBand="false" w:oddVBand="true" w:firstColumn="false"/>
            <w:tcW w:w="25.000000%" w:type="pct"/>
          </w:tcPr>
          <w:p>
            <w:pPr>
              <w:ind w:leftChars="0" w:left="0" w:right="0"/>
            </w:pPr>
            <w:r>
              <w:t>FIRST NORTH SWEDEN - AUCTION ON DEMAND</w:t>
            </w:r>
          </w:p>
        </w:tc>
        <w:tc>
          <w:tcPr>
            <w:cnfStyle w:evenVBand="true" w:oddVBand="false" w:firstColumn="false"/>
            <w:tcW w:w="25.000000%" w:type="pct"/>
          </w:tcPr>
          <w:p>
            <w:pPr>
              <w:ind w:leftChars="0" w:left="0" w:right="0"/>
            </w:pPr>
            <w:r>
              <w:t>1220</w:t>
            </w:r>
          </w:p>
        </w:tc>
      </w:tr>
      <w:tr>
        <w:trPr>
          <w:cnfStyle w:evenHBand="true" w:oddHBand="false" w:firstRow="false"/>
        </w:trPr>
        <w:tc>
          <w:tcPr>
            <w:cnfStyle w:evenVBand="false" w:oddVBand="true" w:firstColumn="false"/>
            <w:tcW w:w="25.000000%" w:type="pct"/>
          </w:tcPr>
          <w:p>
            <w:pPr>
              <w:ind w:leftChars="0" w:left="0" w:right="0"/>
            </w:pPr>
            <w:r>
              <w:t>MOCX</w:t>
            </w:r>
          </w:p>
        </w:tc>
        <w:tc>
          <w:tcPr>
            <w:cnfStyle w:evenVBand="true" w:oddVBand="false" w:firstColumn="false"/>
            <w:tcW w:w="25.000000%" w:type="pct"/>
          </w:tcPr>
          <w:p>
            <w:pPr>
              <w:ind w:leftChars="0" w:left="0" w:right="0"/>
            </w:pPr>
            <w:r>
              <w:t>MOCX</w:t>
            </w:r>
          </w:p>
        </w:tc>
        <w:tc>
          <w:tcPr>
            <w:cnfStyle w:evenVBand="false" w:oddVBand="true" w:firstColumn="false"/>
            <w:tcW w:w="25.000000%" w:type="pct"/>
          </w:tcPr>
          <w:p>
            <w:pPr>
              <w:ind w:leftChars="0" w:left="0" w:right="0"/>
            </w:pPr>
            <w:r>
              <w:t>MOC CROSS</w:t>
            </w:r>
          </w:p>
        </w:tc>
        <w:tc>
          <w:tcPr>
            <w:cnfStyle w:evenVBand="true" w:oddVBand="false" w:firstColumn="false"/>
            <w:tcW w:w="25.000000%" w:type="pct"/>
          </w:tcPr>
          <w:p>
            <w:pPr>
              <w:ind w:leftChars="0" w:left="0" w:right="0"/>
            </w:pPr>
            <w:r>
              <w:t>1221</w:t>
            </w:r>
          </w:p>
        </w:tc>
      </w:tr>
      <w:tr>
        <w:trPr>
          <w:cnfStyle w:evenHBand="false" w:oddHBand="true" w:firstRow="false"/>
        </w:trPr>
        <w:tc>
          <w:tcPr>
            <w:cnfStyle w:evenVBand="false" w:oddVBand="true" w:firstColumn="false"/>
            <w:tcW w:w="25.000000%" w:type="pct"/>
          </w:tcPr>
          <w:p>
            <w:pPr>
              <w:ind w:leftChars="0" w:left="0" w:right="0"/>
            </w:pPr>
            <w:r>
              <w:t>MOSE</w:t>
            </w:r>
          </w:p>
        </w:tc>
        <w:tc>
          <w:tcPr>
            <w:cnfStyle w:evenVBand="true" w:oddVBand="false" w:firstColumn="false"/>
            <w:tcW w:w="25.000000%" w:type="pct"/>
          </w:tcPr>
          <w:p>
            <w:pPr>
              <w:ind w:leftChars="0" w:left="0" w:right="0"/>
            </w:pPr>
            <w:r>
              <w:t>MOSE</w:t>
            </w:r>
          </w:p>
        </w:tc>
        <w:tc>
          <w:tcPr>
            <w:cnfStyle w:evenVBand="false" w:oddVBand="true" w:firstColumn="false"/>
            <w:tcW w:w="25.000000%" w:type="pct"/>
          </w:tcPr>
          <w:p>
            <w:pPr>
              <w:ind w:leftChars="0" w:left="0" w:right="0"/>
            </w:pPr>
            <w:r>
              <w:t>FIRST NORTH SWEDEN - NORWAY AUCTION ON DEMAND</w:t>
            </w:r>
          </w:p>
        </w:tc>
        <w:tc>
          <w:tcPr>
            <w:cnfStyle w:evenVBand="true" w:oddVBand="false" w:firstColumn="false"/>
            <w:tcW w:w="25.000000%" w:type="pct"/>
          </w:tcPr>
          <w:p>
            <w:pPr>
              <w:ind w:leftChars="0" w:left="0" w:right="0"/>
            </w:pPr>
            <w:r>
              <w:t>1222</w:t>
            </w:r>
          </w:p>
        </w:tc>
      </w:tr>
      <w:tr>
        <w:trPr>
          <w:cnfStyle w:evenHBand="true" w:oddHBand="false" w:firstRow="false"/>
        </w:trPr>
        <w:tc>
          <w:tcPr>
            <w:cnfStyle w:evenVBand="false" w:oddVBand="true" w:firstColumn="false"/>
            <w:tcW w:w="25.000000%" w:type="pct"/>
          </w:tcPr>
          <w:p>
            <w:pPr>
              <w:ind w:leftChars="0" w:left="0" w:right="0"/>
            </w:pPr>
            <w:r>
              <w:t>MOTX</w:t>
            </w:r>
          </w:p>
        </w:tc>
        <w:tc>
          <w:tcPr>
            <w:cnfStyle w:evenVBand="true" w:oddVBand="false" w:firstColumn="false"/>
            <w:tcW w:w="25.000000%" w:type="pct"/>
          </w:tcPr>
          <w:p>
            <w:pPr>
              <w:ind w:leftChars="0" w:left="0" w:right="0"/>
            </w:pPr>
            <w:r>
              <w:t>MOTX</w:t>
            </w:r>
          </w:p>
        </w:tc>
        <w:tc>
          <w:tcPr>
            <w:cnfStyle w:evenVBand="false" w:oddVBand="true" w:firstColumn="false"/>
            <w:tcW w:w="25.000000%" w:type="pct"/>
          </w:tcPr>
          <w:p>
            <w:pPr>
              <w:ind w:leftChars="0" w:left="0" w:right="0"/>
            </w:pPr>
            <w:r>
              <w:t>ELECTRONIC BOND MARKET</w:t>
            </w:r>
          </w:p>
        </w:tc>
        <w:tc>
          <w:tcPr>
            <w:cnfStyle w:evenVBand="true" w:oddVBand="false" w:firstColumn="false"/>
            <w:tcW w:w="25.000000%" w:type="pct"/>
          </w:tcPr>
          <w:p>
            <w:pPr>
              <w:ind w:leftChars="0" w:left="0" w:right="0"/>
            </w:pPr>
            <w:r>
              <w:t>1223</w:t>
            </w:r>
          </w:p>
        </w:tc>
      </w:tr>
      <w:tr>
        <w:trPr>
          <w:cnfStyle w:evenHBand="false" w:oddHBand="true" w:firstRow="false"/>
        </w:trPr>
        <w:tc>
          <w:tcPr>
            <w:cnfStyle w:evenVBand="false" w:oddVBand="true" w:firstColumn="false"/>
            <w:tcW w:w="25.000000%" w:type="pct"/>
          </w:tcPr>
          <w:p>
            <w:pPr>
              <w:ind w:leftChars="0" w:left="0" w:right="0"/>
            </w:pPr>
            <w:r>
              <w:t>MPRL</w:t>
            </w:r>
          </w:p>
        </w:tc>
        <w:tc>
          <w:tcPr>
            <w:cnfStyle w:evenVBand="true" w:oddVBand="false" w:firstColumn="false"/>
            <w:tcW w:w="25.000000%" w:type="pct"/>
          </w:tcPr>
          <w:p>
            <w:pPr>
              <w:ind w:leftChars="0" w:left="0" w:right="0"/>
            </w:pPr>
            <w:r>
              <w:t>MPRL</w:t>
            </w:r>
          </w:p>
        </w:tc>
        <w:tc>
          <w:tcPr>
            <w:cnfStyle w:evenVBand="false" w:oddVBand="true" w:firstColumn="false"/>
            <w:tcW w:w="25.000000%" w:type="pct"/>
          </w:tcPr>
          <w:p>
            <w:pPr>
              <w:ind w:leftChars="0" w:left="0" w:right="0"/>
            </w:pPr>
            <w:r>
              <w:t>MIAX PEARL, LLC</w:t>
            </w:r>
          </w:p>
        </w:tc>
        <w:tc>
          <w:tcPr>
            <w:cnfStyle w:evenVBand="true" w:oddVBand="false" w:firstColumn="false"/>
            <w:tcW w:w="25.000000%" w:type="pct"/>
          </w:tcPr>
          <w:p>
            <w:pPr>
              <w:ind w:leftChars="0" w:left="0" w:right="0"/>
            </w:pPr>
            <w:r>
              <w:t>1224</w:t>
            </w:r>
          </w:p>
        </w:tc>
      </w:tr>
      <w:tr>
        <w:trPr>
          <w:cnfStyle w:evenHBand="true" w:oddHBand="false" w:firstRow="false"/>
        </w:trPr>
        <w:tc>
          <w:tcPr>
            <w:cnfStyle w:evenVBand="false" w:oddVBand="true" w:firstColumn="false"/>
            <w:tcW w:w="25.000000%" w:type="pct"/>
          </w:tcPr>
          <w:p>
            <w:pPr>
              <w:ind w:leftChars="0" w:left="0" w:right="0"/>
            </w:pPr>
            <w:r>
              <w:t>MSAL</w:t>
            </w:r>
          </w:p>
        </w:tc>
        <w:tc>
          <w:tcPr>
            <w:cnfStyle w:evenVBand="true" w:oddVBand="false" w:firstColumn="false"/>
            <w:tcW w:w="25.000000%" w:type="pct"/>
          </w:tcPr>
          <w:p>
            <w:pPr>
              <w:ind w:leftChars="0" w:left="0" w:right="0"/>
            </w:pPr>
            <w:r>
              <w:t>MSAL</w:t>
            </w:r>
          </w:p>
        </w:tc>
        <w:tc>
          <w:tcPr>
            <w:cnfStyle w:evenVBand="false" w:oddVBand="true" w:firstColumn="false"/>
            <w:tcW w:w="25.000000%" w:type="pct"/>
          </w:tcPr>
          <w:p>
            <w:pPr>
              <w:ind w:leftChars="0" w:left="0" w:right="0"/>
            </w:pPr>
            <w:r>
              <w:t>MORGAN STANLEY AUSTRALIA SECURITIES LIMITED</w:t>
            </w:r>
          </w:p>
        </w:tc>
        <w:tc>
          <w:tcPr>
            <w:cnfStyle w:evenVBand="true" w:oddVBand="false" w:firstColumn="false"/>
            <w:tcW w:w="25.000000%" w:type="pct"/>
          </w:tcPr>
          <w:p>
            <w:pPr>
              <w:ind w:leftChars="0" w:left="0" w:right="0"/>
            </w:pPr>
            <w:r>
              <w:t>1225</w:t>
            </w:r>
          </w:p>
        </w:tc>
      </w:tr>
      <w:tr>
        <w:trPr>
          <w:cnfStyle w:evenHBand="false" w:oddHBand="true" w:firstRow="false"/>
        </w:trPr>
        <w:tc>
          <w:tcPr>
            <w:cnfStyle w:evenVBand="false" w:oddVBand="true" w:firstColumn="false"/>
            <w:tcW w:w="25.000000%" w:type="pct"/>
          </w:tcPr>
          <w:p>
            <w:pPr>
              <w:ind w:leftChars="0" w:left="0" w:right="0"/>
            </w:pPr>
            <w:r>
              <w:t>MSAX</w:t>
            </w:r>
          </w:p>
        </w:tc>
        <w:tc>
          <w:tcPr>
            <w:cnfStyle w:evenVBand="true" w:oddVBand="false" w:firstColumn="false"/>
            <w:tcW w:w="25.000000%" w:type="pct"/>
          </w:tcPr>
          <w:p>
            <w:pPr>
              <w:ind w:leftChars="0" w:left="0" w:right="0"/>
            </w:pPr>
            <w:r>
              <w:t>MSAX</w:t>
            </w:r>
          </w:p>
        </w:tc>
        <w:tc>
          <w:tcPr>
            <w:cnfStyle w:evenVBand="false" w:oddVBand="true" w:firstColumn="false"/>
            <w:tcW w:w="25.000000%" w:type="pct"/>
          </w:tcPr>
          <w:p>
            <w:pPr>
              <w:ind w:leftChars="0" w:left="0" w:right="0"/>
            </w:pPr>
            <w:r>
              <w:t>MORGAN STANLEY MTF - PERIODIC AUCTION</w:t>
            </w:r>
          </w:p>
        </w:tc>
        <w:tc>
          <w:tcPr>
            <w:cnfStyle w:evenVBand="true" w:oddVBand="false" w:firstColumn="false"/>
            <w:tcW w:w="25.000000%" w:type="pct"/>
          </w:tcPr>
          <w:p>
            <w:pPr>
              <w:ind w:leftChars="0" w:left="0" w:right="0"/>
            </w:pPr>
            <w:r>
              <w:t>1226</w:t>
            </w:r>
          </w:p>
        </w:tc>
      </w:tr>
      <w:tr>
        <w:trPr>
          <w:cnfStyle w:evenHBand="true" w:oddHBand="false" w:firstRow="false"/>
        </w:trPr>
        <w:tc>
          <w:tcPr>
            <w:cnfStyle w:evenVBand="false" w:oddVBand="true" w:firstColumn="false"/>
            <w:tcW w:w="25.000000%" w:type="pct"/>
          </w:tcPr>
          <w:p>
            <w:pPr>
              <w:ind w:leftChars="0" w:left="0" w:right="0"/>
            </w:pPr>
            <w:r>
              <w:t>MSBI</w:t>
            </w:r>
          </w:p>
        </w:tc>
        <w:tc>
          <w:tcPr>
            <w:cnfStyle w:evenVBand="true" w:oddVBand="false" w:firstColumn="false"/>
            <w:tcW w:w="25.000000%" w:type="pct"/>
          </w:tcPr>
          <w:p>
            <w:pPr>
              <w:ind w:leftChars="0" w:left="0" w:right="0"/>
            </w:pPr>
            <w:r>
              <w:t>MSBI</w:t>
            </w:r>
          </w:p>
        </w:tc>
        <w:tc>
          <w:tcPr>
            <w:cnfStyle w:evenVBand="false" w:oddVBand="true" w:firstColumn="false"/>
            <w:tcW w:w="25.000000%" w:type="pct"/>
          </w:tcPr>
          <w:p>
            <w:pPr>
              <w:ind w:leftChars="0" w:left="0" w:right="0"/>
            </w:pPr>
            <w:r>
              <w:t>MORGAN STANLEY BANK INTERNATIONAL LIMITED</w:t>
            </w:r>
          </w:p>
        </w:tc>
        <w:tc>
          <w:tcPr>
            <w:cnfStyle w:evenVBand="true" w:oddVBand="false" w:firstColumn="false"/>
            <w:tcW w:w="25.000000%" w:type="pct"/>
          </w:tcPr>
          <w:p>
            <w:pPr>
              <w:ind w:leftChars="0" w:left="0" w:right="0"/>
            </w:pPr>
            <w:r>
              <w:t>1227</w:t>
            </w:r>
          </w:p>
        </w:tc>
      </w:tr>
      <w:tr>
        <w:trPr>
          <w:cnfStyle w:evenHBand="false" w:oddHBand="true" w:firstRow="false"/>
        </w:trPr>
        <w:tc>
          <w:tcPr>
            <w:cnfStyle w:evenVBand="false" w:oddVBand="true" w:firstColumn="false"/>
            <w:tcW w:w="25.000000%" w:type="pct"/>
          </w:tcPr>
          <w:p>
            <w:pPr>
              <w:ind w:leftChars="0" w:left="0" w:right="0"/>
            </w:pPr>
            <w:r>
              <w:t>MSCO</w:t>
            </w:r>
          </w:p>
        </w:tc>
        <w:tc>
          <w:tcPr>
            <w:cnfStyle w:evenVBand="true" w:oddVBand="false" w:firstColumn="false"/>
            <w:tcW w:w="25.000000%" w:type="pct"/>
          </w:tcPr>
          <w:p>
            <w:pPr>
              <w:ind w:leftChars="0" w:left="0" w:right="0"/>
            </w:pPr>
            <w:r>
              <w:t>MSCO</w:t>
            </w:r>
          </w:p>
        </w:tc>
        <w:tc>
          <w:tcPr>
            <w:cnfStyle w:evenVBand="false" w:oddVBand="true" w:firstColumn="false"/>
            <w:tcW w:w="25.000000%" w:type="pct"/>
          </w:tcPr>
          <w:p>
            <w:pPr>
              <w:ind w:leftChars="0" w:left="0" w:right="0"/>
            </w:pPr>
            <w:r>
              <w:t>MORGAN STANLEY AND CO. LLC</w:t>
            </w:r>
          </w:p>
        </w:tc>
        <w:tc>
          <w:tcPr>
            <w:cnfStyle w:evenVBand="true" w:oddVBand="false" w:firstColumn="false"/>
            <w:tcW w:w="25.000000%" w:type="pct"/>
          </w:tcPr>
          <w:p>
            <w:pPr>
              <w:ind w:leftChars="0" w:left="0" w:right="0"/>
            </w:pPr>
            <w:r>
              <w:t>1228</w:t>
            </w:r>
          </w:p>
        </w:tc>
      </w:tr>
      <w:tr>
        <w:trPr>
          <w:cnfStyle w:evenHBand="true" w:oddHBand="false" w:firstRow="false"/>
        </w:trPr>
        <w:tc>
          <w:tcPr>
            <w:cnfStyle w:evenVBand="false" w:oddVBand="true" w:firstColumn="false"/>
            <w:tcW w:w="25.000000%" w:type="pct"/>
          </w:tcPr>
          <w:p>
            <w:pPr>
              <w:ind w:leftChars="0" w:left="0" w:right="0"/>
            </w:pPr>
            <w:r>
              <w:t>MSCX</w:t>
            </w:r>
          </w:p>
        </w:tc>
        <w:tc>
          <w:tcPr>
            <w:cnfStyle w:evenVBand="true" w:oddVBand="false" w:firstColumn="false"/>
            <w:tcW w:w="25.000000%" w:type="pct"/>
          </w:tcPr>
          <w:p>
            <w:pPr>
              <w:ind w:leftChars="0" w:left="0" w:right="0"/>
            </w:pPr>
            <w:r>
              <w:t>MSCX</w:t>
            </w:r>
          </w:p>
        </w:tc>
        <w:tc>
          <w:tcPr>
            <w:cnfStyle w:evenVBand="false" w:oddVBand="true" w:firstColumn="false"/>
            <w:tcW w:w="25.000000%" w:type="pct"/>
          </w:tcPr>
          <w:p>
            <w:pPr>
              <w:ind w:leftChars="0" w:left="0" w:right="0"/>
            </w:pPr>
            <w:r>
              <w:t>MORGAN STANLEY MTF - CONTINUOUS CROSS DARK</w:t>
            </w:r>
          </w:p>
        </w:tc>
        <w:tc>
          <w:tcPr>
            <w:cnfStyle w:evenVBand="true" w:oddVBand="false" w:firstColumn="false"/>
            <w:tcW w:w="25.000000%" w:type="pct"/>
          </w:tcPr>
          <w:p>
            <w:pPr>
              <w:ind w:leftChars="0" w:left="0" w:right="0"/>
            </w:pPr>
            <w:r>
              <w:t>1229</w:t>
            </w:r>
          </w:p>
        </w:tc>
      </w:tr>
      <w:tr>
        <w:trPr>
          <w:cnfStyle w:evenHBand="false" w:oddHBand="true" w:firstRow="false"/>
        </w:trPr>
        <w:tc>
          <w:tcPr>
            <w:cnfStyle w:evenVBand="false" w:oddVBand="true" w:firstColumn="false"/>
            <w:tcW w:w="25.000000%" w:type="pct"/>
          </w:tcPr>
          <w:p>
            <w:pPr>
              <w:ind w:leftChars="0" w:left="0" w:right="0"/>
            </w:pPr>
            <w:r>
              <w:t>MSDM</w:t>
            </w:r>
          </w:p>
        </w:tc>
        <w:tc>
          <w:tcPr>
            <w:cnfStyle w:evenVBand="true" w:oddVBand="false" w:firstColumn="false"/>
            <w:tcW w:w="25.000000%" w:type="pct"/>
          </w:tcPr>
          <w:p>
            <w:pPr>
              <w:ind w:leftChars="0" w:left="0" w:right="0"/>
            </w:pPr>
            <w:r>
              <w:t>MSDM</w:t>
            </w:r>
          </w:p>
        </w:tc>
        <w:tc>
          <w:tcPr>
            <w:cnfStyle w:evenVBand="false" w:oddVBand="true" w:firstColumn="false"/>
            <w:tcW w:w="25.000000%" w:type="pct"/>
          </w:tcPr>
          <w:p>
            <w:pPr>
              <w:ind w:leftChars="0" w:left="0" w:right="0"/>
            </w:pPr>
            <w:r>
              <w:t>MICHAEL/STROM DOM MAKLERSKI SPOLKA AKCYJNA - SYSTEMATIC INTERNALISER</w:t>
            </w:r>
          </w:p>
        </w:tc>
        <w:tc>
          <w:tcPr>
            <w:cnfStyle w:evenVBand="true" w:oddVBand="false" w:firstColumn="false"/>
            <w:tcW w:w="25.000000%" w:type="pct"/>
          </w:tcPr>
          <w:p>
            <w:pPr>
              <w:ind w:leftChars="0" w:left="0" w:right="0"/>
            </w:pPr>
            <w:r>
              <w:t>1230</w:t>
            </w:r>
          </w:p>
        </w:tc>
      </w:tr>
      <w:tr>
        <w:trPr>
          <w:cnfStyle w:evenHBand="true" w:oddHBand="false" w:firstRow="false"/>
        </w:trPr>
        <w:tc>
          <w:tcPr>
            <w:cnfStyle w:evenVBand="false" w:oddVBand="true" w:firstColumn="false"/>
            <w:tcW w:w="25.000000%" w:type="pct"/>
          </w:tcPr>
          <w:p>
            <w:pPr>
              <w:ind w:leftChars="0" w:left="0" w:right="0"/>
            </w:pPr>
            <w:r>
              <w:t>MSEL</w:t>
            </w:r>
          </w:p>
        </w:tc>
        <w:tc>
          <w:tcPr>
            <w:cnfStyle w:evenVBand="true" w:oddVBand="false" w:firstColumn="false"/>
            <w:tcW w:w="25.000000%" w:type="pct"/>
          </w:tcPr>
          <w:p>
            <w:pPr>
              <w:ind w:leftChars="0" w:left="0" w:right="0"/>
            </w:pPr>
            <w:r>
              <w:t>MSEL</w:t>
            </w:r>
          </w:p>
        </w:tc>
        <w:tc>
          <w:tcPr>
            <w:cnfStyle w:evenVBand="false" w:oddVBand="true" w:firstColumn="false"/>
            <w:tcW w:w="25.000000%" w:type="pct"/>
          </w:tcPr>
          <w:p>
            <w:pPr>
              <w:ind w:leftChars="0" w:left="0" w:right="0"/>
            </w:pPr>
            <w:r>
              <w:t>MAREX SPECTRON EUROPE LIMITED - OTF</w:t>
            </w:r>
          </w:p>
        </w:tc>
        <w:tc>
          <w:tcPr>
            <w:cnfStyle w:evenVBand="true" w:oddVBand="false" w:firstColumn="false"/>
            <w:tcW w:w="25.000000%" w:type="pct"/>
          </w:tcPr>
          <w:p>
            <w:pPr>
              <w:ind w:leftChars="0" w:left="0" w:right="0"/>
            </w:pPr>
            <w:r>
              <w:t>1231</w:t>
            </w:r>
          </w:p>
        </w:tc>
      </w:tr>
      <w:tr>
        <w:trPr>
          <w:cnfStyle w:evenHBand="false" w:oddHBand="true" w:firstRow="false"/>
        </w:trPr>
        <w:tc>
          <w:tcPr>
            <w:cnfStyle w:evenVBand="false" w:oddVBand="true" w:firstColumn="false"/>
            <w:tcW w:w="25.000000%" w:type="pct"/>
          </w:tcPr>
          <w:p>
            <w:pPr>
              <w:ind w:leftChars="0" w:left="0" w:right="0"/>
            </w:pPr>
            <w:r>
              <w:t>MSEU</w:t>
            </w:r>
          </w:p>
        </w:tc>
        <w:tc>
          <w:tcPr>
            <w:cnfStyle w:evenVBand="true" w:oddVBand="false" w:firstColumn="false"/>
            <w:tcW w:w="25.000000%" w:type="pct"/>
          </w:tcPr>
          <w:p>
            <w:pPr>
              <w:ind w:leftChars="0" w:left="0" w:right="0"/>
            </w:pPr>
            <w:r>
              <w:t>MSEU</w:t>
            </w:r>
          </w:p>
        </w:tc>
        <w:tc>
          <w:tcPr>
            <w:cnfStyle w:evenVBand="false" w:oddVBand="true" w:firstColumn="false"/>
            <w:tcW w:w="25.000000%" w:type="pct"/>
          </w:tcPr>
          <w:p>
            <w:pPr>
              <w:ind w:leftChars="0" w:left="0" w:right="0"/>
            </w:pPr>
            <w:r>
              <w:t>MORGAN STANLEY EUROPE S.E.</w:t>
            </w:r>
          </w:p>
        </w:tc>
        <w:tc>
          <w:tcPr>
            <w:cnfStyle w:evenVBand="true" w:oddVBand="false" w:firstColumn="false"/>
            <w:tcW w:w="25.000000%" w:type="pct"/>
          </w:tcPr>
          <w:p>
            <w:pPr>
              <w:ind w:leftChars="0" w:left="0" w:right="0"/>
            </w:pPr>
            <w:r>
              <w:t>1232</w:t>
            </w:r>
          </w:p>
        </w:tc>
      </w:tr>
      <w:tr>
        <w:trPr>
          <w:cnfStyle w:evenHBand="true" w:oddHBand="false" w:firstRow="false"/>
        </w:trPr>
        <w:tc>
          <w:tcPr>
            <w:cnfStyle w:evenVBand="false" w:oddVBand="true" w:firstColumn="false"/>
            <w:tcW w:w="25.000000%" w:type="pct"/>
          </w:tcPr>
          <w:p>
            <w:pPr>
              <w:ind w:leftChars="0" w:left="0" w:right="0"/>
            </w:pPr>
            <w:r>
              <w:t>MSIP</w:t>
            </w:r>
          </w:p>
        </w:tc>
        <w:tc>
          <w:tcPr>
            <w:cnfStyle w:evenVBand="true" w:oddVBand="false" w:firstColumn="false"/>
            <w:tcW w:w="25.000000%" w:type="pct"/>
          </w:tcPr>
          <w:p>
            <w:pPr>
              <w:ind w:leftChars="0" w:left="0" w:right="0"/>
            </w:pPr>
            <w:r>
              <w:t>MSIP</w:t>
            </w:r>
          </w:p>
        </w:tc>
        <w:tc>
          <w:tcPr>
            <w:cnfStyle w:evenVBand="false" w:oddVBand="true" w:firstColumn="false"/>
            <w:tcW w:w="25.000000%" w:type="pct"/>
          </w:tcPr>
          <w:p>
            <w:pPr>
              <w:ind w:leftChars="0" w:left="0" w:right="0"/>
            </w:pPr>
            <w:r>
              <w:t>MORGAN STANLEY AND CO. INTERNATIONAL PLC</w:t>
            </w:r>
          </w:p>
        </w:tc>
        <w:tc>
          <w:tcPr>
            <w:cnfStyle w:evenVBand="true" w:oddVBand="false" w:firstColumn="false"/>
            <w:tcW w:w="25.000000%" w:type="pct"/>
          </w:tcPr>
          <w:p>
            <w:pPr>
              <w:ind w:leftChars="0" w:left="0" w:right="0"/>
            </w:pPr>
            <w:r>
              <w:t>1233</w:t>
            </w:r>
          </w:p>
        </w:tc>
      </w:tr>
      <w:tr>
        <w:trPr>
          <w:cnfStyle w:evenHBand="false" w:oddHBand="true" w:firstRow="false"/>
        </w:trPr>
        <w:tc>
          <w:tcPr>
            <w:cnfStyle w:evenVBand="false" w:oddVBand="true" w:firstColumn="false"/>
            <w:tcW w:w="25.000000%" w:type="pct"/>
          </w:tcPr>
          <w:p>
            <w:pPr>
              <w:ind w:leftChars="0" w:left="0" w:right="0"/>
            </w:pPr>
            <w:r>
              <w:t>MSLP</w:t>
            </w:r>
          </w:p>
        </w:tc>
        <w:tc>
          <w:tcPr>
            <w:cnfStyle w:evenVBand="true" w:oddVBand="false" w:firstColumn="false"/>
            <w:tcW w:w="25.000000%" w:type="pct"/>
          </w:tcPr>
          <w:p>
            <w:pPr>
              <w:ind w:leftChars="0" w:left="0" w:right="0"/>
            </w:pPr>
            <w:r>
              <w:t>MSLP</w:t>
            </w:r>
          </w:p>
        </w:tc>
        <w:tc>
          <w:tcPr>
            <w:cnfStyle w:evenVBand="false" w:oddVBand="true" w:firstColumn="false"/>
            <w:tcW w:w="25.000000%" w:type="pct"/>
          </w:tcPr>
          <w:p>
            <w:pPr>
              <w:ind w:leftChars="0" w:left="0" w:right="0"/>
            </w:pPr>
            <w:r>
              <w:t>MORGAN STANLEY AUTOMATED LIQUIDITY PROVISION</w:t>
            </w:r>
          </w:p>
        </w:tc>
        <w:tc>
          <w:tcPr>
            <w:cnfStyle w:evenVBand="true" w:oddVBand="false" w:firstColumn="false"/>
            <w:tcW w:w="25.000000%" w:type="pct"/>
          </w:tcPr>
          <w:p>
            <w:pPr>
              <w:ind w:leftChars="0" w:left="0" w:right="0"/>
            </w:pPr>
            <w:r>
              <w:t>1234</w:t>
            </w:r>
          </w:p>
        </w:tc>
      </w:tr>
      <w:tr>
        <w:trPr>
          <w:cnfStyle w:evenHBand="true" w:oddHBand="false" w:firstRow="false"/>
        </w:trPr>
        <w:tc>
          <w:tcPr>
            <w:cnfStyle w:evenVBand="false" w:oddVBand="true" w:firstColumn="false"/>
            <w:tcW w:w="25.000000%" w:type="pct"/>
          </w:tcPr>
          <w:p>
            <w:pPr>
              <w:ind w:leftChars="0" w:left="0" w:right="0"/>
            </w:pPr>
            <w:r>
              <w:t>MSMS</w:t>
            </w:r>
          </w:p>
        </w:tc>
        <w:tc>
          <w:tcPr>
            <w:cnfStyle w:evenVBand="true" w:oddVBand="false" w:firstColumn="false"/>
            <w:tcW w:w="25.000000%" w:type="pct"/>
          </w:tcPr>
          <w:p>
            <w:pPr>
              <w:ind w:leftChars="0" w:left="0" w:right="0"/>
            </w:pPr>
            <w:r>
              <w:t>MSMS</w:t>
            </w:r>
          </w:p>
        </w:tc>
        <w:tc>
          <w:tcPr>
            <w:cnfStyle w:evenVBand="false" w:oddVBand="true" w:firstColumn="false"/>
            <w:tcW w:w="25.000000%" w:type="pct"/>
          </w:tcPr>
          <w:p>
            <w:pPr>
              <w:ind w:leftChars="0" w:left="0" w:right="0"/>
            </w:pPr>
            <w:r>
              <w:t>MORGAN STANLEY MUFG SECURITIES CO., LTD</w:t>
            </w:r>
          </w:p>
        </w:tc>
        <w:tc>
          <w:tcPr>
            <w:cnfStyle w:evenVBand="true" w:oddVBand="false" w:firstColumn="false"/>
            <w:tcW w:w="25.000000%" w:type="pct"/>
          </w:tcPr>
          <w:p>
            <w:pPr>
              <w:ind w:leftChars="0" w:left="0" w:right="0"/>
            </w:pPr>
            <w:r>
              <w:t>1235</w:t>
            </w:r>
          </w:p>
        </w:tc>
      </w:tr>
      <w:tr>
        <w:trPr>
          <w:cnfStyle w:evenHBand="false" w:oddHBand="true" w:firstRow="false"/>
        </w:trPr>
        <w:tc>
          <w:tcPr>
            <w:cnfStyle w:evenVBand="false" w:oddVBand="true" w:firstColumn="false"/>
            <w:tcW w:w="25.000000%" w:type="pct"/>
          </w:tcPr>
          <w:p>
            <w:pPr>
              <w:ind w:leftChars="0" w:left="0" w:right="0"/>
            </w:pPr>
            <w:r>
              <w:t>MSNT</w:t>
            </w:r>
          </w:p>
        </w:tc>
        <w:tc>
          <w:tcPr>
            <w:cnfStyle w:evenVBand="true" w:oddVBand="false" w:firstColumn="false"/>
            <w:tcW w:w="25.000000%" w:type="pct"/>
          </w:tcPr>
          <w:p>
            <w:pPr>
              <w:ind w:leftChars="0" w:left="0" w:right="0"/>
            </w:pPr>
            <w:r>
              <w:t>MSNT</w:t>
            </w:r>
          </w:p>
        </w:tc>
        <w:tc>
          <w:tcPr>
            <w:cnfStyle w:evenVBand="false" w:oddVBand="true" w:firstColumn="false"/>
            <w:tcW w:w="25.000000%" w:type="pct"/>
          </w:tcPr>
          <w:p>
            <w:pPr>
              <w:ind w:leftChars="0" w:left="0" w:right="0"/>
            </w:pPr>
            <w:r>
              <w:t>MORGAN STANLEY MTF - NEGOTIATED TRADE</w:t>
            </w:r>
          </w:p>
        </w:tc>
        <w:tc>
          <w:tcPr>
            <w:cnfStyle w:evenVBand="true" w:oddVBand="false" w:firstColumn="false"/>
            <w:tcW w:w="25.000000%" w:type="pct"/>
          </w:tcPr>
          <w:p>
            <w:pPr>
              <w:ind w:leftChars="0" w:left="0" w:right="0"/>
            </w:pPr>
            <w:r>
              <w:t>1236</w:t>
            </w:r>
          </w:p>
        </w:tc>
      </w:tr>
      <w:tr>
        <w:trPr>
          <w:cnfStyle w:evenHBand="true" w:oddHBand="false" w:firstRow="false"/>
        </w:trPr>
        <w:tc>
          <w:tcPr>
            <w:cnfStyle w:evenVBand="false" w:oddVBand="true" w:firstColumn="false"/>
            <w:tcW w:w="25.000000%" w:type="pct"/>
          </w:tcPr>
          <w:p>
            <w:pPr>
              <w:ind w:leftChars="0" w:left="0" w:right="0"/>
            </w:pPr>
            <w:r>
              <w:t>MSPL</w:t>
            </w:r>
          </w:p>
        </w:tc>
        <w:tc>
          <w:tcPr>
            <w:cnfStyle w:evenVBand="true" w:oddVBand="false" w:firstColumn="false"/>
            <w:tcW w:w="25.000000%" w:type="pct"/>
          </w:tcPr>
          <w:p>
            <w:pPr>
              <w:ind w:leftChars="0" w:left="0" w:right="0"/>
            </w:pPr>
            <w:r>
              <w:t>MSPL</w:t>
            </w:r>
          </w:p>
        </w:tc>
        <w:tc>
          <w:tcPr>
            <w:cnfStyle w:evenVBand="false" w:oddVBand="true" w:firstColumn="false"/>
            <w:tcW w:w="25.000000%" w:type="pct"/>
          </w:tcPr>
          <w:p>
            <w:pPr>
              <w:ind w:leftChars="0" w:left="0" w:right="0"/>
            </w:pPr>
            <w:r>
              <w:t>MS POOL</w:t>
            </w:r>
          </w:p>
        </w:tc>
        <w:tc>
          <w:tcPr>
            <w:cnfStyle w:evenVBand="true" w:oddVBand="false" w:firstColumn="false"/>
            <w:tcW w:w="25.000000%" w:type="pct"/>
          </w:tcPr>
          <w:p>
            <w:pPr>
              <w:ind w:leftChars="0" w:left="0" w:right="0"/>
            </w:pPr>
            <w:r>
              <w:t>1237</w:t>
            </w:r>
          </w:p>
        </w:tc>
      </w:tr>
      <w:tr>
        <w:trPr>
          <w:cnfStyle w:evenHBand="false" w:oddHBand="true" w:firstRow="false"/>
        </w:trPr>
        <w:tc>
          <w:tcPr>
            <w:cnfStyle w:evenVBand="false" w:oddVBand="true" w:firstColumn="false"/>
            <w:tcW w:w="25.000000%" w:type="pct"/>
          </w:tcPr>
          <w:p>
            <w:pPr>
              <w:ind w:leftChars="0" w:left="0" w:right="0"/>
            </w:pPr>
            <w:r>
              <w:t>MSRP</w:t>
            </w:r>
          </w:p>
        </w:tc>
        <w:tc>
          <w:tcPr>
            <w:cnfStyle w:evenVBand="true" w:oddVBand="false" w:firstColumn="false"/>
            <w:tcW w:w="25.000000%" w:type="pct"/>
          </w:tcPr>
          <w:p>
            <w:pPr>
              <w:ind w:leftChars="0" w:left="0" w:right="0"/>
            </w:pPr>
            <w:r>
              <w:t>MSRP</w:t>
            </w:r>
          </w:p>
        </w:tc>
        <w:tc>
          <w:tcPr>
            <w:cnfStyle w:evenVBand="false" w:oddVBand="true" w:firstColumn="false"/>
            <w:tcW w:w="25.000000%" w:type="pct"/>
          </w:tcPr>
          <w:p>
            <w:pPr>
              <w:ind w:leftChars="0" w:left="0" w:right="0"/>
            </w:pPr>
            <w:r>
              <w:t>MS RPOOL</w:t>
            </w:r>
          </w:p>
        </w:tc>
        <w:tc>
          <w:tcPr>
            <w:cnfStyle w:evenVBand="true" w:oddVBand="false" w:firstColumn="false"/>
            <w:tcW w:w="25.000000%" w:type="pct"/>
          </w:tcPr>
          <w:p>
            <w:pPr>
              <w:ind w:leftChars="0" w:left="0" w:right="0"/>
            </w:pPr>
            <w:r>
              <w:t>1238</w:t>
            </w:r>
          </w:p>
        </w:tc>
      </w:tr>
      <w:tr>
        <w:trPr>
          <w:cnfStyle w:evenHBand="true" w:oddHBand="false" w:firstRow="false"/>
        </w:trPr>
        <w:tc>
          <w:tcPr>
            <w:cnfStyle w:evenVBand="false" w:oddVBand="true" w:firstColumn="false"/>
            <w:tcW w:w="25.000000%" w:type="pct"/>
          </w:tcPr>
          <w:p>
            <w:pPr>
              <w:ind w:leftChars="0" w:left="0" w:right="0"/>
            </w:pPr>
            <w:r>
              <w:t>MSSI</w:t>
            </w:r>
          </w:p>
        </w:tc>
        <w:tc>
          <w:tcPr>
            <w:cnfStyle w:evenVBand="true" w:oddVBand="false" w:firstColumn="false"/>
            <w:tcW w:w="25.000000%" w:type="pct"/>
          </w:tcPr>
          <w:p>
            <w:pPr>
              <w:ind w:leftChars="0" w:left="0" w:right="0"/>
            </w:pPr>
            <w:r>
              <w:t>MSSI</w:t>
            </w:r>
          </w:p>
        </w:tc>
        <w:tc>
          <w:tcPr>
            <w:cnfStyle w:evenVBand="false" w:oddVBand="true" w:firstColumn="false"/>
            <w:tcW w:w="25.000000%" w:type="pct"/>
          </w:tcPr>
          <w:p>
            <w:pPr>
              <w:ind w:leftChars="0" w:left="0" w:right="0"/>
            </w:pPr>
            <w:r>
              <w:t>MORGAN STANLEY AND CO. INTERNATIONAL PLC - SYSTEMATIC INTERNALISER</w:t>
            </w:r>
          </w:p>
        </w:tc>
        <w:tc>
          <w:tcPr>
            <w:cnfStyle w:evenVBand="true" w:oddVBand="false" w:firstColumn="false"/>
            <w:tcW w:w="25.000000%" w:type="pct"/>
          </w:tcPr>
          <w:p>
            <w:pPr>
              <w:ind w:leftChars="0" w:left="0" w:right="0"/>
            </w:pPr>
            <w:r>
              <w:t>1239</w:t>
            </w:r>
          </w:p>
        </w:tc>
      </w:tr>
      <w:tr>
        <w:trPr>
          <w:cnfStyle w:evenHBand="false" w:oddHBand="true" w:firstRow="false"/>
        </w:trPr>
        <w:tc>
          <w:tcPr>
            <w:cnfStyle w:evenVBand="false" w:oddVBand="true" w:firstColumn="false"/>
            <w:tcW w:w="25.000000%" w:type="pct"/>
          </w:tcPr>
          <w:p>
            <w:pPr>
              <w:ind w:leftChars="0" w:left="0" w:right="0"/>
            </w:pPr>
            <w:r>
              <w:t>MSTC</w:t>
            </w:r>
          </w:p>
        </w:tc>
        <w:tc>
          <w:tcPr>
            <w:cnfStyle w:evenVBand="true" w:oddVBand="false" w:firstColumn="false"/>
            <w:tcW w:w="25.000000%" w:type="pct"/>
          </w:tcPr>
          <w:p>
            <w:pPr>
              <w:ind w:leftChars="0" w:left="0" w:right="0"/>
            </w:pPr>
            <w:r>
              <w:t>MSTC</w:t>
            </w:r>
          </w:p>
        </w:tc>
        <w:tc>
          <w:tcPr>
            <w:cnfStyle w:evenVBand="false" w:oddVBand="true" w:firstColumn="false"/>
            <w:tcW w:w="25.000000%" w:type="pct"/>
          </w:tcPr>
          <w:p>
            <w:pPr>
              <w:ind w:leftChars="0" w:left="0" w:right="0"/>
            </w:pPr>
            <w:r>
              <w:t>MS TRAJECTORY CROSSING ATS</w:t>
            </w:r>
          </w:p>
        </w:tc>
        <w:tc>
          <w:tcPr>
            <w:cnfStyle w:evenVBand="true" w:oddVBand="false" w:firstColumn="false"/>
            <w:tcW w:w="25.000000%" w:type="pct"/>
          </w:tcPr>
          <w:p>
            <w:pPr>
              <w:ind w:leftChars="0" w:left="0" w:right="0"/>
            </w:pPr>
            <w:r>
              <w:t>1240</w:t>
            </w:r>
          </w:p>
        </w:tc>
      </w:tr>
      <w:tr>
        <w:trPr>
          <w:cnfStyle w:evenHBand="true" w:oddHBand="false" w:firstRow="false"/>
        </w:trPr>
        <w:tc>
          <w:tcPr>
            <w:cnfStyle w:evenVBand="false" w:oddVBand="true" w:firstColumn="false"/>
            <w:tcW w:w="25.000000%" w:type="pct"/>
          </w:tcPr>
          <w:p>
            <w:pPr>
              <w:ind w:leftChars="0" w:left="0" w:right="0"/>
            </w:pPr>
            <w:r>
              <w:t>MSTO</w:t>
            </w:r>
          </w:p>
        </w:tc>
        <w:tc>
          <w:tcPr>
            <w:cnfStyle w:evenVBand="true" w:oddVBand="false" w:firstColumn="false"/>
            <w:tcW w:w="25.000000%" w:type="pct"/>
          </w:tcPr>
          <w:p>
            <w:pPr>
              <w:ind w:leftChars="0" w:left="0" w:right="0"/>
            </w:pPr>
            <w:r>
              <w:t>MSTO</w:t>
            </w:r>
          </w:p>
        </w:tc>
        <w:tc>
          <w:tcPr>
            <w:cnfStyle w:evenVBand="false" w:oddVBand="true" w:firstColumn="false"/>
            <w:tcW w:w="25.000000%" w:type="pct"/>
          </w:tcPr>
          <w:p>
            <w:pPr>
              <w:ind w:leftChars="0" w:left="0" w:right="0"/>
            </w:pPr>
            <w:r>
              <w:t>NASDAQ STOCKHOLM AB - AUCTION ON DEMAND</w:t>
            </w:r>
          </w:p>
        </w:tc>
        <w:tc>
          <w:tcPr>
            <w:cnfStyle w:evenVBand="true" w:oddVBand="false" w:firstColumn="false"/>
            <w:tcW w:w="25.000000%" w:type="pct"/>
          </w:tcPr>
          <w:p>
            <w:pPr>
              <w:ind w:leftChars="0" w:left="0" w:right="0"/>
            </w:pPr>
            <w:r>
              <w:t>1241</w:t>
            </w:r>
          </w:p>
        </w:tc>
      </w:tr>
      <w:tr>
        <w:trPr>
          <w:cnfStyle w:evenHBand="false" w:oddHBand="true" w:firstRow="false"/>
        </w:trPr>
        <w:tc>
          <w:tcPr>
            <w:cnfStyle w:evenVBand="false" w:oddVBand="true" w:firstColumn="false"/>
            <w:tcW w:w="25.000000%" w:type="pct"/>
          </w:tcPr>
          <w:p>
            <w:pPr>
              <w:ind w:leftChars="0" w:left="0" w:right="0"/>
            </w:pPr>
            <w:r>
              <w:t>MSTX</w:t>
            </w:r>
          </w:p>
        </w:tc>
        <w:tc>
          <w:tcPr>
            <w:cnfStyle w:evenVBand="true" w:oddVBand="false" w:firstColumn="false"/>
            <w:tcW w:w="25.000000%" w:type="pct"/>
          </w:tcPr>
          <w:p>
            <w:pPr>
              <w:ind w:leftChars="0" w:left="0" w:right="0"/>
            </w:pPr>
            <w:r>
              <w:t>MSTX</w:t>
            </w:r>
          </w:p>
        </w:tc>
        <w:tc>
          <w:tcPr>
            <w:cnfStyle w:evenVBand="false" w:oddVBand="true" w:firstColumn="false"/>
            <w:tcW w:w="25.000000%" w:type="pct"/>
          </w:tcPr>
          <w:p>
            <w:pPr>
              <w:ind w:leftChars="0" w:left="0" w:right="0"/>
            </w:pPr>
            <w:r>
              <w:t>MS TRAJECTORY CROSS</w:t>
            </w:r>
          </w:p>
        </w:tc>
        <w:tc>
          <w:tcPr>
            <w:cnfStyle w:evenVBand="true" w:oddVBand="false" w:firstColumn="false"/>
            <w:tcW w:w="25.000000%" w:type="pct"/>
          </w:tcPr>
          <w:p>
            <w:pPr>
              <w:ind w:leftChars="0" w:left="0" w:right="0"/>
            </w:pPr>
            <w:r>
              <w:t>1242</w:t>
            </w:r>
          </w:p>
        </w:tc>
      </w:tr>
      <w:tr>
        <w:trPr>
          <w:cnfStyle w:evenHBand="true" w:oddHBand="false" w:firstRow="false"/>
        </w:trPr>
        <w:tc>
          <w:tcPr>
            <w:cnfStyle w:evenVBand="false" w:oddVBand="true" w:firstColumn="false"/>
            <w:tcW w:w="25.000000%" w:type="pct"/>
          </w:tcPr>
          <w:p>
            <w:pPr>
              <w:ind w:leftChars="0" w:left="0" w:right="0"/>
            </w:pPr>
            <w:r>
              <w:t>MSWP</w:t>
            </w:r>
          </w:p>
        </w:tc>
        <w:tc>
          <w:tcPr>
            <w:cnfStyle w:evenVBand="true" w:oddVBand="false" w:firstColumn="false"/>
            <w:tcW w:w="25.000000%" w:type="pct"/>
          </w:tcPr>
          <w:p>
            <w:pPr>
              <w:ind w:leftChars="0" w:left="0" w:right="0"/>
            </w:pPr>
            <w:r>
              <w:t>MSWP</w:t>
            </w:r>
          </w:p>
        </w:tc>
        <w:tc>
          <w:tcPr>
            <w:cnfStyle w:evenVBand="false" w:oddVBand="true" w:firstColumn="false"/>
            <w:tcW w:w="25.000000%" w:type="pct"/>
          </w:tcPr>
          <w:p>
            <w:pPr>
              <w:ind w:leftChars="0" w:left="0" w:right="0"/>
            </w:pPr>
            <w:r>
              <w:t>MTS INTERDEALER SWAPS MARKET</w:t>
            </w:r>
          </w:p>
        </w:tc>
        <w:tc>
          <w:tcPr>
            <w:cnfStyle w:evenVBand="true" w:oddVBand="false" w:firstColumn="false"/>
            <w:tcW w:w="25.000000%" w:type="pct"/>
          </w:tcPr>
          <w:p>
            <w:pPr>
              <w:ind w:leftChars="0" w:left="0" w:right="0"/>
            </w:pPr>
            <w:r>
              <w:t>1243</w:t>
            </w:r>
          </w:p>
        </w:tc>
      </w:tr>
      <w:tr>
        <w:trPr>
          <w:cnfStyle w:evenHBand="false" w:oddHBand="true" w:firstRow="false"/>
        </w:trPr>
        <w:tc>
          <w:tcPr>
            <w:cnfStyle w:evenVBand="false" w:oddVBand="true" w:firstColumn="false"/>
            <w:tcW w:w="25.000000%" w:type="pct"/>
          </w:tcPr>
          <w:p>
            <w:pPr>
              <w:ind w:leftChars="0" w:left="0" w:right="0"/>
            </w:pPr>
            <w:r>
              <w:t>MTAA</w:t>
            </w:r>
          </w:p>
        </w:tc>
        <w:tc>
          <w:tcPr>
            <w:cnfStyle w:evenVBand="true" w:oddVBand="false" w:firstColumn="false"/>
            <w:tcW w:w="25.000000%" w:type="pct"/>
          </w:tcPr>
          <w:p>
            <w:pPr>
              <w:ind w:leftChars="0" w:left="0" w:right="0"/>
            </w:pPr>
            <w:r>
              <w:t>MTAA</w:t>
            </w:r>
          </w:p>
        </w:tc>
        <w:tc>
          <w:tcPr>
            <w:cnfStyle w:evenVBand="false" w:oddVBand="true" w:firstColumn="false"/>
            <w:tcW w:w="25.000000%" w:type="pct"/>
          </w:tcPr>
          <w:p>
            <w:pPr>
              <w:ind w:leftChars="0" w:left="0" w:right="0"/>
            </w:pPr>
            <w:r>
              <w:t>EURONEXT MILAN</w:t>
            </w:r>
          </w:p>
        </w:tc>
        <w:tc>
          <w:tcPr>
            <w:cnfStyle w:evenVBand="true" w:oddVBand="false" w:firstColumn="false"/>
            <w:tcW w:w="25.000000%" w:type="pct"/>
          </w:tcPr>
          <w:p>
            <w:pPr>
              <w:ind w:leftChars="0" w:left="0" w:right="0"/>
            </w:pPr>
            <w:r>
              <w:t>1244</w:t>
            </w:r>
          </w:p>
        </w:tc>
      </w:tr>
      <w:tr>
        <w:trPr>
          <w:cnfStyle w:evenHBand="true" w:oddHBand="false" w:firstRow="false"/>
        </w:trPr>
        <w:tc>
          <w:tcPr>
            <w:cnfStyle w:evenVBand="false" w:oddVBand="true" w:firstColumn="false"/>
            <w:tcW w:w="25.000000%" w:type="pct"/>
          </w:tcPr>
          <w:p>
            <w:pPr>
              <w:ind w:leftChars="0" w:left="0" w:right="0"/>
            </w:pPr>
            <w:r>
              <w:t>MTAH</w:t>
            </w:r>
          </w:p>
        </w:tc>
        <w:tc>
          <w:tcPr>
            <w:cnfStyle w:evenVBand="true" w:oddVBand="false" w:firstColumn="false"/>
            <w:tcW w:w="25.000000%" w:type="pct"/>
          </w:tcPr>
          <w:p>
            <w:pPr>
              <w:ind w:leftChars="0" w:left="0" w:right="0"/>
            </w:pPr>
            <w:r>
              <w:t>MTAH</w:t>
            </w:r>
          </w:p>
        </w:tc>
        <w:tc>
          <w:tcPr>
            <w:cnfStyle w:evenVBand="false" w:oddVBand="true" w:firstColumn="false"/>
            <w:tcW w:w="25.000000%" w:type="pct"/>
          </w:tcPr>
          <w:p>
            <w:pPr>
              <w:ind w:leftChars="0" w:left="0" w:right="0"/>
            </w:pPr>
            <w:r>
              <w:t>BORSA ITALIANA EQUITY MTF</w:t>
            </w:r>
          </w:p>
        </w:tc>
        <w:tc>
          <w:tcPr>
            <w:cnfStyle w:evenVBand="true" w:oddVBand="false" w:firstColumn="false"/>
            <w:tcW w:w="25.000000%" w:type="pct"/>
          </w:tcPr>
          <w:p>
            <w:pPr>
              <w:ind w:leftChars="0" w:left="0" w:right="0"/>
            </w:pPr>
            <w:r>
              <w:t>1245</w:t>
            </w:r>
          </w:p>
        </w:tc>
      </w:tr>
      <w:tr>
        <w:trPr>
          <w:cnfStyle w:evenHBand="false" w:oddHBand="true" w:firstRow="false"/>
        </w:trPr>
        <w:tc>
          <w:tcPr>
            <w:cnfStyle w:evenVBand="false" w:oddVBand="true" w:firstColumn="false"/>
            <w:tcW w:w="25.000000%" w:type="pct"/>
          </w:tcPr>
          <w:p>
            <w:pPr>
              <w:ind w:leftChars="0" w:left="0" w:right="0"/>
            </w:pPr>
            <w:r>
              <w:t>MTAX</w:t>
            </w:r>
          </w:p>
        </w:tc>
        <w:tc>
          <w:tcPr>
            <w:cnfStyle w:evenVBand="true" w:oddVBand="false" w:firstColumn="false"/>
            <w:tcW w:w="25.000000%" w:type="pct"/>
          </w:tcPr>
          <w:p>
            <w:pPr>
              <w:ind w:leftChars="0" w:left="0" w:right="0"/>
            </w:pPr>
            <w:r>
              <w:t>MTAX</w:t>
            </w:r>
          </w:p>
        </w:tc>
        <w:tc>
          <w:tcPr>
            <w:cnfStyle w:evenVBand="false" w:oddVBand="true" w:firstColumn="false"/>
            <w:tcW w:w="25.000000%" w:type="pct"/>
          </w:tcPr>
          <w:p>
            <w:pPr>
              <w:ind w:leftChars="0" w:left="0" w:right="0"/>
            </w:pPr>
            <w:r>
              <w:t>MTAX</w:t>
            </w:r>
          </w:p>
        </w:tc>
        <w:tc>
          <w:tcPr>
            <w:cnfStyle w:evenVBand="true" w:oddVBand="false" w:firstColumn="false"/>
            <w:tcW w:w="25.000000%" w:type="pct"/>
          </w:tcPr>
          <w:p>
            <w:pPr>
              <w:ind w:leftChars="0" w:left="0" w:right="0"/>
            </w:pPr>
            <w:r>
              <w:t>1246</w:t>
            </w:r>
          </w:p>
        </w:tc>
      </w:tr>
      <w:tr>
        <w:trPr>
          <w:cnfStyle w:evenHBand="true" w:oddHBand="false" w:firstRow="false"/>
        </w:trPr>
        <w:tc>
          <w:tcPr>
            <w:cnfStyle w:evenVBand="false" w:oddVBand="true" w:firstColumn="false"/>
            <w:tcW w:w="25.000000%" w:type="pct"/>
          </w:tcPr>
          <w:p>
            <w:pPr>
              <w:ind w:leftChars="0" w:left="0" w:right="0"/>
            </w:pPr>
            <w:r>
              <w:t>MTCH</w:t>
            </w:r>
          </w:p>
        </w:tc>
        <w:tc>
          <w:tcPr>
            <w:cnfStyle w:evenVBand="true" w:oddVBand="false" w:firstColumn="false"/>
            <w:tcW w:w="25.000000%" w:type="pct"/>
          </w:tcPr>
          <w:p>
            <w:pPr>
              <w:ind w:leftChars="0" w:left="0" w:right="0"/>
            </w:pPr>
            <w:r>
              <w:t>MTCH</w:t>
            </w:r>
          </w:p>
        </w:tc>
        <w:tc>
          <w:tcPr>
            <w:cnfStyle w:evenVBand="false" w:oddVBand="true" w:firstColumn="false"/>
            <w:tcW w:w="25.000000%" w:type="pct"/>
          </w:tcPr>
          <w:p>
            <w:pPr>
              <w:ind w:leftChars="0" w:left="0" w:right="0"/>
            </w:pPr>
            <w:r>
              <w:t>BONDMATCH</w:t>
            </w:r>
          </w:p>
        </w:tc>
        <w:tc>
          <w:tcPr>
            <w:cnfStyle w:evenVBand="true" w:oddVBand="false" w:firstColumn="false"/>
            <w:tcW w:w="25.000000%" w:type="pct"/>
          </w:tcPr>
          <w:p>
            <w:pPr>
              <w:ind w:leftChars="0" w:left="0" w:right="0"/>
            </w:pPr>
            <w:r>
              <w:t>1247</w:t>
            </w:r>
          </w:p>
        </w:tc>
      </w:tr>
      <w:tr>
        <w:trPr>
          <w:cnfStyle w:evenHBand="false" w:oddHBand="true" w:firstRow="false"/>
        </w:trPr>
        <w:tc>
          <w:tcPr>
            <w:cnfStyle w:evenVBand="false" w:oddVBand="true" w:firstColumn="false"/>
            <w:tcW w:w="25.000000%" w:type="pct"/>
          </w:tcPr>
          <w:p>
            <w:pPr>
              <w:ind w:leftChars="0" w:left="0" w:right="0"/>
            </w:pPr>
            <w:r>
              <w:t>MTSA</w:t>
            </w:r>
          </w:p>
        </w:tc>
        <w:tc>
          <w:tcPr>
            <w:cnfStyle w:evenVBand="true" w:oddVBand="false" w:firstColumn="false"/>
            <w:tcW w:w="25.000000%" w:type="pct"/>
          </w:tcPr>
          <w:p>
            <w:pPr>
              <w:ind w:leftChars="0" w:left="0" w:right="0"/>
            </w:pPr>
            <w:r>
              <w:t>MTSA</w:t>
            </w:r>
          </w:p>
        </w:tc>
        <w:tc>
          <w:tcPr>
            <w:cnfStyle w:evenVBand="false" w:oddVBand="true" w:firstColumn="false"/>
            <w:tcW w:w="25.000000%" w:type="pct"/>
          </w:tcPr>
          <w:p>
            <w:pPr>
              <w:ind w:leftChars="0" w:left="0" w:right="0"/>
            </w:pPr>
            <w:r>
              <w:t>MTS AUSTRIA</w:t>
            </w:r>
          </w:p>
        </w:tc>
        <w:tc>
          <w:tcPr>
            <w:cnfStyle w:evenVBand="true" w:oddVBand="false" w:firstColumn="false"/>
            <w:tcW w:w="25.000000%" w:type="pct"/>
          </w:tcPr>
          <w:p>
            <w:pPr>
              <w:ind w:leftChars="0" w:left="0" w:right="0"/>
            </w:pPr>
            <w:r>
              <w:t>1248</w:t>
            </w:r>
          </w:p>
        </w:tc>
      </w:tr>
      <w:tr>
        <w:trPr>
          <w:cnfStyle w:evenHBand="true" w:oddHBand="false" w:firstRow="false"/>
        </w:trPr>
        <w:tc>
          <w:tcPr>
            <w:cnfStyle w:evenVBand="false" w:oddVBand="true" w:firstColumn="false"/>
            <w:tcW w:w="25.000000%" w:type="pct"/>
          </w:tcPr>
          <w:p>
            <w:pPr>
              <w:ind w:leftChars="0" w:left="0" w:right="0"/>
            </w:pPr>
            <w:r>
              <w:t>MTSB</w:t>
            </w:r>
          </w:p>
        </w:tc>
        <w:tc>
          <w:tcPr>
            <w:cnfStyle w:evenVBand="true" w:oddVBand="false" w:firstColumn="false"/>
            <w:tcW w:w="25.000000%" w:type="pct"/>
          </w:tcPr>
          <w:p>
            <w:pPr>
              <w:ind w:leftChars="0" w:left="0" w:right="0"/>
            </w:pPr>
            <w:r>
              <w:t>MTSB</w:t>
            </w:r>
          </w:p>
        </w:tc>
        <w:tc>
          <w:tcPr>
            <w:cnfStyle w:evenVBand="false" w:oddVBand="true" w:firstColumn="false"/>
            <w:tcW w:w="25.000000%" w:type="pct"/>
          </w:tcPr>
          <w:p>
            <w:pPr>
              <w:ind w:leftChars="0" w:left="0" w:right="0"/>
            </w:pPr>
            <w:r>
              <w:t>MTS BONDS.COM</w:t>
            </w:r>
          </w:p>
        </w:tc>
        <w:tc>
          <w:tcPr>
            <w:cnfStyle w:evenVBand="true" w:oddVBand="false" w:firstColumn="false"/>
            <w:tcW w:w="25.000000%" w:type="pct"/>
          </w:tcPr>
          <w:p>
            <w:pPr>
              <w:ind w:leftChars="0" w:left="0" w:right="0"/>
            </w:pPr>
            <w:r>
              <w:t>1249</w:t>
            </w:r>
          </w:p>
        </w:tc>
      </w:tr>
      <w:tr>
        <w:trPr>
          <w:cnfStyle w:evenHBand="false" w:oddHBand="true" w:firstRow="false"/>
        </w:trPr>
        <w:tc>
          <w:tcPr>
            <w:cnfStyle w:evenVBand="false" w:oddVBand="true" w:firstColumn="false"/>
            <w:tcW w:w="25.000000%" w:type="pct"/>
          </w:tcPr>
          <w:p>
            <w:pPr>
              <w:ind w:leftChars="0" w:left="0" w:right="0"/>
            </w:pPr>
            <w:r>
              <w:t>MTSC</w:t>
            </w:r>
          </w:p>
        </w:tc>
        <w:tc>
          <w:tcPr>
            <w:cnfStyle w:evenVBand="true" w:oddVBand="false" w:firstColumn="false"/>
            <w:tcW w:w="25.000000%" w:type="pct"/>
          </w:tcPr>
          <w:p>
            <w:pPr>
              <w:ind w:leftChars="0" w:left="0" w:right="0"/>
            </w:pPr>
            <w:r>
              <w:t>MTSC</w:t>
            </w:r>
          </w:p>
        </w:tc>
        <w:tc>
          <w:tcPr>
            <w:cnfStyle w:evenVBand="false" w:oddVBand="true" w:firstColumn="false"/>
            <w:tcW w:w="25.000000%" w:type="pct"/>
          </w:tcPr>
          <w:p>
            <w:pPr>
              <w:ind w:leftChars="0" w:left="0" w:right="0"/>
            </w:pPr>
            <w:r>
              <w:t>MTS ITALIA</w:t>
            </w:r>
          </w:p>
        </w:tc>
        <w:tc>
          <w:tcPr>
            <w:cnfStyle w:evenVBand="true" w:oddVBand="false" w:firstColumn="false"/>
            <w:tcW w:w="25.000000%" w:type="pct"/>
          </w:tcPr>
          <w:p>
            <w:pPr>
              <w:ind w:leftChars="0" w:left="0" w:right="0"/>
            </w:pPr>
            <w:r>
              <w:t>1250</w:t>
            </w:r>
          </w:p>
        </w:tc>
      </w:tr>
      <w:tr>
        <w:trPr>
          <w:cnfStyle w:evenHBand="true" w:oddHBand="false" w:firstRow="false"/>
        </w:trPr>
        <w:tc>
          <w:tcPr>
            <w:cnfStyle w:evenVBand="false" w:oddVBand="true" w:firstColumn="false"/>
            <w:tcW w:w="25.000000%" w:type="pct"/>
          </w:tcPr>
          <w:p>
            <w:pPr>
              <w:ind w:leftChars="0" w:left="0" w:right="0"/>
            </w:pPr>
            <w:r>
              <w:t>MTSD</w:t>
            </w:r>
          </w:p>
        </w:tc>
        <w:tc>
          <w:tcPr>
            <w:cnfStyle w:evenVBand="true" w:oddVBand="false" w:firstColumn="false"/>
            <w:tcW w:w="25.000000%" w:type="pct"/>
          </w:tcPr>
          <w:p>
            <w:pPr>
              <w:ind w:leftChars="0" w:left="0" w:right="0"/>
            </w:pPr>
            <w:r>
              <w:t>MTSD</w:t>
            </w:r>
          </w:p>
        </w:tc>
        <w:tc>
          <w:tcPr>
            <w:cnfStyle w:evenVBand="false" w:oddVBand="true" w:firstColumn="false"/>
            <w:tcW w:w="25.000000%" w:type="pct"/>
          </w:tcPr>
          <w:p>
            <w:pPr>
              <w:ind w:leftChars="0" w:left="0" w:right="0"/>
            </w:pPr>
            <w:r>
              <w:t>MTS DENMARK</w:t>
            </w:r>
          </w:p>
        </w:tc>
        <w:tc>
          <w:tcPr>
            <w:cnfStyle w:evenVBand="true" w:oddVBand="false" w:firstColumn="false"/>
            <w:tcW w:w="25.000000%" w:type="pct"/>
          </w:tcPr>
          <w:p>
            <w:pPr>
              <w:ind w:leftChars="0" w:left="0" w:right="0"/>
            </w:pPr>
            <w:r>
              <w:t>1251</w:t>
            </w:r>
          </w:p>
        </w:tc>
      </w:tr>
      <w:tr>
        <w:trPr>
          <w:cnfStyle w:evenHBand="false" w:oddHBand="true" w:firstRow="false"/>
        </w:trPr>
        <w:tc>
          <w:tcPr>
            <w:cnfStyle w:evenVBand="false" w:oddVBand="true" w:firstColumn="false"/>
            <w:tcW w:w="25.000000%" w:type="pct"/>
          </w:tcPr>
          <w:p>
            <w:pPr>
              <w:ind w:leftChars="0" w:left="0" w:right="0"/>
            </w:pPr>
            <w:r>
              <w:t>MTSF</w:t>
            </w:r>
          </w:p>
        </w:tc>
        <w:tc>
          <w:tcPr>
            <w:cnfStyle w:evenVBand="true" w:oddVBand="false" w:firstColumn="false"/>
            <w:tcW w:w="25.000000%" w:type="pct"/>
          </w:tcPr>
          <w:p>
            <w:pPr>
              <w:ind w:leftChars="0" w:left="0" w:right="0"/>
            </w:pPr>
            <w:r>
              <w:t>MTSF</w:t>
            </w:r>
          </w:p>
        </w:tc>
        <w:tc>
          <w:tcPr>
            <w:cnfStyle w:evenVBand="false" w:oddVBand="true" w:firstColumn="false"/>
            <w:tcW w:w="25.000000%" w:type="pct"/>
          </w:tcPr>
          <w:p>
            <w:pPr>
              <w:ind w:leftChars="0" w:left="0" w:right="0"/>
            </w:pPr>
            <w:r>
              <w:t>MTS FINLAND</w:t>
            </w:r>
          </w:p>
        </w:tc>
        <w:tc>
          <w:tcPr>
            <w:cnfStyle w:evenVBand="true" w:oddVBand="false" w:firstColumn="false"/>
            <w:tcW w:w="25.000000%" w:type="pct"/>
          </w:tcPr>
          <w:p>
            <w:pPr>
              <w:ind w:leftChars="0" w:left="0" w:right="0"/>
            </w:pPr>
            <w:r>
              <w:t>1252</w:t>
            </w:r>
          </w:p>
        </w:tc>
      </w:tr>
      <w:tr>
        <w:trPr>
          <w:cnfStyle w:evenHBand="true" w:oddHBand="false" w:firstRow="false"/>
        </w:trPr>
        <w:tc>
          <w:tcPr>
            <w:cnfStyle w:evenVBand="false" w:oddVBand="true" w:firstColumn="false"/>
            <w:tcW w:w="25.000000%" w:type="pct"/>
          </w:tcPr>
          <w:p>
            <w:pPr>
              <w:ind w:leftChars="0" w:left="0" w:right="0"/>
            </w:pPr>
            <w:r>
              <w:t>MTSG</w:t>
            </w:r>
          </w:p>
        </w:tc>
        <w:tc>
          <w:tcPr>
            <w:cnfStyle w:evenVBand="true" w:oddVBand="false" w:firstColumn="false"/>
            <w:tcW w:w="25.000000%" w:type="pct"/>
          </w:tcPr>
          <w:p>
            <w:pPr>
              <w:ind w:leftChars="0" w:left="0" w:right="0"/>
            </w:pPr>
            <w:r>
              <w:t>MTSG</w:t>
            </w:r>
          </w:p>
        </w:tc>
        <w:tc>
          <w:tcPr>
            <w:cnfStyle w:evenVBand="false" w:oddVBand="true" w:firstColumn="false"/>
            <w:tcW w:w="25.000000%" w:type="pct"/>
          </w:tcPr>
          <w:p>
            <w:pPr>
              <w:ind w:leftChars="0" w:left="0" w:right="0"/>
            </w:pPr>
            <w:r>
              <w:t>MTS GREECE</w:t>
            </w:r>
          </w:p>
        </w:tc>
        <w:tc>
          <w:tcPr>
            <w:cnfStyle w:evenVBand="true" w:oddVBand="false" w:firstColumn="false"/>
            <w:tcW w:w="25.000000%" w:type="pct"/>
          </w:tcPr>
          <w:p>
            <w:pPr>
              <w:ind w:leftChars="0" w:left="0" w:right="0"/>
            </w:pPr>
            <w:r>
              <w:t>1253</w:t>
            </w:r>
          </w:p>
        </w:tc>
      </w:tr>
      <w:tr>
        <w:trPr>
          <w:cnfStyle w:evenHBand="false" w:oddHBand="true" w:firstRow="false"/>
        </w:trPr>
        <w:tc>
          <w:tcPr>
            <w:cnfStyle w:evenVBand="false" w:oddVBand="true" w:firstColumn="false"/>
            <w:tcW w:w="25.000000%" w:type="pct"/>
          </w:tcPr>
          <w:p>
            <w:pPr>
              <w:ind w:leftChars="0" w:left="0" w:right="0"/>
            </w:pPr>
            <w:r>
              <w:t>MTSM</w:t>
            </w:r>
          </w:p>
        </w:tc>
        <w:tc>
          <w:tcPr>
            <w:cnfStyle w:evenVBand="true" w:oddVBand="false" w:firstColumn="false"/>
            <w:tcW w:w="25.000000%" w:type="pct"/>
          </w:tcPr>
          <w:p>
            <w:pPr>
              <w:ind w:leftChars="0" w:left="0" w:right="0"/>
            </w:pPr>
            <w:r>
              <w:t>MTSM</w:t>
            </w:r>
          </w:p>
        </w:tc>
        <w:tc>
          <w:tcPr>
            <w:cnfStyle w:evenVBand="false" w:oddVBand="true" w:firstColumn="false"/>
            <w:tcW w:w="25.000000%" w:type="pct"/>
          </w:tcPr>
          <w:p>
            <w:pPr>
              <w:ind w:leftChars="0" w:left="0" w:right="0"/>
            </w:pPr>
            <w:r>
              <w:t>MTS CORPORATE MARKET</w:t>
            </w:r>
          </w:p>
        </w:tc>
        <w:tc>
          <w:tcPr>
            <w:cnfStyle w:evenVBand="true" w:oddVBand="false" w:firstColumn="false"/>
            <w:tcW w:w="25.000000%" w:type="pct"/>
          </w:tcPr>
          <w:p>
            <w:pPr>
              <w:ind w:leftChars="0" w:left="0" w:right="0"/>
            </w:pPr>
            <w:r>
              <w:t>1254</w:t>
            </w:r>
          </w:p>
        </w:tc>
      </w:tr>
      <w:tr>
        <w:trPr>
          <w:cnfStyle w:evenHBand="true" w:oddHBand="false" w:firstRow="false"/>
        </w:trPr>
        <w:tc>
          <w:tcPr>
            <w:cnfStyle w:evenVBand="false" w:oddVBand="true" w:firstColumn="false"/>
            <w:tcW w:w="25.000000%" w:type="pct"/>
          </w:tcPr>
          <w:p>
            <w:pPr>
              <w:ind w:leftChars="0" w:left="0" w:right="0"/>
            </w:pPr>
            <w:r>
              <w:t>MTSO</w:t>
            </w:r>
          </w:p>
        </w:tc>
        <w:tc>
          <w:tcPr>
            <w:cnfStyle w:evenVBand="true" w:oddVBand="false" w:firstColumn="false"/>
            <w:tcW w:w="25.000000%" w:type="pct"/>
          </w:tcPr>
          <w:p>
            <w:pPr>
              <w:ind w:leftChars="0" w:left="0" w:right="0"/>
            </w:pPr>
            <w:r>
              <w:t>MTSO</w:t>
            </w:r>
          </w:p>
        </w:tc>
        <w:tc>
          <w:tcPr>
            <w:cnfStyle w:evenVBand="false" w:oddVBand="true" w:firstColumn="false"/>
            <w:tcW w:w="25.000000%" w:type="pct"/>
          </w:tcPr>
          <w:p>
            <w:pPr>
              <w:ind w:leftChars="0" w:left="0" w:right="0"/>
            </w:pPr>
            <w:r>
              <w:t>MTS S.P.A.</w:t>
            </w:r>
          </w:p>
        </w:tc>
        <w:tc>
          <w:tcPr>
            <w:cnfStyle w:evenVBand="true" w:oddVBand="false" w:firstColumn="false"/>
            <w:tcW w:w="25.000000%" w:type="pct"/>
          </w:tcPr>
          <w:p>
            <w:pPr>
              <w:ind w:leftChars="0" w:left="0" w:right="0"/>
            </w:pPr>
            <w:r>
              <w:t>1255</w:t>
            </w:r>
          </w:p>
        </w:tc>
      </w:tr>
      <w:tr>
        <w:trPr>
          <w:cnfStyle w:evenHBand="false" w:oddHBand="true" w:firstRow="false"/>
        </w:trPr>
        <w:tc>
          <w:tcPr>
            <w:cnfStyle w:evenVBand="false" w:oddVBand="true" w:firstColumn="false"/>
            <w:tcW w:w="25.000000%" w:type="pct"/>
          </w:tcPr>
          <w:p>
            <w:pPr>
              <w:ind w:leftChars="0" w:left="0" w:right="0"/>
            </w:pPr>
            <w:r>
              <w:t>MTSP</w:t>
            </w:r>
          </w:p>
        </w:tc>
        <w:tc>
          <w:tcPr>
            <w:cnfStyle w:evenVBand="true" w:oddVBand="false" w:firstColumn="false"/>
            <w:tcW w:w="25.000000%" w:type="pct"/>
          </w:tcPr>
          <w:p>
            <w:pPr>
              <w:ind w:leftChars="0" w:left="0" w:right="0"/>
            </w:pPr>
            <w:r>
              <w:t>MTSP</w:t>
            </w:r>
          </w:p>
        </w:tc>
        <w:tc>
          <w:tcPr>
            <w:cnfStyle w:evenVBand="false" w:oddVBand="true" w:firstColumn="false"/>
            <w:tcW w:w="25.000000%" w:type="pct"/>
          </w:tcPr>
          <w:p>
            <w:pPr>
              <w:ind w:leftChars="0" w:left="0" w:right="0"/>
            </w:pPr>
            <w:r>
              <w:t>MTS POLAND</w:t>
            </w:r>
          </w:p>
        </w:tc>
        <w:tc>
          <w:tcPr>
            <w:cnfStyle w:evenVBand="true" w:oddVBand="false" w:firstColumn="false"/>
            <w:tcW w:w="25.000000%" w:type="pct"/>
          </w:tcPr>
          <w:p>
            <w:pPr>
              <w:ind w:leftChars="0" w:left="0" w:right="0"/>
            </w:pPr>
            <w:r>
              <w:t>1256</w:t>
            </w:r>
          </w:p>
        </w:tc>
      </w:tr>
      <w:tr>
        <w:trPr>
          <w:cnfStyle w:evenHBand="true" w:oddHBand="false" w:firstRow="false"/>
        </w:trPr>
        <w:tc>
          <w:tcPr>
            <w:cnfStyle w:evenVBand="false" w:oddVBand="true" w:firstColumn="false"/>
            <w:tcW w:w="25.000000%" w:type="pct"/>
          </w:tcPr>
          <w:p>
            <w:pPr>
              <w:ind w:leftChars="0" w:left="0" w:right="0"/>
            </w:pPr>
            <w:r>
              <w:t>MTSS</w:t>
            </w:r>
          </w:p>
        </w:tc>
        <w:tc>
          <w:tcPr>
            <w:cnfStyle w:evenVBand="true" w:oddVBand="false" w:firstColumn="false"/>
            <w:tcW w:w="25.000000%" w:type="pct"/>
          </w:tcPr>
          <w:p>
            <w:pPr>
              <w:ind w:leftChars="0" w:left="0" w:right="0"/>
            </w:pPr>
            <w:r>
              <w:t>MTSS</w:t>
            </w:r>
          </w:p>
        </w:tc>
        <w:tc>
          <w:tcPr>
            <w:cnfStyle w:evenVBand="false" w:oddVBand="true" w:firstColumn="false"/>
            <w:tcW w:w="25.000000%" w:type="pct"/>
          </w:tcPr>
          <w:p>
            <w:pPr>
              <w:ind w:leftChars="0" w:left="0" w:right="0"/>
            </w:pPr>
            <w:r>
              <w:t>MTS INTERDEALER SWAPS MARKET</w:t>
            </w:r>
          </w:p>
        </w:tc>
        <w:tc>
          <w:tcPr>
            <w:cnfStyle w:evenVBand="true" w:oddVBand="false" w:firstColumn="false"/>
            <w:tcW w:w="25.000000%" w:type="pct"/>
          </w:tcPr>
          <w:p>
            <w:pPr>
              <w:ind w:leftChars="0" w:left="0" w:right="0"/>
            </w:pPr>
            <w:r>
              <w:t>1257</w:t>
            </w:r>
          </w:p>
        </w:tc>
      </w:tr>
      <w:tr>
        <w:trPr>
          <w:cnfStyle w:evenHBand="false" w:oddHBand="true" w:firstRow="false"/>
        </w:trPr>
        <w:tc>
          <w:tcPr>
            <w:cnfStyle w:evenVBand="false" w:oddVBand="true" w:firstColumn="false"/>
            <w:tcW w:w="25.000000%" w:type="pct"/>
          </w:tcPr>
          <w:p>
            <w:pPr>
              <w:ind w:leftChars="0" w:left="0" w:right="0"/>
            </w:pPr>
            <w:r>
              <w:t>MTSW</w:t>
            </w:r>
          </w:p>
        </w:tc>
        <w:tc>
          <w:tcPr>
            <w:cnfStyle w:evenVBand="true" w:oddVBand="false" w:firstColumn="false"/>
            <w:tcW w:w="25.000000%" w:type="pct"/>
          </w:tcPr>
          <w:p>
            <w:pPr>
              <w:ind w:leftChars="0" w:left="0" w:right="0"/>
            </w:pPr>
            <w:r>
              <w:t>MTSW</w:t>
            </w:r>
          </w:p>
        </w:tc>
        <w:tc>
          <w:tcPr>
            <w:cnfStyle w:evenVBand="false" w:oddVBand="true" w:firstColumn="false"/>
            <w:tcW w:w="25.000000%" w:type="pct"/>
          </w:tcPr>
          <w:p>
            <w:pPr>
              <w:ind w:leftChars="0" w:left="0" w:right="0"/>
            </w:pPr>
            <w:r>
              <w:t>MTS SWAP MARKET</w:t>
            </w:r>
          </w:p>
        </w:tc>
        <w:tc>
          <w:tcPr>
            <w:cnfStyle w:evenVBand="true" w:oddVBand="false" w:firstColumn="false"/>
            <w:tcW w:w="25.000000%" w:type="pct"/>
          </w:tcPr>
          <w:p>
            <w:pPr>
              <w:ind w:leftChars="0" w:left="0" w:right="0"/>
            </w:pPr>
            <w:r>
              <w:t>1258</w:t>
            </w:r>
          </w:p>
        </w:tc>
      </w:tr>
      <w:tr>
        <w:trPr>
          <w:cnfStyle w:evenHBand="true" w:oddHBand="false" w:firstRow="false"/>
        </w:trPr>
        <w:tc>
          <w:tcPr>
            <w:cnfStyle w:evenVBand="false" w:oddVBand="true" w:firstColumn="false"/>
            <w:tcW w:w="25.000000%" w:type="pct"/>
          </w:tcPr>
          <w:p>
            <w:pPr>
              <w:ind w:leftChars="0" w:left="0" w:right="0"/>
            </w:pPr>
            <w:r>
              <w:t>MTUS</w:t>
            </w:r>
          </w:p>
        </w:tc>
        <w:tc>
          <w:tcPr>
            <w:cnfStyle w:evenVBand="true" w:oddVBand="false" w:firstColumn="false"/>
            <w:tcW w:w="25.000000%" w:type="pct"/>
          </w:tcPr>
          <w:p>
            <w:pPr>
              <w:ind w:leftChars="0" w:left="0" w:right="0"/>
            </w:pPr>
            <w:r>
              <w:t>MTUS</w:t>
            </w:r>
          </w:p>
        </w:tc>
        <w:tc>
          <w:tcPr>
            <w:cnfStyle w:evenVBand="false" w:oddVBand="true" w:firstColumn="false"/>
            <w:tcW w:w="25.000000%" w:type="pct"/>
          </w:tcPr>
          <w:p>
            <w:pPr>
              <w:ind w:leftChars="0" w:left="0" w:right="0"/>
            </w:pPr>
            <w:r>
              <w:t>MTS MARKETS INTERNATIONAL INC.</w:t>
            </w:r>
          </w:p>
        </w:tc>
        <w:tc>
          <w:tcPr>
            <w:cnfStyle w:evenVBand="true" w:oddVBand="false" w:firstColumn="false"/>
            <w:tcW w:w="25.000000%" w:type="pct"/>
          </w:tcPr>
          <w:p>
            <w:pPr>
              <w:ind w:leftChars="0" w:left="0" w:right="0"/>
            </w:pPr>
            <w:r>
              <w:t>1259</w:t>
            </w:r>
          </w:p>
        </w:tc>
      </w:tr>
      <w:tr>
        <w:trPr>
          <w:cnfStyle w:evenHBand="false" w:oddHBand="true" w:firstRow="false"/>
        </w:trPr>
        <w:tc>
          <w:tcPr>
            <w:cnfStyle w:evenVBand="false" w:oddVBand="true" w:firstColumn="false"/>
            <w:tcW w:w="25.000000%" w:type="pct"/>
          </w:tcPr>
          <w:p>
            <w:pPr>
              <w:ind w:leftChars="0" w:left="0" w:right="0"/>
            </w:pPr>
            <w:r>
              <w:t>MTXA</w:t>
            </w:r>
          </w:p>
        </w:tc>
        <w:tc>
          <w:tcPr>
            <w:cnfStyle w:evenVBand="true" w:oddVBand="false" w:firstColumn="false"/>
            <w:tcW w:w="25.000000%" w:type="pct"/>
          </w:tcPr>
          <w:p>
            <w:pPr>
              <w:ind w:leftChars="0" w:left="0" w:right="0"/>
            </w:pPr>
            <w:r>
              <w:t>MTXA</w:t>
            </w:r>
          </w:p>
        </w:tc>
        <w:tc>
          <w:tcPr>
            <w:cnfStyle w:evenVBand="false" w:oddVBand="true" w:firstColumn="false"/>
            <w:tcW w:w="25.000000%" w:type="pct"/>
          </w:tcPr>
          <w:p>
            <w:pPr>
              <w:ind w:leftChars="0" w:left="0" w:right="0"/>
            </w:pPr>
            <w:r>
              <w:t>MARKETAXESS CANADA COMPANY</w:t>
            </w:r>
          </w:p>
        </w:tc>
        <w:tc>
          <w:tcPr>
            <w:cnfStyle w:evenVBand="true" w:oddVBand="false" w:firstColumn="false"/>
            <w:tcW w:w="25.000000%" w:type="pct"/>
          </w:tcPr>
          <w:p>
            <w:pPr>
              <w:ind w:leftChars="0" w:left="0" w:right="0"/>
            </w:pPr>
            <w:r>
              <w:t>1260</w:t>
            </w:r>
          </w:p>
        </w:tc>
      </w:tr>
      <w:tr>
        <w:trPr>
          <w:cnfStyle w:evenHBand="true" w:oddHBand="false" w:firstRow="false"/>
        </w:trPr>
        <w:tc>
          <w:tcPr>
            <w:cnfStyle w:evenVBand="false" w:oddVBand="true" w:firstColumn="false"/>
            <w:tcW w:w="25.000000%" w:type="pct"/>
          </w:tcPr>
          <w:p>
            <w:pPr>
              <w:ind w:leftChars="0" w:left="0" w:right="0"/>
            </w:pPr>
            <w:r>
              <w:t>MTXC</w:t>
            </w:r>
          </w:p>
        </w:tc>
        <w:tc>
          <w:tcPr>
            <w:cnfStyle w:evenVBand="true" w:oddVBand="false" w:firstColumn="false"/>
            <w:tcW w:w="25.000000%" w:type="pct"/>
          </w:tcPr>
          <w:p>
            <w:pPr>
              <w:ind w:leftChars="0" w:left="0" w:right="0"/>
            </w:pPr>
            <w:r>
              <w:t>MTXC</w:t>
            </w:r>
          </w:p>
        </w:tc>
        <w:tc>
          <w:tcPr>
            <w:cnfStyle w:evenVBand="false" w:oddVBand="true" w:firstColumn="false"/>
            <w:tcW w:w="25.000000%" w:type="pct"/>
          </w:tcPr>
          <w:p>
            <w:pPr>
              <w:ind w:leftChars="0" w:left="0" w:right="0"/>
            </w:pPr>
            <w:r>
              <w:t>MARKETAXESS CORPORATION SINGLE-NAME CDS CENTRAL LIMIT ORDER</w:t>
            </w:r>
          </w:p>
        </w:tc>
        <w:tc>
          <w:tcPr>
            <w:cnfStyle w:evenVBand="true" w:oddVBand="false" w:firstColumn="false"/>
            <w:tcW w:w="25.000000%" w:type="pct"/>
          </w:tcPr>
          <w:p>
            <w:pPr>
              <w:ind w:leftChars="0" w:left="0" w:right="0"/>
            </w:pPr>
            <w:r>
              <w:t>1261</w:t>
            </w:r>
          </w:p>
        </w:tc>
      </w:tr>
      <w:tr>
        <w:trPr>
          <w:cnfStyle w:evenHBand="false" w:oddHBand="true" w:firstRow="false"/>
        </w:trPr>
        <w:tc>
          <w:tcPr>
            <w:cnfStyle w:evenVBand="false" w:oddVBand="true" w:firstColumn="false"/>
            <w:tcW w:w="25.000000%" w:type="pct"/>
          </w:tcPr>
          <w:p>
            <w:pPr>
              <w:ind w:leftChars="0" w:left="0" w:right="0"/>
            </w:pPr>
            <w:r>
              <w:t>MTXM</w:t>
            </w:r>
          </w:p>
        </w:tc>
        <w:tc>
          <w:tcPr>
            <w:cnfStyle w:evenVBand="true" w:oddVBand="false" w:firstColumn="false"/>
            <w:tcW w:w="25.000000%" w:type="pct"/>
          </w:tcPr>
          <w:p>
            <w:pPr>
              <w:ind w:leftChars="0" w:left="0" w:right="0"/>
            </w:pPr>
            <w:r>
              <w:t>MTXM</w:t>
            </w:r>
          </w:p>
        </w:tc>
        <w:tc>
          <w:tcPr>
            <w:cnfStyle w:evenVBand="false" w:oddVBand="true" w:firstColumn="false"/>
            <w:tcW w:w="25.000000%" w:type="pct"/>
          </w:tcPr>
          <w:p>
            <w:pPr>
              <w:ind w:leftChars="0" w:left="0" w:right="0"/>
            </w:pPr>
            <w:r>
              <w:t>MARKETAXESS CORPORATION MID-X TRADING SYSTEM</w:t>
            </w:r>
          </w:p>
        </w:tc>
        <w:tc>
          <w:tcPr>
            <w:cnfStyle w:evenVBand="true" w:oddVBand="false" w:firstColumn="false"/>
            <w:tcW w:w="25.000000%" w:type="pct"/>
          </w:tcPr>
          <w:p>
            <w:pPr>
              <w:ind w:leftChars="0" w:left="0" w:right="0"/>
            </w:pPr>
            <w:r>
              <w:t>1262</w:t>
            </w:r>
          </w:p>
        </w:tc>
      </w:tr>
      <w:tr>
        <w:trPr>
          <w:cnfStyle w:evenHBand="true" w:oddHBand="false" w:firstRow="false"/>
        </w:trPr>
        <w:tc>
          <w:tcPr>
            <w:cnfStyle w:evenVBand="false" w:oddVBand="true" w:firstColumn="false"/>
            <w:tcW w:w="25.000000%" w:type="pct"/>
          </w:tcPr>
          <w:p>
            <w:pPr>
              <w:ind w:leftChars="0" w:left="0" w:right="0"/>
            </w:pPr>
            <w:r>
              <w:t>MTXS</w:t>
            </w:r>
          </w:p>
        </w:tc>
        <w:tc>
          <w:tcPr>
            <w:cnfStyle w:evenVBand="true" w:oddVBand="false" w:firstColumn="false"/>
            <w:tcW w:w="25.000000%" w:type="pct"/>
          </w:tcPr>
          <w:p>
            <w:pPr>
              <w:ind w:leftChars="0" w:left="0" w:right="0"/>
            </w:pPr>
            <w:r>
              <w:t>MTXS</w:t>
            </w:r>
          </w:p>
        </w:tc>
        <w:tc>
          <w:tcPr>
            <w:cnfStyle w:evenVBand="false" w:oddVBand="true" w:firstColumn="false"/>
            <w:tcW w:w="25.000000%" w:type="pct"/>
          </w:tcPr>
          <w:p>
            <w:pPr>
              <w:ind w:leftChars="0" w:left="0" w:right="0"/>
            </w:pPr>
            <w:r>
              <w:t>MARKETAXESS SEF CORPORATION</w:t>
            </w:r>
          </w:p>
        </w:tc>
        <w:tc>
          <w:tcPr>
            <w:cnfStyle w:evenVBand="true" w:oddVBand="false" w:firstColumn="false"/>
            <w:tcW w:w="25.000000%" w:type="pct"/>
          </w:tcPr>
          <w:p>
            <w:pPr>
              <w:ind w:leftChars="0" w:left="0" w:right="0"/>
            </w:pPr>
            <w:r>
              <w:t>1263</w:t>
            </w:r>
          </w:p>
        </w:tc>
      </w:tr>
      <w:tr>
        <w:trPr>
          <w:cnfStyle w:evenHBand="false" w:oddHBand="true" w:firstRow="false"/>
        </w:trPr>
        <w:tc>
          <w:tcPr>
            <w:cnfStyle w:evenVBand="false" w:oddVBand="true" w:firstColumn="false"/>
            <w:tcW w:w="25.000000%" w:type="pct"/>
          </w:tcPr>
          <w:p>
            <w:pPr>
              <w:ind w:leftChars="0" w:left="0" w:right="0"/>
            </w:pPr>
            <w:r>
              <w:t>MTXX</w:t>
            </w:r>
          </w:p>
        </w:tc>
        <w:tc>
          <w:tcPr>
            <w:cnfStyle w:evenVBand="true" w:oddVBand="false" w:firstColumn="false"/>
            <w:tcW w:w="25.000000%" w:type="pct"/>
          </w:tcPr>
          <w:p>
            <w:pPr>
              <w:ind w:leftChars="0" w:left="0" w:right="0"/>
            </w:pPr>
            <w:r>
              <w:t>MTXX</w:t>
            </w:r>
          </w:p>
        </w:tc>
        <w:tc>
          <w:tcPr>
            <w:cnfStyle w:evenVBand="false" w:oddVBand="true" w:firstColumn="false"/>
            <w:tcW w:w="25.000000%" w:type="pct"/>
          </w:tcPr>
          <w:p>
            <w:pPr>
              <w:ind w:leftChars="0" w:left="0" w:right="0"/>
            </w:pPr>
            <w:r>
              <w:t>MARKETAXESS CORPORATION</w:t>
            </w:r>
          </w:p>
        </w:tc>
        <w:tc>
          <w:tcPr>
            <w:cnfStyle w:evenVBand="true" w:oddVBand="false" w:firstColumn="false"/>
            <w:tcW w:w="25.000000%" w:type="pct"/>
          </w:tcPr>
          <w:p>
            <w:pPr>
              <w:ind w:leftChars="0" w:left="0" w:right="0"/>
            </w:pPr>
            <w:r>
              <w:t>1264</w:t>
            </w:r>
          </w:p>
        </w:tc>
      </w:tr>
      <w:tr>
        <w:trPr>
          <w:cnfStyle w:evenHBand="true" w:oddHBand="false" w:firstRow="false"/>
        </w:trPr>
        <w:tc>
          <w:tcPr>
            <w:cnfStyle w:evenVBand="false" w:oddVBand="true" w:firstColumn="false"/>
            <w:tcW w:w="25.000000%" w:type="pct"/>
          </w:tcPr>
          <w:p>
            <w:pPr>
              <w:ind w:leftChars="0" w:left="0" w:right="0"/>
            </w:pPr>
            <w:r>
              <w:t>MUBE</w:t>
            </w:r>
          </w:p>
        </w:tc>
        <w:tc>
          <w:tcPr>
            <w:cnfStyle w:evenVBand="true" w:oddVBand="false" w:firstColumn="false"/>
            <w:tcW w:w="25.000000%" w:type="pct"/>
          </w:tcPr>
          <w:p>
            <w:pPr>
              <w:ind w:leftChars="0" w:left="0" w:right="0"/>
            </w:pPr>
            <w:r>
              <w:t>MUBE</w:t>
            </w:r>
          </w:p>
        </w:tc>
        <w:tc>
          <w:tcPr>
            <w:cnfStyle w:evenVBand="false" w:oddVBand="true" w:firstColumn="false"/>
            <w:tcW w:w="25.000000%" w:type="pct"/>
          </w:tcPr>
          <w:p>
            <w:pPr>
              <w:ind w:leftChars="0" w:left="0" w:right="0"/>
            </w:pPr>
            <w:r>
              <w:t>MUFG BANK (EUROPE) N.V. - SYSTEMATIC INTERNALISER</w:t>
            </w:r>
          </w:p>
        </w:tc>
        <w:tc>
          <w:tcPr>
            <w:cnfStyle w:evenVBand="true" w:oddVBand="false" w:firstColumn="false"/>
            <w:tcW w:w="25.000000%" w:type="pct"/>
          </w:tcPr>
          <w:p>
            <w:pPr>
              <w:ind w:leftChars="0" w:left="0" w:right="0"/>
            </w:pPr>
            <w:r>
              <w:t>1265</w:t>
            </w:r>
          </w:p>
        </w:tc>
      </w:tr>
      <w:tr>
        <w:trPr>
          <w:cnfStyle w:evenHBand="false" w:oddHBand="true" w:firstRow="false"/>
        </w:trPr>
        <w:tc>
          <w:tcPr>
            <w:cnfStyle w:evenVBand="false" w:oddVBand="true" w:firstColumn="false"/>
            <w:tcW w:w="25.000000%" w:type="pct"/>
          </w:tcPr>
          <w:p>
            <w:pPr>
              <w:ind w:leftChars="0" w:left="0" w:right="0"/>
            </w:pPr>
            <w:r>
              <w:t>MUBL</w:t>
            </w:r>
          </w:p>
        </w:tc>
        <w:tc>
          <w:tcPr>
            <w:cnfStyle w:evenVBand="true" w:oddVBand="false" w:firstColumn="false"/>
            <w:tcW w:w="25.000000%" w:type="pct"/>
          </w:tcPr>
          <w:p>
            <w:pPr>
              <w:ind w:leftChars="0" w:left="0" w:right="0"/>
            </w:pPr>
            <w:r>
              <w:t>MUBL</w:t>
            </w:r>
          </w:p>
        </w:tc>
        <w:tc>
          <w:tcPr>
            <w:cnfStyle w:evenVBand="false" w:oddVBand="true" w:firstColumn="false"/>
            <w:tcW w:w="25.000000%" w:type="pct"/>
          </w:tcPr>
          <w:p>
            <w:pPr>
              <w:ind w:leftChars="0" w:left="0" w:right="0"/>
            </w:pPr>
            <w:r>
              <w:t>MUFG BANK, LTD. - LONDON BRANCH -SYSTEMATIC INTERNALISER</w:t>
            </w:r>
          </w:p>
        </w:tc>
        <w:tc>
          <w:tcPr>
            <w:cnfStyle w:evenVBand="true" w:oddVBand="false" w:firstColumn="false"/>
            <w:tcW w:w="25.000000%" w:type="pct"/>
          </w:tcPr>
          <w:p>
            <w:pPr>
              <w:ind w:leftChars="0" w:left="0" w:right="0"/>
            </w:pPr>
            <w:r>
              <w:t>1266</w:t>
            </w:r>
          </w:p>
        </w:tc>
      </w:tr>
      <w:tr>
        <w:trPr>
          <w:cnfStyle w:evenHBand="true" w:oddHBand="false" w:firstRow="false"/>
        </w:trPr>
        <w:tc>
          <w:tcPr>
            <w:cnfStyle w:evenVBand="false" w:oddVBand="true" w:firstColumn="false"/>
            <w:tcW w:w="25.000000%" w:type="pct"/>
          </w:tcPr>
          <w:p>
            <w:pPr>
              <w:ind w:leftChars="0" w:left="0" w:right="0"/>
            </w:pPr>
            <w:r>
              <w:t>MUBM</w:t>
            </w:r>
          </w:p>
        </w:tc>
        <w:tc>
          <w:tcPr>
            <w:cnfStyle w:evenVBand="true" w:oddVBand="false" w:firstColumn="false"/>
            <w:tcW w:w="25.000000%" w:type="pct"/>
          </w:tcPr>
          <w:p>
            <w:pPr>
              <w:ind w:leftChars="0" w:left="0" w:right="0"/>
            </w:pPr>
            <w:r>
              <w:t>MUBM</w:t>
            </w:r>
          </w:p>
        </w:tc>
        <w:tc>
          <w:tcPr>
            <w:cnfStyle w:evenVBand="false" w:oddVBand="true" w:firstColumn="false"/>
            <w:tcW w:w="25.000000%" w:type="pct"/>
          </w:tcPr>
          <w:p>
            <w:pPr>
              <w:ind w:leftChars="0" w:left="0" w:right="0"/>
            </w:pPr>
            <w:r>
              <w:t>MUFG BANK, LTD. - MILANO BRANCH - SYSTEMATIC INTERNALISER</w:t>
            </w:r>
          </w:p>
        </w:tc>
        <w:tc>
          <w:tcPr>
            <w:cnfStyle w:evenVBand="true" w:oddVBand="false" w:firstColumn="false"/>
            <w:tcW w:w="25.000000%" w:type="pct"/>
          </w:tcPr>
          <w:p>
            <w:pPr>
              <w:ind w:leftChars="0" w:left="0" w:right="0"/>
            </w:pPr>
            <w:r>
              <w:t>1267</w:t>
            </w:r>
          </w:p>
        </w:tc>
      </w:tr>
      <w:tr>
        <w:trPr>
          <w:cnfStyle w:evenHBand="false" w:oddHBand="true" w:firstRow="false"/>
        </w:trPr>
        <w:tc>
          <w:tcPr>
            <w:cnfStyle w:evenVBand="false" w:oddVBand="true" w:firstColumn="false"/>
            <w:tcW w:w="25.000000%" w:type="pct"/>
          </w:tcPr>
          <w:p>
            <w:pPr>
              <w:ind w:leftChars="0" w:left="0" w:right="0"/>
            </w:pPr>
            <w:r>
              <w:t>MUBP</w:t>
            </w:r>
          </w:p>
        </w:tc>
        <w:tc>
          <w:tcPr>
            <w:cnfStyle w:evenVBand="true" w:oddVBand="false" w:firstColumn="false"/>
            <w:tcW w:w="25.000000%" w:type="pct"/>
          </w:tcPr>
          <w:p>
            <w:pPr>
              <w:ind w:leftChars="0" w:left="0" w:right="0"/>
            </w:pPr>
            <w:r>
              <w:t>MUBP</w:t>
            </w:r>
          </w:p>
        </w:tc>
        <w:tc>
          <w:tcPr>
            <w:cnfStyle w:evenVBand="false" w:oddVBand="true" w:firstColumn="false"/>
            <w:tcW w:w="25.000000%" w:type="pct"/>
          </w:tcPr>
          <w:p>
            <w:pPr>
              <w:ind w:leftChars="0" w:left="0" w:right="0"/>
            </w:pPr>
            <w:r>
              <w:t>MUFG BANK, LTD. - PARIS BRANCH - SYSTEMATIC INTERNALISER</w:t>
            </w:r>
          </w:p>
        </w:tc>
        <w:tc>
          <w:tcPr>
            <w:cnfStyle w:evenVBand="true" w:oddVBand="false" w:firstColumn="false"/>
            <w:tcW w:w="25.000000%" w:type="pct"/>
          </w:tcPr>
          <w:p>
            <w:pPr>
              <w:ind w:leftChars="0" w:left="0" w:right="0"/>
            </w:pPr>
            <w:r>
              <w:t>1268</w:t>
            </w:r>
          </w:p>
        </w:tc>
      </w:tr>
      <w:tr>
        <w:trPr>
          <w:cnfStyle w:evenHBand="true" w:oddHBand="false" w:firstRow="false"/>
        </w:trPr>
        <w:tc>
          <w:tcPr>
            <w:cnfStyle w:evenVBand="false" w:oddVBand="true" w:firstColumn="false"/>
            <w:tcW w:w="25.000000%" w:type="pct"/>
          </w:tcPr>
          <w:p>
            <w:pPr>
              <w:ind w:leftChars="0" w:left="0" w:right="0"/>
            </w:pPr>
            <w:r>
              <w:t>MUDX</w:t>
            </w:r>
          </w:p>
        </w:tc>
        <w:tc>
          <w:tcPr>
            <w:cnfStyle w:evenVBand="true" w:oddVBand="false" w:firstColumn="false"/>
            <w:tcW w:w="25.000000%" w:type="pct"/>
          </w:tcPr>
          <w:p>
            <w:pPr>
              <w:ind w:leftChars="0" w:left="0" w:right="0"/>
            </w:pPr>
            <w:r>
              <w:t>MUDX</w:t>
            </w:r>
          </w:p>
        </w:tc>
        <w:tc>
          <w:tcPr>
            <w:cnfStyle w:evenVBand="false" w:oddVBand="true" w:firstColumn="false"/>
            <w:tcW w:w="25.000000%" w:type="pct"/>
          </w:tcPr>
          <w:p>
            <w:pPr>
              <w:ind w:leftChars="0" w:left="0" w:right="0"/>
            </w:pPr>
            <w:r>
              <w:t>MITSUBISHI DIAMOND CROSSING</w:t>
            </w:r>
          </w:p>
        </w:tc>
        <w:tc>
          <w:tcPr>
            <w:cnfStyle w:evenVBand="true" w:oddVBand="false" w:firstColumn="false"/>
            <w:tcW w:w="25.000000%" w:type="pct"/>
          </w:tcPr>
          <w:p>
            <w:pPr>
              <w:ind w:leftChars="0" w:left="0" w:right="0"/>
            </w:pPr>
            <w:r>
              <w:t>1269</w:t>
            </w:r>
          </w:p>
        </w:tc>
      </w:tr>
      <w:tr>
        <w:trPr>
          <w:cnfStyle w:evenHBand="false" w:oddHBand="true" w:firstRow="false"/>
        </w:trPr>
        <w:tc>
          <w:tcPr>
            <w:cnfStyle w:evenVBand="false" w:oddVBand="true" w:firstColumn="false"/>
            <w:tcW w:w="25.000000%" w:type="pct"/>
          </w:tcPr>
          <w:p>
            <w:pPr>
              <w:ind w:leftChars="0" w:left="0" w:right="0"/>
            </w:pPr>
            <w:r>
              <w:t>MUFP</w:t>
            </w:r>
          </w:p>
        </w:tc>
        <w:tc>
          <w:tcPr>
            <w:cnfStyle w:evenVBand="true" w:oddVBand="false" w:firstColumn="false"/>
            <w:tcW w:w="25.000000%" w:type="pct"/>
          </w:tcPr>
          <w:p>
            <w:pPr>
              <w:ind w:leftChars="0" w:left="0" w:right="0"/>
            </w:pPr>
            <w:r>
              <w:t>MUFP</w:t>
            </w:r>
          </w:p>
        </w:tc>
        <w:tc>
          <w:tcPr>
            <w:cnfStyle w:evenVBand="false" w:oddVBand="true" w:firstColumn="false"/>
            <w:tcW w:w="25.000000%" w:type="pct"/>
          </w:tcPr>
          <w:p>
            <w:pPr>
              <w:ind w:leftChars="0" w:left="0" w:right="0"/>
            </w:pPr>
            <w:r>
              <w:t>MARIANA UFP LLP</w:t>
            </w:r>
          </w:p>
        </w:tc>
        <w:tc>
          <w:tcPr>
            <w:cnfStyle w:evenVBand="true" w:oddVBand="false" w:firstColumn="false"/>
            <w:tcW w:w="25.000000%" w:type="pct"/>
          </w:tcPr>
          <w:p>
            <w:pPr>
              <w:ind w:leftChars="0" w:left="0" w:right="0"/>
            </w:pPr>
            <w:r>
              <w:t>1270</w:t>
            </w:r>
          </w:p>
        </w:tc>
      </w:tr>
      <w:tr>
        <w:trPr>
          <w:cnfStyle w:evenHBand="true" w:oddHBand="false" w:firstRow="false"/>
        </w:trPr>
        <w:tc>
          <w:tcPr>
            <w:cnfStyle w:evenVBand="false" w:oddVBand="true" w:firstColumn="false"/>
            <w:tcW w:w="25.000000%" w:type="pct"/>
          </w:tcPr>
          <w:p>
            <w:pPr>
              <w:ind w:leftChars="0" w:left="0" w:right="0"/>
            </w:pPr>
            <w:r>
              <w:t>MUNA</w:t>
            </w:r>
          </w:p>
        </w:tc>
        <w:tc>
          <w:tcPr>
            <w:cnfStyle w:evenVBand="true" w:oddVBand="false" w:firstColumn="false"/>
            <w:tcW w:w="25.000000%" w:type="pct"/>
          </w:tcPr>
          <w:p>
            <w:pPr>
              <w:ind w:leftChars="0" w:left="0" w:right="0"/>
            </w:pPr>
            <w:r>
              <w:t>MUNA</w:t>
            </w:r>
          </w:p>
        </w:tc>
        <w:tc>
          <w:tcPr>
            <w:cnfStyle w:evenVBand="false" w:oddVBand="true" w:firstColumn="false"/>
            <w:tcW w:w="25.000000%" w:type="pct"/>
          </w:tcPr>
          <w:p>
            <w:pPr>
              <w:ind w:leftChars="0" w:left="0" w:right="0"/>
            </w:pPr>
            <w:r>
              <w:t>BOERSE MUENCHEN - REGULIERTER MARKT</w:t>
            </w:r>
          </w:p>
        </w:tc>
        <w:tc>
          <w:tcPr>
            <w:cnfStyle w:evenVBand="true" w:oddVBand="false" w:firstColumn="false"/>
            <w:tcW w:w="25.000000%" w:type="pct"/>
          </w:tcPr>
          <w:p>
            <w:pPr>
              <w:ind w:leftChars="0" w:left="0" w:right="0"/>
            </w:pPr>
            <w:r>
              <w:t>1271</w:t>
            </w:r>
          </w:p>
        </w:tc>
      </w:tr>
      <w:tr>
        <w:trPr>
          <w:cnfStyle w:evenHBand="false" w:oddHBand="true" w:firstRow="false"/>
        </w:trPr>
        <w:tc>
          <w:tcPr>
            <w:cnfStyle w:evenVBand="false" w:oddVBand="true" w:firstColumn="false"/>
            <w:tcW w:w="25.000000%" w:type="pct"/>
          </w:tcPr>
          <w:p>
            <w:pPr>
              <w:ind w:leftChars="0" w:left="0" w:right="0"/>
            </w:pPr>
            <w:r>
              <w:t>MUNB</w:t>
            </w:r>
          </w:p>
        </w:tc>
        <w:tc>
          <w:tcPr>
            <w:cnfStyle w:evenVBand="true" w:oddVBand="false" w:firstColumn="false"/>
            <w:tcW w:w="25.000000%" w:type="pct"/>
          </w:tcPr>
          <w:p>
            <w:pPr>
              <w:ind w:leftChars="0" w:left="0" w:right="0"/>
            </w:pPr>
            <w:r>
              <w:t>MUNB</w:t>
            </w:r>
          </w:p>
        </w:tc>
        <w:tc>
          <w:tcPr>
            <w:cnfStyle w:evenVBand="false" w:oddVBand="true" w:firstColumn="false"/>
            <w:tcW w:w="25.000000%" w:type="pct"/>
          </w:tcPr>
          <w:p>
            <w:pPr>
              <w:ind w:leftChars="0" w:left="0" w:right="0"/>
            </w:pPr>
            <w:r>
              <w:t>BOERSE MUENCHEN - FREIVERKEHR</w:t>
            </w:r>
          </w:p>
        </w:tc>
        <w:tc>
          <w:tcPr>
            <w:cnfStyle w:evenVBand="true" w:oddVBand="false" w:firstColumn="false"/>
            <w:tcW w:w="25.000000%" w:type="pct"/>
          </w:tcPr>
          <w:p>
            <w:pPr>
              <w:ind w:leftChars="0" w:left="0" w:right="0"/>
            </w:pPr>
            <w:r>
              <w:t>1272</w:t>
            </w:r>
          </w:p>
        </w:tc>
      </w:tr>
      <w:tr>
        <w:trPr>
          <w:cnfStyle w:evenHBand="true" w:oddHBand="false" w:firstRow="false"/>
        </w:trPr>
        <w:tc>
          <w:tcPr>
            <w:cnfStyle w:evenVBand="false" w:oddVBand="true" w:firstColumn="false"/>
            <w:tcW w:w="25.000000%" w:type="pct"/>
          </w:tcPr>
          <w:p>
            <w:pPr>
              <w:ind w:leftChars="0" w:left="0" w:right="0"/>
            </w:pPr>
            <w:r>
              <w:t>MUNC</w:t>
            </w:r>
          </w:p>
        </w:tc>
        <w:tc>
          <w:tcPr>
            <w:cnfStyle w:evenVBand="true" w:oddVBand="false" w:firstColumn="false"/>
            <w:tcW w:w="25.000000%" w:type="pct"/>
          </w:tcPr>
          <w:p>
            <w:pPr>
              <w:ind w:leftChars="0" w:left="0" w:right="0"/>
            </w:pPr>
            <w:r>
              <w:t>MUNC</w:t>
            </w:r>
          </w:p>
        </w:tc>
        <w:tc>
          <w:tcPr>
            <w:cnfStyle w:evenVBand="false" w:oddVBand="true" w:firstColumn="false"/>
            <w:tcW w:w="25.000000%" w:type="pct"/>
          </w:tcPr>
          <w:p>
            <w:pPr>
              <w:ind w:leftChars="0" w:left="0" w:right="0"/>
            </w:pPr>
            <w:r>
              <w:t>BOERSE MUENCHEN - GETTEX - REGULIERTER MARKT</w:t>
            </w:r>
          </w:p>
        </w:tc>
        <w:tc>
          <w:tcPr>
            <w:cnfStyle w:evenVBand="true" w:oddVBand="false" w:firstColumn="false"/>
            <w:tcW w:w="25.000000%" w:type="pct"/>
          </w:tcPr>
          <w:p>
            <w:pPr>
              <w:ind w:leftChars="0" w:left="0" w:right="0"/>
            </w:pPr>
            <w:r>
              <w:t>1273</w:t>
            </w:r>
          </w:p>
        </w:tc>
      </w:tr>
      <w:tr>
        <w:trPr>
          <w:cnfStyle w:evenHBand="false" w:oddHBand="true" w:firstRow="false"/>
        </w:trPr>
        <w:tc>
          <w:tcPr>
            <w:cnfStyle w:evenVBand="false" w:oddVBand="true" w:firstColumn="false"/>
            <w:tcW w:w="25.000000%" w:type="pct"/>
          </w:tcPr>
          <w:p>
            <w:pPr>
              <w:ind w:leftChars="0" w:left="0" w:right="0"/>
            </w:pPr>
            <w:r>
              <w:t>MUND</w:t>
            </w:r>
          </w:p>
        </w:tc>
        <w:tc>
          <w:tcPr>
            <w:cnfStyle w:evenVBand="true" w:oddVBand="false" w:firstColumn="false"/>
            <w:tcW w:w="25.000000%" w:type="pct"/>
          </w:tcPr>
          <w:p>
            <w:pPr>
              <w:ind w:leftChars="0" w:left="0" w:right="0"/>
            </w:pPr>
            <w:r>
              <w:t>MUND</w:t>
            </w:r>
          </w:p>
        </w:tc>
        <w:tc>
          <w:tcPr>
            <w:cnfStyle w:evenVBand="false" w:oddVBand="true" w:firstColumn="false"/>
            <w:tcW w:w="25.000000%" w:type="pct"/>
          </w:tcPr>
          <w:p>
            <w:pPr>
              <w:ind w:leftChars="0" w:left="0" w:right="0"/>
            </w:pPr>
            <w:r>
              <w:t>BOERSE MUENCHEN - GETTEX - FREIVERKEHR</w:t>
            </w:r>
          </w:p>
        </w:tc>
        <w:tc>
          <w:tcPr>
            <w:cnfStyle w:evenVBand="true" w:oddVBand="false" w:firstColumn="false"/>
            <w:tcW w:w="25.000000%" w:type="pct"/>
          </w:tcPr>
          <w:p>
            <w:pPr>
              <w:ind w:leftChars="0" w:left="0" w:right="0"/>
            </w:pPr>
            <w:r>
              <w:t>1274</w:t>
            </w:r>
          </w:p>
        </w:tc>
      </w:tr>
      <w:tr>
        <w:trPr>
          <w:cnfStyle w:evenHBand="true" w:oddHBand="false" w:firstRow="false"/>
        </w:trPr>
        <w:tc>
          <w:tcPr>
            <w:cnfStyle w:evenVBand="false" w:oddVBand="true" w:firstColumn="false"/>
            <w:tcW w:w="25.000000%" w:type="pct"/>
          </w:tcPr>
          <w:p>
            <w:pPr>
              <w:ind w:leftChars="0" w:left="0" w:right="0"/>
            </w:pPr>
            <w:r>
              <w:t>MUSE</w:t>
            </w:r>
          </w:p>
        </w:tc>
        <w:tc>
          <w:tcPr>
            <w:cnfStyle w:evenVBand="true" w:oddVBand="false" w:firstColumn="false"/>
            <w:tcW w:w="25.000000%" w:type="pct"/>
          </w:tcPr>
          <w:p>
            <w:pPr>
              <w:ind w:leftChars="0" w:left="0" w:right="0"/>
            </w:pPr>
            <w:r>
              <w:t>MUSE</w:t>
            </w:r>
          </w:p>
        </w:tc>
        <w:tc>
          <w:tcPr>
            <w:cnfStyle w:evenVBand="false" w:oddVBand="true" w:firstColumn="false"/>
            <w:tcW w:w="25.000000%" w:type="pct"/>
          </w:tcPr>
          <w:p>
            <w:pPr>
              <w:ind w:leftChars="0" w:left="0" w:right="0"/>
            </w:pPr>
            <w:r>
              <w:t>MUFG SECURITIES EMEA PLC - SYSTEMATIC INTERNALISER</w:t>
            </w:r>
          </w:p>
        </w:tc>
        <w:tc>
          <w:tcPr>
            <w:cnfStyle w:evenVBand="true" w:oddVBand="false" w:firstColumn="false"/>
            <w:tcW w:w="25.000000%" w:type="pct"/>
          </w:tcPr>
          <w:p>
            <w:pPr>
              <w:ind w:leftChars="0" w:left="0" w:right="0"/>
            </w:pPr>
            <w:r>
              <w:t>1275</w:t>
            </w:r>
          </w:p>
        </w:tc>
      </w:tr>
      <w:tr>
        <w:trPr>
          <w:cnfStyle w:evenHBand="false" w:oddHBand="true" w:firstRow="false"/>
        </w:trPr>
        <w:tc>
          <w:tcPr>
            <w:cnfStyle w:evenVBand="false" w:oddVBand="true" w:firstColumn="false"/>
            <w:tcW w:w="25.000000%" w:type="pct"/>
          </w:tcPr>
          <w:p>
            <w:pPr>
              <w:ind w:leftChars="0" w:left="0" w:right="0"/>
            </w:pPr>
            <w:r>
              <w:t>MUSN</w:t>
            </w:r>
          </w:p>
        </w:tc>
        <w:tc>
          <w:tcPr>
            <w:cnfStyle w:evenVBand="true" w:oddVBand="false" w:firstColumn="false"/>
            <w:tcW w:w="25.000000%" w:type="pct"/>
          </w:tcPr>
          <w:p>
            <w:pPr>
              <w:ind w:leftChars="0" w:left="0" w:right="0"/>
            </w:pPr>
            <w:r>
              <w:t>MUSN</w:t>
            </w:r>
          </w:p>
        </w:tc>
        <w:tc>
          <w:tcPr>
            <w:cnfStyle w:evenVBand="false" w:oddVBand="true" w:firstColumn="false"/>
            <w:tcW w:w="25.000000%" w:type="pct"/>
          </w:tcPr>
          <w:p>
            <w:pPr>
              <w:ind w:leftChars="0" w:left="0" w:right="0"/>
            </w:pPr>
            <w:r>
              <w:t>MUFG SECURITIES (EUROPE) N.V -</w:t>
            </w:r>
          </w:p>
        </w:tc>
        <w:tc>
          <w:tcPr>
            <w:cnfStyle w:evenVBand="true" w:oddVBand="false" w:firstColumn="false"/>
            <w:tcW w:w="25.000000%" w:type="pct"/>
          </w:tcPr>
          <w:p>
            <w:pPr>
              <w:ind w:leftChars="0" w:left="0" w:right="0"/>
            </w:pPr>
            <w:r>
              <w:t>1276</w:t>
            </w:r>
          </w:p>
        </w:tc>
      </w:tr>
      <w:tr>
        <w:trPr>
          <w:cnfStyle w:evenHBand="true" w:oddHBand="false" w:firstRow="false"/>
        </w:trPr>
        <w:tc>
          <w:tcPr>
            <w:cnfStyle w:evenVBand="false" w:oddVBand="true" w:firstColumn="false"/>
            <w:tcW w:w="25.000000%" w:type="pct"/>
          </w:tcPr>
          <w:p>
            <w:pPr>
              <w:ind w:leftChars="0" w:left="0" w:right="0"/>
            </w:pPr>
            <w:r>
              <w:t>MUTI</w:t>
            </w:r>
          </w:p>
        </w:tc>
        <w:tc>
          <w:tcPr>
            <w:cnfStyle w:evenVBand="true" w:oddVBand="false" w:firstColumn="false"/>
            <w:tcW w:w="25.000000%" w:type="pct"/>
          </w:tcPr>
          <w:p>
            <w:pPr>
              <w:ind w:leftChars="0" w:left="0" w:right="0"/>
            </w:pPr>
            <w:r>
              <w:t>MUTI</w:t>
            </w:r>
          </w:p>
        </w:tc>
        <w:tc>
          <w:tcPr>
            <w:cnfStyle w:evenVBand="false" w:oddVBand="true" w:firstColumn="false"/>
            <w:tcW w:w="25.000000%" w:type="pct"/>
          </w:tcPr>
          <w:p>
            <w:pPr>
              <w:ind w:leftChars="0" w:left="0" w:right="0"/>
            </w:pPr>
            <w:r>
              <w:t>MITSUBISHI UFJ TRUST INTERNATIONAL LIMITED</w:t>
            </w:r>
          </w:p>
        </w:tc>
        <w:tc>
          <w:tcPr>
            <w:cnfStyle w:evenVBand="true" w:oddVBand="false" w:firstColumn="false"/>
            <w:tcW w:w="25.000000%" w:type="pct"/>
          </w:tcPr>
          <w:p>
            <w:pPr>
              <w:ind w:leftChars="0" w:left="0" w:right="0"/>
            </w:pPr>
            <w:r>
              <w:t>1277</w:t>
            </w:r>
          </w:p>
        </w:tc>
      </w:tr>
      <w:tr>
        <w:trPr>
          <w:cnfStyle w:evenHBand="false" w:oddHBand="true" w:firstRow="false"/>
        </w:trPr>
        <w:tc>
          <w:tcPr>
            <w:cnfStyle w:evenVBand="false" w:oddVBand="true" w:firstColumn="false"/>
            <w:tcW w:w="25.000000%" w:type="pct"/>
          </w:tcPr>
          <w:p>
            <w:pPr>
              <w:ind w:leftChars="0" w:left="0" w:right="0"/>
            </w:pPr>
            <w:r>
              <w:t>MVCX</w:t>
            </w:r>
          </w:p>
        </w:tc>
        <w:tc>
          <w:tcPr>
            <w:cnfStyle w:evenVBand="true" w:oddVBand="false" w:firstColumn="false"/>
            <w:tcW w:w="25.000000%" w:type="pct"/>
          </w:tcPr>
          <w:p>
            <w:pPr>
              <w:ind w:leftChars="0" w:left="0" w:right="0"/>
            </w:pPr>
            <w:r>
              <w:t>MVCX</w:t>
            </w:r>
          </w:p>
        </w:tc>
        <w:tc>
          <w:tcPr>
            <w:cnfStyle w:evenVBand="false" w:oddVBand="true" w:firstColumn="false"/>
            <w:tcW w:w="25.000000%" w:type="pct"/>
          </w:tcPr>
          <w:p>
            <w:pPr>
              <w:ind w:leftChars="0" w:left="0" w:right="0"/>
            </w:pPr>
            <w:r>
              <w:t>MERCADO DE VALORES DE CORDOBA S.A.</w:t>
            </w:r>
          </w:p>
        </w:tc>
        <w:tc>
          <w:tcPr>
            <w:cnfStyle w:evenVBand="true" w:oddVBand="false" w:firstColumn="false"/>
            <w:tcW w:w="25.000000%" w:type="pct"/>
          </w:tcPr>
          <w:p>
            <w:pPr>
              <w:ind w:leftChars="0" w:left="0" w:right="0"/>
            </w:pPr>
            <w:r>
              <w:t>1278</w:t>
            </w:r>
          </w:p>
        </w:tc>
      </w:tr>
      <w:tr>
        <w:trPr>
          <w:cnfStyle w:evenHBand="true" w:oddHBand="false" w:firstRow="false"/>
        </w:trPr>
        <w:tc>
          <w:tcPr>
            <w:cnfStyle w:evenVBand="false" w:oddVBand="true" w:firstColumn="false"/>
            <w:tcW w:w="25.000000%" w:type="pct"/>
          </w:tcPr>
          <w:p>
            <w:pPr>
              <w:ind w:leftChars="0" w:left="0" w:right="0"/>
            </w:pPr>
            <w:r>
              <w:t>MXLM</w:t>
            </w:r>
          </w:p>
        </w:tc>
        <w:tc>
          <w:tcPr>
            <w:cnfStyle w:evenVBand="true" w:oddVBand="false" w:firstColumn="false"/>
            <w:tcW w:w="25.000000%" w:type="pct"/>
          </w:tcPr>
          <w:p>
            <w:pPr>
              <w:ind w:leftChars="0" w:left="0" w:right="0"/>
            </w:pPr>
            <w:r>
              <w:t>MXLM</w:t>
            </w:r>
          </w:p>
        </w:tc>
        <w:tc>
          <w:tcPr>
            <w:cnfStyle w:evenVBand="false" w:oddVBand="true" w:firstColumn="false"/>
            <w:tcW w:w="25.000000%" w:type="pct"/>
          </w:tcPr>
          <w:p>
            <w:pPr>
              <w:ind w:leftChars="0" w:left="0" w:right="0"/>
            </w:pPr>
            <w:r>
              <w:t>MARKETAXESS EUROPE LIMITED - LIVE MARKETS</w:t>
            </w:r>
          </w:p>
        </w:tc>
        <w:tc>
          <w:tcPr>
            <w:cnfStyle w:evenVBand="true" w:oddVBand="false" w:firstColumn="false"/>
            <w:tcW w:w="25.000000%" w:type="pct"/>
          </w:tcPr>
          <w:p>
            <w:pPr>
              <w:ind w:leftChars="0" w:left="0" w:right="0"/>
            </w:pPr>
            <w:r>
              <w:t>1279</w:t>
            </w:r>
          </w:p>
        </w:tc>
      </w:tr>
      <w:tr>
        <w:trPr>
          <w:cnfStyle w:evenHBand="false" w:oddHBand="true" w:firstRow="false"/>
        </w:trPr>
        <w:tc>
          <w:tcPr>
            <w:cnfStyle w:evenVBand="false" w:oddVBand="true" w:firstColumn="false"/>
            <w:tcW w:w="25.000000%" w:type="pct"/>
          </w:tcPr>
          <w:p>
            <w:pPr>
              <w:ind w:leftChars="0" w:left="0" w:right="0"/>
            </w:pPr>
            <w:r>
              <w:t>MXNL</w:t>
            </w:r>
          </w:p>
        </w:tc>
        <w:tc>
          <w:tcPr>
            <w:cnfStyle w:evenVBand="true" w:oddVBand="false" w:firstColumn="false"/>
            <w:tcW w:w="25.000000%" w:type="pct"/>
          </w:tcPr>
          <w:p>
            <w:pPr>
              <w:ind w:leftChars="0" w:left="0" w:right="0"/>
            </w:pPr>
            <w:r>
              <w:t>MXNL</w:t>
            </w:r>
          </w:p>
        </w:tc>
        <w:tc>
          <w:tcPr>
            <w:cnfStyle w:evenVBand="false" w:oddVBand="true" w:firstColumn="false"/>
            <w:tcW w:w="25.000000%" w:type="pct"/>
          </w:tcPr>
          <w:p>
            <w:pPr>
              <w:ind w:leftChars="0" w:left="0" w:right="0"/>
            </w:pPr>
            <w:r>
              <w:t>MARKETAXESS NL B.V. - LIVE MARKETS</w:t>
            </w:r>
          </w:p>
        </w:tc>
        <w:tc>
          <w:tcPr>
            <w:cnfStyle w:evenVBand="true" w:oddVBand="false" w:firstColumn="false"/>
            <w:tcW w:w="25.000000%" w:type="pct"/>
          </w:tcPr>
          <w:p>
            <w:pPr>
              <w:ind w:leftChars="0" w:left="0" w:right="0"/>
            </w:pPr>
            <w:r>
              <w:t>1280</w:t>
            </w:r>
          </w:p>
        </w:tc>
      </w:tr>
      <w:tr>
        <w:trPr>
          <w:cnfStyle w:evenHBand="true" w:oddHBand="false" w:firstRow="false"/>
        </w:trPr>
        <w:tc>
          <w:tcPr>
            <w:cnfStyle w:evenVBand="false" w:oddVBand="true" w:firstColumn="false"/>
            <w:tcW w:w="25.000000%" w:type="pct"/>
          </w:tcPr>
          <w:p>
            <w:pPr>
              <w:ind w:leftChars="0" w:left="0" w:right="0"/>
            </w:pPr>
            <w:r>
              <w:t>MXOP</w:t>
            </w:r>
          </w:p>
        </w:tc>
        <w:tc>
          <w:tcPr>
            <w:cnfStyle w:evenVBand="true" w:oddVBand="false" w:firstColumn="false"/>
            <w:tcW w:w="25.000000%" w:type="pct"/>
          </w:tcPr>
          <w:p>
            <w:pPr>
              <w:ind w:leftChars="0" w:left="0" w:right="0"/>
            </w:pPr>
            <w:r>
              <w:t>MXOP</w:t>
            </w:r>
          </w:p>
        </w:tc>
        <w:tc>
          <w:tcPr>
            <w:cnfStyle w:evenVBand="false" w:oddVBand="true" w:firstColumn="false"/>
            <w:tcW w:w="25.000000%" w:type="pct"/>
          </w:tcPr>
          <w:p>
            <w:pPr>
              <w:ind w:leftChars="0" w:left="0" w:right="0"/>
            </w:pPr>
            <w:r>
              <w:t>MEMX LLC OPTIONS</w:t>
            </w:r>
          </w:p>
        </w:tc>
        <w:tc>
          <w:tcPr>
            <w:cnfStyle w:evenVBand="true" w:oddVBand="false" w:firstColumn="false"/>
            <w:tcW w:w="25.000000%" w:type="pct"/>
          </w:tcPr>
          <w:p>
            <w:pPr>
              <w:ind w:leftChars="0" w:left="0" w:right="0"/>
            </w:pPr>
            <w:r>
              <w:t>1281</w:t>
            </w:r>
          </w:p>
        </w:tc>
      </w:tr>
      <w:tr>
        <w:trPr>
          <w:cnfStyle w:evenHBand="false" w:oddHBand="true" w:firstRow="false"/>
        </w:trPr>
        <w:tc>
          <w:tcPr>
            <w:cnfStyle w:evenVBand="false" w:oddVBand="true" w:firstColumn="false"/>
            <w:tcW w:w="25.000000%" w:type="pct"/>
          </w:tcPr>
          <w:p>
            <w:pPr>
              <w:ind w:leftChars="0" w:left="0" w:right="0"/>
            </w:pPr>
            <w:r>
              <w:t>MYTR</w:t>
            </w:r>
          </w:p>
        </w:tc>
        <w:tc>
          <w:tcPr>
            <w:cnfStyle w:evenVBand="true" w:oddVBand="false" w:firstColumn="false"/>
            <w:tcW w:w="25.000000%" w:type="pct"/>
          </w:tcPr>
          <w:p>
            <w:pPr>
              <w:ind w:leftChars="0" w:left="0" w:right="0"/>
            </w:pPr>
            <w:r>
              <w:t>MYTR</w:t>
            </w:r>
          </w:p>
        </w:tc>
        <w:tc>
          <w:tcPr>
            <w:cnfStyle w:evenVBand="false" w:oddVBand="true" w:firstColumn="false"/>
            <w:tcW w:w="25.000000%" w:type="pct"/>
          </w:tcPr>
          <w:p>
            <w:pPr>
              <w:ind w:leftChars="0" w:left="0" w:right="0"/>
            </w:pPr>
            <w:r>
              <w:t>MYTREASURY</w:t>
            </w:r>
          </w:p>
        </w:tc>
        <w:tc>
          <w:tcPr>
            <w:cnfStyle w:evenVBand="true" w:oddVBand="false" w:firstColumn="false"/>
            <w:tcW w:w="25.000000%" w:type="pct"/>
          </w:tcPr>
          <w:p>
            <w:pPr>
              <w:ind w:leftChars="0" w:left="0" w:right="0"/>
            </w:pPr>
            <w:r>
              <w:t>1282</w:t>
            </w:r>
          </w:p>
        </w:tc>
      </w:tr>
      <w:tr>
        <w:trPr>
          <w:cnfStyle w:evenHBand="true" w:oddHBand="false" w:firstRow="false"/>
        </w:trPr>
        <w:tc>
          <w:tcPr>
            <w:cnfStyle w:evenVBand="false" w:oddVBand="true" w:firstColumn="false"/>
            <w:tcW w:w="25.000000%" w:type="pct"/>
          </w:tcPr>
          <w:p>
            <w:pPr>
              <w:ind w:leftChars="0" w:left="0" w:right="0"/>
            </w:pPr>
            <w:r>
              <w:t>N2EX</w:t>
            </w:r>
          </w:p>
        </w:tc>
        <w:tc>
          <w:tcPr>
            <w:cnfStyle w:evenVBand="true" w:oddVBand="false" w:firstColumn="false"/>
            <w:tcW w:w="25.000000%" w:type="pct"/>
          </w:tcPr>
          <w:p>
            <w:pPr>
              <w:ind w:leftChars="0" w:left="0" w:right="0"/>
            </w:pPr>
            <w:r>
              <w:t>N2EX</w:t>
            </w:r>
          </w:p>
        </w:tc>
        <w:tc>
          <w:tcPr>
            <w:cnfStyle w:evenVBand="false" w:oddVBand="true" w:firstColumn="false"/>
            <w:tcW w:w="25.000000%" w:type="pct"/>
          </w:tcPr>
          <w:p>
            <w:pPr>
              <w:ind w:leftChars="0" w:left="0" w:right="0"/>
            </w:pPr>
            <w:r>
              <w:t>N2EX</w:t>
            </w:r>
          </w:p>
        </w:tc>
        <w:tc>
          <w:tcPr>
            <w:cnfStyle w:evenVBand="true" w:oddVBand="false" w:firstColumn="false"/>
            <w:tcW w:w="25.000000%" w:type="pct"/>
          </w:tcPr>
          <w:p>
            <w:pPr>
              <w:ind w:leftChars="0" w:left="0" w:right="0"/>
            </w:pPr>
            <w:r>
              <w:t>1283</w:t>
            </w:r>
          </w:p>
        </w:tc>
      </w:tr>
      <w:tr>
        <w:trPr>
          <w:cnfStyle w:evenHBand="false" w:oddHBand="true" w:firstRow="false"/>
        </w:trPr>
        <w:tc>
          <w:tcPr>
            <w:cnfStyle w:evenVBand="false" w:oddVBand="true" w:firstColumn="false"/>
            <w:tcW w:w="25.000000%" w:type="pct"/>
          </w:tcPr>
          <w:p>
            <w:pPr>
              <w:ind w:leftChars="0" w:left="0" w:right="0"/>
            </w:pPr>
            <w:r>
              <w:t>NABA</w:t>
            </w:r>
          </w:p>
        </w:tc>
        <w:tc>
          <w:tcPr>
            <w:cnfStyle w:evenVBand="true" w:oddVBand="false" w:firstColumn="false"/>
            <w:tcW w:w="25.000000%" w:type="pct"/>
          </w:tcPr>
          <w:p>
            <w:pPr>
              <w:ind w:leftChars="0" w:left="0" w:right="0"/>
            </w:pPr>
            <w:r>
              <w:t>NABA</w:t>
            </w:r>
          </w:p>
        </w:tc>
        <w:tc>
          <w:tcPr>
            <w:cnfStyle w:evenVBand="false" w:oddVBand="true" w:firstColumn="false"/>
            <w:tcW w:w="25.000000%" w:type="pct"/>
          </w:tcPr>
          <w:p>
            <w:pPr>
              <w:ind w:leftChars="0" w:left="0" w:right="0"/>
            </w:pPr>
            <w:r>
              <w:t>NATIONAL AUSTRALIA BANK - FX DERIVATIVES AND FIXED INCOME SECURITIES - SYSTEMATIC INTERNALISER</w:t>
            </w:r>
          </w:p>
        </w:tc>
        <w:tc>
          <w:tcPr>
            <w:cnfStyle w:evenVBand="true" w:oddVBand="false" w:firstColumn="false"/>
            <w:tcW w:w="25.000000%" w:type="pct"/>
          </w:tcPr>
          <w:p>
            <w:pPr>
              <w:ind w:leftChars="0" w:left="0" w:right="0"/>
            </w:pPr>
            <w:r>
              <w:t>1284</w:t>
            </w:r>
          </w:p>
        </w:tc>
      </w:tr>
      <w:tr>
        <w:trPr>
          <w:cnfStyle w:evenHBand="true" w:oddHBand="false" w:firstRow="false"/>
        </w:trPr>
        <w:tc>
          <w:tcPr>
            <w:cnfStyle w:evenVBand="false" w:oddVBand="true" w:firstColumn="false"/>
            <w:tcW w:w="25.000000%" w:type="pct"/>
          </w:tcPr>
          <w:p>
            <w:pPr>
              <w:ind w:leftChars="0" w:left="0" w:right="0"/>
            </w:pPr>
            <w:r>
              <w:t>NABE</w:t>
            </w:r>
          </w:p>
        </w:tc>
        <w:tc>
          <w:tcPr>
            <w:cnfStyle w:evenVBand="true" w:oddVBand="false" w:firstColumn="false"/>
            <w:tcW w:w="25.000000%" w:type="pct"/>
          </w:tcPr>
          <w:p>
            <w:pPr>
              <w:ind w:leftChars="0" w:left="0" w:right="0"/>
            </w:pPr>
            <w:r>
              <w:t>NABE</w:t>
            </w:r>
          </w:p>
        </w:tc>
        <w:tc>
          <w:tcPr>
            <w:cnfStyle w:evenVBand="false" w:oddVBand="true" w:firstColumn="false"/>
            <w:tcW w:w="25.000000%" w:type="pct"/>
          </w:tcPr>
          <w:p>
            <w:pPr>
              <w:ind w:leftChars="0" w:left="0" w:right="0"/>
            </w:pPr>
            <w:r>
              <w:t>NAB EUROPE LIMITED - SYSTEMATIC INTERNALISER</w:t>
            </w:r>
          </w:p>
        </w:tc>
        <w:tc>
          <w:tcPr>
            <w:cnfStyle w:evenVBand="true" w:oddVBand="false" w:firstColumn="false"/>
            <w:tcW w:w="25.000000%" w:type="pct"/>
          </w:tcPr>
          <w:p>
            <w:pPr>
              <w:ind w:leftChars="0" w:left="0" w:right="0"/>
            </w:pPr>
            <w:r>
              <w:t>1285</w:t>
            </w:r>
          </w:p>
        </w:tc>
      </w:tr>
      <w:tr>
        <w:trPr>
          <w:cnfStyle w:evenHBand="false" w:oddHBand="true" w:firstRow="false"/>
        </w:trPr>
        <w:tc>
          <w:tcPr>
            <w:cnfStyle w:evenVBand="false" w:oddVBand="true" w:firstColumn="false"/>
            <w:tcW w:w="25.000000%" w:type="pct"/>
          </w:tcPr>
          <w:p>
            <w:pPr>
              <w:ind w:leftChars="0" w:left="0" w:right="0"/>
            </w:pPr>
            <w:r>
              <w:t>NABL</w:t>
            </w:r>
          </w:p>
        </w:tc>
        <w:tc>
          <w:tcPr>
            <w:cnfStyle w:evenVBand="true" w:oddVBand="false" w:firstColumn="false"/>
            <w:tcW w:w="25.000000%" w:type="pct"/>
          </w:tcPr>
          <w:p>
            <w:pPr>
              <w:ind w:leftChars="0" w:left="0" w:right="0"/>
            </w:pPr>
            <w:r>
              <w:t>NABL</w:t>
            </w:r>
          </w:p>
        </w:tc>
        <w:tc>
          <w:tcPr>
            <w:cnfStyle w:evenVBand="false" w:oddVBand="true" w:firstColumn="false"/>
            <w:tcW w:w="25.000000%" w:type="pct"/>
          </w:tcPr>
          <w:p>
            <w:pPr>
              <w:ind w:leftChars="0" w:left="0" w:right="0"/>
            </w:pPr>
            <w:r>
              <w:t>NATIONAL AUSTRALIA BANK - SYSTEMATIC INTERNALISER</w:t>
            </w:r>
          </w:p>
        </w:tc>
        <w:tc>
          <w:tcPr>
            <w:cnfStyle w:evenVBand="true" w:oddVBand="false" w:firstColumn="false"/>
            <w:tcW w:w="25.000000%" w:type="pct"/>
          </w:tcPr>
          <w:p>
            <w:pPr>
              <w:ind w:leftChars="0" w:left="0" w:right="0"/>
            </w:pPr>
            <w:r>
              <w:t>1286</w:t>
            </w:r>
          </w:p>
        </w:tc>
      </w:tr>
      <w:tr>
        <w:trPr>
          <w:cnfStyle w:evenHBand="true" w:oddHBand="false" w:firstRow="false"/>
        </w:trPr>
        <w:tc>
          <w:tcPr>
            <w:cnfStyle w:evenVBand="false" w:oddVBand="true" w:firstColumn="false"/>
            <w:tcW w:w="25.000000%" w:type="pct"/>
          </w:tcPr>
          <w:p>
            <w:pPr>
              <w:ind w:leftChars="0" w:left="0" w:right="0"/>
            </w:pPr>
            <w:r>
              <w:t>NABP</w:t>
            </w:r>
          </w:p>
        </w:tc>
        <w:tc>
          <w:tcPr>
            <w:cnfStyle w:evenVBand="true" w:oddVBand="false" w:firstColumn="false"/>
            <w:tcW w:w="25.000000%" w:type="pct"/>
          </w:tcPr>
          <w:p>
            <w:pPr>
              <w:ind w:leftChars="0" w:left="0" w:right="0"/>
            </w:pPr>
            <w:r>
              <w:t>NABP</w:t>
            </w:r>
          </w:p>
        </w:tc>
        <w:tc>
          <w:tcPr>
            <w:cnfStyle w:evenVBand="false" w:oddVBand="true" w:firstColumn="false"/>
            <w:tcW w:w="25.000000%" w:type="pct"/>
          </w:tcPr>
          <w:p>
            <w:pPr>
              <w:ind w:leftChars="0" w:left="0" w:right="0"/>
            </w:pPr>
            <w:r>
              <w:t>NATIONAL AUSTRALIA BANK EUROPE S.A.</w:t>
            </w:r>
          </w:p>
        </w:tc>
        <w:tc>
          <w:tcPr>
            <w:cnfStyle w:evenVBand="true" w:oddVBand="false" w:firstColumn="false"/>
            <w:tcW w:w="25.000000%" w:type="pct"/>
          </w:tcPr>
          <w:p>
            <w:pPr>
              <w:ind w:leftChars="0" w:left="0" w:right="0"/>
            </w:pPr>
            <w:r>
              <w:t>1287</w:t>
            </w:r>
          </w:p>
        </w:tc>
      </w:tr>
      <w:tr>
        <w:trPr>
          <w:cnfStyle w:evenHBand="false" w:oddHBand="true" w:firstRow="false"/>
        </w:trPr>
        <w:tc>
          <w:tcPr>
            <w:cnfStyle w:evenVBand="false" w:oddVBand="true" w:firstColumn="false"/>
            <w:tcW w:w="25.000000%" w:type="pct"/>
          </w:tcPr>
          <w:p>
            <w:pPr>
              <w:ind w:leftChars="0" w:left="0" w:right="0"/>
            </w:pPr>
            <w:r>
              <w:t>NABU</w:t>
            </w:r>
          </w:p>
        </w:tc>
        <w:tc>
          <w:tcPr>
            <w:cnfStyle w:evenVBand="true" w:oddVBand="false" w:firstColumn="false"/>
            <w:tcW w:w="25.000000%" w:type="pct"/>
          </w:tcPr>
          <w:p>
            <w:pPr>
              <w:ind w:leftChars="0" w:left="0" w:right="0"/>
            </w:pPr>
            <w:r>
              <w:t>NABU</w:t>
            </w:r>
          </w:p>
        </w:tc>
        <w:tc>
          <w:tcPr>
            <w:cnfStyle w:evenVBand="false" w:oddVBand="true" w:firstColumn="false"/>
            <w:tcW w:w="25.000000%" w:type="pct"/>
          </w:tcPr>
          <w:p>
            <w:pPr>
              <w:ind w:leftChars="0" w:left="0" w:right="0"/>
            </w:pPr>
            <w:r>
              <w:t>NAB EUROPE LIMITED - SYSTEMATIC INTERNALISER - FIXED INCOME SECURITIES</w:t>
            </w:r>
          </w:p>
        </w:tc>
        <w:tc>
          <w:tcPr>
            <w:cnfStyle w:evenVBand="true" w:oddVBand="false" w:firstColumn="false"/>
            <w:tcW w:w="25.000000%" w:type="pct"/>
          </w:tcPr>
          <w:p>
            <w:pPr>
              <w:ind w:leftChars="0" w:left="0" w:right="0"/>
            </w:pPr>
            <w:r>
              <w:t>1288</w:t>
            </w:r>
          </w:p>
        </w:tc>
      </w:tr>
      <w:tr>
        <w:trPr>
          <w:cnfStyle w:evenHBand="true" w:oddHBand="false" w:firstRow="false"/>
        </w:trPr>
        <w:tc>
          <w:tcPr>
            <w:cnfStyle w:evenVBand="false" w:oddVBand="true" w:firstColumn="false"/>
            <w:tcW w:w="25.000000%" w:type="pct"/>
          </w:tcPr>
          <w:p>
            <w:pPr>
              <w:ind w:leftChars="0" w:left="0" w:right="0"/>
            </w:pPr>
            <w:r>
              <w:t>NAMX</w:t>
            </w:r>
          </w:p>
        </w:tc>
        <w:tc>
          <w:tcPr>
            <w:cnfStyle w:evenVBand="true" w:oddVBand="false" w:firstColumn="false"/>
            <w:tcW w:w="25.000000%" w:type="pct"/>
          </w:tcPr>
          <w:p>
            <w:pPr>
              <w:ind w:leftChars="0" w:left="0" w:right="0"/>
            </w:pPr>
            <w:r>
              <w:t>NAMX</w:t>
            </w:r>
          </w:p>
        </w:tc>
        <w:tc>
          <w:tcPr>
            <w:cnfStyle w:evenVBand="false" w:oddVBand="true" w:firstColumn="false"/>
            <w:tcW w:w="25.000000%" w:type="pct"/>
          </w:tcPr>
          <w:p>
            <w:pPr>
              <w:ind w:leftChars="0" w:left="0" w:right="0"/>
            </w:pPr>
            <w:r>
              <w:t>NATIONAL MERCANTILE EXCHANGE</w:t>
            </w:r>
          </w:p>
        </w:tc>
        <w:tc>
          <w:tcPr>
            <w:cnfStyle w:evenVBand="true" w:oddVBand="false" w:firstColumn="false"/>
            <w:tcW w:w="25.000000%" w:type="pct"/>
          </w:tcPr>
          <w:p>
            <w:pPr>
              <w:ind w:leftChars="0" w:left="0" w:right="0"/>
            </w:pPr>
            <w:r>
              <w:t>1289</w:t>
            </w:r>
          </w:p>
        </w:tc>
      </w:tr>
      <w:tr>
        <w:trPr>
          <w:cnfStyle w:evenHBand="false" w:oddHBand="true" w:firstRow="false"/>
        </w:trPr>
        <w:tc>
          <w:tcPr>
            <w:cnfStyle w:evenVBand="false" w:oddVBand="true" w:firstColumn="false"/>
            <w:tcW w:w="25.000000%" w:type="pct"/>
          </w:tcPr>
          <w:p>
            <w:pPr>
              <w:ind w:leftChars="0" w:left="0" w:right="0"/>
            </w:pPr>
            <w:r>
              <w:t>NAPA</w:t>
            </w:r>
          </w:p>
        </w:tc>
        <w:tc>
          <w:tcPr>
            <w:cnfStyle w:evenVBand="true" w:oddVBand="false" w:firstColumn="false"/>
            <w:tcW w:w="25.000000%" w:type="pct"/>
          </w:tcPr>
          <w:p>
            <w:pPr>
              <w:ind w:leftChars="0" w:left="0" w:right="0"/>
            </w:pPr>
            <w:r>
              <w:t>NAPA</w:t>
            </w:r>
          </w:p>
        </w:tc>
        <w:tc>
          <w:tcPr>
            <w:cnfStyle w:evenVBand="false" w:oddVBand="true" w:firstColumn="false"/>
            <w:tcW w:w="25.000000%" w:type="pct"/>
          </w:tcPr>
          <w:p>
            <w:pPr>
              <w:ind w:leftChars="0" w:left="0" w:right="0"/>
            </w:pPr>
            <w:r>
              <w:t>NASDAQ STOCKHOLM AB - APA SERVICE</w:t>
            </w:r>
          </w:p>
        </w:tc>
        <w:tc>
          <w:tcPr>
            <w:cnfStyle w:evenVBand="true" w:oddVBand="false" w:firstColumn="false"/>
            <w:tcW w:w="25.000000%" w:type="pct"/>
          </w:tcPr>
          <w:p>
            <w:pPr>
              <w:ind w:leftChars="0" w:left="0" w:right="0"/>
            </w:pPr>
            <w:r>
              <w:t>1290</w:t>
            </w:r>
          </w:p>
        </w:tc>
      </w:tr>
      <w:tr>
        <w:trPr>
          <w:cnfStyle w:evenHBand="true" w:oddHBand="false" w:firstRow="false"/>
        </w:trPr>
        <w:tc>
          <w:tcPr>
            <w:cnfStyle w:evenVBand="false" w:oddVBand="true" w:firstColumn="false"/>
            <w:tcW w:w="25.000000%" w:type="pct"/>
          </w:tcPr>
          <w:p>
            <w:pPr>
              <w:ind w:leftChars="0" w:left="0" w:right="0"/>
            </w:pPr>
            <w:r>
              <w:t>NASB</w:t>
            </w:r>
          </w:p>
        </w:tc>
        <w:tc>
          <w:tcPr>
            <w:cnfStyle w:evenVBand="true" w:oddVBand="false" w:firstColumn="false"/>
            <w:tcW w:w="25.000000%" w:type="pct"/>
          </w:tcPr>
          <w:p>
            <w:pPr>
              <w:ind w:leftChars="0" w:left="0" w:right="0"/>
            </w:pPr>
            <w:r>
              <w:t>NASB</w:t>
            </w:r>
          </w:p>
        </w:tc>
        <w:tc>
          <w:tcPr>
            <w:cnfStyle w:evenVBand="false" w:oddVBand="true" w:firstColumn="false"/>
            <w:tcW w:w="25.000000%" w:type="pct"/>
          </w:tcPr>
          <w:p>
            <w:pPr>
              <w:ind w:leftChars="0" w:left="0" w:right="0"/>
            </w:pPr>
            <w:r>
              <w:t>NASDAQ BALTIC</w:t>
            </w:r>
          </w:p>
        </w:tc>
        <w:tc>
          <w:tcPr>
            <w:cnfStyle w:evenVBand="true" w:oddVBand="false" w:firstColumn="false"/>
            <w:tcW w:w="25.000000%" w:type="pct"/>
          </w:tcPr>
          <w:p>
            <w:pPr>
              <w:ind w:leftChars="0" w:left="0" w:right="0"/>
            </w:pPr>
            <w:r>
              <w:t>1291</w:t>
            </w:r>
          </w:p>
        </w:tc>
      </w:tr>
      <w:tr>
        <w:trPr>
          <w:cnfStyle w:evenHBand="false" w:oddHBand="true" w:firstRow="false"/>
        </w:trPr>
        <w:tc>
          <w:tcPr>
            <w:cnfStyle w:evenVBand="false" w:oddVBand="true" w:firstColumn="false"/>
            <w:tcW w:w="25.000000%" w:type="pct"/>
          </w:tcPr>
          <w:p>
            <w:pPr>
              <w:ind w:leftChars="0" w:left="0" w:right="0"/>
            </w:pPr>
            <w:r>
              <w:t>NASD</w:t>
            </w:r>
          </w:p>
        </w:tc>
        <w:tc>
          <w:tcPr>
            <w:cnfStyle w:evenVBand="true" w:oddVBand="false" w:firstColumn="false"/>
            <w:tcW w:w="25.000000%" w:type="pct"/>
          </w:tcPr>
          <w:p>
            <w:pPr>
              <w:ind w:leftChars="0" w:left="0" w:right="0"/>
            </w:pPr>
            <w:r>
              <w:t>NASD</w:t>
            </w:r>
          </w:p>
        </w:tc>
        <w:tc>
          <w:tcPr>
            <w:cnfStyle w:evenVBand="false" w:oddVBand="true" w:firstColumn="false"/>
            <w:tcW w:w="25.000000%" w:type="pct"/>
          </w:tcPr>
          <w:p>
            <w:pPr>
              <w:ind w:leftChars="0" w:left="0" w:right="0"/>
            </w:pPr>
            <w:r>
              <w:t>NSDQ DARK</w:t>
            </w:r>
          </w:p>
        </w:tc>
        <w:tc>
          <w:tcPr>
            <w:cnfStyle w:evenVBand="true" w:oddVBand="false" w:firstColumn="false"/>
            <w:tcW w:w="25.000000%" w:type="pct"/>
          </w:tcPr>
          <w:p>
            <w:pPr>
              <w:ind w:leftChars="0" w:left="0" w:right="0"/>
            </w:pPr>
            <w:r>
              <w:t>1292</w:t>
            </w:r>
          </w:p>
        </w:tc>
      </w:tr>
      <w:tr>
        <w:trPr>
          <w:cnfStyle w:evenHBand="true" w:oddHBand="false" w:firstRow="false"/>
        </w:trPr>
        <w:tc>
          <w:tcPr>
            <w:cnfStyle w:evenVBand="false" w:oddVBand="true" w:firstColumn="false"/>
            <w:tcW w:w="25.000000%" w:type="pct"/>
          </w:tcPr>
          <w:p>
            <w:pPr>
              <w:ind w:leftChars="0" w:left="0" w:right="0"/>
            </w:pPr>
            <w:r>
              <w:t>NASN</w:t>
            </w:r>
          </w:p>
        </w:tc>
        <w:tc>
          <w:tcPr>
            <w:cnfStyle w:evenVBand="true" w:oddVBand="false" w:firstColumn="false"/>
            <w:tcW w:w="25.000000%" w:type="pct"/>
          </w:tcPr>
          <w:p>
            <w:pPr>
              <w:ind w:leftChars="0" w:left="0" w:right="0"/>
            </w:pPr>
            <w:r>
              <w:t>NASN</w:t>
            </w:r>
          </w:p>
        </w:tc>
        <w:tc>
          <w:tcPr>
            <w:cnfStyle w:evenVBand="false" w:oddVBand="true" w:firstColumn="false"/>
            <w:tcW w:w="25.000000%" w:type="pct"/>
          </w:tcPr>
          <w:p>
            <w:pPr>
              <w:ind w:leftChars="0" w:left="0" w:right="0"/>
            </w:pPr>
            <w:r>
              <w:t>NASDAQ OMX DERIVATIVES MARKETS</w:t>
            </w:r>
          </w:p>
        </w:tc>
        <w:tc>
          <w:tcPr>
            <w:cnfStyle w:evenVBand="true" w:oddVBand="false" w:firstColumn="false"/>
            <w:tcW w:w="25.000000%" w:type="pct"/>
          </w:tcPr>
          <w:p>
            <w:pPr>
              <w:ind w:leftChars="0" w:left="0" w:right="0"/>
            </w:pPr>
            <w:r>
              <w:t>1293</w:t>
            </w:r>
          </w:p>
        </w:tc>
      </w:tr>
      <w:tr>
        <w:trPr>
          <w:cnfStyle w:evenHBand="false" w:oddHBand="true" w:firstRow="false"/>
        </w:trPr>
        <w:tc>
          <w:tcPr>
            <w:cnfStyle w:evenVBand="false" w:oddVBand="true" w:firstColumn="false"/>
            <w:tcW w:w="25.000000%" w:type="pct"/>
          </w:tcPr>
          <w:p>
            <w:pPr>
              <w:ind w:leftChars="0" w:left="0" w:right="0"/>
            </w:pPr>
            <w:r>
              <w:t>NASX</w:t>
            </w:r>
          </w:p>
        </w:tc>
        <w:tc>
          <w:tcPr>
            <w:cnfStyle w:evenVBand="true" w:oddVBand="false" w:firstColumn="false"/>
            <w:tcW w:w="25.000000%" w:type="pct"/>
          </w:tcPr>
          <w:p>
            <w:pPr>
              <w:ind w:leftChars="0" w:left="0" w:right="0"/>
            </w:pPr>
            <w:r>
              <w:t>NASX</w:t>
            </w:r>
          </w:p>
        </w:tc>
        <w:tc>
          <w:tcPr>
            <w:cnfStyle w:evenVBand="false" w:oddVBand="true" w:firstColumn="false"/>
            <w:tcW w:w="25.000000%" w:type="pct"/>
          </w:tcPr>
          <w:p>
            <w:pPr>
              <w:ind w:leftChars="0" w:left="0" w:right="0"/>
            </w:pPr>
            <w:r>
              <w:t>NASD OTC MARKET</w:t>
            </w:r>
          </w:p>
        </w:tc>
        <w:tc>
          <w:tcPr>
            <w:cnfStyle w:evenVBand="true" w:oddVBand="false" w:firstColumn="false"/>
            <w:tcW w:w="25.000000%" w:type="pct"/>
          </w:tcPr>
          <w:p>
            <w:pPr>
              <w:ind w:leftChars="0" w:left="0" w:right="0"/>
            </w:pPr>
            <w:r>
              <w:t>1294</w:t>
            </w:r>
          </w:p>
        </w:tc>
      </w:tr>
      <w:tr>
        <w:trPr>
          <w:cnfStyle w:evenHBand="true" w:oddHBand="false" w:firstRow="false"/>
        </w:trPr>
        <w:tc>
          <w:tcPr>
            <w:cnfStyle w:evenVBand="false" w:oddVBand="true" w:firstColumn="false"/>
            <w:tcW w:w="25.000000%" w:type="pct"/>
          </w:tcPr>
          <w:p>
            <w:pPr>
              <w:ind w:leftChars="0" w:left="0" w:right="0"/>
            </w:pPr>
            <w:r>
              <w:t>NATX</w:t>
            </w:r>
          </w:p>
        </w:tc>
        <w:tc>
          <w:tcPr>
            <w:cnfStyle w:evenVBand="true" w:oddVBand="false" w:firstColumn="false"/>
            <w:tcW w:w="25.000000%" w:type="pct"/>
          </w:tcPr>
          <w:p>
            <w:pPr>
              <w:ind w:leftChars="0" w:left="0" w:right="0"/>
            </w:pPr>
            <w:r>
              <w:t>NATX</w:t>
            </w:r>
          </w:p>
        </w:tc>
        <w:tc>
          <w:tcPr>
            <w:cnfStyle w:evenVBand="false" w:oddVBand="true" w:firstColumn="false"/>
            <w:tcW w:w="25.000000%" w:type="pct"/>
          </w:tcPr>
          <w:p>
            <w:pPr>
              <w:ind w:leftChars="0" w:left="0" w:right="0"/>
            </w:pPr>
            <w:r>
              <w:t>NATIXIS - SYSTEMATIC INTERNALISER</w:t>
            </w:r>
          </w:p>
        </w:tc>
        <w:tc>
          <w:tcPr>
            <w:cnfStyle w:evenVBand="true" w:oddVBand="false" w:firstColumn="false"/>
            <w:tcW w:w="25.000000%" w:type="pct"/>
          </w:tcPr>
          <w:p>
            <w:pPr>
              <w:ind w:leftChars="0" w:left="0" w:right="0"/>
            </w:pPr>
            <w:r>
              <w:t>1295</w:t>
            </w:r>
          </w:p>
        </w:tc>
      </w:tr>
      <w:tr>
        <w:trPr>
          <w:cnfStyle w:evenHBand="false" w:oddHBand="true" w:firstRow="false"/>
        </w:trPr>
        <w:tc>
          <w:tcPr>
            <w:cnfStyle w:evenVBand="false" w:oddVBand="true" w:firstColumn="false"/>
            <w:tcW w:w="25.000000%" w:type="pct"/>
          </w:tcPr>
          <w:p>
            <w:pPr>
              <w:ind w:leftChars="0" w:left="0" w:right="0"/>
            </w:pPr>
            <w:r>
              <w:t>NAVE</w:t>
            </w:r>
          </w:p>
        </w:tc>
        <w:tc>
          <w:tcPr>
            <w:cnfStyle w:evenVBand="true" w:oddVBand="false" w:firstColumn="false"/>
            <w:tcW w:w="25.000000%" w:type="pct"/>
          </w:tcPr>
          <w:p>
            <w:pPr>
              <w:ind w:leftChars="0" w:left="0" w:right="0"/>
            </w:pPr>
            <w:r>
              <w:t>NAVE</w:t>
            </w:r>
          </w:p>
        </w:tc>
        <w:tc>
          <w:tcPr>
            <w:cnfStyle w:evenVBand="false" w:oddVBand="true" w:firstColumn="false"/>
            <w:tcW w:w="25.000000%" w:type="pct"/>
          </w:tcPr>
          <w:p>
            <w:pPr>
              <w:ind w:leftChars="0" w:left="0" w:right="0"/>
            </w:pPr>
            <w:r>
              <w:t>NAVESIS-MTF</w:t>
            </w:r>
          </w:p>
        </w:tc>
        <w:tc>
          <w:tcPr>
            <w:cnfStyle w:evenVBand="true" w:oddVBand="false" w:firstColumn="false"/>
            <w:tcW w:w="25.000000%" w:type="pct"/>
          </w:tcPr>
          <w:p>
            <w:pPr>
              <w:ind w:leftChars="0" w:left="0" w:right="0"/>
            </w:pPr>
            <w:r>
              <w:t>1296</w:t>
            </w:r>
          </w:p>
        </w:tc>
      </w:tr>
      <w:tr>
        <w:trPr>
          <w:cnfStyle w:evenHBand="true" w:oddHBand="false" w:firstRow="false"/>
        </w:trPr>
        <w:tc>
          <w:tcPr>
            <w:cnfStyle w:evenVBand="false" w:oddVBand="true" w:firstColumn="false"/>
            <w:tcW w:w="25.000000%" w:type="pct"/>
          </w:tcPr>
          <w:p>
            <w:pPr>
              <w:ind w:leftChars="0" w:left="0" w:right="0"/>
            </w:pPr>
            <w:r>
              <w:t>NBFL</w:t>
            </w:r>
          </w:p>
        </w:tc>
        <w:tc>
          <w:tcPr>
            <w:cnfStyle w:evenVBand="true" w:oddVBand="false" w:firstColumn="false"/>
            <w:tcW w:w="25.000000%" w:type="pct"/>
          </w:tcPr>
          <w:p>
            <w:pPr>
              <w:ind w:leftChars="0" w:left="0" w:right="0"/>
            </w:pPr>
            <w:r>
              <w:t>NBFL</w:t>
            </w:r>
          </w:p>
        </w:tc>
        <w:tc>
          <w:tcPr>
            <w:cnfStyle w:evenVBand="false" w:oddVBand="true" w:firstColumn="false"/>
            <w:tcW w:w="25.000000%" w:type="pct"/>
          </w:tcPr>
          <w:p>
            <w:pPr>
              <w:ind w:leftChars="0" w:left="0" w:right="0"/>
            </w:pPr>
            <w:r>
              <w:t>NATIONAL BANK FINANCIAL INC. - SYSTEMATIC INTERNALISER</w:t>
            </w:r>
          </w:p>
        </w:tc>
        <w:tc>
          <w:tcPr>
            <w:cnfStyle w:evenVBand="true" w:oddVBand="false" w:firstColumn="false"/>
            <w:tcW w:w="25.000000%" w:type="pct"/>
          </w:tcPr>
          <w:p>
            <w:pPr>
              <w:ind w:leftChars="0" w:left="0" w:right="0"/>
            </w:pPr>
            <w:r>
              <w:t>1297</w:t>
            </w:r>
          </w:p>
        </w:tc>
      </w:tr>
      <w:tr>
        <w:trPr>
          <w:cnfStyle w:evenHBand="false" w:oddHBand="true" w:firstRow="false"/>
        </w:trPr>
        <w:tc>
          <w:tcPr>
            <w:cnfStyle w:evenVBand="false" w:oddVBand="true" w:firstColumn="false"/>
            <w:tcW w:w="25.000000%" w:type="pct"/>
          </w:tcPr>
          <w:p>
            <w:pPr>
              <w:ind w:leftChars="0" w:left="0" w:right="0"/>
            </w:pPr>
            <w:r>
              <w:t>NBLX</w:t>
            </w:r>
          </w:p>
        </w:tc>
        <w:tc>
          <w:tcPr>
            <w:cnfStyle w:evenVBand="true" w:oddVBand="false" w:firstColumn="false"/>
            <w:tcW w:w="25.000000%" w:type="pct"/>
          </w:tcPr>
          <w:p>
            <w:pPr>
              <w:ind w:leftChars="0" w:left="0" w:right="0"/>
            </w:pPr>
            <w:r>
              <w:t>NBLX</w:t>
            </w:r>
          </w:p>
        </w:tc>
        <w:tc>
          <w:tcPr>
            <w:cnfStyle w:evenVBand="false" w:oddVBand="true" w:firstColumn="false"/>
            <w:tcW w:w="25.000000%" w:type="pct"/>
          </w:tcPr>
          <w:p>
            <w:pPr>
              <w:ind w:leftChars="0" w:left="0" w:right="0"/>
            </w:pPr>
            <w:r>
              <w:t>NOBLE EXCHANGE</w:t>
            </w:r>
          </w:p>
        </w:tc>
        <w:tc>
          <w:tcPr>
            <w:cnfStyle w:evenVBand="true" w:oddVBand="false" w:firstColumn="false"/>
            <w:tcW w:w="25.000000%" w:type="pct"/>
          </w:tcPr>
          <w:p>
            <w:pPr>
              <w:ind w:leftChars="0" w:left="0" w:right="0"/>
            </w:pPr>
            <w:r>
              <w:t>1298</w:t>
            </w:r>
          </w:p>
        </w:tc>
      </w:tr>
      <w:tr>
        <w:trPr>
          <w:cnfStyle w:evenHBand="true" w:oddHBand="false" w:firstRow="false"/>
        </w:trPr>
        <w:tc>
          <w:tcPr>
            <w:cnfStyle w:evenVBand="false" w:oddVBand="true" w:firstColumn="false"/>
            <w:tcW w:w="25.000000%" w:type="pct"/>
          </w:tcPr>
          <w:p>
            <w:pPr>
              <w:ind w:leftChars="0" w:left="0" w:right="0"/>
            </w:pPr>
            <w:r>
              <w:t>NBOT</w:t>
            </w:r>
          </w:p>
        </w:tc>
        <w:tc>
          <w:tcPr>
            <w:cnfStyle w:evenVBand="true" w:oddVBand="false" w:firstColumn="false"/>
            <w:tcW w:w="25.000000%" w:type="pct"/>
          </w:tcPr>
          <w:p>
            <w:pPr>
              <w:ind w:leftChars="0" w:left="0" w:right="0"/>
            </w:pPr>
            <w:r>
              <w:t>NBOT</w:t>
            </w:r>
          </w:p>
        </w:tc>
        <w:tc>
          <w:tcPr>
            <w:cnfStyle w:evenVBand="false" w:oddVBand="true" w:firstColumn="false"/>
            <w:tcW w:w="25.000000%" w:type="pct"/>
          </w:tcPr>
          <w:p>
            <w:pPr>
              <w:ind w:leftChars="0" w:left="0" w:right="0"/>
            </w:pPr>
            <w:r>
              <w:t>NATIONAL BOARD OF TRADE LIMITED</w:t>
            </w:r>
          </w:p>
        </w:tc>
        <w:tc>
          <w:tcPr>
            <w:cnfStyle w:evenVBand="true" w:oddVBand="false" w:firstColumn="false"/>
            <w:tcW w:w="25.000000%" w:type="pct"/>
          </w:tcPr>
          <w:p>
            <w:pPr>
              <w:ind w:leftChars="0" w:left="0" w:right="0"/>
            </w:pPr>
            <w:r>
              <w:t>1299</w:t>
            </w:r>
          </w:p>
        </w:tc>
      </w:tr>
      <w:tr>
        <w:trPr>
          <w:cnfStyle w:evenHBand="false" w:oddHBand="true" w:firstRow="false"/>
        </w:trPr>
        <w:tc>
          <w:tcPr>
            <w:cnfStyle w:evenVBand="false" w:oddVBand="true" w:firstColumn="false"/>
            <w:tcW w:w="25.000000%" w:type="pct"/>
          </w:tcPr>
          <w:p>
            <w:pPr>
              <w:ind w:leftChars="0" w:left="0" w:right="0"/>
            </w:pPr>
            <w:r>
              <w:t>NBXO</w:t>
            </w:r>
          </w:p>
        </w:tc>
        <w:tc>
          <w:tcPr>
            <w:cnfStyle w:evenVBand="true" w:oddVBand="false" w:firstColumn="false"/>
            <w:tcW w:w="25.000000%" w:type="pct"/>
          </w:tcPr>
          <w:p>
            <w:pPr>
              <w:ind w:leftChars="0" w:left="0" w:right="0"/>
            </w:pPr>
            <w:r>
              <w:t>NBXO</w:t>
            </w:r>
          </w:p>
        </w:tc>
        <w:tc>
          <w:tcPr>
            <w:cnfStyle w:evenVBand="false" w:oddVBand="true" w:firstColumn="false"/>
            <w:tcW w:w="25.000000%" w:type="pct"/>
          </w:tcPr>
          <w:p>
            <w:pPr>
              <w:ind w:leftChars="0" w:left="0" w:right="0"/>
            </w:pPr>
            <w:r>
              <w:t>NASDAQ OMX BX OPTIONS</w:t>
            </w:r>
          </w:p>
        </w:tc>
        <w:tc>
          <w:tcPr>
            <w:cnfStyle w:evenVBand="true" w:oddVBand="false" w:firstColumn="false"/>
            <w:tcW w:w="25.000000%" w:type="pct"/>
          </w:tcPr>
          <w:p>
            <w:pPr>
              <w:ind w:leftChars="0" w:left="0" w:right="0"/>
            </w:pPr>
            <w:r>
              <w:t>1300</w:t>
            </w:r>
          </w:p>
        </w:tc>
      </w:tr>
      <w:tr>
        <w:trPr>
          <w:cnfStyle w:evenHBand="true" w:oddHBand="false" w:firstRow="false"/>
        </w:trPr>
        <w:tc>
          <w:tcPr>
            <w:cnfStyle w:evenVBand="false" w:oddVBand="true" w:firstColumn="false"/>
            <w:tcW w:w="25.000000%" w:type="pct"/>
          </w:tcPr>
          <w:p>
            <w:pPr>
              <w:ind w:leftChars="0" w:left="0" w:right="0"/>
            </w:pPr>
            <w:r>
              <w:t>NCEL</w:t>
            </w:r>
          </w:p>
        </w:tc>
        <w:tc>
          <w:tcPr>
            <w:cnfStyle w:evenVBand="true" w:oddVBand="false" w:firstColumn="false"/>
            <w:tcW w:w="25.000000%" w:type="pct"/>
          </w:tcPr>
          <w:p>
            <w:pPr>
              <w:ind w:leftChars="0" w:left="0" w:right="0"/>
            </w:pPr>
            <w:r>
              <w:t>NCEL</w:t>
            </w:r>
          </w:p>
        </w:tc>
        <w:tc>
          <w:tcPr>
            <w:cnfStyle w:evenVBand="false" w:oddVBand="true" w:firstColumn="false"/>
            <w:tcW w:w="25.000000%" w:type="pct"/>
          </w:tcPr>
          <w:p>
            <w:pPr>
              <w:ind w:leftChars="0" w:left="0" w:right="0"/>
            </w:pPr>
            <w:r>
              <w:t>PAKISTAN MERCANTILE EXCHANGE</w:t>
            </w:r>
          </w:p>
        </w:tc>
        <w:tc>
          <w:tcPr>
            <w:cnfStyle w:evenVBand="true" w:oddVBand="false" w:firstColumn="false"/>
            <w:tcW w:w="25.000000%" w:type="pct"/>
          </w:tcPr>
          <w:p>
            <w:pPr>
              <w:ind w:leftChars="0" w:left="0" w:right="0"/>
            </w:pPr>
            <w:r>
              <w:t>1301</w:t>
            </w:r>
          </w:p>
        </w:tc>
      </w:tr>
      <w:tr>
        <w:trPr>
          <w:cnfStyle w:evenHBand="false" w:oddHBand="true" w:firstRow="false"/>
        </w:trPr>
        <w:tc>
          <w:tcPr>
            <w:cnfStyle w:evenVBand="false" w:oddVBand="true" w:firstColumn="false"/>
            <w:tcW w:w="25.000000%" w:type="pct"/>
          </w:tcPr>
          <w:p>
            <w:pPr>
              <w:ind w:leftChars="0" w:left="0" w:right="0"/>
            </w:pPr>
            <w:r>
              <w:t>NCME</w:t>
            </w:r>
          </w:p>
        </w:tc>
        <w:tc>
          <w:tcPr>
            <w:cnfStyle w:evenVBand="true" w:oddVBand="false" w:firstColumn="false"/>
            <w:tcW w:w="25.000000%" w:type="pct"/>
          </w:tcPr>
          <w:p>
            <w:pPr>
              <w:ind w:leftChars="0" w:left="0" w:right="0"/>
            </w:pPr>
            <w:r>
              <w:t>NCME</w:t>
            </w:r>
          </w:p>
        </w:tc>
        <w:tc>
          <w:tcPr>
            <w:cnfStyle w:evenVBand="false" w:oddVBand="true" w:firstColumn="false"/>
            <w:tcW w:w="25.000000%" w:type="pct"/>
          </w:tcPr>
          <w:p>
            <w:pPr>
              <w:ind w:leftChars="0" w:left="0" w:right="0"/>
            </w:pPr>
            <w:r>
              <w:t>SMBC NIKKO CAPITAL MARKETS EUROPE GMBH</w:t>
            </w:r>
          </w:p>
        </w:tc>
        <w:tc>
          <w:tcPr>
            <w:cnfStyle w:evenVBand="true" w:oddVBand="false" w:firstColumn="false"/>
            <w:tcW w:w="25.000000%" w:type="pct"/>
          </w:tcPr>
          <w:p>
            <w:pPr>
              <w:ind w:leftChars="0" w:left="0" w:right="0"/>
            </w:pPr>
            <w:r>
              <w:t>1302</w:t>
            </w:r>
          </w:p>
        </w:tc>
      </w:tr>
      <w:tr>
        <w:trPr>
          <w:cnfStyle w:evenHBand="true" w:oddHBand="false" w:firstRow="false"/>
        </w:trPr>
        <w:tc>
          <w:tcPr>
            <w:cnfStyle w:evenVBand="false" w:oddVBand="true" w:firstColumn="false"/>
            <w:tcW w:w="25.000000%" w:type="pct"/>
          </w:tcPr>
          <w:p>
            <w:pPr>
              <w:ind w:leftChars="0" w:left="0" w:right="0"/>
            </w:pPr>
            <w:r>
              <w:t>NCML</w:t>
            </w:r>
          </w:p>
        </w:tc>
        <w:tc>
          <w:tcPr>
            <w:cnfStyle w:evenVBand="true" w:oddVBand="false" w:firstColumn="false"/>
            <w:tcW w:w="25.000000%" w:type="pct"/>
          </w:tcPr>
          <w:p>
            <w:pPr>
              <w:ind w:leftChars="0" w:left="0" w:right="0"/>
            </w:pPr>
            <w:r>
              <w:t>NCML</w:t>
            </w:r>
          </w:p>
        </w:tc>
        <w:tc>
          <w:tcPr>
            <w:cnfStyle w:evenVBand="false" w:oddVBand="true" w:firstColumn="false"/>
            <w:tcW w:w="25.000000%" w:type="pct"/>
          </w:tcPr>
          <w:p>
            <w:pPr>
              <w:ind w:leftChars="0" w:left="0" w:right="0"/>
            </w:pPr>
            <w:r>
              <w:t>SMBC NIKKO CAPITAL MARKETS LIMITED - SYSTEMATIC INTERNALISER</w:t>
            </w:r>
          </w:p>
        </w:tc>
        <w:tc>
          <w:tcPr>
            <w:cnfStyle w:evenVBand="true" w:oddVBand="false" w:firstColumn="false"/>
            <w:tcW w:w="25.000000%" w:type="pct"/>
          </w:tcPr>
          <w:p>
            <w:pPr>
              <w:ind w:leftChars="0" w:left="0" w:right="0"/>
            </w:pPr>
            <w:r>
              <w:t>1303</w:t>
            </w:r>
          </w:p>
        </w:tc>
      </w:tr>
      <w:tr>
        <w:trPr>
          <w:cnfStyle w:evenHBand="false" w:oddHBand="true" w:firstRow="false"/>
        </w:trPr>
        <w:tc>
          <w:tcPr>
            <w:cnfStyle w:evenVBand="false" w:oddVBand="true" w:firstColumn="false"/>
            <w:tcW w:w="25.000000%" w:type="pct"/>
          </w:tcPr>
          <w:p>
            <w:pPr>
              <w:ind w:leftChars="0" w:left="0" w:right="0"/>
            </w:pPr>
            <w:r>
              <w:t>NDCM</w:t>
            </w:r>
          </w:p>
        </w:tc>
        <w:tc>
          <w:tcPr>
            <w:cnfStyle w:evenVBand="true" w:oddVBand="false" w:firstColumn="false"/>
            <w:tcW w:w="25.000000%" w:type="pct"/>
          </w:tcPr>
          <w:p>
            <w:pPr>
              <w:ind w:leftChars="0" w:left="0" w:right="0"/>
            </w:pPr>
            <w:r>
              <w:t>NDCM</w:t>
            </w:r>
          </w:p>
        </w:tc>
        <w:tc>
          <w:tcPr>
            <w:cnfStyle w:evenVBand="false" w:oddVBand="true" w:firstColumn="false"/>
            <w:tcW w:w="25.000000%" w:type="pct"/>
          </w:tcPr>
          <w:p>
            <w:pPr>
              <w:ind w:leftChars="0" w:left="0" w:right="0"/>
            </w:pPr>
            <w:r>
              <w:t>ICE ENDEX UK OCM GAS SPOT</w:t>
            </w:r>
          </w:p>
        </w:tc>
        <w:tc>
          <w:tcPr>
            <w:cnfStyle w:evenVBand="true" w:oddVBand="false" w:firstColumn="false"/>
            <w:tcW w:w="25.000000%" w:type="pct"/>
          </w:tcPr>
          <w:p>
            <w:pPr>
              <w:ind w:leftChars="0" w:left="0" w:right="0"/>
            </w:pPr>
            <w:r>
              <w:t>1304</w:t>
            </w:r>
          </w:p>
        </w:tc>
      </w:tr>
      <w:tr>
        <w:trPr>
          <w:cnfStyle w:evenHBand="true" w:oddHBand="false" w:firstRow="false"/>
        </w:trPr>
        <w:tc>
          <w:tcPr>
            <w:cnfStyle w:evenVBand="false" w:oddVBand="true" w:firstColumn="false"/>
            <w:tcW w:w="25.000000%" w:type="pct"/>
          </w:tcPr>
          <w:p>
            <w:pPr>
              <w:ind w:leftChars="0" w:left="0" w:right="0"/>
            </w:pPr>
            <w:r>
              <w:t>NDEX</w:t>
            </w:r>
          </w:p>
        </w:tc>
        <w:tc>
          <w:tcPr>
            <w:cnfStyle w:evenVBand="true" w:oddVBand="false" w:firstColumn="false"/>
            <w:tcW w:w="25.000000%" w:type="pct"/>
          </w:tcPr>
          <w:p>
            <w:pPr>
              <w:ind w:leftChars="0" w:left="0" w:right="0"/>
            </w:pPr>
            <w:r>
              <w:t>NDEX</w:t>
            </w:r>
          </w:p>
        </w:tc>
        <w:tc>
          <w:tcPr>
            <w:cnfStyle w:evenVBand="false" w:oddVBand="true" w:firstColumn="false"/>
            <w:tcW w:w="25.000000%" w:type="pct"/>
          </w:tcPr>
          <w:p>
            <w:pPr>
              <w:ind w:leftChars="0" w:left="0" w:right="0"/>
            </w:pPr>
            <w:r>
              <w:t>ICE ENDEX FUTURES</w:t>
            </w:r>
          </w:p>
        </w:tc>
        <w:tc>
          <w:tcPr>
            <w:cnfStyle w:evenVBand="true" w:oddVBand="false" w:firstColumn="false"/>
            <w:tcW w:w="25.000000%" w:type="pct"/>
          </w:tcPr>
          <w:p>
            <w:pPr>
              <w:ind w:leftChars="0" w:left="0" w:right="0"/>
            </w:pPr>
            <w:r>
              <w:t>1305</w:t>
            </w:r>
          </w:p>
        </w:tc>
      </w:tr>
      <w:tr>
        <w:trPr>
          <w:cnfStyle w:evenHBand="false" w:oddHBand="true" w:firstRow="false"/>
        </w:trPr>
        <w:tc>
          <w:tcPr>
            <w:cnfStyle w:evenVBand="false" w:oddVBand="true" w:firstColumn="false"/>
            <w:tcW w:w="25.000000%" w:type="pct"/>
          </w:tcPr>
          <w:p>
            <w:pPr>
              <w:ind w:leftChars="0" w:left="0" w:right="0"/>
            </w:pPr>
            <w:r>
              <w:t>NDXS</w:t>
            </w:r>
          </w:p>
        </w:tc>
        <w:tc>
          <w:tcPr>
            <w:cnfStyle w:evenVBand="true" w:oddVBand="false" w:firstColumn="false"/>
            <w:tcW w:w="25.000000%" w:type="pct"/>
          </w:tcPr>
          <w:p>
            <w:pPr>
              <w:ind w:leftChars="0" w:left="0" w:right="0"/>
            </w:pPr>
            <w:r>
              <w:t>NDXS</w:t>
            </w:r>
          </w:p>
        </w:tc>
        <w:tc>
          <w:tcPr>
            <w:cnfStyle w:evenVBand="false" w:oddVBand="true" w:firstColumn="false"/>
            <w:tcW w:w="25.000000%" w:type="pct"/>
          </w:tcPr>
          <w:p>
            <w:pPr>
              <w:ind w:leftChars="0" w:left="0" w:right="0"/>
            </w:pPr>
            <w:r>
              <w:t>ICE ENDEX EUROPEAN GAS SPOT</w:t>
            </w:r>
          </w:p>
        </w:tc>
        <w:tc>
          <w:tcPr>
            <w:cnfStyle w:evenVBand="true" w:oddVBand="false" w:firstColumn="false"/>
            <w:tcW w:w="25.000000%" w:type="pct"/>
          </w:tcPr>
          <w:p>
            <w:pPr>
              <w:ind w:leftChars="0" w:left="0" w:right="0"/>
            </w:pPr>
            <w:r>
              <w:t>1306</w:t>
            </w:r>
          </w:p>
        </w:tc>
      </w:tr>
      <w:tr>
        <w:trPr>
          <w:cnfStyle w:evenHBand="true" w:oddHBand="false" w:firstRow="false"/>
        </w:trPr>
        <w:tc>
          <w:tcPr>
            <w:cnfStyle w:evenVBand="false" w:oddVBand="true" w:firstColumn="false"/>
            <w:tcW w:w="25.000000%" w:type="pct"/>
          </w:tcPr>
          <w:p>
            <w:pPr>
              <w:ind w:leftChars="0" w:left="0" w:right="0"/>
            </w:pPr>
            <w:r>
              <w:t>NECD</w:t>
            </w:r>
          </w:p>
        </w:tc>
        <w:tc>
          <w:tcPr>
            <w:cnfStyle w:evenVBand="true" w:oddVBand="false" w:firstColumn="false"/>
            <w:tcW w:w="25.000000%" w:type="pct"/>
          </w:tcPr>
          <w:p>
            <w:pPr>
              <w:ind w:leftChars="0" w:left="0" w:right="0"/>
            </w:pPr>
            <w:r>
              <w:t>NECD</w:t>
            </w:r>
          </w:p>
        </w:tc>
        <w:tc>
          <w:tcPr>
            <w:cnfStyle w:evenVBand="false" w:oddVBand="true" w:firstColumn="false"/>
            <w:tcW w:w="25.000000%" w:type="pct"/>
          </w:tcPr>
          <w:p>
            <w:pPr>
              <w:ind w:leftChars="0" w:left="0" w:right="0"/>
            </w:pPr>
            <w:r>
              <w:t>NSX DARK</w:t>
            </w:r>
          </w:p>
        </w:tc>
        <w:tc>
          <w:tcPr>
            <w:cnfStyle w:evenVBand="true" w:oddVBand="false" w:firstColumn="false"/>
            <w:tcW w:w="25.000000%" w:type="pct"/>
          </w:tcPr>
          <w:p>
            <w:pPr>
              <w:ind w:leftChars="0" w:left="0" w:right="0"/>
            </w:pPr>
            <w:r>
              <w:t>1307</w:t>
            </w:r>
          </w:p>
        </w:tc>
      </w:tr>
      <w:tr>
        <w:trPr>
          <w:cnfStyle w:evenHBand="false" w:oddHBand="true" w:firstRow="false"/>
        </w:trPr>
        <w:tc>
          <w:tcPr>
            <w:cnfStyle w:evenVBand="false" w:oddVBand="true" w:firstColumn="false"/>
            <w:tcW w:w="25.000000%" w:type="pct"/>
          </w:tcPr>
          <w:p>
            <w:pPr>
              <w:ind w:leftChars="0" w:left="0" w:right="0"/>
            </w:pPr>
            <w:r>
              <w:t>NEEQ</w:t>
            </w:r>
          </w:p>
        </w:tc>
        <w:tc>
          <w:tcPr>
            <w:cnfStyle w:evenVBand="true" w:oddVBand="false" w:firstColumn="false"/>
            <w:tcW w:w="25.000000%" w:type="pct"/>
          </w:tcPr>
          <w:p>
            <w:pPr>
              <w:ind w:leftChars="0" w:left="0" w:right="0"/>
            </w:pPr>
            <w:r>
              <w:t>NEEQ</w:t>
            </w:r>
          </w:p>
        </w:tc>
        <w:tc>
          <w:tcPr>
            <w:cnfStyle w:evenVBand="false" w:oddVBand="true" w:firstColumn="false"/>
            <w:tcW w:w="25.000000%" w:type="pct"/>
          </w:tcPr>
          <w:p>
            <w:pPr>
              <w:ind w:leftChars="0" w:left="0" w:right="0"/>
            </w:pPr>
            <w:r>
              <w:t>NATIONAL EQUITIES EXCHANGE AND QUOTATIONS</w:t>
            </w:r>
          </w:p>
        </w:tc>
        <w:tc>
          <w:tcPr>
            <w:cnfStyle w:evenVBand="true" w:oddVBand="false" w:firstColumn="false"/>
            <w:tcW w:w="25.000000%" w:type="pct"/>
          </w:tcPr>
          <w:p>
            <w:pPr>
              <w:ind w:leftChars="0" w:left="0" w:right="0"/>
            </w:pPr>
            <w:r>
              <w:t>1308</w:t>
            </w:r>
          </w:p>
        </w:tc>
      </w:tr>
      <w:tr>
        <w:trPr>
          <w:cnfStyle w:evenHBand="true" w:oddHBand="false" w:firstRow="false"/>
        </w:trPr>
        <w:tc>
          <w:tcPr>
            <w:cnfStyle w:evenVBand="false" w:oddVBand="true" w:firstColumn="false"/>
            <w:tcW w:w="25.000000%" w:type="pct"/>
          </w:tcPr>
          <w:p>
            <w:pPr>
              <w:ind w:leftChars="0" w:left="0" w:right="0"/>
            </w:pPr>
            <w:r>
              <w:t>NEOC</w:t>
            </w:r>
          </w:p>
        </w:tc>
        <w:tc>
          <w:tcPr>
            <w:cnfStyle w:evenVBand="true" w:oddVBand="false" w:firstColumn="false"/>
            <w:tcW w:w="25.000000%" w:type="pct"/>
          </w:tcPr>
          <w:p>
            <w:pPr>
              <w:ind w:leftChars="0" w:left="0" w:right="0"/>
            </w:pPr>
            <w:r>
              <w:t>NEOC</w:t>
            </w:r>
          </w:p>
        </w:tc>
        <w:tc>
          <w:tcPr>
            <w:cnfStyle w:evenVBand="false" w:oddVBand="true" w:firstColumn="false"/>
            <w:tcW w:w="25.000000%" w:type="pct"/>
          </w:tcPr>
          <w:p>
            <w:pPr>
              <w:ind w:leftChars="0" w:left="0" w:right="0"/>
            </w:pPr>
            <w:r>
              <w:t>NEO CONNECT</w:t>
            </w:r>
          </w:p>
        </w:tc>
        <w:tc>
          <w:tcPr>
            <w:cnfStyle w:evenVBand="true" w:oddVBand="false" w:firstColumn="false"/>
            <w:tcW w:w="25.000000%" w:type="pct"/>
          </w:tcPr>
          <w:p>
            <w:pPr>
              <w:ind w:leftChars="0" w:left="0" w:right="0"/>
            </w:pPr>
            <w:r>
              <w:t>1309</w:t>
            </w:r>
          </w:p>
        </w:tc>
      </w:tr>
      <w:tr>
        <w:trPr>
          <w:cnfStyle w:evenHBand="false" w:oddHBand="true" w:firstRow="false"/>
        </w:trPr>
        <w:tc>
          <w:tcPr>
            <w:cnfStyle w:evenVBand="false" w:oddVBand="true" w:firstColumn="false"/>
            <w:tcW w:w="25.000000%" w:type="pct"/>
          </w:tcPr>
          <w:p>
            <w:pPr>
              <w:ind w:leftChars="0" w:left="0" w:right="0"/>
            </w:pPr>
            <w:r>
              <w:t>NEOD</w:t>
            </w:r>
          </w:p>
        </w:tc>
        <w:tc>
          <w:tcPr>
            <w:cnfStyle w:evenVBand="true" w:oddVBand="false" w:firstColumn="false"/>
            <w:tcW w:w="25.000000%" w:type="pct"/>
          </w:tcPr>
          <w:p>
            <w:pPr>
              <w:ind w:leftChars="0" w:left="0" w:right="0"/>
            </w:pPr>
            <w:r>
              <w:t>NEOD</w:t>
            </w:r>
          </w:p>
        </w:tc>
        <w:tc>
          <w:tcPr>
            <w:cnfStyle w:evenVBand="false" w:oddVBand="true" w:firstColumn="false"/>
            <w:tcW w:w="25.000000%" w:type="pct"/>
          </w:tcPr>
          <w:p>
            <w:pPr>
              <w:ind w:leftChars="0" w:left="0" w:right="0"/>
            </w:pPr>
            <w:r>
              <w:t>NEO EXCHANGE - NEO-D (DARK)</w:t>
            </w:r>
          </w:p>
        </w:tc>
        <w:tc>
          <w:tcPr>
            <w:cnfStyle w:evenVBand="true" w:oddVBand="false" w:firstColumn="false"/>
            <w:tcW w:w="25.000000%" w:type="pct"/>
          </w:tcPr>
          <w:p>
            <w:pPr>
              <w:ind w:leftChars="0" w:left="0" w:right="0"/>
            </w:pPr>
            <w:r>
              <w:t>1310</w:t>
            </w:r>
          </w:p>
        </w:tc>
      </w:tr>
      <w:tr>
        <w:trPr>
          <w:cnfStyle w:evenHBand="true" w:oddHBand="false" w:firstRow="false"/>
        </w:trPr>
        <w:tc>
          <w:tcPr>
            <w:cnfStyle w:evenVBand="false" w:oddVBand="true" w:firstColumn="false"/>
            <w:tcW w:w="25.000000%" w:type="pct"/>
          </w:tcPr>
          <w:p>
            <w:pPr>
              <w:ind w:leftChars="0" w:left="0" w:right="0"/>
            </w:pPr>
            <w:r>
              <w:t>NEOE</w:t>
            </w:r>
          </w:p>
        </w:tc>
        <w:tc>
          <w:tcPr>
            <w:cnfStyle w:evenVBand="true" w:oddVBand="false" w:firstColumn="false"/>
            <w:tcW w:w="25.000000%" w:type="pct"/>
          </w:tcPr>
          <w:p>
            <w:pPr>
              <w:ind w:leftChars="0" w:left="0" w:right="0"/>
            </w:pPr>
            <w:r>
              <w:t>NEOE</w:t>
            </w:r>
          </w:p>
        </w:tc>
        <w:tc>
          <w:tcPr>
            <w:cnfStyle w:evenVBand="false" w:oddVBand="true" w:firstColumn="false"/>
            <w:tcW w:w="25.000000%" w:type="pct"/>
          </w:tcPr>
          <w:p>
            <w:pPr>
              <w:ind w:leftChars="0" w:left="0" w:right="0"/>
            </w:pPr>
            <w:r>
              <w:t>NEO EXCHANGE - NEO-L (MARKET BY ORDER)</w:t>
            </w:r>
          </w:p>
        </w:tc>
        <w:tc>
          <w:tcPr>
            <w:cnfStyle w:evenVBand="true" w:oddVBand="false" w:firstColumn="false"/>
            <w:tcW w:w="25.000000%" w:type="pct"/>
          </w:tcPr>
          <w:p>
            <w:pPr>
              <w:ind w:leftChars="0" w:left="0" w:right="0"/>
            </w:pPr>
            <w:r>
              <w:t>1311</w:t>
            </w:r>
          </w:p>
        </w:tc>
      </w:tr>
      <w:tr>
        <w:trPr>
          <w:cnfStyle w:evenHBand="false" w:oddHBand="true" w:firstRow="false"/>
        </w:trPr>
        <w:tc>
          <w:tcPr>
            <w:cnfStyle w:evenVBand="false" w:oddVBand="true" w:firstColumn="false"/>
            <w:tcW w:w="25.000000%" w:type="pct"/>
          </w:tcPr>
          <w:p>
            <w:pPr>
              <w:ind w:leftChars="0" w:left="0" w:right="0"/>
            </w:pPr>
            <w:r>
              <w:t>NEON</w:t>
            </w:r>
          </w:p>
        </w:tc>
        <w:tc>
          <w:tcPr>
            <w:cnfStyle w:evenVBand="true" w:oddVBand="false" w:firstColumn="false"/>
            <w:tcW w:w="25.000000%" w:type="pct"/>
          </w:tcPr>
          <w:p>
            <w:pPr>
              <w:ind w:leftChars="0" w:left="0" w:right="0"/>
            </w:pPr>
            <w:r>
              <w:t>NEON</w:t>
            </w:r>
          </w:p>
        </w:tc>
        <w:tc>
          <w:tcPr>
            <w:cnfStyle w:evenVBand="false" w:oddVBand="true" w:firstColumn="false"/>
            <w:tcW w:w="25.000000%" w:type="pct"/>
          </w:tcPr>
          <w:p>
            <w:pPr>
              <w:ind w:leftChars="0" w:left="0" w:right="0"/>
            </w:pPr>
            <w:r>
              <w:t>NEO EXCHANGE - NEO-N (MARKET BY PRICE)</w:t>
            </w:r>
          </w:p>
        </w:tc>
        <w:tc>
          <w:tcPr>
            <w:cnfStyle w:evenVBand="true" w:oddVBand="false" w:firstColumn="false"/>
            <w:tcW w:w="25.000000%" w:type="pct"/>
          </w:tcPr>
          <w:p>
            <w:pPr>
              <w:ind w:leftChars="0" w:left="0" w:right="0"/>
            </w:pPr>
            <w:r>
              <w:t>1312</w:t>
            </w:r>
          </w:p>
        </w:tc>
      </w:tr>
      <w:tr>
        <w:trPr>
          <w:cnfStyle w:evenHBand="true" w:oddHBand="false" w:firstRow="false"/>
        </w:trPr>
        <w:tc>
          <w:tcPr>
            <w:cnfStyle w:evenVBand="false" w:oddVBand="true" w:firstColumn="false"/>
            <w:tcW w:w="25.000000%" w:type="pct"/>
          </w:tcPr>
          <w:p>
            <w:pPr>
              <w:ind w:leftChars="0" w:left="0" w:right="0"/>
            </w:pPr>
            <w:r>
              <w:t>NESI</w:t>
            </w:r>
          </w:p>
        </w:tc>
        <w:tc>
          <w:tcPr>
            <w:cnfStyle w:evenVBand="true" w:oddVBand="false" w:firstColumn="false"/>
            <w:tcW w:w="25.000000%" w:type="pct"/>
          </w:tcPr>
          <w:p>
            <w:pPr>
              <w:ind w:leftChars="0" w:left="0" w:right="0"/>
            </w:pPr>
            <w:r>
              <w:t>NESI</w:t>
            </w:r>
          </w:p>
        </w:tc>
        <w:tc>
          <w:tcPr>
            <w:cnfStyle w:evenVBand="false" w:oddVBand="true" w:firstColumn="false"/>
            <w:tcW w:w="25.000000%" w:type="pct"/>
          </w:tcPr>
          <w:p>
            <w:pPr>
              <w:ind w:leftChars="0" w:left="0" w:right="0"/>
            </w:pPr>
            <w:r>
              <w:t>NOMURA EUROPE - SYSTEMATIC INTERNALISER</w:t>
            </w:r>
          </w:p>
        </w:tc>
        <w:tc>
          <w:tcPr>
            <w:cnfStyle w:evenVBand="true" w:oddVBand="false" w:firstColumn="false"/>
            <w:tcW w:w="25.000000%" w:type="pct"/>
          </w:tcPr>
          <w:p>
            <w:pPr>
              <w:ind w:leftChars="0" w:left="0" w:right="0"/>
            </w:pPr>
            <w:r>
              <w:t>1313</w:t>
            </w:r>
          </w:p>
        </w:tc>
      </w:tr>
      <w:tr>
        <w:trPr>
          <w:cnfStyle w:evenHBand="false" w:oddHBand="true" w:firstRow="false"/>
        </w:trPr>
        <w:tc>
          <w:tcPr>
            <w:cnfStyle w:evenVBand="false" w:oddVBand="true" w:firstColumn="false"/>
            <w:tcW w:w="25.000000%" w:type="pct"/>
          </w:tcPr>
          <w:p>
            <w:pPr>
              <w:ind w:leftChars="0" w:left="0" w:right="0"/>
            </w:pPr>
            <w:r>
              <w:t>NEXD</w:t>
            </w:r>
          </w:p>
        </w:tc>
        <w:tc>
          <w:tcPr>
            <w:cnfStyle w:evenVBand="true" w:oddVBand="false" w:firstColumn="false"/>
            <w:tcW w:w="25.000000%" w:type="pct"/>
          </w:tcPr>
          <w:p>
            <w:pPr>
              <w:ind w:leftChars="0" w:left="0" w:right="0"/>
            </w:pPr>
            <w:r>
              <w:t>NEXD</w:t>
            </w:r>
          </w:p>
        </w:tc>
        <w:tc>
          <w:tcPr>
            <w:cnfStyle w:evenVBand="false" w:oddVBand="true" w:firstColumn="false"/>
            <w:tcW w:w="25.000000%" w:type="pct"/>
          </w:tcPr>
          <w:p>
            <w:pPr>
              <w:ind w:leftChars="0" w:left="0" w:right="0"/>
            </w:pPr>
            <w:r>
              <w:t>AQSE MAIN MARKET (NON-EQUITY)</w:t>
            </w:r>
          </w:p>
        </w:tc>
        <w:tc>
          <w:tcPr>
            <w:cnfStyle w:evenVBand="true" w:oddVBand="false" w:firstColumn="false"/>
            <w:tcW w:w="25.000000%" w:type="pct"/>
          </w:tcPr>
          <w:p>
            <w:pPr>
              <w:ind w:leftChars="0" w:left="0" w:right="0"/>
            </w:pPr>
            <w:r>
              <w:t>1314</w:t>
            </w:r>
          </w:p>
        </w:tc>
      </w:tr>
      <w:tr>
        <w:trPr>
          <w:cnfStyle w:evenHBand="true" w:oddHBand="false" w:firstRow="false"/>
        </w:trPr>
        <w:tc>
          <w:tcPr>
            <w:cnfStyle w:evenVBand="false" w:oddVBand="true" w:firstColumn="false"/>
            <w:tcW w:w="25.000000%" w:type="pct"/>
          </w:tcPr>
          <w:p>
            <w:pPr>
              <w:ind w:leftChars="0" w:left="0" w:right="0"/>
            </w:pPr>
            <w:r>
              <w:t>NEXF</w:t>
            </w:r>
          </w:p>
        </w:tc>
        <w:tc>
          <w:tcPr>
            <w:cnfStyle w:evenVBand="true" w:oddVBand="false" w:firstColumn="false"/>
            <w:tcW w:w="25.000000%" w:type="pct"/>
          </w:tcPr>
          <w:p>
            <w:pPr>
              <w:ind w:leftChars="0" w:left="0" w:right="0"/>
            </w:pPr>
            <w:r>
              <w:t>NEXF</w:t>
            </w:r>
          </w:p>
        </w:tc>
        <w:tc>
          <w:tcPr>
            <w:cnfStyle w:evenVBand="false" w:oddVBand="true" w:firstColumn="false"/>
            <w:tcW w:w="25.000000%" w:type="pct"/>
          </w:tcPr>
          <w:p>
            <w:pPr>
              <w:ind w:leftChars="0" w:left="0" w:right="0"/>
            </w:pPr>
            <w:r>
              <w:t>AQSE GROWTH MARKET (NON-EQUITY)</w:t>
            </w:r>
          </w:p>
        </w:tc>
        <w:tc>
          <w:tcPr>
            <w:cnfStyle w:evenVBand="true" w:oddVBand="false" w:firstColumn="false"/>
            <w:tcW w:w="25.000000%" w:type="pct"/>
          </w:tcPr>
          <w:p>
            <w:pPr>
              <w:ind w:leftChars="0" w:left="0" w:right="0"/>
            </w:pPr>
            <w:r>
              <w:t>1315</w:t>
            </w:r>
          </w:p>
        </w:tc>
      </w:tr>
      <w:tr>
        <w:trPr>
          <w:cnfStyle w:evenHBand="false" w:oddHBand="true" w:firstRow="false"/>
        </w:trPr>
        <w:tc>
          <w:tcPr>
            <w:cnfStyle w:evenVBand="false" w:oddVBand="true" w:firstColumn="false"/>
            <w:tcW w:w="25.000000%" w:type="pct"/>
          </w:tcPr>
          <w:p>
            <w:pPr>
              <w:ind w:leftChars="0" w:left="0" w:right="0"/>
            </w:pPr>
            <w:r>
              <w:t>NEXG</w:t>
            </w:r>
          </w:p>
        </w:tc>
        <w:tc>
          <w:tcPr>
            <w:cnfStyle w:evenVBand="true" w:oddVBand="false" w:firstColumn="false"/>
            <w:tcW w:w="25.000000%" w:type="pct"/>
          </w:tcPr>
          <w:p>
            <w:pPr>
              <w:ind w:leftChars="0" w:left="0" w:right="0"/>
            </w:pPr>
            <w:r>
              <w:t>NEXG</w:t>
            </w:r>
          </w:p>
        </w:tc>
        <w:tc>
          <w:tcPr>
            <w:cnfStyle w:evenVBand="false" w:oddVBand="true" w:firstColumn="false"/>
            <w:tcW w:w="25.000000%" w:type="pct"/>
          </w:tcPr>
          <w:p>
            <w:pPr>
              <w:ind w:leftChars="0" w:left="0" w:right="0"/>
            </w:pPr>
            <w:r>
              <w:t>AQSE GROWTH MARKET (EQUITY)</w:t>
            </w:r>
          </w:p>
        </w:tc>
        <w:tc>
          <w:tcPr>
            <w:cnfStyle w:evenVBand="true" w:oddVBand="false" w:firstColumn="false"/>
            <w:tcW w:w="25.000000%" w:type="pct"/>
          </w:tcPr>
          <w:p>
            <w:pPr>
              <w:ind w:leftChars="0" w:left="0" w:right="0"/>
            </w:pPr>
            <w:r>
              <w:t>1316</w:t>
            </w:r>
          </w:p>
        </w:tc>
      </w:tr>
      <w:tr>
        <w:trPr>
          <w:cnfStyle w:evenHBand="true" w:oddHBand="false" w:firstRow="false"/>
        </w:trPr>
        <w:tc>
          <w:tcPr>
            <w:cnfStyle w:evenVBand="false" w:oddVBand="true" w:firstColumn="false"/>
            <w:tcW w:w="25.000000%" w:type="pct"/>
          </w:tcPr>
          <w:p>
            <w:pPr>
              <w:ind w:leftChars="0" w:left="0" w:right="0"/>
            </w:pPr>
            <w:r>
              <w:t>NEXL</w:t>
            </w:r>
          </w:p>
        </w:tc>
        <w:tc>
          <w:tcPr>
            <w:cnfStyle w:evenVBand="true" w:oddVBand="false" w:firstColumn="false"/>
            <w:tcW w:w="25.000000%" w:type="pct"/>
          </w:tcPr>
          <w:p>
            <w:pPr>
              <w:ind w:leftChars="0" w:left="0" w:right="0"/>
            </w:pPr>
            <w:r>
              <w:t>NEXL</w:t>
            </w:r>
          </w:p>
        </w:tc>
        <w:tc>
          <w:tcPr>
            <w:cnfStyle w:evenVBand="false" w:oddVBand="true" w:firstColumn="false"/>
            <w:tcW w:w="25.000000%" w:type="pct"/>
          </w:tcPr>
          <w:p>
            <w:pPr>
              <w:ind w:leftChars="0" w:left="0" w:right="0"/>
            </w:pPr>
            <w:r>
              <w:t>AQSE MAIN MARKET (EQUITY)</w:t>
            </w:r>
          </w:p>
        </w:tc>
        <w:tc>
          <w:tcPr>
            <w:cnfStyle w:evenVBand="true" w:oddVBand="false" w:firstColumn="false"/>
            <w:tcW w:w="25.000000%" w:type="pct"/>
          </w:tcPr>
          <w:p>
            <w:pPr>
              <w:ind w:leftChars="0" w:left="0" w:right="0"/>
            </w:pPr>
            <w:r>
              <w:t>1317</w:t>
            </w:r>
          </w:p>
        </w:tc>
      </w:tr>
      <w:tr>
        <w:trPr>
          <w:cnfStyle w:evenHBand="false" w:oddHBand="true" w:firstRow="false"/>
        </w:trPr>
        <w:tc>
          <w:tcPr>
            <w:cnfStyle w:evenVBand="false" w:oddVBand="true" w:firstColumn="false"/>
            <w:tcW w:w="25.000000%" w:type="pct"/>
          </w:tcPr>
          <w:p>
            <w:pPr>
              <w:ind w:leftChars="0" w:left="0" w:right="0"/>
            </w:pPr>
            <w:r>
              <w:t>NEXN</w:t>
            </w:r>
          </w:p>
        </w:tc>
        <w:tc>
          <w:tcPr>
            <w:cnfStyle w:evenVBand="true" w:oddVBand="false" w:firstColumn="false"/>
            <w:tcW w:w="25.000000%" w:type="pct"/>
          </w:tcPr>
          <w:p>
            <w:pPr>
              <w:ind w:leftChars="0" w:left="0" w:right="0"/>
            </w:pPr>
            <w:r>
              <w:t>NEXN</w:t>
            </w:r>
          </w:p>
        </w:tc>
        <w:tc>
          <w:tcPr>
            <w:cnfStyle w:evenVBand="false" w:oddVBand="true" w:firstColumn="false"/>
            <w:tcW w:w="25.000000%" w:type="pct"/>
          </w:tcPr>
          <w:p>
            <w:pPr>
              <w:ind w:leftChars="0" w:left="0" w:right="0"/>
            </w:pPr>
            <w:r>
              <w:t>AQSE TRADING (NON-EQUITY)</w:t>
            </w:r>
          </w:p>
        </w:tc>
        <w:tc>
          <w:tcPr>
            <w:cnfStyle w:evenVBand="true" w:oddVBand="false" w:firstColumn="false"/>
            <w:tcW w:w="25.000000%" w:type="pct"/>
          </w:tcPr>
          <w:p>
            <w:pPr>
              <w:ind w:leftChars="0" w:left="0" w:right="0"/>
            </w:pPr>
            <w:r>
              <w:t>1318</w:t>
            </w:r>
          </w:p>
        </w:tc>
      </w:tr>
      <w:tr>
        <w:trPr>
          <w:cnfStyle w:evenHBand="true" w:oddHBand="false" w:firstRow="false"/>
        </w:trPr>
        <w:tc>
          <w:tcPr>
            <w:cnfStyle w:evenVBand="false" w:oddVBand="true" w:firstColumn="false"/>
            <w:tcW w:w="25.000000%" w:type="pct"/>
          </w:tcPr>
          <w:p>
            <w:pPr>
              <w:ind w:leftChars="0" w:left="0" w:right="0"/>
            </w:pPr>
            <w:r>
              <w:t>NEXO</w:t>
            </w:r>
          </w:p>
        </w:tc>
        <w:tc>
          <w:tcPr>
            <w:cnfStyle w:evenVBand="true" w:oddVBand="false" w:firstColumn="false"/>
            <w:tcW w:w="25.000000%" w:type="pct"/>
          </w:tcPr>
          <w:p>
            <w:pPr>
              <w:ind w:leftChars="0" w:left="0" w:right="0"/>
            </w:pPr>
            <w:r>
              <w:t>NEXO</w:t>
            </w:r>
          </w:p>
        </w:tc>
        <w:tc>
          <w:tcPr>
            <w:cnfStyle w:evenVBand="false" w:oddVBand="true" w:firstColumn="false"/>
            <w:tcW w:w="25.000000%" w:type="pct"/>
          </w:tcPr>
          <w:p>
            <w:pPr>
              <w:ind w:leftChars="0" w:left="0" w:right="0"/>
            </w:pPr>
            <w:r>
              <w:t>NOREXECO ASA</w:t>
            </w:r>
          </w:p>
        </w:tc>
        <w:tc>
          <w:tcPr>
            <w:cnfStyle w:evenVBand="true" w:oddVBand="false" w:firstColumn="false"/>
            <w:tcW w:w="25.000000%" w:type="pct"/>
          </w:tcPr>
          <w:p>
            <w:pPr>
              <w:ind w:leftChars="0" w:left="0" w:right="0"/>
            </w:pPr>
            <w:r>
              <w:t>1319</w:t>
            </w:r>
          </w:p>
        </w:tc>
      </w:tr>
      <w:tr>
        <w:trPr>
          <w:cnfStyle w:evenHBand="false" w:oddHBand="true" w:firstRow="false"/>
        </w:trPr>
        <w:tc>
          <w:tcPr>
            <w:cnfStyle w:evenVBand="false" w:oddVBand="true" w:firstColumn="false"/>
            <w:tcW w:w="25.000000%" w:type="pct"/>
          </w:tcPr>
          <w:p>
            <w:pPr>
              <w:ind w:leftChars="0" w:left="0" w:right="0"/>
            </w:pPr>
            <w:r>
              <w:t>NEXS</w:t>
            </w:r>
          </w:p>
        </w:tc>
        <w:tc>
          <w:tcPr>
            <w:cnfStyle w:evenVBand="true" w:oddVBand="false" w:firstColumn="false"/>
            <w:tcW w:w="25.000000%" w:type="pct"/>
          </w:tcPr>
          <w:p>
            <w:pPr>
              <w:ind w:leftChars="0" w:left="0" w:right="0"/>
            </w:pPr>
            <w:r>
              <w:t>NEXS</w:t>
            </w:r>
          </w:p>
        </w:tc>
        <w:tc>
          <w:tcPr>
            <w:cnfStyle w:evenVBand="false" w:oddVBand="true" w:firstColumn="false"/>
            <w:tcW w:w="25.000000%" w:type="pct"/>
          </w:tcPr>
          <w:p>
            <w:pPr>
              <w:ind w:leftChars="0" w:left="0" w:right="0"/>
            </w:pPr>
            <w:r>
              <w:t>NEX SEF</w:t>
            </w:r>
          </w:p>
        </w:tc>
        <w:tc>
          <w:tcPr>
            <w:cnfStyle w:evenVBand="true" w:oddVBand="false" w:firstColumn="false"/>
            <w:tcW w:w="25.000000%" w:type="pct"/>
          </w:tcPr>
          <w:p>
            <w:pPr>
              <w:ind w:leftChars="0" w:left="0" w:right="0"/>
            </w:pPr>
            <w:r>
              <w:t>1320</w:t>
            </w:r>
          </w:p>
        </w:tc>
      </w:tr>
      <w:tr>
        <w:trPr>
          <w:cnfStyle w:evenHBand="true" w:oddHBand="false" w:firstRow="false"/>
        </w:trPr>
        <w:tc>
          <w:tcPr>
            <w:cnfStyle w:evenVBand="false" w:oddVBand="true" w:firstColumn="false"/>
            <w:tcW w:w="25.000000%" w:type="pct"/>
          </w:tcPr>
          <w:p>
            <w:pPr>
              <w:ind w:leftChars="0" w:left="0" w:right="0"/>
            </w:pPr>
            <w:r>
              <w:t>NEXT</w:t>
            </w:r>
          </w:p>
        </w:tc>
        <w:tc>
          <w:tcPr>
            <w:cnfStyle w:evenVBand="true" w:oddVBand="false" w:firstColumn="false"/>
            <w:tcW w:w="25.000000%" w:type="pct"/>
          </w:tcPr>
          <w:p>
            <w:pPr>
              <w:ind w:leftChars="0" w:left="0" w:right="0"/>
            </w:pPr>
            <w:r>
              <w:t>NEXT</w:t>
            </w:r>
          </w:p>
        </w:tc>
        <w:tc>
          <w:tcPr>
            <w:cnfStyle w:evenVBand="false" w:oddVBand="true" w:firstColumn="false"/>
            <w:tcW w:w="25.000000%" w:type="pct"/>
          </w:tcPr>
          <w:p>
            <w:pPr>
              <w:ind w:leftChars="0" w:left="0" w:right="0"/>
            </w:pPr>
            <w:r>
              <w:t>AQSE TRADING (EQUITY)</w:t>
            </w:r>
          </w:p>
        </w:tc>
        <w:tc>
          <w:tcPr>
            <w:cnfStyle w:evenVBand="true" w:oddVBand="false" w:firstColumn="false"/>
            <w:tcW w:w="25.000000%" w:type="pct"/>
          </w:tcPr>
          <w:p>
            <w:pPr>
              <w:ind w:leftChars="0" w:left="0" w:right="0"/>
            </w:pPr>
            <w:r>
              <w:t>1321</w:t>
            </w:r>
          </w:p>
        </w:tc>
      </w:tr>
      <w:tr>
        <w:trPr>
          <w:cnfStyle w:evenHBand="false" w:oddHBand="true" w:firstRow="false"/>
        </w:trPr>
        <w:tc>
          <w:tcPr>
            <w:cnfStyle w:evenVBand="false" w:oddVBand="true" w:firstColumn="false"/>
            <w:tcW w:w="25.000000%" w:type="pct"/>
          </w:tcPr>
          <w:p>
            <w:pPr>
              <w:ind w:leftChars="0" w:left="0" w:right="0"/>
            </w:pPr>
            <w:r>
              <w:t>NEXX</w:t>
            </w:r>
          </w:p>
        </w:tc>
        <w:tc>
          <w:tcPr>
            <w:cnfStyle w:evenVBand="true" w:oddVBand="false" w:firstColumn="false"/>
            <w:tcW w:w="25.000000%" w:type="pct"/>
          </w:tcPr>
          <w:p>
            <w:pPr>
              <w:ind w:leftChars="0" w:left="0" w:right="0"/>
            </w:pPr>
            <w:r>
              <w:t>NEXX</w:t>
            </w:r>
          </w:p>
        </w:tc>
        <w:tc>
          <w:tcPr>
            <w:cnfStyle w:evenVBand="false" w:oddVBand="true" w:firstColumn="false"/>
            <w:tcW w:w="25.000000%" w:type="pct"/>
          </w:tcPr>
          <w:p>
            <w:pPr>
              <w:ind w:leftChars="0" w:left="0" w:right="0"/>
            </w:pPr>
            <w:r>
              <w:t>AQUIS STOCK EXCHANGE</w:t>
            </w:r>
          </w:p>
        </w:tc>
        <w:tc>
          <w:tcPr>
            <w:cnfStyle w:evenVBand="true" w:oddVBand="false" w:firstColumn="false"/>
            <w:tcW w:w="25.000000%" w:type="pct"/>
          </w:tcPr>
          <w:p>
            <w:pPr>
              <w:ind w:leftChars="0" w:left="0" w:right="0"/>
            </w:pPr>
            <w:r>
              <w:t>1322</w:t>
            </w:r>
          </w:p>
        </w:tc>
      </w:tr>
      <w:tr>
        <w:trPr>
          <w:cnfStyle w:evenHBand="true" w:oddHBand="false" w:firstRow="false"/>
        </w:trPr>
        <w:tc>
          <w:tcPr>
            <w:cnfStyle w:evenVBand="false" w:oddVBand="true" w:firstColumn="false"/>
            <w:tcW w:w="25.000000%" w:type="pct"/>
          </w:tcPr>
          <w:p>
            <w:pPr>
              <w:ind w:leftChars="0" w:left="0" w:right="0"/>
            </w:pPr>
            <w:r>
              <w:t>NEXY</w:t>
            </w:r>
          </w:p>
        </w:tc>
        <w:tc>
          <w:tcPr>
            <w:cnfStyle w:evenVBand="true" w:oddVBand="false" w:firstColumn="false"/>
            <w:tcW w:w="25.000000%" w:type="pct"/>
          </w:tcPr>
          <w:p>
            <w:pPr>
              <w:ind w:leftChars="0" w:left="0" w:right="0"/>
            </w:pPr>
            <w:r>
              <w:t>NEXY</w:t>
            </w:r>
          </w:p>
        </w:tc>
        <w:tc>
          <w:tcPr>
            <w:cnfStyle w:evenVBand="false" w:oddVBand="true" w:firstColumn="false"/>
            <w:tcW w:w="25.000000%" w:type="pct"/>
          </w:tcPr>
          <w:p>
            <w:pPr>
              <w:ind w:leftChars="0" w:left="0" w:right="0"/>
            </w:pPr>
            <w:r>
              <w:t>EBS MTF - RFQ - FOR CORPORATES TRADING FX PRODUCTS</w:t>
            </w:r>
          </w:p>
        </w:tc>
        <w:tc>
          <w:tcPr>
            <w:cnfStyle w:evenVBand="true" w:oddVBand="false" w:firstColumn="false"/>
            <w:tcW w:w="25.000000%" w:type="pct"/>
          </w:tcPr>
          <w:p>
            <w:pPr>
              <w:ind w:leftChars="0" w:left="0" w:right="0"/>
            </w:pPr>
            <w:r>
              <w:t>1323</w:t>
            </w:r>
          </w:p>
        </w:tc>
      </w:tr>
      <w:tr>
        <w:trPr>
          <w:cnfStyle w:evenHBand="false" w:oddHBand="true" w:firstRow="false"/>
        </w:trPr>
        <w:tc>
          <w:tcPr>
            <w:cnfStyle w:evenVBand="false" w:oddVBand="true" w:firstColumn="false"/>
            <w:tcW w:w="25.000000%" w:type="pct"/>
          </w:tcPr>
          <w:p>
            <w:pPr>
              <w:ind w:leftChars="0" w:left="0" w:right="0"/>
            </w:pPr>
            <w:r>
              <w:t>NFSA</w:t>
            </w:r>
          </w:p>
        </w:tc>
        <w:tc>
          <w:tcPr>
            <w:cnfStyle w:evenVBand="true" w:oddVBand="false" w:firstColumn="false"/>
            <w:tcW w:w="25.000000%" w:type="pct"/>
          </w:tcPr>
          <w:p>
            <w:pPr>
              <w:ind w:leftChars="0" w:left="0" w:right="0"/>
            </w:pPr>
            <w:r>
              <w:t>NFSA</w:t>
            </w:r>
          </w:p>
        </w:tc>
        <w:tc>
          <w:tcPr>
            <w:cnfStyle w:evenVBand="false" w:oddVBand="true" w:firstColumn="false"/>
            <w:tcW w:w="25.000000%" w:type="pct"/>
          </w:tcPr>
          <w:p>
            <w:pPr>
              <w:ind w:leftChars="0" w:left="0" w:right="0"/>
            </w:pPr>
            <w:r>
              <w:t>FIDELITY CROSSSTREAM</w:t>
            </w:r>
          </w:p>
        </w:tc>
        <w:tc>
          <w:tcPr>
            <w:cnfStyle w:evenVBand="true" w:oddVBand="false" w:firstColumn="false"/>
            <w:tcW w:w="25.000000%" w:type="pct"/>
          </w:tcPr>
          <w:p>
            <w:pPr>
              <w:ind w:leftChars="0" w:left="0" w:right="0"/>
            </w:pPr>
            <w:r>
              <w:t>1324</w:t>
            </w:r>
          </w:p>
        </w:tc>
      </w:tr>
      <w:tr>
        <w:trPr>
          <w:cnfStyle w:evenHBand="true" w:oddHBand="false" w:firstRow="false"/>
        </w:trPr>
        <w:tc>
          <w:tcPr>
            <w:cnfStyle w:evenVBand="false" w:oddVBand="true" w:firstColumn="false"/>
            <w:tcW w:w="25.000000%" w:type="pct"/>
          </w:tcPr>
          <w:p>
            <w:pPr>
              <w:ind w:leftChars="0" w:left="0" w:right="0"/>
            </w:pPr>
            <w:r>
              <w:t>NFSC</w:t>
            </w:r>
          </w:p>
        </w:tc>
        <w:tc>
          <w:tcPr>
            <w:cnfStyle w:evenVBand="true" w:oddVBand="false" w:firstColumn="false"/>
            <w:tcW w:w="25.000000%" w:type="pct"/>
          </w:tcPr>
          <w:p>
            <w:pPr>
              <w:ind w:leftChars="0" w:left="0" w:right="0"/>
            </w:pPr>
            <w:r>
              <w:t>NFSC</w:t>
            </w:r>
          </w:p>
        </w:tc>
        <w:tc>
          <w:tcPr>
            <w:cnfStyle w:evenVBand="false" w:oddVBand="true" w:firstColumn="false"/>
            <w:tcW w:w="25.000000%" w:type="pct"/>
          </w:tcPr>
          <w:p>
            <w:pPr>
              <w:ind w:leftChars="0" w:left="0" w:right="0"/>
            </w:pPr>
            <w:r>
              <w:t>NATIONAL FINANCIAL SERVICES, LLC</w:t>
            </w:r>
          </w:p>
        </w:tc>
        <w:tc>
          <w:tcPr>
            <w:cnfStyle w:evenVBand="true" w:oddVBand="false" w:firstColumn="false"/>
            <w:tcW w:w="25.000000%" w:type="pct"/>
          </w:tcPr>
          <w:p>
            <w:pPr>
              <w:ind w:leftChars="0" w:left="0" w:right="0"/>
            </w:pPr>
            <w:r>
              <w:t>1325</w:t>
            </w:r>
          </w:p>
        </w:tc>
      </w:tr>
      <w:tr>
        <w:trPr>
          <w:cnfStyle w:evenHBand="false" w:oddHBand="true" w:firstRow="false"/>
        </w:trPr>
        <w:tc>
          <w:tcPr>
            <w:cnfStyle w:evenVBand="false" w:oddVBand="true" w:firstColumn="false"/>
            <w:tcW w:w="25.000000%" w:type="pct"/>
          </w:tcPr>
          <w:p>
            <w:pPr>
              <w:ind w:leftChars="0" w:left="0" w:right="0"/>
            </w:pPr>
            <w:r>
              <w:t>NFSD</w:t>
            </w:r>
          </w:p>
        </w:tc>
        <w:tc>
          <w:tcPr>
            <w:cnfStyle w:evenVBand="true" w:oddVBand="false" w:firstColumn="false"/>
            <w:tcW w:w="25.000000%" w:type="pct"/>
          </w:tcPr>
          <w:p>
            <w:pPr>
              <w:ind w:leftChars="0" w:left="0" w:right="0"/>
            </w:pPr>
            <w:r>
              <w:t>NFSD</w:t>
            </w:r>
          </w:p>
        </w:tc>
        <w:tc>
          <w:tcPr>
            <w:cnfStyle w:evenVBand="false" w:oddVBand="true" w:firstColumn="false"/>
            <w:tcW w:w="25.000000%" w:type="pct"/>
          </w:tcPr>
          <w:p>
            <w:pPr>
              <w:ind w:leftChars="0" w:left="0" w:right="0"/>
            </w:pPr>
            <w:r>
              <w:t>FIDELITY DARK</w:t>
            </w:r>
          </w:p>
        </w:tc>
        <w:tc>
          <w:tcPr>
            <w:cnfStyle w:evenVBand="true" w:oddVBand="false" w:firstColumn="false"/>
            <w:tcW w:w="25.000000%" w:type="pct"/>
          </w:tcPr>
          <w:p>
            <w:pPr>
              <w:ind w:leftChars="0" w:left="0" w:right="0"/>
            </w:pPr>
            <w:r>
              <w:t>1326</w:t>
            </w:r>
          </w:p>
        </w:tc>
      </w:tr>
      <w:tr>
        <w:trPr>
          <w:cnfStyle w:evenHBand="true" w:oddHBand="false" w:firstRow="false"/>
        </w:trPr>
        <w:tc>
          <w:tcPr>
            <w:cnfStyle w:evenVBand="false" w:oddVBand="true" w:firstColumn="false"/>
            <w:tcW w:w="25.000000%" w:type="pct"/>
          </w:tcPr>
          <w:p>
            <w:pPr>
              <w:ind w:leftChars="0" w:left="0" w:right="0"/>
            </w:pPr>
            <w:r>
              <w:t>NGXC</w:t>
            </w:r>
          </w:p>
        </w:tc>
        <w:tc>
          <w:tcPr>
            <w:cnfStyle w:evenVBand="true" w:oddVBand="false" w:firstColumn="false"/>
            <w:tcW w:w="25.000000%" w:type="pct"/>
          </w:tcPr>
          <w:p>
            <w:pPr>
              <w:ind w:leftChars="0" w:left="0" w:right="0"/>
            </w:pPr>
            <w:r>
              <w:t>NGXC</w:t>
            </w:r>
          </w:p>
        </w:tc>
        <w:tc>
          <w:tcPr>
            <w:cnfStyle w:evenVBand="false" w:oddVBand="true" w:firstColumn="false"/>
            <w:tcW w:w="25.000000%" w:type="pct"/>
          </w:tcPr>
          <w:p>
            <w:pPr>
              <w:ind w:leftChars="0" w:left="0" w:right="0"/>
            </w:pPr>
            <w:r>
              <w:t>NATURAL GAS EXCHANGE</w:t>
            </w:r>
          </w:p>
        </w:tc>
        <w:tc>
          <w:tcPr>
            <w:cnfStyle w:evenVBand="true" w:oddVBand="false" w:firstColumn="false"/>
            <w:tcW w:w="25.000000%" w:type="pct"/>
          </w:tcPr>
          <w:p>
            <w:pPr>
              <w:ind w:leftChars="0" w:left="0" w:right="0"/>
            </w:pPr>
            <w:r>
              <w:t>1327</w:t>
            </w:r>
          </w:p>
        </w:tc>
      </w:tr>
      <w:tr>
        <w:trPr>
          <w:cnfStyle w:evenHBand="false" w:oddHBand="true" w:firstRow="false"/>
        </w:trPr>
        <w:tc>
          <w:tcPr>
            <w:cnfStyle w:evenVBand="false" w:oddVBand="true" w:firstColumn="false"/>
            <w:tcW w:w="25.000000%" w:type="pct"/>
          </w:tcPr>
          <w:p>
            <w:pPr>
              <w:ind w:leftChars="0" w:left="0" w:right="0"/>
            </w:pPr>
            <w:r>
              <w:t>NIBC</w:t>
            </w:r>
          </w:p>
        </w:tc>
        <w:tc>
          <w:tcPr>
            <w:cnfStyle w:evenVBand="true" w:oddVBand="false" w:firstColumn="false"/>
            <w:tcW w:w="25.000000%" w:type="pct"/>
          </w:tcPr>
          <w:p>
            <w:pPr>
              <w:ind w:leftChars="0" w:left="0" w:right="0"/>
            </w:pPr>
            <w:r>
              <w:t>NIBC</w:t>
            </w:r>
          </w:p>
        </w:tc>
        <w:tc>
          <w:tcPr>
            <w:cnfStyle w:evenVBand="false" w:oddVBand="true" w:firstColumn="false"/>
            <w:tcW w:w="25.000000%" w:type="pct"/>
          </w:tcPr>
          <w:p>
            <w:pPr>
              <w:ind w:leftChars="0" w:left="0" w:right="0"/>
            </w:pPr>
            <w:r>
              <w:t>NIBC - SYSTEMIC INTERNALISER</w:t>
            </w:r>
          </w:p>
        </w:tc>
        <w:tc>
          <w:tcPr>
            <w:cnfStyle w:evenVBand="true" w:oddVBand="false" w:firstColumn="false"/>
            <w:tcW w:w="25.000000%" w:type="pct"/>
          </w:tcPr>
          <w:p>
            <w:pPr>
              <w:ind w:leftChars="0" w:left="0" w:right="0"/>
            </w:pPr>
            <w:r>
              <w:t>1328</w:t>
            </w:r>
          </w:p>
        </w:tc>
      </w:tr>
      <w:tr>
        <w:trPr>
          <w:cnfStyle w:evenHBand="true" w:oddHBand="false" w:firstRow="false"/>
        </w:trPr>
        <w:tc>
          <w:tcPr>
            <w:cnfStyle w:evenVBand="false" w:oddVBand="true" w:firstColumn="false"/>
            <w:tcW w:w="25.000000%" w:type="pct"/>
          </w:tcPr>
          <w:p>
            <w:pPr>
              <w:ind w:leftChars="0" w:left="0" w:right="0"/>
            </w:pPr>
            <w:r>
              <w:t>NIBR</w:t>
            </w:r>
          </w:p>
        </w:tc>
        <w:tc>
          <w:tcPr>
            <w:cnfStyle w:evenVBand="true" w:oddVBand="false" w:firstColumn="false"/>
            <w:tcW w:w="25.000000%" w:type="pct"/>
          </w:tcPr>
          <w:p>
            <w:pPr>
              <w:ind w:leftChars="0" w:left="0" w:right="0"/>
            </w:pPr>
            <w:r>
              <w:t>NIBR</w:t>
            </w:r>
          </w:p>
        </w:tc>
        <w:tc>
          <w:tcPr>
            <w:cnfStyle w:evenVBand="false" w:oddVBand="true" w:firstColumn="false"/>
            <w:tcW w:w="25.000000%" w:type="pct"/>
          </w:tcPr>
          <w:p>
            <w:pPr>
              <w:ind w:leftChars="0" w:left="0" w:right="0"/>
            </w:pPr>
            <w:r>
              <w:t>NORWEGIAN INTER BANK OFFERED RATE</w:t>
            </w:r>
          </w:p>
        </w:tc>
        <w:tc>
          <w:tcPr>
            <w:cnfStyle w:evenVBand="true" w:oddVBand="false" w:firstColumn="false"/>
            <w:tcW w:w="25.000000%" w:type="pct"/>
          </w:tcPr>
          <w:p>
            <w:pPr>
              <w:ind w:leftChars="0" w:left="0" w:right="0"/>
            </w:pPr>
            <w:r>
              <w:t>1329</w:t>
            </w:r>
          </w:p>
        </w:tc>
      </w:tr>
      <w:tr>
        <w:trPr>
          <w:cnfStyle w:evenHBand="false" w:oddHBand="true" w:firstRow="false"/>
        </w:trPr>
        <w:tc>
          <w:tcPr>
            <w:cnfStyle w:evenVBand="false" w:oddVBand="true" w:firstColumn="false"/>
            <w:tcW w:w="25.000000%" w:type="pct"/>
          </w:tcPr>
          <w:p>
            <w:pPr>
              <w:ind w:leftChars="0" w:left="0" w:right="0"/>
            </w:pPr>
            <w:r>
              <w:t>NILX</w:t>
            </w:r>
          </w:p>
        </w:tc>
        <w:tc>
          <w:tcPr>
            <w:cnfStyle w:evenVBand="true" w:oddVBand="false" w:firstColumn="false"/>
            <w:tcW w:w="25.000000%" w:type="pct"/>
          </w:tcPr>
          <w:p>
            <w:pPr>
              <w:ind w:leftChars="0" w:left="0" w:right="0"/>
            </w:pPr>
            <w:r>
              <w:t>NILX</w:t>
            </w:r>
          </w:p>
        </w:tc>
        <w:tc>
          <w:tcPr>
            <w:cnfStyle w:evenVBand="false" w:oddVBand="true" w:firstColumn="false"/>
            <w:tcW w:w="25.000000%" w:type="pct"/>
          </w:tcPr>
          <w:p>
            <w:pPr>
              <w:ind w:leftChars="0" w:left="0" w:right="0"/>
            </w:pPr>
            <w:r>
              <w:t>NILE STOCK EXCHANGE</w:t>
            </w:r>
          </w:p>
        </w:tc>
        <w:tc>
          <w:tcPr>
            <w:cnfStyle w:evenVBand="true" w:oddVBand="false" w:firstColumn="false"/>
            <w:tcW w:w="25.000000%" w:type="pct"/>
          </w:tcPr>
          <w:p>
            <w:pPr>
              <w:ind w:leftChars="0" w:left="0" w:right="0"/>
            </w:pPr>
            <w:r>
              <w:t>1330</w:t>
            </w:r>
          </w:p>
        </w:tc>
      </w:tr>
      <w:tr>
        <w:trPr>
          <w:cnfStyle w:evenHBand="true" w:oddHBand="false" w:firstRow="false"/>
        </w:trPr>
        <w:tc>
          <w:tcPr>
            <w:cnfStyle w:evenVBand="false" w:oddVBand="true" w:firstColumn="false"/>
            <w:tcW w:w="25.000000%" w:type="pct"/>
          </w:tcPr>
          <w:p>
            <w:pPr>
              <w:ind w:leftChars="0" w:left="0" w:right="0"/>
            </w:pPr>
            <w:r>
              <w:t>NLAX</w:t>
            </w:r>
          </w:p>
        </w:tc>
        <w:tc>
          <w:tcPr>
            <w:cnfStyle w:evenVBand="true" w:oddVBand="false" w:firstColumn="false"/>
            <w:tcW w:w="25.000000%" w:type="pct"/>
          </w:tcPr>
          <w:p>
            <w:pPr>
              <w:ind w:leftChars="0" w:left="0" w:right="0"/>
            </w:pPr>
            <w:r>
              <w:t>NLAX</w:t>
            </w:r>
          </w:p>
        </w:tc>
        <w:tc>
          <w:tcPr>
            <w:cnfStyle w:evenVBand="false" w:oddVBand="true" w:firstColumn="false"/>
            <w:tcW w:w="25.000000%" w:type="pct"/>
          </w:tcPr>
          <w:p>
            <w:pPr>
              <w:ind w:leftChars="0" w:left="0" w:right="0"/>
            </w:pPr>
            <w:r>
              <w:t>CLEARPOOL EXECUTION SERVICES, LLC - NATURAL LIQUIDITY ALLIANCE</w:t>
            </w:r>
          </w:p>
        </w:tc>
        <w:tc>
          <w:tcPr>
            <w:cnfStyle w:evenVBand="true" w:oddVBand="false" w:firstColumn="false"/>
            <w:tcW w:w="25.000000%" w:type="pct"/>
          </w:tcPr>
          <w:p>
            <w:pPr>
              <w:ind w:leftChars="0" w:left="0" w:right="0"/>
            </w:pPr>
            <w:r>
              <w:t>1331</w:t>
            </w:r>
          </w:p>
        </w:tc>
      </w:tr>
      <w:tr>
        <w:trPr>
          <w:cnfStyle w:evenHBand="false" w:oddHBand="true" w:firstRow="false"/>
        </w:trPr>
        <w:tc>
          <w:tcPr>
            <w:cnfStyle w:evenVBand="false" w:oddVBand="true" w:firstColumn="false"/>
            <w:tcW w:w="25.000000%" w:type="pct"/>
          </w:tcPr>
          <w:p>
            <w:pPr>
              <w:ind w:leftChars="0" w:left="0" w:right="0"/>
            </w:pPr>
            <w:r>
              <w:t>NLBX</w:t>
            </w:r>
          </w:p>
        </w:tc>
        <w:tc>
          <w:tcPr>
            <w:cnfStyle w:evenVBand="true" w:oddVBand="false" w:firstColumn="false"/>
            <w:tcW w:w="25.000000%" w:type="pct"/>
          </w:tcPr>
          <w:p>
            <w:pPr>
              <w:ind w:leftChars="0" w:left="0" w:right="0"/>
            </w:pPr>
            <w:r>
              <w:t>NLBX</w:t>
            </w:r>
          </w:p>
        </w:tc>
        <w:tc>
          <w:tcPr>
            <w:cnfStyle w:evenVBand="false" w:oddVBand="true" w:firstColumn="false"/>
            <w:tcW w:w="25.000000%" w:type="pct"/>
          </w:tcPr>
          <w:p>
            <w:pPr>
              <w:ind w:leftChars="0" w:left="0" w:right="0"/>
            </w:pPr>
            <w:r>
              <w:t>NORDDEUTSCHE LANDESBANK - GIROZENTRALE - SYSTEMATIC INTERNALISER</w:t>
            </w:r>
          </w:p>
        </w:tc>
        <w:tc>
          <w:tcPr>
            <w:cnfStyle w:evenVBand="true" w:oddVBand="false" w:firstColumn="false"/>
            <w:tcW w:w="25.000000%" w:type="pct"/>
          </w:tcPr>
          <w:p>
            <w:pPr>
              <w:ind w:leftChars="0" w:left="0" w:right="0"/>
            </w:pPr>
            <w:r>
              <w:t>1332</w:t>
            </w:r>
          </w:p>
        </w:tc>
      </w:tr>
      <w:tr>
        <w:trPr>
          <w:cnfStyle w:evenHBand="true" w:oddHBand="false" w:firstRow="false"/>
        </w:trPr>
        <w:tc>
          <w:tcPr>
            <w:cnfStyle w:evenVBand="false" w:oddVBand="true" w:firstColumn="false"/>
            <w:tcW w:w="25.000000%" w:type="pct"/>
          </w:tcPr>
          <w:p>
            <w:pPr>
              <w:ind w:leftChars="0" w:left="0" w:right="0"/>
            </w:pPr>
            <w:r>
              <w:t>NLPX</w:t>
            </w:r>
          </w:p>
        </w:tc>
        <w:tc>
          <w:tcPr>
            <w:cnfStyle w:evenVBand="true" w:oddVBand="false" w:firstColumn="false"/>
            <w:tcW w:w="25.000000%" w:type="pct"/>
          </w:tcPr>
          <w:p>
            <w:pPr>
              <w:ind w:leftChars="0" w:left="0" w:right="0"/>
            </w:pPr>
            <w:r>
              <w:t>NLPX</w:t>
            </w:r>
          </w:p>
        </w:tc>
        <w:tc>
          <w:tcPr>
            <w:cnfStyle w:evenVBand="false" w:oddVBand="true" w:firstColumn="false"/>
            <w:tcW w:w="25.000000%" w:type="pct"/>
          </w:tcPr>
          <w:p>
            <w:pPr>
              <w:ind w:leftChars="0" w:left="0" w:right="0"/>
            </w:pPr>
            <w:r>
              <w:t>APX POWER NL</w:t>
            </w:r>
          </w:p>
        </w:tc>
        <w:tc>
          <w:tcPr>
            <w:cnfStyle w:evenVBand="true" w:oddVBand="false" w:firstColumn="false"/>
            <w:tcW w:w="25.000000%" w:type="pct"/>
          </w:tcPr>
          <w:p>
            <w:pPr>
              <w:ind w:leftChars="0" w:left="0" w:right="0"/>
            </w:pPr>
            <w:r>
              <w:t>1333</w:t>
            </w:r>
          </w:p>
        </w:tc>
      </w:tr>
      <w:tr>
        <w:trPr>
          <w:cnfStyle w:evenHBand="false" w:oddHBand="true" w:firstRow="false"/>
        </w:trPr>
        <w:tc>
          <w:tcPr>
            <w:cnfStyle w:evenVBand="false" w:oddVBand="true" w:firstColumn="false"/>
            <w:tcW w:w="25.000000%" w:type="pct"/>
          </w:tcPr>
          <w:p>
            <w:pPr>
              <w:ind w:leftChars="0" w:left="0" w:right="0"/>
            </w:pPr>
            <w:r>
              <w:t>NMCE</w:t>
            </w:r>
          </w:p>
        </w:tc>
        <w:tc>
          <w:tcPr>
            <w:cnfStyle w:evenVBand="true" w:oddVBand="false" w:firstColumn="false"/>
            <w:tcW w:w="25.000000%" w:type="pct"/>
          </w:tcPr>
          <w:p>
            <w:pPr>
              <w:ind w:leftChars="0" w:left="0" w:right="0"/>
            </w:pPr>
            <w:r>
              <w:t>NMCE</w:t>
            </w:r>
          </w:p>
        </w:tc>
        <w:tc>
          <w:tcPr>
            <w:cnfStyle w:evenVBand="false" w:oddVBand="true" w:firstColumn="false"/>
            <w:tcW w:w="25.000000%" w:type="pct"/>
          </w:tcPr>
          <w:p>
            <w:pPr>
              <w:ind w:leftChars="0" w:left="0" w:right="0"/>
            </w:pPr>
            <w:r>
              <w:t>NATIONAL MULTI-COMMODITY EXCHANGE OF INDIA</w:t>
            </w:r>
          </w:p>
        </w:tc>
        <w:tc>
          <w:tcPr>
            <w:cnfStyle w:evenVBand="true" w:oddVBand="false" w:firstColumn="false"/>
            <w:tcW w:w="25.000000%" w:type="pct"/>
          </w:tcPr>
          <w:p>
            <w:pPr>
              <w:ind w:leftChars="0" w:left="0" w:right="0"/>
            </w:pPr>
            <w:r>
              <w:t>1334</w:t>
            </w:r>
          </w:p>
        </w:tc>
      </w:tr>
      <w:tr>
        <w:trPr>
          <w:cnfStyle w:evenHBand="true" w:oddHBand="false" w:firstRow="false"/>
        </w:trPr>
        <w:tc>
          <w:tcPr>
            <w:cnfStyle w:evenVBand="false" w:oddVBand="true" w:firstColumn="false"/>
            <w:tcW w:w="25.000000%" w:type="pct"/>
          </w:tcPr>
          <w:p>
            <w:pPr>
              <w:ind w:leftChars="0" w:left="0" w:right="0"/>
            </w:pPr>
            <w:r>
              <w:t>NMRA</w:t>
            </w:r>
          </w:p>
        </w:tc>
        <w:tc>
          <w:tcPr>
            <w:cnfStyle w:evenVBand="true" w:oddVBand="false" w:firstColumn="false"/>
            <w:tcW w:w="25.000000%" w:type="pct"/>
          </w:tcPr>
          <w:p>
            <w:pPr>
              <w:ind w:leftChars="0" w:left="0" w:right="0"/>
            </w:pPr>
            <w:r>
              <w:t>NMRA</w:t>
            </w:r>
          </w:p>
        </w:tc>
        <w:tc>
          <w:tcPr>
            <w:cnfStyle w:evenVBand="false" w:oddVBand="true" w:firstColumn="false"/>
            <w:tcW w:w="25.000000%" w:type="pct"/>
          </w:tcPr>
          <w:p>
            <w:pPr>
              <w:ind w:leftChars="0" w:left="0" w:right="0"/>
            </w:pPr>
            <w:r>
              <w:t>NOMURA SECURITIES INTERNATIONAL</w:t>
            </w:r>
          </w:p>
        </w:tc>
        <w:tc>
          <w:tcPr>
            <w:cnfStyle w:evenVBand="true" w:oddVBand="false" w:firstColumn="false"/>
            <w:tcW w:w="25.000000%" w:type="pct"/>
          </w:tcPr>
          <w:p>
            <w:pPr>
              <w:ind w:leftChars="0" w:left="0" w:right="0"/>
            </w:pPr>
            <w:r>
              <w:t>1335</w:t>
            </w:r>
          </w:p>
        </w:tc>
      </w:tr>
      <w:tr>
        <w:trPr>
          <w:cnfStyle w:evenHBand="false" w:oddHBand="true" w:firstRow="false"/>
        </w:trPr>
        <w:tc>
          <w:tcPr>
            <w:cnfStyle w:evenVBand="false" w:oddVBand="true" w:firstColumn="false"/>
            <w:tcW w:w="25.000000%" w:type="pct"/>
          </w:tcPr>
          <w:p>
            <w:pPr>
              <w:ind w:leftChars="0" w:left="0" w:right="0"/>
            </w:pPr>
            <w:r>
              <w:t>NMRJ</w:t>
            </w:r>
          </w:p>
        </w:tc>
        <w:tc>
          <w:tcPr>
            <w:cnfStyle w:evenVBand="true" w:oddVBand="false" w:firstColumn="false"/>
            <w:tcW w:w="25.000000%" w:type="pct"/>
          </w:tcPr>
          <w:p>
            <w:pPr>
              <w:ind w:leftChars="0" w:left="0" w:right="0"/>
            </w:pPr>
            <w:r>
              <w:t>NMRJ</w:t>
            </w:r>
          </w:p>
        </w:tc>
        <w:tc>
          <w:tcPr>
            <w:cnfStyle w:evenVBand="false" w:oddVBand="true" w:firstColumn="false"/>
            <w:tcW w:w="25.000000%" w:type="pct"/>
          </w:tcPr>
          <w:p>
            <w:pPr>
              <w:ind w:leftChars="0" w:left="0" w:right="0"/>
            </w:pPr>
            <w:r>
              <w:t>NOMURA SECURITIES CO LTD</w:t>
            </w:r>
          </w:p>
        </w:tc>
        <w:tc>
          <w:tcPr>
            <w:cnfStyle w:evenVBand="true" w:oddVBand="false" w:firstColumn="false"/>
            <w:tcW w:w="25.000000%" w:type="pct"/>
          </w:tcPr>
          <w:p>
            <w:pPr>
              <w:ind w:leftChars="0" w:left="0" w:right="0"/>
            </w:pPr>
            <w:r>
              <w:t>1336</w:t>
            </w:r>
          </w:p>
        </w:tc>
      </w:tr>
      <w:tr>
        <w:trPr>
          <w:cnfStyle w:evenHBand="true" w:oddHBand="false" w:firstRow="false"/>
        </w:trPr>
        <w:tc>
          <w:tcPr>
            <w:cnfStyle w:evenVBand="false" w:oddVBand="true" w:firstColumn="false"/>
            <w:tcW w:w="25.000000%" w:type="pct"/>
          </w:tcPr>
          <w:p>
            <w:pPr>
              <w:ind w:leftChars="0" w:left="0" w:right="0"/>
            </w:pPr>
            <w:r>
              <w:t>NMSX</w:t>
            </w:r>
          </w:p>
        </w:tc>
        <w:tc>
          <w:tcPr>
            <w:cnfStyle w:evenVBand="true" w:oddVBand="false" w:firstColumn="false"/>
            <w:tcW w:w="25.000000%" w:type="pct"/>
          </w:tcPr>
          <w:p>
            <w:pPr>
              <w:ind w:leftChars="0" w:left="0" w:right="0"/>
            </w:pPr>
            <w:r>
              <w:t>NMSX</w:t>
            </w:r>
          </w:p>
        </w:tc>
        <w:tc>
          <w:tcPr>
            <w:cnfStyle w:evenVBand="false" w:oddVBand="true" w:firstColumn="false"/>
            <w:tcW w:w="25.000000%" w:type="pct"/>
          </w:tcPr>
          <w:p>
            <w:pPr>
              <w:ind w:leftChars="0" w:left="0" w:right="0"/>
            </w:pPr>
            <w:r>
              <w:t>NOMURA - EXTERNAL CROSSING PLATFORM</w:t>
            </w:r>
          </w:p>
        </w:tc>
        <w:tc>
          <w:tcPr>
            <w:cnfStyle w:evenVBand="true" w:oddVBand="false" w:firstColumn="false"/>
            <w:tcW w:w="25.000000%" w:type="pct"/>
          </w:tcPr>
          <w:p>
            <w:pPr>
              <w:ind w:leftChars="0" w:left="0" w:right="0"/>
            </w:pPr>
            <w:r>
              <w:t>1337</w:t>
            </w:r>
          </w:p>
        </w:tc>
      </w:tr>
      <w:tr>
        <w:trPr>
          <w:cnfStyle w:evenHBand="false" w:oddHBand="true" w:firstRow="false"/>
        </w:trPr>
        <w:tc>
          <w:tcPr>
            <w:cnfStyle w:evenVBand="false" w:oddVBand="true" w:firstColumn="false"/>
            <w:tcW w:w="25.000000%" w:type="pct"/>
          </w:tcPr>
          <w:p>
            <w:pPr>
              <w:ind w:leftChars="0" w:left="0" w:right="0"/>
            </w:pPr>
            <w:r>
              <w:t>NMTF</w:t>
            </w:r>
          </w:p>
        </w:tc>
        <w:tc>
          <w:tcPr>
            <w:cnfStyle w:evenVBand="true" w:oddVBand="false" w:firstColumn="false"/>
            <w:tcW w:w="25.000000%" w:type="pct"/>
          </w:tcPr>
          <w:p>
            <w:pPr>
              <w:ind w:leftChars="0" w:left="0" w:right="0"/>
            </w:pPr>
            <w:r>
              <w:t>NMTF</w:t>
            </w:r>
          </w:p>
        </w:tc>
        <w:tc>
          <w:tcPr>
            <w:cnfStyle w:evenVBand="false" w:oddVBand="true" w:firstColumn="false"/>
            <w:tcW w:w="25.000000%" w:type="pct"/>
          </w:tcPr>
          <w:p>
            <w:pPr>
              <w:ind w:leftChars="0" w:left="0" w:right="0"/>
            </w:pPr>
            <w:r>
              <w:t>NORDIC MTF</w:t>
            </w:r>
          </w:p>
        </w:tc>
        <w:tc>
          <w:tcPr>
            <w:cnfStyle w:evenVBand="true" w:oddVBand="false" w:firstColumn="false"/>
            <w:tcW w:w="25.000000%" w:type="pct"/>
          </w:tcPr>
          <w:p>
            <w:pPr>
              <w:ind w:leftChars="0" w:left="0" w:right="0"/>
            </w:pPr>
            <w:r>
              <w:t>1338</w:t>
            </w:r>
          </w:p>
        </w:tc>
      </w:tr>
      <w:tr>
        <w:trPr>
          <w:cnfStyle w:evenHBand="true" w:oddHBand="false" w:firstRow="false"/>
        </w:trPr>
        <w:tc>
          <w:tcPr>
            <w:cnfStyle w:evenVBand="false" w:oddVBand="true" w:firstColumn="false"/>
            <w:tcW w:w="25.000000%" w:type="pct"/>
          </w:tcPr>
          <w:p>
            <w:pPr>
              <w:ind w:leftChars="0" w:left="0" w:right="0"/>
            </w:pPr>
            <w:r>
              <w:t>NMTS</w:t>
            </w:r>
          </w:p>
        </w:tc>
        <w:tc>
          <w:tcPr>
            <w:cnfStyle w:evenVBand="true" w:oddVBand="false" w:firstColumn="false"/>
            <w:tcW w:w="25.000000%" w:type="pct"/>
          </w:tcPr>
          <w:p>
            <w:pPr>
              <w:ind w:leftChars="0" w:left="0" w:right="0"/>
            </w:pPr>
            <w:r>
              <w:t>NMTS</w:t>
            </w:r>
          </w:p>
        </w:tc>
        <w:tc>
          <w:tcPr>
            <w:cnfStyle w:evenVBand="false" w:oddVBand="true" w:firstColumn="false"/>
            <w:tcW w:w="25.000000%" w:type="pct"/>
          </w:tcPr>
          <w:p>
            <w:pPr>
              <w:ind w:leftChars="0" w:left="0" w:right="0"/>
            </w:pPr>
            <w:r>
              <w:t>NEW EUROMTS</w:t>
            </w:r>
          </w:p>
        </w:tc>
        <w:tc>
          <w:tcPr>
            <w:cnfStyle w:evenVBand="true" w:oddVBand="false" w:firstColumn="false"/>
            <w:tcW w:w="25.000000%" w:type="pct"/>
          </w:tcPr>
          <w:p>
            <w:pPr>
              <w:ind w:leftChars="0" w:left="0" w:right="0"/>
            </w:pPr>
            <w:r>
              <w:t>1339</w:t>
            </w:r>
          </w:p>
        </w:tc>
      </w:tr>
      <w:tr>
        <w:trPr>
          <w:cnfStyle w:evenHBand="false" w:oddHBand="true" w:firstRow="false"/>
        </w:trPr>
        <w:tc>
          <w:tcPr>
            <w:cnfStyle w:evenVBand="false" w:oddVBand="true" w:firstColumn="false"/>
            <w:tcW w:w="25.000000%" w:type="pct"/>
          </w:tcPr>
          <w:p>
            <w:pPr>
              <w:ind w:leftChars="0" w:left="0" w:right="0"/>
            </w:pPr>
            <w:r>
              <w:t>NNCS</w:t>
            </w:r>
          </w:p>
        </w:tc>
        <w:tc>
          <w:tcPr>
            <w:cnfStyle w:evenVBand="true" w:oddVBand="false" w:firstColumn="false"/>
            <w:tcW w:w="25.000000%" w:type="pct"/>
          </w:tcPr>
          <w:p>
            <w:pPr>
              <w:ind w:leftChars="0" w:left="0" w:right="0"/>
            </w:pPr>
            <w:r>
              <w:t>NNCS</w:t>
            </w:r>
          </w:p>
        </w:tc>
        <w:tc>
          <w:tcPr>
            <w:cnfStyle w:evenVBand="false" w:oddVBand="true" w:firstColumn="false"/>
            <w:tcW w:w="25.000000%" w:type="pct"/>
          </w:tcPr>
          <w:p>
            <w:pPr>
              <w:ind w:leftChars="0" w:left="0" w:right="0"/>
            </w:pPr>
            <w:r>
              <w:t>REGIONAL EXCHANGE CENTRE - MICEX VOLGA REGION</w:t>
            </w:r>
          </w:p>
        </w:tc>
        <w:tc>
          <w:tcPr>
            <w:cnfStyle w:evenVBand="true" w:oddVBand="false" w:firstColumn="false"/>
            <w:tcW w:w="25.000000%" w:type="pct"/>
          </w:tcPr>
          <w:p>
            <w:pPr>
              <w:ind w:leftChars="0" w:left="0" w:right="0"/>
            </w:pPr>
            <w:r>
              <w:t>1340</w:t>
            </w:r>
          </w:p>
        </w:tc>
      </w:tr>
      <w:tr>
        <w:trPr>
          <w:cnfStyle w:evenHBand="true" w:oddHBand="false" w:firstRow="false"/>
        </w:trPr>
        <w:tc>
          <w:tcPr>
            <w:cnfStyle w:evenVBand="false" w:oddVBand="true" w:firstColumn="false"/>
            <w:tcW w:w="25.000000%" w:type="pct"/>
          </w:tcPr>
          <w:p>
            <w:pPr>
              <w:ind w:leftChars="0" w:left="0" w:right="0"/>
            </w:pPr>
            <w:r>
              <w:t>NOCO</w:t>
            </w:r>
          </w:p>
        </w:tc>
        <w:tc>
          <w:tcPr>
            <w:cnfStyle w:evenVBand="true" w:oddVBand="false" w:firstColumn="false"/>
            <w:tcW w:w="25.000000%" w:type="pct"/>
          </w:tcPr>
          <w:p>
            <w:pPr>
              <w:ind w:leftChars="0" w:left="0" w:right="0"/>
            </w:pPr>
            <w:r>
              <w:t>NOCO</w:t>
            </w:r>
          </w:p>
        </w:tc>
        <w:tc>
          <w:tcPr>
            <w:cnfStyle w:evenVBand="false" w:oddVBand="true" w:firstColumn="false"/>
            <w:tcW w:w="25.000000%" w:type="pct"/>
          </w:tcPr>
          <w:p>
            <w:pPr>
              <w:ind w:leftChars="0" w:left="0" w:right="0"/>
            </w:pPr>
            <w:r>
              <w:t>NASDAQ STOCKHOLM AB - COMMODITIES</w:t>
            </w:r>
          </w:p>
        </w:tc>
        <w:tc>
          <w:tcPr>
            <w:cnfStyle w:evenVBand="true" w:oddVBand="false" w:firstColumn="false"/>
            <w:tcW w:w="25.000000%" w:type="pct"/>
          </w:tcPr>
          <w:p>
            <w:pPr>
              <w:ind w:leftChars="0" w:left="0" w:right="0"/>
            </w:pPr>
            <w:r>
              <w:t>1341</w:t>
            </w:r>
          </w:p>
        </w:tc>
      </w:tr>
      <w:tr>
        <w:trPr>
          <w:cnfStyle w:evenHBand="false" w:oddHBand="true" w:firstRow="false"/>
        </w:trPr>
        <w:tc>
          <w:tcPr>
            <w:cnfStyle w:evenVBand="false" w:oddVBand="true" w:firstColumn="false"/>
            <w:tcW w:w="25.000000%" w:type="pct"/>
          </w:tcPr>
          <w:p>
            <w:pPr>
              <w:ind w:leftChars="0" w:left="0" w:right="0"/>
            </w:pPr>
            <w:r>
              <w:t>NODX</w:t>
            </w:r>
          </w:p>
        </w:tc>
        <w:tc>
          <w:tcPr>
            <w:cnfStyle w:evenVBand="true" w:oddVBand="false" w:firstColumn="false"/>
            <w:tcW w:w="25.000000%" w:type="pct"/>
          </w:tcPr>
          <w:p>
            <w:pPr>
              <w:ind w:leftChars="0" w:left="0" w:right="0"/>
            </w:pPr>
            <w:r>
              <w:t>NODX</w:t>
            </w:r>
          </w:p>
        </w:tc>
        <w:tc>
          <w:tcPr>
            <w:cnfStyle w:evenVBand="false" w:oddVBand="true" w:firstColumn="false"/>
            <w:tcW w:w="25.000000%" w:type="pct"/>
          </w:tcPr>
          <w:p>
            <w:pPr>
              <w:ind w:leftChars="0" w:left="0" w:right="0"/>
            </w:pPr>
            <w:r>
              <w:t>NODAL EXCHANGE</w:t>
            </w:r>
          </w:p>
        </w:tc>
        <w:tc>
          <w:tcPr>
            <w:cnfStyle w:evenVBand="true" w:oddVBand="false" w:firstColumn="false"/>
            <w:tcW w:w="25.000000%" w:type="pct"/>
          </w:tcPr>
          <w:p>
            <w:pPr>
              <w:ind w:leftChars="0" w:left="0" w:right="0"/>
            </w:pPr>
            <w:r>
              <w:t>1342</w:t>
            </w:r>
          </w:p>
        </w:tc>
      </w:tr>
      <w:tr>
        <w:trPr>
          <w:cnfStyle w:evenHBand="true" w:oddHBand="false" w:firstRow="false"/>
        </w:trPr>
        <w:tc>
          <w:tcPr>
            <w:cnfStyle w:evenVBand="false" w:oddVBand="true" w:firstColumn="false"/>
            <w:tcW w:w="25.000000%" w:type="pct"/>
          </w:tcPr>
          <w:p>
            <w:pPr>
              <w:ind w:leftChars="0" w:left="0" w:right="0"/>
            </w:pPr>
            <w:r>
              <w:t>NOED</w:t>
            </w:r>
          </w:p>
        </w:tc>
        <w:tc>
          <w:tcPr>
            <w:cnfStyle w:evenVBand="true" w:oddVBand="false" w:firstColumn="false"/>
            <w:tcW w:w="25.000000%" w:type="pct"/>
          </w:tcPr>
          <w:p>
            <w:pPr>
              <w:ind w:leftChars="0" w:left="0" w:right="0"/>
            </w:pPr>
            <w:r>
              <w:t>NOED</w:t>
            </w:r>
          </w:p>
        </w:tc>
        <w:tc>
          <w:tcPr>
            <w:cnfStyle w:evenVBand="false" w:oddVBand="true" w:firstColumn="false"/>
            <w:tcW w:w="25.000000%" w:type="pct"/>
          </w:tcPr>
          <w:p>
            <w:pPr>
              <w:ind w:leftChars="0" w:left="0" w:right="0"/>
            </w:pPr>
            <w:r>
              <w:t>NASDAQ STOCKHOLM AB - NORWEGIAN EQ DERIVATIVES</w:t>
            </w:r>
          </w:p>
        </w:tc>
        <w:tc>
          <w:tcPr>
            <w:cnfStyle w:evenVBand="true" w:oddVBand="false" w:firstColumn="false"/>
            <w:tcW w:w="25.000000%" w:type="pct"/>
          </w:tcPr>
          <w:p>
            <w:pPr>
              <w:ind w:leftChars="0" w:left="0" w:right="0"/>
            </w:pPr>
            <w:r>
              <w:t>1343</w:t>
            </w:r>
          </w:p>
        </w:tc>
      </w:tr>
      <w:tr>
        <w:trPr>
          <w:cnfStyle w:evenHBand="false" w:oddHBand="true" w:firstRow="false"/>
        </w:trPr>
        <w:tc>
          <w:tcPr>
            <w:cnfStyle w:evenVBand="false" w:oddVBand="true" w:firstColumn="false"/>
            <w:tcW w:w="25.000000%" w:type="pct"/>
          </w:tcPr>
          <w:p>
            <w:pPr>
              <w:ind w:leftChars="0" w:left="0" w:right="0"/>
            </w:pPr>
            <w:r>
              <w:t>NOFF</w:t>
            </w:r>
          </w:p>
        </w:tc>
        <w:tc>
          <w:tcPr>
            <w:cnfStyle w:evenVBand="true" w:oddVBand="false" w:firstColumn="false"/>
            <w:tcW w:w="25.000000%" w:type="pct"/>
          </w:tcPr>
          <w:p>
            <w:pPr>
              <w:ind w:leftChars="0" w:left="0" w:right="0"/>
            </w:pPr>
            <w:r>
              <w:t>NOFF</w:t>
            </w:r>
          </w:p>
        </w:tc>
        <w:tc>
          <w:tcPr>
            <w:cnfStyle w:evenVBand="false" w:oddVBand="true" w:firstColumn="false"/>
            <w:tcW w:w="25.000000%" w:type="pct"/>
          </w:tcPr>
          <w:p>
            <w:pPr>
              <w:ind w:leftChars="0" w:left="0" w:right="0"/>
            </w:pPr>
            <w:r>
              <w:t>NOMURA OTC TRADES</w:t>
            </w:r>
          </w:p>
        </w:tc>
        <w:tc>
          <w:tcPr>
            <w:cnfStyle w:evenVBand="true" w:oddVBand="false" w:firstColumn="false"/>
            <w:tcW w:w="25.000000%" w:type="pct"/>
          </w:tcPr>
          <w:p>
            <w:pPr>
              <w:ind w:leftChars="0" w:left="0" w:right="0"/>
            </w:pPr>
            <w:r>
              <w:t>1344</w:t>
            </w:r>
          </w:p>
        </w:tc>
      </w:tr>
      <w:tr>
        <w:trPr>
          <w:cnfStyle w:evenHBand="true" w:oddHBand="false" w:firstRow="false"/>
        </w:trPr>
        <w:tc>
          <w:tcPr>
            <w:cnfStyle w:evenVBand="false" w:oddVBand="true" w:firstColumn="false"/>
            <w:tcW w:w="25.000000%" w:type="pct"/>
          </w:tcPr>
          <w:p>
            <w:pPr>
              <w:ind w:leftChars="0" w:left="0" w:right="0"/>
            </w:pPr>
            <w:r>
              <w:t>NOFI</w:t>
            </w:r>
          </w:p>
        </w:tc>
        <w:tc>
          <w:tcPr>
            <w:cnfStyle w:evenVBand="true" w:oddVBand="false" w:firstColumn="false"/>
            <w:tcW w:w="25.000000%" w:type="pct"/>
          </w:tcPr>
          <w:p>
            <w:pPr>
              <w:ind w:leftChars="0" w:left="0" w:right="0"/>
            </w:pPr>
            <w:r>
              <w:t>NOFI</w:t>
            </w:r>
          </w:p>
        </w:tc>
        <w:tc>
          <w:tcPr>
            <w:cnfStyle w:evenVBand="false" w:oddVBand="true" w:firstColumn="false"/>
            <w:tcW w:w="25.000000%" w:type="pct"/>
          </w:tcPr>
          <w:p>
            <w:pPr>
              <w:ind w:leftChars="0" w:left="0" w:right="0"/>
            </w:pPr>
            <w:r>
              <w:t>NASDAQ STOCKHOLM AB - NORWEGIAN FI DERIVATIVES</w:t>
            </w:r>
          </w:p>
        </w:tc>
        <w:tc>
          <w:tcPr>
            <w:cnfStyle w:evenVBand="true" w:oddVBand="false" w:firstColumn="false"/>
            <w:tcW w:w="25.000000%" w:type="pct"/>
          </w:tcPr>
          <w:p>
            <w:pPr>
              <w:ind w:leftChars="0" w:left="0" w:right="0"/>
            </w:pPr>
            <w:r>
              <w:t>1345</w:t>
            </w:r>
          </w:p>
        </w:tc>
      </w:tr>
      <w:tr>
        <w:trPr>
          <w:cnfStyle w:evenHBand="false" w:oddHBand="true" w:firstRow="false"/>
        </w:trPr>
        <w:tc>
          <w:tcPr>
            <w:cnfStyle w:evenVBand="false" w:oddVBand="true" w:firstColumn="false"/>
            <w:tcW w:w="25.000000%" w:type="pct"/>
          </w:tcPr>
          <w:p>
            <w:pPr>
              <w:ind w:leftChars="0" w:left="0" w:right="0"/>
            </w:pPr>
            <w:r>
              <w:t>NOME</w:t>
            </w:r>
          </w:p>
        </w:tc>
        <w:tc>
          <w:tcPr>
            <w:cnfStyle w:evenVBand="true" w:oddVBand="false" w:firstColumn="false"/>
            <w:tcW w:w="25.000000%" w:type="pct"/>
          </w:tcPr>
          <w:p>
            <w:pPr>
              <w:ind w:leftChars="0" w:left="0" w:right="0"/>
            </w:pPr>
            <w:r>
              <w:t>NOME</w:t>
            </w:r>
          </w:p>
        </w:tc>
        <w:tc>
          <w:tcPr>
            <w:cnfStyle w:evenVBand="false" w:oddVBand="true" w:firstColumn="false"/>
            <w:tcW w:w="25.000000%" w:type="pct"/>
          </w:tcPr>
          <w:p>
            <w:pPr>
              <w:ind w:leftChars="0" w:left="0" w:right="0"/>
            </w:pPr>
            <w:r>
              <w:t>NASDAQ OMX EUROPE</w:t>
            </w:r>
          </w:p>
        </w:tc>
        <w:tc>
          <w:tcPr>
            <w:cnfStyle w:evenVBand="true" w:oddVBand="false" w:firstColumn="false"/>
            <w:tcW w:w="25.000000%" w:type="pct"/>
          </w:tcPr>
          <w:p>
            <w:pPr>
              <w:ind w:leftChars="0" w:left="0" w:right="0"/>
            </w:pPr>
            <w:r>
              <w:t>1346</w:t>
            </w:r>
          </w:p>
        </w:tc>
      </w:tr>
      <w:tr>
        <w:trPr>
          <w:cnfStyle w:evenHBand="true" w:oddHBand="false" w:firstRow="false"/>
        </w:trPr>
        <w:tc>
          <w:tcPr>
            <w:cnfStyle w:evenVBand="false" w:oddVBand="true" w:firstColumn="false"/>
            <w:tcW w:w="25.000000%" w:type="pct"/>
          </w:tcPr>
          <w:p>
            <w:pPr>
              <w:ind w:leftChars="0" w:left="0" w:right="0"/>
            </w:pPr>
            <w:r>
              <w:t>NOOB</w:t>
            </w:r>
          </w:p>
        </w:tc>
        <w:tc>
          <w:tcPr>
            <w:cnfStyle w:evenVBand="true" w:oddVBand="false" w:firstColumn="false"/>
            <w:tcW w:w="25.000000%" w:type="pct"/>
          </w:tcPr>
          <w:p>
            <w:pPr>
              <w:ind w:leftChars="0" w:left="0" w:right="0"/>
            </w:pPr>
            <w:r>
              <w:t>NOOB</w:t>
            </w:r>
          </w:p>
        </w:tc>
        <w:tc>
          <w:tcPr>
            <w:cnfStyle w:evenVBand="false" w:oddVBand="true" w:firstColumn="false"/>
            <w:tcW w:w="25.000000%" w:type="pct"/>
          </w:tcPr>
          <w:p>
            <w:pPr>
              <w:ind w:leftChars="0" w:left="0" w:right="0"/>
            </w:pPr>
            <w:r>
              <w:t>NASDAQ STOCKHOLM AB - OTC NOK WB EQ DERIVATIVES</w:t>
            </w:r>
          </w:p>
        </w:tc>
        <w:tc>
          <w:tcPr>
            <w:cnfStyle w:evenVBand="true" w:oddVBand="false" w:firstColumn="false"/>
            <w:tcW w:w="25.000000%" w:type="pct"/>
          </w:tcPr>
          <w:p>
            <w:pPr>
              <w:ind w:leftChars="0" w:left="0" w:right="0"/>
            </w:pPr>
            <w:r>
              <w:t>1347</w:t>
            </w:r>
          </w:p>
        </w:tc>
      </w:tr>
      <w:tr>
        <w:trPr>
          <w:cnfStyle w:evenHBand="false" w:oddHBand="true" w:firstRow="false"/>
        </w:trPr>
        <w:tc>
          <w:tcPr>
            <w:cnfStyle w:evenVBand="false" w:oddVBand="true" w:firstColumn="false"/>
            <w:tcW w:w="25.000000%" w:type="pct"/>
          </w:tcPr>
          <w:p>
            <w:pPr>
              <w:ind w:leftChars="0" w:left="0" w:right="0"/>
            </w:pPr>
            <w:r>
              <w:t>NOPS</w:t>
            </w:r>
          </w:p>
        </w:tc>
        <w:tc>
          <w:tcPr>
            <w:cnfStyle w:evenVBand="true" w:oddVBand="false" w:firstColumn="false"/>
            <w:tcW w:w="25.000000%" w:type="pct"/>
          </w:tcPr>
          <w:p>
            <w:pPr>
              <w:ind w:leftChars="0" w:left="0" w:right="0"/>
            </w:pPr>
            <w:r>
              <w:t>NOPS</w:t>
            </w:r>
          </w:p>
        </w:tc>
        <w:tc>
          <w:tcPr>
            <w:cnfStyle w:evenVBand="false" w:oddVBand="true" w:firstColumn="false"/>
            <w:tcW w:w="25.000000%" w:type="pct"/>
          </w:tcPr>
          <w:p>
            <w:pPr>
              <w:ind w:leftChars="0" w:left="0" w:right="0"/>
            </w:pPr>
            <w:r>
              <w:t>NORD POOL SPOT AS</w:t>
            </w:r>
          </w:p>
        </w:tc>
        <w:tc>
          <w:tcPr>
            <w:cnfStyle w:evenVBand="true" w:oddVBand="false" w:firstColumn="false"/>
            <w:tcW w:w="25.000000%" w:type="pct"/>
          </w:tcPr>
          <w:p>
            <w:pPr>
              <w:ind w:leftChars="0" w:left="0" w:right="0"/>
            </w:pPr>
            <w:r>
              <w:t>1348</w:t>
            </w:r>
          </w:p>
        </w:tc>
      </w:tr>
      <w:tr>
        <w:trPr>
          <w:cnfStyle w:evenHBand="true" w:oddHBand="false" w:firstRow="false"/>
        </w:trPr>
        <w:tc>
          <w:tcPr>
            <w:cnfStyle w:evenVBand="false" w:oddVBand="true" w:firstColumn="false"/>
            <w:tcW w:w="25.000000%" w:type="pct"/>
          </w:tcPr>
          <w:p>
            <w:pPr>
              <w:ind w:leftChars="0" w:left="0" w:right="0"/>
            </w:pPr>
            <w:r>
              <w:t>NORD</w:t>
            </w:r>
          </w:p>
        </w:tc>
        <w:tc>
          <w:tcPr>
            <w:cnfStyle w:evenVBand="true" w:oddVBand="false" w:firstColumn="false"/>
            <w:tcW w:w="25.000000%" w:type="pct"/>
          </w:tcPr>
          <w:p>
            <w:pPr>
              <w:ind w:leftChars="0" w:left="0" w:right="0"/>
            </w:pPr>
            <w:r>
              <w:t>NORD</w:t>
            </w:r>
          </w:p>
        </w:tc>
        <w:tc>
          <w:tcPr>
            <w:cnfStyle w:evenVBand="false" w:oddVBand="true" w:firstColumn="false"/>
            <w:tcW w:w="25.000000%" w:type="pct"/>
          </w:tcPr>
          <w:p>
            <w:pPr>
              <w:ind w:leftChars="0" w:left="0" w:right="0"/>
            </w:pPr>
            <w:r>
              <w:t>HSH NORDBANK - SYSTEMATIC INTERNALISER</w:t>
            </w:r>
          </w:p>
        </w:tc>
        <w:tc>
          <w:tcPr>
            <w:cnfStyle w:evenVBand="true" w:oddVBand="false" w:firstColumn="false"/>
            <w:tcW w:w="25.000000%" w:type="pct"/>
          </w:tcPr>
          <w:p>
            <w:pPr>
              <w:ind w:leftChars="0" w:left="0" w:right="0"/>
            </w:pPr>
            <w:r>
              <w:t>1349</w:t>
            </w:r>
          </w:p>
        </w:tc>
      </w:tr>
      <w:tr>
        <w:trPr>
          <w:cnfStyle w:evenHBand="false" w:oddHBand="true" w:firstRow="false"/>
        </w:trPr>
        <w:tc>
          <w:tcPr>
            <w:cnfStyle w:evenVBand="false" w:oddVBand="true" w:firstColumn="false"/>
            <w:tcW w:w="25.000000%" w:type="pct"/>
          </w:tcPr>
          <w:p>
            <w:pPr>
              <w:ind w:leftChars="0" w:left="0" w:right="0"/>
            </w:pPr>
            <w:r>
              <w:t>NORX</w:t>
            </w:r>
          </w:p>
        </w:tc>
        <w:tc>
          <w:tcPr>
            <w:cnfStyle w:evenVBand="true" w:oddVBand="false" w:firstColumn="false"/>
            <w:tcW w:w="25.000000%" w:type="pct"/>
          </w:tcPr>
          <w:p>
            <w:pPr>
              <w:ind w:leftChars="0" w:left="0" w:right="0"/>
            </w:pPr>
            <w:r>
              <w:t>NORX</w:t>
            </w:r>
          </w:p>
        </w:tc>
        <w:tc>
          <w:tcPr>
            <w:cnfStyle w:evenVBand="false" w:oddVBand="true" w:firstColumn="false"/>
            <w:tcW w:w="25.000000%" w:type="pct"/>
          </w:tcPr>
          <w:p>
            <w:pPr>
              <w:ind w:leftChars="0" w:left="0" w:right="0"/>
            </w:pPr>
            <w:r>
              <w:t>NASDAQ OSLO ASA</w:t>
            </w:r>
          </w:p>
        </w:tc>
        <w:tc>
          <w:tcPr>
            <w:cnfStyle w:evenVBand="true" w:oddVBand="false" w:firstColumn="false"/>
            <w:tcW w:w="25.000000%" w:type="pct"/>
          </w:tcPr>
          <w:p>
            <w:pPr>
              <w:ind w:leftChars="0" w:left="0" w:right="0"/>
            </w:pPr>
            <w:r>
              <w:t>1350</w:t>
            </w:r>
          </w:p>
        </w:tc>
      </w:tr>
      <w:tr>
        <w:trPr>
          <w:cnfStyle w:evenHBand="true" w:oddHBand="false" w:firstRow="false"/>
        </w:trPr>
        <w:tc>
          <w:tcPr>
            <w:cnfStyle w:evenVBand="false" w:oddVBand="true" w:firstColumn="false"/>
            <w:tcW w:w="25.000000%" w:type="pct"/>
          </w:tcPr>
          <w:p>
            <w:pPr>
              <w:ind w:leftChars="0" w:left="0" w:right="0"/>
            </w:pPr>
            <w:r>
              <w:t>NOSC</w:t>
            </w:r>
          </w:p>
        </w:tc>
        <w:tc>
          <w:tcPr>
            <w:cnfStyle w:evenVBand="true" w:oddVBand="false" w:firstColumn="false"/>
            <w:tcW w:w="25.000000%" w:type="pct"/>
          </w:tcPr>
          <w:p>
            <w:pPr>
              <w:ind w:leftChars="0" w:left="0" w:right="0"/>
            </w:pPr>
            <w:r>
              <w:t>NOSC</w:t>
            </w:r>
          </w:p>
        </w:tc>
        <w:tc>
          <w:tcPr>
            <w:cnfStyle w:evenVBand="false" w:oddVBand="true" w:firstColumn="false"/>
            <w:tcW w:w="25.000000%" w:type="pct"/>
          </w:tcPr>
          <w:p>
            <w:pPr>
              <w:ind w:leftChars="0" w:left="0" w:right="0"/>
            </w:pPr>
            <w:r>
              <w:t>NOS CLEARING ASA</w:t>
            </w:r>
          </w:p>
        </w:tc>
        <w:tc>
          <w:tcPr>
            <w:cnfStyle w:evenVBand="true" w:oddVBand="false" w:firstColumn="false"/>
            <w:tcW w:w="25.000000%" w:type="pct"/>
          </w:tcPr>
          <w:p>
            <w:pPr>
              <w:ind w:leftChars="0" w:left="0" w:right="0"/>
            </w:pPr>
            <w:r>
              <w:t>1351</w:t>
            </w:r>
          </w:p>
        </w:tc>
      </w:tr>
      <w:tr>
        <w:trPr>
          <w:cnfStyle w:evenHBand="false" w:oddHBand="true" w:firstRow="false"/>
        </w:trPr>
        <w:tc>
          <w:tcPr>
            <w:cnfStyle w:evenVBand="false" w:oddVBand="true" w:firstColumn="false"/>
            <w:tcW w:w="25.000000%" w:type="pct"/>
          </w:tcPr>
          <w:p>
            <w:pPr>
              <w:ind w:leftChars="0" w:left="0" w:right="0"/>
            </w:pPr>
            <w:r>
              <w:t>NOSI</w:t>
            </w:r>
          </w:p>
        </w:tc>
        <w:tc>
          <w:tcPr>
            <w:cnfStyle w:evenVBand="true" w:oddVBand="false" w:firstColumn="false"/>
            <w:tcW w:w="25.000000%" w:type="pct"/>
          </w:tcPr>
          <w:p>
            <w:pPr>
              <w:ind w:leftChars="0" w:left="0" w:right="0"/>
            </w:pPr>
            <w:r>
              <w:t>NOSI</w:t>
            </w:r>
          </w:p>
        </w:tc>
        <w:tc>
          <w:tcPr>
            <w:cnfStyle w:evenVBand="false" w:oddVBand="true" w:firstColumn="false"/>
            <w:tcW w:w="25.000000%" w:type="pct"/>
          </w:tcPr>
          <w:p>
            <w:pPr>
              <w:ind w:leftChars="0" w:left="0" w:right="0"/>
            </w:pPr>
            <w:r>
              <w:t>NOMURA - SYSTEMATIC INTERNALISER</w:t>
            </w:r>
          </w:p>
        </w:tc>
        <w:tc>
          <w:tcPr>
            <w:cnfStyle w:evenVBand="true" w:oddVBand="false" w:firstColumn="false"/>
            <w:tcW w:w="25.000000%" w:type="pct"/>
          </w:tcPr>
          <w:p>
            <w:pPr>
              <w:ind w:leftChars="0" w:left="0" w:right="0"/>
            </w:pPr>
            <w:r>
              <w:t>1352</w:t>
            </w:r>
          </w:p>
        </w:tc>
      </w:tr>
      <w:tr>
        <w:trPr>
          <w:cnfStyle w:evenHBand="true" w:oddHBand="false" w:firstRow="false"/>
        </w:trPr>
        <w:tc>
          <w:tcPr>
            <w:cnfStyle w:evenVBand="false" w:oddVBand="true" w:firstColumn="false"/>
            <w:tcW w:w="25.000000%" w:type="pct"/>
          </w:tcPr>
          <w:p>
            <w:pPr>
              <w:ind w:leftChars="0" w:left="0" w:right="0"/>
            </w:pPr>
            <w:r>
              <w:t>NOTC</w:t>
            </w:r>
          </w:p>
        </w:tc>
        <w:tc>
          <w:tcPr>
            <w:cnfStyle w:evenVBand="true" w:oddVBand="false" w:firstColumn="false"/>
            <w:tcW w:w="25.000000%" w:type="pct"/>
          </w:tcPr>
          <w:p>
            <w:pPr>
              <w:ind w:leftChars="0" w:left="0" w:right="0"/>
            </w:pPr>
            <w:r>
              <w:t>NOTC</w:t>
            </w:r>
          </w:p>
        </w:tc>
        <w:tc>
          <w:tcPr>
            <w:cnfStyle w:evenVBand="false" w:oddVBand="true" w:firstColumn="false"/>
            <w:tcW w:w="25.000000%" w:type="pct"/>
          </w:tcPr>
          <w:p>
            <w:pPr>
              <w:ind w:leftChars="0" w:left="0" w:right="0"/>
            </w:pPr>
            <w:r>
              <w:t>NORWEGIAN OVER THE COUNTER MARKET</w:t>
            </w:r>
          </w:p>
        </w:tc>
        <w:tc>
          <w:tcPr>
            <w:cnfStyle w:evenVBand="true" w:oddVBand="false" w:firstColumn="false"/>
            <w:tcW w:w="25.000000%" w:type="pct"/>
          </w:tcPr>
          <w:p>
            <w:pPr>
              <w:ind w:leftChars="0" w:left="0" w:right="0"/>
            </w:pPr>
            <w:r>
              <w:t>1353</w:t>
            </w:r>
          </w:p>
        </w:tc>
      </w:tr>
      <w:tr>
        <w:trPr>
          <w:cnfStyle w:evenHBand="false" w:oddHBand="true" w:firstRow="false"/>
        </w:trPr>
        <w:tc>
          <w:tcPr>
            <w:cnfStyle w:evenVBand="false" w:oddVBand="true" w:firstColumn="false"/>
            <w:tcW w:w="25.000000%" w:type="pct"/>
          </w:tcPr>
          <w:p>
            <w:pPr>
              <w:ind w:leftChars="0" w:left="0" w:right="0"/>
            </w:pPr>
            <w:r>
              <w:t>NOWB</w:t>
            </w:r>
          </w:p>
        </w:tc>
        <w:tc>
          <w:tcPr>
            <w:cnfStyle w:evenVBand="true" w:oddVBand="false" w:firstColumn="false"/>
            <w:tcW w:w="25.000000%" w:type="pct"/>
          </w:tcPr>
          <w:p>
            <w:pPr>
              <w:ind w:leftChars="0" w:left="0" w:right="0"/>
            </w:pPr>
            <w:r>
              <w:t>NOWB</w:t>
            </w:r>
          </w:p>
        </w:tc>
        <w:tc>
          <w:tcPr>
            <w:cnfStyle w:evenVBand="false" w:oddVBand="true" w:firstColumn="false"/>
            <w:tcW w:w="25.000000%" w:type="pct"/>
          </w:tcPr>
          <w:p>
            <w:pPr>
              <w:ind w:leftChars="0" w:left="0" w:right="0"/>
            </w:pPr>
            <w:r>
              <w:t>NASDAQ STOCKHOLM AB - NOK WB EQ DERIVATIVES</w:t>
            </w:r>
          </w:p>
        </w:tc>
        <w:tc>
          <w:tcPr>
            <w:cnfStyle w:evenVBand="true" w:oddVBand="false" w:firstColumn="false"/>
            <w:tcW w:w="25.000000%" w:type="pct"/>
          </w:tcPr>
          <w:p>
            <w:pPr>
              <w:ind w:leftChars="0" w:left="0" w:right="0"/>
            </w:pPr>
            <w:r>
              <w:t>1354</w:t>
            </w:r>
          </w:p>
        </w:tc>
      </w:tr>
      <w:tr>
        <w:trPr>
          <w:cnfStyle w:evenHBand="true" w:oddHBand="false" w:firstRow="false"/>
        </w:trPr>
        <w:tc>
          <w:tcPr>
            <w:cnfStyle w:evenVBand="false" w:oddVBand="true" w:firstColumn="false"/>
            <w:tcW w:w="25.000000%" w:type="pct"/>
          </w:tcPr>
          <w:p>
            <w:pPr>
              <w:ind w:leftChars="0" w:left="0" w:right="0"/>
            </w:pPr>
            <w:r>
              <w:t>NOWX</w:t>
            </w:r>
          </w:p>
        </w:tc>
        <w:tc>
          <w:tcPr>
            <w:cnfStyle w:evenVBand="true" w:oddVBand="false" w:firstColumn="false"/>
            <w:tcW w:w="25.000000%" w:type="pct"/>
          </w:tcPr>
          <w:p>
            <w:pPr>
              <w:ind w:leftChars="0" w:left="0" w:right="0"/>
            </w:pPr>
            <w:r>
              <w:t>NOWX</w:t>
            </w:r>
          </w:p>
        </w:tc>
        <w:tc>
          <w:tcPr>
            <w:cnfStyle w:evenVBand="false" w:oddVBand="true" w:firstColumn="false"/>
            <w:tcW w:w="25.000000%" w:type="pct"/>
          </w:tcPr>
          <w:p>
            <w:pPr>
              <w:ind w:leftChars="0" w:left="0" w:right="0"/>
            </w:pPr>
            <w:r>
              <w:t>NOW CP - NEU CP</w:t>
            </w:r>
          </w:p>
        </w:tc>
        <w:tc>
          <w:tcPr>
            <w:cnfStyle w:evenVBand="true" w:oddVBand="false" w:firstColumn="false"/>
            <w:tcW w:w="25.000000%" w:type="pct"/>
          </w:tcPr>
          <w:p>
            <w:pPr>
              <w:ind w:leftChars="0" w:left="0" w:right="0"/>
            </w:pPr>
            <w:r>
              <w:t>1355</w:t>
            </w:r>
          </w:p>
        </w:tc>
      </w:tr>
      <w:tr>
        <w:trPr>
          <w:cnfStyle w:evenHBand="false" w:oddHBand="true" w:firstRow="false"/>
        </w:trPr>
        <w:tc>
          <w:tcPr>
            <w:cnfStyle w:evenVBand="false" w:oddVBand="true" w:firstColumn="false"/>
            <w:tcW w:w="25.000000%" w:type="pct"/>
          </w:tcPr>
          <w:p>
            <w:pPr>
              <w:ind w:leftChars="0" w:left="0" w:right="0"/>
            </w:pPr>
            <w:r>
              <w:t>NPEX</w:t>
            </w:r>
          </w:p>
        </w:tc>
        <w:tc>
          <w:tcPr>
            <w:cnfStyle w:evenVBand="true" w:oddVBand="false" w:firstColumn="false"/>
            <w:tcW w:w="25.000000%" w:type="pct"/>
          </w:tcPr>
          <w:p>
            <w:pPr>
              <w:ind w:leftChars="0" w:left="0" w:right="0"/>
            </w:pPr>
            <w:r>
              <w:t>NPEX</w:t>
            </w:r>
          </w:p>
        </w:tc>
        <w:tc>
          <w:tcPr>
            <w:cnfStyle w:evenVBand="false" w:oddVBand="true" w:firstColumn="false"/>
            <w:tcW w:w="25.000000%" w:type="pct"/>
          </w:tcPr>
          <w:p>
            <w:pPr>
              <w:ind w:leftChars="0" w:left="0" w:right="0"/>
            </w:pPr>
            <w:r>
              <w:t>NPEX</w:t>
            </w:r>
          </w:p>
        </w:tc>
        <w:tc>
          <w:tcPr>
            <w:cnfStyle w:evenVBand="true" w:oddVBand="false" w:firstColumn="false"/>
            <w:tcW w:w="25.000000%" w:type="pct"/>
          </w:tcPr>
          <w:p>
            <w:pPr>
              <w:ind w:leftChars="0" w:left="0" w:right="0"/>
            </w:pPr>
            <w:r>
              <w:t>1356</w:t>
            </w:r>
          </w:p>
        </w:tc>
      </w:tr>
      <w:tr>
        <w:trPr>
          <w:cnfStyle w:evenHBand="true" w:oddHBand="false" w:firstRow="false"/>
        </w:trPr>
        <w:tc>
          <w:tcPr>
            <w:cnfStyle w:evenVBand="false" w:oddVBand="true" w:firstColumn="false"/>
            <w:tcW w:w="25.000000%" w:type="pct"/>
          </w:tcPr>
          <w:p>
            <w:pPr>
              <w:ind w:leftChars="0" w:left="0" w:right="0"/>
            </w:pPr>
            <w:r>
              <w:t>NPGA</w:t>
            </w:r>
          </w:p>
        </w:tc>
        <w:tc>
          <w:tcPr>
            <w:cnfStyle w:evenVBand="true" w:oddVBand="false" w:firstColumn="false"/>
            <w:tcW w:w="25.000000%" w:type="pct"/>
          </w:tcPr>
          <w:p>
            <w:pPr>
              <w:ind w:leftChars="0" w:left="0" w:right="0"/>
            </w:pPr>
            <w:r>
              <w:t>NPGA</w:t>
            </w:r>
          </w:p>
        </w:tc>
        <w:tc>
          <w:tcPr>
            <w:cnfStyle w:evenVBand="false" w:oddVBand="true" w:firstColumn="false"/>
            <w:tcW w:w="25.000000%" w:type="pct"/>
          </w:tcPr>
          <w:p>
            <w:pPr>
              <w:ind w:leftChars="0" w:left="0" w:right="0"/>
            </w:pPr>
            <w:r>
              <w:t>GASPOINT NORDIC A/S</w:t>
            </w:r>
          </w:p>
        </w:tc>
        <w:tc>
          <w:tcPr>
            <w:cnfStyle w:evenVBand="true" w:oddVBand="false" w:firstColumn="false"/>
            <w:tcW w:w="25.000000%" w:type="pct"/>
          </w:tcPr>
          <w:p>
            <w:pPr>
              <w:ind w:leftChars="0" w:left="0" w:right="0"/>
            </w:pPr>
            <w:r>
              <w:t>1357</w:t>
            </w:r>
          </w:p>
        </w:tc>
      </w:tr>
      <w:tr>
        <w:trPr>
          <w:cnfStyle w:evenHBand="false" w:oddHBand="true" w:firstRow="false"/>
        </w:trPr>
        <w:tc>
          <w:tcPr>
            <w:cnfStyle w:evenVBand="false" w:oddVBand="true" w:firstColumn="false"/>
            <w:tcW w:w="25.000000%" w:type="pct"/>
          </w:tcPr>
          <w:p>
            <w:pPr>
              <w:ind w:leftChars="0" w:left="0" w:right="0"/>
            </w:pPr>
            <w:r>
              <w:t>NSME</w:t>
            </w:r>
          </w:p>
        </w:tc>
        <w:tc>
          <w:tcPr>
            <w:cnfStyle w:evenVBand="true" w:oddVBand="false" w:firstColumn="false"/>
            <w:tcW w:w="25.000000%" w:type="pct"/>
          </w:tcPr>
          <w:p>
            <w:pPr>
              <w:ind w:leftChars="0" w:left="0" w:right="0"/>
            </w:pPr>
            <w:r>
              <w:t>NSME</w:t>
            </w:r>
          </w:p>
        </w:tc>
        <w:tc>
          <w:tcPr>
            <w:cnfStyle w:evenVBand="false" w:oddVBand="true" w:firstColumn="false"/>
            <w:tcW w:w="25.000000%" w:type="pct"/>
          </w:tcPr>
          <w:p>
            <w:pPr>
              <w:ind w:leftChars="0" w:left="0" w:right="0"/>
            </w:pPr>
            <w:r>
              <w:t>NORDIC SME</w:t>
            </w:r>
          </w:p>
        </w:tc>
        <w:tc>
          <w:tcPr>
            <w:cnfStyle w:evenVBand="true" w:oddVBand="false" w:firstColumn="false"/>
            <w:tcW w:w="25.000000%" w:type="pct"/>
          </w:tcPr>
          <w:p>
            <w:pPr>
              <w:ind w:leftChars="0" w:left="0" w:right="0"/>
            </w:pPr>
            <w:r>
              <w:t>1358</w:t>
            </w:r>
          </w:p>
        </w:tc>
      </w:tr>
      <w:tr>
        <w:trPr>
          <w:cnfStyle w:evenHBand="true" w:oddHBand="false" w:firstRow="false"/>
        </w:trPr>
        <w:tc>
          <w:tcPr>
            <w:cnfStyle w:evenVBand="false" w:oddVBand="true" w:firstColumn="false"/>
            <w:tcW w:w="25.000000%" w:type="pct"/>
          </w:tcPr>
          <w:p>
            <w:pPr>
              <w:ind w:leftChars="0" w:left="0" w:right="0"/>
            </w:pPr>
            <w:r>
              <w:t>NSPO</w:t>
            </w:r>
          </w:p>
        </w:tc>
        <w:tc>
          <w:tcPr>
            <w:cnfStyle w:evenVBand="true" w:oddVBand="false" w:firstColumn="false"/>
            <w:tcW w:w="25.000000%" w:type="pct"/>
          </w:tcPr>
          <w:p>
            <w:pPr>
              <w:ind w:leftChars="0" w:left="0" w:right="0"/>
            </w:pPr>
            <w:r>
              <w:t>NSPO</w:t>
            </w:r>
          </w:p>
        </w:tc>
        <w:tc>
          <w:tcPr>
            <w:cnfStyle w:evenVBand="false" w:oddVBand="true" w:firstColumn="false"/>
            <w:tcW w:w="25.000000%" w:type="pct"/>
          </w:tcPr>
          <w:p>
            <w:pPr>
              <w:ind w:leftChars="0" w:left="0" w:right="0"/>
            </w:pPr>
            <w:r>
              <w:t>NASDAQ SPOT AB</w:t>
            </w:r>
          </w:p>
        </w:tc>
        <w:tc>
          <w:tcPr>
            <w:cnfStyle w:evenVBand="true" w:oddVBand="false" w:firstColumn="false"/>
            <w:tcW w:w="25.000000%" w:type="pct"/>
          </w:tcPr>
          <w:p>
            <w:pPr>
              <w:ind w:leftChars="0" w:left="0" w:right="0"/>
            </w:pPr>
            <w:r>
              <w:t>1359</w:t>
            </w:r>
          </w:p>
        </w:tc>
      </w:tr>
      <w:tr>
        <w:trPr>
          <w:cnfStyle w:evenHBand="false" w:oddHBand="true" w:firstRow="false"/>
        </w:trPr>
        <w:tc>
          <w:tcPr>
            <w:cnfStyle w:evenVBand="false" w:oddVBand="true" w:firstColumn="false"/>
            <w:tcW w:w="25.000000%" w:type="pct"/>
          </w:tcPr>
          <w:p>
            <w:pPr>
              <w:ind w:leftChars="0" w:left="0" w:right="0"/>
            </w:pPr>
            <w:r>
              <w:t>NSSA</w:t>
            </w:r>
          </w:p>
        </w:tc>
        <w:tc>
          <w:tcPr>
            <w:cnfStyle w:evenVBand="true" w:oddVBand="false" w:firstColumn="false"/>
            <w:tcW w:w="25.000000%" w:type="pct"/>
          </w:tcPr>
          <w:p>
            <w:pPr>
              <w:ind w:leftChars="0" w:left="0" w:right="0"/>
            </w:pPr>
            <w:r>
              <w:t>NSSA</w:t>
            </w:r>
          </w:p>
        </w:tc>
        <w:tc>
          <w:tcPr>
            <w:cnfStyle w:evenVBand="false" w:oddVBand="true" w:firstColumn="false"/>
            <w:tcW w:w="25.000000%" w:type="pct"/>
          </w:tcPr>
          <w:p>
            <w:pPr>
              <w:ind w:leftChars="0" w:left="0" w:right="0"/>
            </w:pPr>
            <w:r>
              <w:t>NOBLE SECURITIES S.A.</w:t>
            </w:r>
          </w:p>
        </w:tc>
        <w:tc>
          <w:tcPr>
            <w:cnfStyle w:evenVBand="true" w:oddVBand="false" w:firstColumn="false"/>
            <w:tcW w:w="25.000000%" w:type="pct"/>
          </w:tcPr>
          <w:p>
            <w:pPr>
              <w:ind w:leftChars="0" w:left="0" w:right="0"/>
            </w:pPr>
            <w:r>
              <w:t>1360</w:t>
            </w:r>
          </w:p>
        </w:tc>
      </w:tr>
      <w:tr>
        <w:trPr>
          <w:cnfStyle w:evenHBand="true" w:oddHBand="false" w:firstRow="false"/>
        </w:trPr>
        <w:tc>
          <w:tcPr>
            <w:cnfStyle w:evenVBand="false" w:oddVBand="true" w:firstColumn="false"/>
            <w:tcW w:w="25.000000%" w:type="pct"/>
          </w:tcPr>
          <w:p>
            <w:pPr>
              <w:ind w:leftChars="0" w:left="0" w:right="0"/>
            </w:pPr>
            <w:r>
              <w:t>NSXB</w:t>
            </w:r>
          </w:p>
        </w:tc>
        <w:tc>
          <w:tcPr>
            <w:cnfStyle w:evenVBand="true" w:oddVBand="false" w:firstColumn="false"/>
            <w:tcW w:w="25.000000%" w:type="pct"/>
          </w:tcPr>
          <w:p>
            <w:pPr>
              <w:ind w:leftChars="0" w:left="0" w:right="0"/>
            </w:pPr>
            <w:r>
              <w:t>NSXB</w:t>
            </w:r>
          </w:p>
        </w:tc>
        <w:tc>
          <w:tcPr>
            <w:cnfStyle w:evenVBand="false" w:oddVBand="true" w:firstColumn="false"/>
            <w:tcW w:w="25.000000%" w:type="pct"/>
          </w:tcPr>
          <w:p>
            <w:pPr>
              <w:ind w:leftChars="0" w:left="0" w:right="0"/>
            </w:pPr>
            <w:r>
              <w:t>BENDIGO STOCK EXCHANGE LIMITED</w:t>
            </w:r>
          </w:p>
        </w:tc>
        <w:tc>
          <w:tcPr>
            <w:cnfStyle w:evenVBand="true" w:oddVBand="false" w:firstColumn="false"/>
            <w:tcW w:w="25.000000%" w:type="pct"/>
          </w:tcPr>
          <w:p>
            <w:pPr>
              <w:ind w:leftChars="0" w:left="0" w:right="0"/>
            </w:pPr>
            <w:r>
              <w:t>1361</w:t>
            </w:r>
          </w:p>
        </w:tc>
      </w:tr>
      <w:tr>
        <w:trPr>
          <w:cnfStyle w:evenHBand="false" w:oddHBand="true" w:firstRow="false"/>
        </w:trPr>
        <w:tc>
          <w:tcPr>
            <w:cnfStyle w:evenVBand="false" w:oddVBand="true" w:firstColumn="false"/>
            <w:tcW w:w="25.000000%" w:type="pct"/>
          </w:tcPr>
          <w:p>
            <w:pPr>
              <w:ind w:leftChars="0" w:left="0" w:right="0"/>
            </w:pPr>
            <w:r>
              <w:t>NTUK</w:t>
            </w:r>
          </w:p>
        </w:tc>
        <w:tc>
          <w:tcPr>
            <w:cnfStyle w:evenVBand="true" w:oddVBand="false" w:firstColumn="false"/>
            <w:tcW w:w="25.000000%" w:type="pct"/>
          </w:tcPr>
          <w:p>
            <w:pPr>
              <w:ind w:leftChars="0" w:left="0" w:right="0"/>
            </w:pPr>
            <w:r>
              <w:t>NTUK</w:t>
            </w:r>
          </w:p>
        </w:tc>
        <w:tc>
          <w:tcPr>
            <w:cnfStyle w:evenVBand="false" w:oddVBand="true" w:firstColumn="false"/>
            <w:tcW w:w="25.000000%" w:type="pct"/>
          </w:tcPr>
          <w:p>
            <w:pPr>
              <w:ind w:leftChars="0" w:left="0" w:right="0"/>
            </w:pPr>
            <w:r>
              <w:t>NATIXIS LONDON BRANCH</w:t>
            </w:r>
          </w:p>
        </w:tc>
        <w:tc>
          <w:tcPr>
            <w:cnfStyle w:evenVBand="true" w:oddVBand="false" w:firstColumn="false"/>
            <w:tcW w:w="25.000000%" w:type="pct"/>
          </w:tcPr>
          <w:p>
            <w:pPr>
              <w:ind w:leftChars="0" w:left="0" w:right="0"/>
            </w:pPr>
            <w:r>
              <w:t>1362</w:t>
            </w:r>
          </w:p>
        </w:tc>
      </w:tr>
      <w:tr>
        <w:trPr>
          <w:cnfStyle w:evenHBand="true" w:oddHBand="false" w:firstRow="false"/>
        </w:trPr>
        <w:tc>
          <w:tcPr>
            <w:cnfStyle w:evenVBand="false" w:oddVBand="true" w:firstColumn="false"/>
            <w:tcW w:w="25.000000%" w:type="pct"/>
          </w:tcPr>
          <w:p>
            <w:pPr>
              <w:ind w:leftChars="0" w:left="0" w:right="0"/>
            </w:pPr>
            <w:r>
              <w:t>NURD</w:t>
            </w:r>
          </w:p>
        </w:tc>
        <w:tc>
          <w:tcPr>
            <w:cnfStyle w:evenVBand="true" w:oddVBand="false" w:firstColumn="false"/>
            <w:tcW w:w="25.000000%" w:type="pct"/>
          </w:tcPr>
          <w:p>
            <w:pPr>
              <w:ind w:leftChars="0" w:left="0" w:right="0"/>
            </w:pPr>
            <w:r>
              <w:t>NURD</w:t>
            </w:r>
          </w:p>
        </w:tc>
        <w:tc>
          <w:tcPr>
            <w:cnfStyle w:evenVBand="false" w:oddVBand="true" w:firstColumn="false"/>
            <w:tcW w:w="25.000000%" w:type="pct"/>
          </w:tcPr>
          <w:p>
            <w:pPr>
              <w:ind w:leftChars="0" w:left="0" w:right="0"/>
            </w:pPr>
            <w:r>
              <w:t>NASDAQ EUROPE (NURO) DARK</w:t>
            </w:r>
          </w:p>
        </w:tc>
        <w:tc>
          <w:tcPr>
            <w:cnfStyle w:evenVBand="true" w:oddVBand="false" w:firstColumn="false"/>
            <w:tcW w:w="25.000000%" w:type="pct"/>
          </w:tcPr>
          <w:p>
            <w:pPr>
              <w:ind w:leftChars="0" w:left="0" w:right="0"/>
            </w:pPr>
            <w:r>
              <w:t>1363</w:t>
            </w:r>
          </w:p>
        </w:tc>
      </w:tr>
      <w:tr>
        <w:trPr>
          <w:cnfStyle w:evenHBand="false" w:oddHBand="true" w:firstRow="false"/>
        </w:trPr>
        <w:tc>
          <w:tcPr>
            <w:cnfStyle w:evenVBand="false" w:oddVBand="true" w:firstColumn="false"/>
            <w:tcW w:w="25.000000%" w:type="pct"/>
          </w:tcPr>
          <w:p>
            <w:pPr>
              <w:ind w:leftChars="0" w:left="0" w:right="0"/>
            </w:pPr>
            <w:r>
              <w:t>NURO</w:t>
            </w:r>
          </w:p>
        </w:tc>
        <w:tc>
          <w:tcPr>
            <w:cnfStyle w:evenVBand="true" w:oddVBand="false" w:firstColumn="false"/>
            <w:tcW w:w="25.000000%" w:type="pct"/>
          </w:tcPr>
          <w:p>
            <w:pPr>
              <w:ind w:leftChars="0" w:left="0" w:right="0"/>
            </w:pPr>
            <w:r>
              <w:t>NURO</w:t>
            </w:r>
          </w:p>
        </w:tc>
        <w:tc>
          <w:tcPr>
            <w:cnfStyle w:evenVBand="false" w:oddVBand="true" w:firstColumn="false"/>
            <w:tcW w:w="25.000000%" w:type="pct"/>
          </w:tcPr>
          <w:p>
            <w:pPr>
              <w:ind w:leftChars="0" w:left="0" w:right="0"/>
            </w:pPr>
            <w:r>
              <w:t>NASDAQ OMX EUROPE</w:t>
            </w:r>
          </w:p>
        </w:tc>
        <w:tc>
          <w:tcPr>
            <w:cnfStyle w:evenVBand="true" w:oddVBand="false" w:firstColumn="false"/>
            <w:tcW w:w="25.000000%" w:type="pct"/>
          </w:tcPr>
          <w:p>
            <w:pPr>
              <w:ind w:leftChars="0" w:left="0" w:right="0"/>
            </w:pPr>
            <w:r>
              <w:t>1364</w:t>
            </w:r>
          </w:p>
        </w:tc>
      </w:tr>
      <w:tr>
        <w:trPr>
          <w:cnfStyle w:evenHBand="true" w:oddHBand="false" w:firstRow="false"/>
        </w:trPr>
        <w:tc>
          <w:tcPr>
            <w:cnfStyle w:evenVBand="false" w:oddVBand="true" w:firstColumn="false"/>
            <w:tcW w:w="25.000000%" w:type="pct"/>
          </w:tcPr>
          <w:p>
            <w:pPr>
              <w:ind w:leftChars="0" w:left="0" w:right="0"/>
            </w:pPr>
            <w:r>
              <w:t>NWMS</w:t>
            </w:r>
          </w:p>
        </w:tc>
        <w:tc>
          <w:tcPr>
            <w:cnfStyle w:evenVBand="true" w:oddVBand="false" w:firstColumn="false"/>
            <w:tcW w:w="25.000000%" w:type="pct"/>
          </w:tcPr>
          <w:p>
            <w:pPr>
              <w:ind w:leftChars="0" w:left="0" w:right="0"/>
            </w:pPr>
            <w:r>
              <w:t>NWMS</w:t>
            </w:r>
          </w:p>
        </w:tc>
        <w:tc>
          <w:tcPr>
            <w:cnfStyle w:evenVBand="false" w:oddVBand="true" w:firstColumn="false"/>
            <w:tcW w:w="25.000000%" w:type="pct"/>
          </w:tcPr>
          <w:p>
            <w:pPr>
              <w:ind w:leftChars="0" w:left="0" w:right="0"/>
            </w:pPr>
            <w:r>
              <w:t>ROYAL BANK OF SCOTLAND - SYSTEMATIC INTERNALISER</w:t>
            </w:r>
          </w:p>
        </w:tc>
        <w:tc>
          <w:tcPr>
            <w:cnfStyle w:evenVBand="true" w:oddVBand="false" w:firstColumn="false"/>
            <w:tcW w:w="25.000000%" w:type="pct"/>
          </w:tcPr>
          <w:p>
            <w:pPr>
              <w:ind w:leftChars="0" w:left="0" w:right="0"/>
            </w:pPr>
            <w:r>
              <w:t>1365</w:t>
            </w:r>
          </w:p>
        </w:tc>
      </w:tr>
      <w:tr>
        <w:trPr>
          <w:cnfStyle w:evenHBand="false" w:oddHBand="true" w:firstRow="false"/>
        </w:trPr>
        <w:tc>
          <w:tcPr>
            <w:cnfStyle w:evenVBand="false" w:oddVBand="true" w:firstColumn="false"/>
            <w:tcW w:w="25.000000%" w:type="pct"/>
          </w:tcPr>
          <w:p>
            <w:pPr>
              <w:ind w:leftChars="0" w:left="0" w:right="0"/>
            </w:pPr>
            <w:r>
              <w:t>NWNV</w:t>
            </w:r>
          </w:p>
        </w:tc>
        <w:tc>
          <w:tcPr>
            <w:cnfStyle w:evenVBand="true" w:oddVBand="false" w:firstColumn="false"/>
            <w:tcW w:w="25.000000%" w:type="pct"/>
          </w:tcPr>
          <w:p>
            <w:pPr>
              <w:ind w:leftChars="0" w:left="0" w:right="0"/>
            </w:pPr>
            <w:r>
              <w:t>NWNV</w:t>
            </w:r>
          </w:p>
        </w:tc>
        <w:tc>
          <w:tcPr>
            <w:cnfStyle w:evenVBand="false" w:oddVBand="true" w:firstColumn="false"/>
            <w:tcW w:w="25.000000%" w:type="pct"/>
          </w:tcPr>
          <w:p>
            <w:pPr>
              <w:ind w:leftChars="0" w:left="0" w:right="0"/>
            </w:pPr>
            <w:r>
              <w:t>NATWEST MARKETS NV</w:t>
            </w:r>
          </w:p>
        </w:tc>
        <w:tc>
          <w:tcPr>
            <w:cnfStyle w:evenVBand="true" w:oddVBand="false" w:firstColumn="false"/>
            <w:tcW w:w="25.000000%" w:type="pct"/>
          </w:tcPr>
          <w:p>
            <w:pPr>
              <w:ind w:leftChars="0" w:left="0" w:right="0"/>
            </w:pPr>
            <w:r>
              <w:t>1366</w:t>
            </w:r>
          </w:p>
        </w:tc>
      </w:tr>
      <w:tr>
        <w:trPr>
          <w:cnfStyle w:evenHBand="true" w:oddHBand="false" w:firstRow="false"/>
        </w:trPr>
        <w:tc>
          <w:tcPr>
            <w:cnfStyle w:evenVBand="false" w:oddVBand="true" w:firstColumn="false"/>
            <w:tcW w:w="25.000000%" w:type="pct"/>
          </w:tcPr>
          <w:p>
            <w:pPr>
              <w:ind w:leftChars="0" w:left="0" w:right="0"/>
            </w:pPr>
            <w:r>
              <w:t>NXEU</w:t>
            </w:r>
          </w:p>
        </w:tc>
        <w:tc>
          <w:tcPr>
            <w:cnfStyle w:evenVBand="true" w:oddVBand="false" w:firstColumn="false"/>
            <w:tcW w:w="25.000000%" w:type="pct"/>
          </w:tcPr>
          <w:p>
            <w:pPr>
              <w:ind w:leftChars="0" w:left="0" w:right="0"/>
            </w:pPr>
            <w:r>
              <w:t>NXEU</w:t>
            </w:r>
          </w:p>
        </w:tc>
        <w:tc>
          <w:tcPr>
            <w:cnfStyle w:evenVBand="false" w:oddVBand="true" w:firstColumn="false"/>
            <w:tcW w:w="25.000000%" w:type="pct"/>
          </w:tcPr>
          <w:p>
            <w:pPr>
              <w:ind w:leftChars="0" w:left="0" w:right="0"/>
            </w:pPr>
            <w:r>
              <w:t>NX</w:t>
            </w:r>
          </w:p>
        </w:tc>
        <w:tc>
          <w:tcPr>
            <w:cnfStyle w:evenVBand="true" w:oddVBand="false" w:firstColumn="false"/>
            <w:tcW w:w="25.000000%" w:type="pct"/>
          </w:tcPr>
          <w:p>
            <w:pPr>
              <w:ind w:leftChars="0" w:left="0" w:right="0"/>
            </w:pPr>
            <w:r>
              <w:t>1367</w:t>
            </w:r>
          </w:p>
        </w:tc>
      </w:tr>
      <w:tr>
        <w:trPr>
          <w:cnfStyle w:evenHBand="false" w:oddHBand="true" w:firstRow="false"/>
        </w:trPr>
        <w:tc>
          <w:tcPr>
            <w:cnfStyle w:evenVBand="false" w:oddVBand="true" w:firstColumn="false"/>
            <w:tcW w:w="25.000000%" w:type="pct"/>
          </w:tcPr>
          <w:p>
            <w:pPr>
              <w:ind w:leftChars="0" w:left="0" w:right="0"/>
            </w:pPr>
            <w:r>
              <w:t>NXJP</w:t>
            </w:r>
          </w:p>
        </w:tc>
        <w:tc>
          <w:tcPr>
            <w:cnfStyle w:evenVBand="true" w:oddVBand="false" w:firstColumn="false"/>
            <w:tcW w:w="25.000000%" w:type="pct"/>
          </w:tcPr>
          <w:p>
            <w:pPr>
              <w:ind w:leftChars="0" w:left="0" w:right="0"/>
            </w:pPr>
            <w:r>
              <w:t>NXJP</w:t>
            </w:r>
          </w:p>
        </w:tc>
        <w:tc>
          <w:tcPr>
            <w:cnfStyle w:evenVBand="false" w:oddVBand="true" w:firstColumn="false"/>
            <w:tcW w:w="25.000000%" w:type="pct"/>
          </w:tcPr>
          <w:p>
            <w:pPr>
              <w:ind w:leftChars="0" w:left="0" w:right="0"/>
            </w:pPr>
            <w:r>
              <w:t>NX JAPAN</w:t>
            </w:r>
          </w:p>
        </w:tc>
        <w:tc>
          <w:tcPr>
            <w:cnfStyle w:evenVBand="true" w:oddVBand="false" w:firstColumn="false"/>
            <w:tcW w:w="25.000000%" w:type="pct"/>
          </w:tcPr>
          <w:p>
            <w:pPr>
              <w:ind w:leftChars="0" w:left="0" w:right="0"/>
            </w:pPr>
            <w:r>
              <w:t>1368</w:t>
            </w:r>
          </w:p>
        </w:tc>
      </w:tr>
      <w:tr>
        <w:trPr>
          <w:cnfStyle w:evenHBand="true" w:oddHBand="false" w:firstRow="false"/>
        </w:trPr>
        <w:tc>
          <w:tcPr>
            <w:cnfStyle w:evenVBand="false" w:oddVBand="true" w:firstColumn="false"/>
            <w:tcW w:w="25.000000%" w:type="pct"/>
          </w:tcPr>
          <w:p>
            <w:pPr>
              <w:ind w:leftChars="0" w:left="0" w:right="0"/>
            </w:pPr>
            <w:r>
              <w:t>NXSE</w:t>
            </w:r>
          </w:p>
        </w:tc>
        <w:tc>
          <w:tcPr>
            <w:cnfStyle w:evenVBand="true" w:oddVBand="false" w:firstColumn="false"/>
            <w:tcW w:w="25.000000%" w:type="pct"/>
          </w:tcPr>
          <w:p>
            <w:pPr>
              <w:ind w:leftChars="0" w:left="0" w:right="0"/>
            </w:pPr>
            <w:r>
              <w:t>NXSE</w:t>
            </w:r>
          </w:p>
        </w:tc>
        <w:tc>
          <w:tcPr>
            <w:cnfStyle w:evenVBand="false" w:oddVBand="true" w:firstColumn="false"/>
            <w:tcW w:w="25.000000%" w:type="pct"/>
          </w:tcPr>
          <w:p>
            <w:pPr>
              <w:ind w:leftChars="0" w:left="0" w:right="0"/>
            </w:pPr>
            <w:r>
              <w:t>NX SELECT JAPAN</w:t>
            </w:r>
          </w:p>
        </w:tc>
        <w:tc>
          <w:tcPr>
            <w:cnfStyle w:evenVBand="true" w:oddVBand="false" w:firstColumn="false"/>
            <w:tcW w:w="25.000000%" w:type="pct"/>
          </w:tcPr>
          <w:p>
            <w:pPr>
              <w:ind w:leftChars="0" w:left="0" w:right="0"/>
            </w:pPr>
            <w:r>
              <w:t>1369</w:t>
            </w:r>
          </w:p>
        </w:tc>
      </w:tr>
      <w:tr>
        <w:trPr>
          <w:cnfStyle w:evenHBand="false" w:oddHBand="true" w:firstRow="false"/>
        </w:trPr>
        <w:tc>
          <w:tcPr>
            <w:cnfStyle w:evenVBand="false" w:oddVBand="true" w:firstColumn="false"/>
            <w:tcW w:w="25.000000%" w:type="pct"/>
          </w:tcPr>
          <w:p>
            <w:pPr>
              <w:ind w:leftChars="0" w:left="0" w:right="0"/>
            </w:pPr>
            <w:r>
              <w:t>NXUS</w:t>
            </w:r>
          </w:p>
        </w:tc>
        <w:tc>
          <w:tcPr>
            <w:cnfStyle w:evenVBand="true" w:oddVBand="false" w:firstColumn="false"/>
            <w:tcW w:w="25.000000%" w:type="pct"/>
          </w:tcPr>
          <w:p>
            <w:pPr>
              <w:ind w:leftChars="0" w:left="0" w:right="0"/>
            </w:pPr>
            <w:r>
              <w:t>NXUS</w:t>
            </w:r>
          </w:p>
        </w:tc>
        <w:tc>
          <w:tcPr>
            <w:cnfStyle w:evenVBand="false" w:oddVBand="true" w:firstColumn="false"/>
            <w:tcW w:w="25.000000%" w:type="pct"/>
          </w:tcPr>
          <w:p>
            <w:pPr>
              <w:ind w:leftChars="0" w:left="0" w:right="0"/>
            </w:pPr>
            <w:r>
              <w:t>NX ATS - CROSSING PLATFORM</w:t>
            </w:r>
          </w:p>
        </w:tc>
        <w:tc>
          <w:tcPr>
            <w:cnfStyle w:evenVBand="true" w:oddVBand="false" w:firstColumn="false"/>
            <w:tcW w:w="25.000000%" w:type="pct"/>
          </w:tcPr>
          <w:p>
            <w:pPr>
              <w:ind w:leftChars="0" w:left="0" w:right="0"/>
            </w:pPr>
            <w:r>
              <w:t>1370</w:t>
            </w:r>
          </w:p>
        </w:tc>
      </w:tr>
      <w:tr>
        <w:trPr>
          <w:cnfStyle w:evenHBand="true" w:oddHBand="false" w:firstRow="false"/>
        </w:trPr>
        <w:tc>
          <w:tcPr>
            <w:cnfStyle w:evenVBand="false" w:oddVBand="true" w:firstColumn="false"/>
            <w:tcW w:w="25.000000%" w:type="pct"/>
          </w:tcPr>
          <w:p>
            <w:pPr>
              <w:ind w:leftChars="0" w:left="0" w:right="0"/>
            </w:pPr>
            <w:r>
              <w:t>NXVW</w:t>
            </w:r>
          </w:p>
        </w:tc>
        <w:tc>
          <w:tcPr>
            <w:cnfStyle w:evenVBand="true" w:oddVBand="false" w:firstColumn="false"/>
            <w:tcW w:w="25.000000%" w:type="pct"/>
          </w:tcPr>
          <w:p>
            <w:pPr>
              <w:ind w:leftChars="0" w:left="0" w:right="0"/>
            </w:pPr>
            <w:r>
              <w:t>NXVW</w:t>
            </w:r>
          </w:p>
        </w:tc>
        <w:tc>
          <w:tcPr>
            <w:cnfStyle w:evenVBand="false" w:oddVBand="true" w:firstColumn="false"/>
            <w:tcW w:w="25.000000%" w:type="pct"/>
          </w:tcPr>
          <w:p>
            <w:pPr>
              <w:ind w:leftChars="0" w:left="0" w:right="0"/>
            </w:pPr>
            <w:r>
              <w:t>NX VWAP</w:t>
            </w:r>
          </w:p>
        </w:tc>
        <w:tc>
          <w:tcPr>
            <w:cnfStyle w:evenVBand="true" w:oddVBand="false" w:firstColumn="false"/>
            <w:tcW w:w="25.000000%" w:type="pct"/>
          </w:tcPr>
          <w:p>
            <w:pPr>
              <w:ind w:leftChars="0" w:left="0" w:right="0"/>
            </w:pPr>
            <w:r>
              <w:t>1371</w:t>
            </w:r>
          </w:p>
        </w:tc>
      </w:tr>
      <w:tr>
        <w:trPr>
          <w:cnfStyle w:evenHBand="false" w:oddHBand="true" w:firstRow="false"/>
        </w:trPr>
        <w:tc>
          <w:tcPr>
            <w:cnfStyle w:evenVBand="false" w:oddVBand="true" w:firstColumn="false"/>
            <w:tcW w:w="25.000000%" w:type="pct"/>
          </w:tcPr>
          <w:p>
            <w:pPr>
              <w:ind w:leftChars="0" w:left="0" w:right="0"/>
            </w:pPr>
            <w:r>
              <w:t>NYFX</w:t>
            </w:r>
          </w:p>
        </w:tc>
        <w:tc>
          <w:tcPr>
            <w:cnfStyle w:evenVBand="true" w:oddVBand="false" w:firstColumn="false"/>
            <w:tcW w:w="25.000000%" w:type="pct"/>
          </w:tcPr>
          <w:p>
            <w:pPr>
              <w:ind w:leftChars="0" w:left="0" w:right="0"/>
            </w:pPr>
            <w:r>
              <w:t>NYFX</w:t>
            </w:r>
          </w:p>
        </w:tc>
        <w:tc>
          <w:tcPr>
            <w:cnfStyle w:evenVBand="false" w:oddVBand="true" w:firstColumn="false"/>
            <w:tcW w:w="25.000000%" w:type="pct"/>
          </w:tcPr>
          <w:p>
            <w:pPr>
              <w:ind w:leftChars="0" w:left="0" w:right="0"/>
            </w:pPr>
            <w:r>
              <w:t>MILLENNIUM</w:t>
            </w:r>
          </w:p>
        </w:tc>
        <w:tc>
          <w:tcPr>
            <w:cnfStyle w:evenVBand="true" w:oddVBand="false" w:firstColumn="false"/>
            <w:tcW w:w="25.000000%" w:type="pct"/>
          </w:tcPr>
          <w:p>
            <w:pPr>
              <w:ind w:leftChars="0" w:left="0" w:right="0"/>
            </w:pPr>
            <w:r>
              <w:t>1372</w:t>
            </w:r>
          </w:p>
        </w:tc>
      </w:tr>
      <w:tr>
        <w:trPr>
          <w:cnfStyle w:evenHBand="true" w:oddHBand="false" w:firstRow="false"/>
        </w:trPr>
        <w:tc>
          <w:tcPr>
            <w:cnfStyle w:evenVBand="false" w:oddVBand="true" w:firstColumn="false"/>
            <w:tcW w:w="25.000000%" w:type="pct"/>
          </w:tcPr>
          <w:p>
            <w:pPr>
              <w:ind w:leftChars="0" w:left="0" w:right="0"/>
            </w:pPr>
            <w:r>
              <w:t>NYMS</w:t>
            </w:r>
          </w:p>
        </w:tc>
        <w:tc>
          <w:tcPr>
            <w:cnfStyle w:evenVBand="true" w:oddVBand="false" w:firstColumn="false"/>
            <w:tcW w:w="25.000000%" w:type="pct"/>
          </w:tcPr>
          <w:p>
            <w:pPr>
              <w:ind w:leftChars="0" w:left="0" w:right="0"/>
            </w:pPr>
            <w:r>
              <w:t>NYMS</w:t>
            </w:r>
          </w:p>
        </w:tc>
        <w:tc>
          <w:tcPr>
            <w:cnfStyle w:evenVBand="false" w:oddVBand="true" w:firstColumn="false"/>
            <w:tcW w:w="25.000000%" w:type="pct"/>
          </w:tcPr>
          <w:p>
            <w:pPr>
              <w:ind w:leftChars="0" w:left="0" w:right="0"/>
            </w:pPr>
            <w:r>
              <w:t>CME SWAPS MARKETS (NYMEX)</w:t>
            </w:r>
          </w:p>
        </w:tc>
        <w:tc>
          <w:tcPr>
            <w:cnfStyle w:evenVBand="true" w:oddVBand="false" w:firstColumn="false"/>
            <w:tcW w:w="25.000000%" w:type="pct"/>
          </w:tcPr>
          <w:p>
            <w:pPr>
              <w:ind w:leftChars="0" w:left="0" w:right="0"/>
            </w:pPr>
            <w:r>
              <w:t>1373</w:t>
            </w:r>
          </w:p>
        </w:tc>
      </w:tr>
      <w:tr>
        <w:trPr>
          <w:cnfStyle w:evenHBand="false" w:oddHBand="true" w:firstRow="false"/>
        </w:trPr>
        <w:tc>
          <w:tcPr>
            <w:cnfStyle w:evenVBand="false" w:oddVBand="true" w:firstColumn="false"/>
            <w:tcW w:w="25.000000%" w:type="pct"/>
          </w:tcPr>
          <w:p>
            <w:pPr>
              <w:ind w:leftChars="0" w:left="0" w:right="0"/>
            </w:pPr>
            <w:r>
              <w:t>NYMX</w:t>
            </w:r>
          </w:p>
        </w:tc>
        <w:tc>
          <w:tcPr>
            <w:cnfStyle w:evenVBand="true" w:oddVBand="false" w:firstColumn="false"/>
            <w:tcW w:w="25.000000%" w:type="pct"/>
          </w:tcPr>
          <w:p>
            <w:pPr>
              <w:ind w:leftChars="0" w:left="0" w:right="0"/>
            </w:pPr>
            <w:r>
              <w:t>NYMX</w:t>
            </w:r>
          </w:p>
        </w:tc>
        <w:tc>
          <w:tcPr>
            <w:cnfStyle w:evenVBand="false" w:oddVBand="true" w:firstColumn="false"/>
            <w:tcW w:w="25.000000%" w:type="pct"/>
          </w:tcPr>
          <w:p>
            <w:pPr>
              <w:ind w:leftChars="0" w:left="0" w:right="0"/>
            </w:pPr>
            <w:r>
              <w:t>NYMEX EUROPE LTD.</w:t>
            </w:r>
          </w:p>
        </w:tc>
        <w:tc>
          <w:tcPr>
            <w:cnfStyle w:evenVBand="true" w:oddVBand="false" w:firstColumn="false"/>
            <w:tcW w:w="25.000000%" w:type="pct"/>
          </w:tcPr>
          <w:p>
            <w:pPr>
              <w:ind w:leftChars="0" w:left="0" w:right="0"/>
            </w:pPr>
            <w:r>
              <w:t>1374</w:t>
            </w:r>
          </w:p>
        </w:tc>
      </w:tr>
      <w:tr>
        <w:trPr>
          <w:cnfStyle w:evenHBand="true" w:oddHBand="false" w:firstRow="false"/>
        </w:trPr>
        <w:tc>
          <w:tcPr>
            <w:cnfStyle w:evenVBand="false" w:oddVBand="true" w:firstColumn="false"/>
            <w:tcW w:w="25.000000%" w:type="pct"/>
          </w:tcPr>
          <w:p>
            <w:pPr>
              <w:ind w:leftChars="0" w:left="0" w:right="0"/>
            </w:pPr>
            <w:r>
              <w:t>NYPC</w:t>
            </w:r>
          </w:p>
        </w:tc>
        <w:tc>
          <w:tcPr>
            <w:cnfStyle w:evenVBand="true" w:oddVBand="false" w:firstColumn="false"/>
            <w:tcW w:w="25.000000%" w:type="pct"/>
          </w:tcPr>
          <w:p>
            <w:pPr>
              <w:ind w:leftChars="0" w:left="0" w:right="0"/>
            </w:pPr>
            <w:r>
              <w:t>NYPC</w:t>
            </w:r>
          </w:p>
        </w:tc>
        <w:tc>
          <w:tcPr>
            <w:cnfStyle w:evenVBand="false" w:oddVBand="true" w:firstColumn="false"/>
            <w:tcW w:w="25.000000%" w:type="pct"/>
          </w:tcPr>
          <w:p>
            <w:pPr>
              <w:ind w:leftChars="0" w:left="0" w:right="0"/>
            </w:pPr>
            <w:r>
              <w:t>NEW YORK PORTFOLIO CLEARING</w:t>
            </w:r>
          </w:p>
        </w:tc>
        <w:tc>
          <w:tcPr>
            <w:cnfStyle w:evenVBand="true" w:oddVBand="false" w:firstColumn="false"/>
            <w:tcW w:w="25.000000%" w:type="pct"/>
          </w:tcPr>
          <w:p>
            <w:pPr>
              <w:ind w:leftChars="0" w:left="0" w:right="0"/>
            </w:pPr>
            <w:r>
              <w:t>1375</w:t>
            </w:r>
          </w:p>
        </w:tc>
      </w:tr>
      <w:tr>
        <w:trPr>
          <w:cnfStyle w:evenHBand="false" w:oddHBand="true" w:firstRow="false"/>
        </w:trPr>
        <w:tc>
          <w:tcPr>
            <w:cnfStyle w:evenVBand="false" w:oddVBand="true" w:firstColumn="false"/>
            <w:tcW w:w="25.000000%" w:type="pct"/>
          </w:tcPr>
          <w:p>
            <w:pPr>
              <w:ind w:leftChars="0" w:left="0" w:right="0"/>
            </w:pPr>
            <w:r>
              <w:t>NYSD</w:t>
            </w:r>
          </w:p>
        </w:tc>
        <w:tc>
          <w:tcPr>
            <w:cnfStyle w:evenVBand="true" w:oddVBand="false" w:firstColumn="false"/>
            <w:tcW w:w="25.000000%" w:type="pct"/>
          </w:tcPr>
          <w:p>
            <w:pPr>
              <w:ind w:leftChars="0" w:left="0" w:right="0"/>
            </w:pPr>
            <w:r>
              <w:t>NYSD</w:t>
            </w:r>
          </w:p>
        </w:tc>
        <w:tc>
          <w:tcPr>
            <w:cnfStyle w:evenVBand="false" w:oddVBand="true" w:firstColumn="false"/>
            <w:tcW w:w="25.000000%" w:type="pct"/>
          </w:tcPr>
          <w:p>
            <w:pPr>
              <w:ind w:leftChars="0" w:left="0" w:right="0"/>
            </w:pPr>
            <w:r>
              <w:t>NYSE DARK</w:t>
            </w:r>
          </w:p>
        </w:tc>
        <w:tc>
          <w:tcPr>
            <w:cnfStyle w:evenVBand="true" w:oddVBand="false" w:firstColumn="false"/>
            <w:tcW w:w="25.000000%" w:type="pct"/>
          </w:tcPr>
          <w:p>
            <w:pPr>
              <w:ind w:leftChars="0" w:left="0" w:right="0"/>
            </w:pPr>
            <w:r>
              <w:t>1376</w:t>
            </w:r>
          </w:p>
        </w:tc>
      </w:tr>
      <w:tr>
        <w:trPr>
          <w:cnfStyle w:evenHBand="true" w:oddHBand="false" w:firstRow="false"/>
        </w:trPr>
        <w:tc>
          <w:tcPr>
            <w:cnfStyle w:evenVBand="false" w:oddVBand="true" w:firstColumn="false"/>
            <w:tcW w:w="25.000000%" w:type="pct"/>
          </w:tcPr>
          <w:p>
            <w:pPr>
              <w:ind w:leftChars="0" w:left="0" w:right="0"/>
            </w:pPr>
            <w:r>
              <w:t>NYSI</w:t>
            </w:r>
          </w:p>
        </w:tc>
        <w:tc>
          <w:tcPr>
            <w:cnfStyle w:evenVBand="true" w:oddVBand="false" w:firstColumn="false"/>
            <w:tcW w:w="25.000000%" w:type="pct"/>
          </w:tcPr>
          <w:p>
            <w:pPr>
              <w:ind w:leftChars="0" w:left="0" w:right="0"/>
            </w:pPr>
            <w:r>
              <w:t>NYSI</w:t>
            </w:r>
          </w:p>
        </w:tc>
        <w:tc>
          <w:tcPr>
            <w:cnfStyle w:evenVBand="false" w:oddVBand="true" w:firstColumn="false"/>
            <w:tcW w:w="25.000000%" w:type="pct"/>
          </w:tcPr>
          <w:p>
            <w:pPr>
              <w:ind w:leftChars="0" w:left="0" w:right="0"/>
            </w:pPr>
            <w:r>
              <w:t>NYKREDIT BANK - SYSTEMATIC INTERNALISER</w:t>
            </w:r>
          </w:p>
        </w:tc>
        <w:tc>
          <w:tcPr>
            <w:cnfStyle w:evenVBand="true" w:oddVBand="false" w:firstColumn="false"/>
            <w:tcW w:w="25.000000%" w:type="pct"/>
          </w:tcPr>
          <w:p>
            <w:pPr>
              <w:ind w:leftChars="0" w:left="0" w:right="0"/>
            </w:pPr>
            <w:r>
              <w:t>1377</w:t>
            </w:r>
          </w:p>
        </w:tc>
      </w:tr>
      <w:tr>
        <w:trPr>
          <w:cnfStyle w:evenHBand="false" w:oddHBand="true" w:firstRow="false"/>
        </w:trPr>
        <w:tc>
          <w:tcPr>
            <w:cnfStyle w:evenVBand="false" w:oddVBand="true" w:firstColumn="false"/>
            <w:tcW w:w="25.000000%" w:type="pct"/>
          </w:tcPr>
          <w:p>
            <w:pPr>
              <w:ind w:leftChars="0" w:left="0" w:right="0"/>
            </w:pPr>
            <w:r>
              <w:t>NZFX</w:t>
            </w:r>
          </w:p>
        </w:tc>
        <w:tc>
          <w:tcPr>
            <w:cnfStyle w:evenVBand="true" w:oddVBand="false" w:firstColumn="false"/>
            <w:tcW w:w="25.000000%" w:type="pct"/>
          </w:tcPr>
          <w:p>
            <w:pPr>
              <w:ind w:leftChars="0" w:left="0" w:right="0"/>
            </w:pPr>
            <w:r>
              <w:t>NZFX</w:t>
            </w:r>
          </w:p>
        </w:tc>
        <w:tc>
          <w:tcPr>
            <w:cnfStyle w:evenVBand="false" w:oddVBand="true" w:firstColumn="false"/>
            <w:tcW w:w="25.000000%" w:type="pct"/>
          </w:tcPr>
          <w:p>
            <w:pPr>
              <w:ind w:leftChars="0" w:left="0" w:right="0"/>
            </w:pPr>
            <w:r>
              <w:t>ASX - NEW ZEALAND FUTURES &amp; OPTIONS</w:t>
            </w:r>
          </w:p>
        </w:tc>
        <w:tc>
          <w:tcPr>
            <w:cnfStyle w:evenVBand="true" w:oddVBand="false" w:firstColumn="false"/>
            <w:tcW w:w="25.000000%" w:type="pct"/>
          </w:tcPr>
          <w:p>
            <w:pPr>
              <w:ind w:leftChars="0" w:left="0" w:right="0"/>
            </w:pPr>
            <w:r>
              <w:t>1378</w:t>
            </w:r>
          </w:p>
        </w:tc>
      </w:tr>
      <w:tr>
        <w:trPr>
          <w:cnfStyle w:evenHBand="true" w:oddHBand="false" w:firstRow="false"/>
        </w:trPr>
        <w:tc>
          <w:tcPr>
            <w:cnfStyle w:evenVBand="false" w:oddVBand="true" w:firstColumn="false"/>
            <w:tcW w:w="25.000000%" w:type="pct"/>
          </w:tcPr>
          <w:p>
            <w:pPr>
              <w:ind w:leftChars="0" w:left="0" w:right="0"/>
            </w:pPr>
            <w:r>
              <w:t>OAPA</w:t>
            </w:r>
          </w:p>
        </w:tc>
        <w:tc>
          <w:tcPr>
            <w:cnfStyle w:evenVBand="true" w:oddVBand="false" w:firstColumn="false"/>
            <w:tcW w:w="25.000000%" w:type="pct"/>
          </w:tcPr>
          <w:p>
            <w:pPr>
              <w:ind w:leftChars="0" w:left="0" w:right="0"/>
            </w:pPr>
            <w:r>
              <w:t>OAPA</w:t>
            </w:r>
          </w:p>
        </w:tc>
        <w:tc>
          <w:tcPr>
            <w:cnfStyle w:evenVBand="false" w:oddVBand="true" w:firstColumn="false"/>
            <w:tcW w:w="25.000000%" w:type="pct"/>
          </w:tcPr>
          <w:p>
            <w:pPr>
              <w:ind w:leftChars="0" w:left="0" w:right="0"/>
            </w:pPr>
            <w:r>
              <w:t>OSLO BORS - APA</w:t>
            </w:r>
          </w:p>
        </w:tc>
        <w:tc>
          <w:tcPr>
            <w:cnfStyle w:evenVBand="true" w:oddVBand="false" w:firstColumn="false"/>
            <w:tcW w:w="25.000000%" w:type="pct"/>
          </w:tcPr>
          <w:p>
            <w:pPr>
              <w:ind w:leftChars="0" w:left="0" w:right="0"/>
            </w:pPr>
            <w:r>
              <w:t>1379</w:t>
            </w:r>
          </w:p>
        </w:tc>
      </w:tr>
      <w:tr>
        <w:trPr>
          <w:cnfStyle w:evenHBand="false" w:oddHBand="true" w:firstRow="false"/>
        </w:trPr>
        <w:tc>
          <w:tcPr>
            <w:cnfStyle w:evenVBand="false" w:oddVBand="true" w:firstColumn="false"/>
            <w:tcW w:w="25.000000%" w:type="pct"/>
          </w:tcPr>
          <w:p>
            <w:pPr>
              <w:ind w:leftChars="0" w:left="0" w:right="0"/>
            </w:pPr>
            <w:r>
              <w:t>OBKL</w:t>
            </w:r>
          </w:p>
        </w:tc>
        <w:tc>
          <w:tcPr>
            <w:cnfStyle w:evenVBand="true" w:oddVBand="false" w:firstColumn="false"/>
            <w:tcW w:w="25.000000%" w:type="pct"/>
          </w:tcPr>
          <w:p>
            <w:pPr>
              <w:ind w:leftChars="0" w:left="0" w:right="0"/>
            </w:pPr>
            <w:r>
              <w:t>OBKL</w:t>
            </w:r>
          </w:p>
        </w:tc>
        <w:tc>
          <w:tcPr>
            <w:cnfStyle w:evenVBand="false" w:oddVBand="true" w:firstColumn="false"/>
            <w:tcW w:w="25.000000%" w:type="pct"/>
          </w:tcPr>
          <w:p>
            <w:pPr>
              <w:ind w:leftChars="0" w:left="0" w:right="0"/>
            </w:pPr>
            <w:r>
              <w:t>OBERBANK AG - SYSTEMATIC INTERNALISER</w:t>
            </w:r>
          </w:p>
        </w:tc>
        <w:tc>
          <w:tcPr>
            <w:cnfStyle w:evenVBand="true" w:oddVBand="false" w:firstColumn="false"/>
            <w:tcW w:w="25.000000%" w:type="pct"/>
          </w:tcPr>
          <w:p>
            <w:pPr>
              <w:ind w:leftChars="0" w:left="0" w:right="0"/>
            </w:pPr>
            <w:r>
              <w:t>1380</w:t>
            </w:r>
          </w:p>
        </w:tc>
      </w:tr>
      <w:tr>
        <w:trPr>
          <w:cnfStyle w:evenHBand="true" w:oddHBand="false" w:firstRow="false"/>
        </w:trPr>
        <w:tc>
          <w:tcPr>
            <w:cnfStyle w:evenVBand="false" w:oddVBand="true" w:firstColumn="false"/>
            <w:tcW w:w="25.000000%" w:type="pct"/>
          </w:tcPr>
          <w:p>
            <w:pPr>
              <w:ind w:leftChars="0" w:left="0" w:right="0"/>
            </w:pPr>
            <w:r>
              <w:t>OCEA</w:t>
            </w:r>
          </w:p>
        </w:tc>
        <w:tc>
          <w:tcPr>
            <w:cnfStyle w:evenVBand="true" w:oddVBand="false" w:firstColumn="false"/>
            <w:tcW w:w="25.000000%" w:type="pct"/>
          </w:tcPr>
          <w:p>
            <w:pPr>
              <w:ind w:leftChars="0" w:left="0" w:right="0"/>
            </w:pPr>
            <w:r>
              <w:t>OCEA</w:t>
            </w:r>
          </w:p>
        </w:tc>
        <w:tc>
          <w:tcPr>
            <w:cnfStyle w:evenVBand="false" w:oddVBand="true" w:firstColumn="false"/>
            <w:tcW w:w="25.000000%" w:type="pct"/>
          </w:tcPr>
          <w:p>
            <w:pPr>
              <w:ind w:leftChars="0" w:left="0" w:right="0"/>
            </w:pPr>
            <w:r>
              <w:t>BLUE OCEAN ALTERNATIVE TRADING SYSTEM</w:t>
            </w:r>
          </w:p>
        </w:tc>
        <w:tc>
          <w:tcPr>
            <w:cnfStyle w:evenVBand="true" w:oddVBand="false" w:firstColumn="false"/>
            <w:tcW w:w="25.000000%" w:type="pct"/>
          </w:tcPr>
          <w:p>
            <w:pPr>
              <w:ind w:leftChars="0" w:left="0" w:right="0"/>
            </w:pPr>
            <w:r>
              <w:t>1381</w:t>
            </w:r>
          </w:p>
        </w:tc>
      </w:tr>
      <w:tr>
        <w:trPr>
          <w:cnfStyle w:evenHBand="false" w:oddHBand="true" w:firstRow="false"/>
        </w:trPr>
        <w:tc>
          <w:tcPr>
            <w:cnfStyle w:evenVBand="false" w:oddVBand="true" w:firstColumn="false"/>
            <w:tcW w:w="25.000000%" w:type="pct"/>
          </w:tcPr>
          <w:p>
            <w:pPr>
              <w:ind w:leftChars="0" w:left="0" w:right="0"/>
            </w:pPr>
            <w:r>
              <w:t>OCSI</w:t>
            </w:r>
          </w:p>
        </w:tc>
        <w:tc>
          <w:tcPr>
            <w:cnfStyle w:evenVBand="true" w:oddVBand="false" w:firstColumn="false"/>
            <w:tcW w:w="25.000000%" w:type="pct"/>
          </w:tcPr>
          <w:p>
            <w:pPr>
              <w:ind w:leftChars="0" w:left="0" w:right="0"/>
            </w:pPr>
            <w:r>
              <w:t>OCSI</w:t>
            </w:r>
          </w:p>
        </w:tc>
        <w:tc>
          <w:tcPr>
            <w:cnfStyle w:evenVBand="false" w:oddVBand="true" w:firstColumn="false"/>
            <w:tcW w:w="25.000000%" w:type="pct"/>
          </w:tcPr>
          <w:p>
            <w:pPr>
              <w:ind w:leftChars="0" w:left="0" w:right="0"/>
            </w:pPr>
            <w:r>
              <w:t>SOVA CAPITAL - SYSTEMATIC INTERNALISER</w:t>
            </w:r>
          </w:p>
        </w:tc>
        <w:tc>
          <w:tcPr>
            <w:cnfStyle w:evenVBand="true" w:oddVBand="false" w:firstColumn="false"/>
            <w:tcW w:w="25.000000%" w:type="pct"/>
          </w:tcPr>
          <w:p>
            <w:pPr>
              <w:ind w:leftChars="0" w:left="0" w:right="0"/>
            </w:pPr>
            <w:r>
              <w:t>1382</w:t>
            </w:r>
          </w:p>
        </w:tc>
      </w:tr>
      <w:tr>
        <w:trPr>
          <w:cnfStyle w:evenHBand="true" w:oddHBand="false" w:firstRow="false"/>
        </w:trPr>
        <w:tc>
          <w:tcPr>
            <w:cnfStyle w:evenVBand="false" w:oddVBand="true" w:firstColumn="false"/>
            <w:tcW w:w="25.000000%" w:type="pct"/>
          </w:tcPr>
          <w:p>
            <w:pPr>
              <w:ind w:leftChars="0" w:left="0" w:right="0"/>
            </w:pPr>
            <w:r>
              <w:t>ODDO</w:t>
            </w:r>
          </w:p>
        </w:tc>
        <w:tc>
          <w:tcPr>
            <w:cnfStyle w:evenVBand="true" w:oddVBand="false" w:firstColumn="false"/>
            <w:tcW w:w="25.000000%" w:type="pct"/>
          </w:tcPr>
          <w:p>
            <w:pPr>
              <w:ind w:leftChars="0" w:left="0" w:right="0"/>
            </w:pPr>
            <w:r>
              <w:t>ODDO</w:t>
            </w:r>
          </w:p>
        </w:tc>
        <w:tc>
          <w:tcPr>
            <w:cnfStyle w:evenVBand="false" w:oddVBand="true" w:firstColumn="false"/>
            <w:tcW w:w="25.000000%" w:type="pct"/>
          </w:tcPr>
          <w:p>
            <w:pPr>
              <w:ind w:leftChars="0" w:left="0" w:right="0"/>
            </w:pPr>
            <w:r>
              <w:t>ODDO BHF</w:t>
            </w:r>
          </w:p>
        </w:tc>
        <w:tc>
          <w:tcPr>
            <w:cnfStyle w:evenVBand="true" w:oddVBand="false" w:firstColumn="false"/>
            <w:tcW w:w="25.000000%" w:type="pct"/>
          </w:tcPr>
          <w:p>
            <w:pPr>
              <w:ind w:leftChars="0" w:left="0" w:right="0"/>
            </w:pPr>
            <w:r>
              <w:t>1383</w:t>
            </w:r>
          </w:p>
        </w:tc>
      </w:tr>
      <w:tr>
        <w:trPr>
          <w:cnfStyle w:evenHBand="false" w:oddHBand="true" w:firstRow="false"/>
        </w:trPr>
        <w:tc>
          <w:tcPr>
            <w:cnfStyle w:evenVBand="false" w:oddVBand="true" w:firstColumn="false"/>
            <w:tcW w:w="25.000000%" w:type="pct"/>
          </w:tcPr>
          <w:p>
            <w:pPr>
              <w:ind w:leftChars="0" w:left="0" w:right="0"/>
            </w:pPr>
            <w:r>
              <w:t>ODOC</w:t>
            </w:r>
          </w:p>
        </w:tc>
        <w:tc>
          <w:tcPr>
            <w:cnfStyle w:evenVBand="true" w:oddVBand="false" w:firstColumn="false"/>
            <w:tcW w:w="25.000000%" w:type="pct"/>
          </w:tcPr>
          <w:p>
            <w:pPr>
              <w:ind w:leftChars="0" w:left="0" w:right="0"/>
            </w:pPr>
            <w:r>
              <w:t>ODOC</w:t>
            </w:r>
          </w:p>
        </w:tc>
        <w:tc>
          <w:tcPr>
            <w:cnfStyle w:evenVBand="false" w:oddVBand="true" w:firstColumn="false"/>
            <w:tcW w:w="25.000000%" w:type="pct"/>
          </w:tcPr>
          <w:p>
            <w:pPr>
              <w:ind w:leftChars="0" w:left="0" w:right="0"/>
            </w:pPr>
            <w:r>
              <w:t>ODDO CONTREPARTIE</w:t>
            </w:r>
          </w:p>
        </w:tc>
        <w:tc>
          <w:tcPr>
            <w:cnfStyle w:evenVBand="true" w:oddVBand="false" w:firstColumn="false"/>
            <w:tcW w:w="25.000000%" w:type="pct"/>
          </w:tcPr>
          <w:p>
            <w:pPr>
              <w:ind w:leftChars="0" w:left="0" w:right="0"/>
            </w:pPr>
            <w:r>
              <w:t>1384</w:t>
            </w:r>
          </w:p>
        </w:tc>
      </w:tr>
      <w:tr>
        <w:trPr>
          <w:cnfStyle w:evenHBand="true" w:oddHBand="false" w:firstRow="false"/>
        </w:trPr>
        <w:tc>
          <w:tcPr>
            <w:cnfStyle w:evenVBand="false" w:oddVBand="true" w:firstColumn="false"/>
            <w:tcW w:w="25.000000%" w:type="pct"/>
          </w:tcPr>
          <w:p>
            <w:pPr>
              <w:ind w:leftChars="0" w:left="0" w:right="0"/>
            </w:pPr>
            <w:r>
              <w:t>ODXE</w:t>
            </w:r>
          </w:p>
        </w:tc>
        <w:tc>
          <w:tcPr>
            <w:cnfStyle w:evenVBand="true" w:oddVBand="false" w:firstColumn="false"/>
            <w:tcW w:w="25.000000%" w:type="pct"/>
          </w:tcPr>
          <w:p>
            <w:pPr>
              <w:ind w:leftChars="0" w:left="0" w:right="0"/>
            </w:pPr>
            <w:r>
              <w:t>ODXE</w:t>
            </w:r>
          </w:p>
        </w:tc>
        <w:tc>
          <w:tcPr>
            <w:cnfStyle w:evenVBand="false" w:oddVBand="true" w:firstColumn="false"/>
            <w:tcW w:w="25.000000%" w:type="pct"/>
          </w:tcPr>
          <w:p>
            <w:pPr>
              <w:ind w:leftChars="0" w:left="0" w:right="0"/>
            </w:pPr>
            <w:r>
              <w:t>ODX - OSAKA DIGITAL EXCHANGE</w:t>
            </w:r>
          </w:p>
        </w:tc>
        <w:tc>
          <w:tcPr>
            <w:cnfStyle w:evenVBand="true" w:oddVBand="false" w:firstColumn="false"/>
            <w:tcW w:w="25.000000%" w:type="pct"/>
          </w:tcPr>
          <w:p>
            <w:pPr>
              <w:ind w:leftChars="0" w:left="0" w:right="0"/>
            </w:pPr>
            <w:r>
              <w:t>1385</w:t>
            </w:r>
          </w:p>
        </w:tc>
      </w:tr>
      <w:tr>
        <w:trPr>
          <w:cnfStyle w:evenHBand="false" w:oddHBand="true" w:firstRow="false"/>
        </w:trPr>
        <w:tc>
          <w:tcPr>
            <w:cnfStyle w:evenVBand="false" w:oddVBand="true" w:firstColumn="false"/>
            <w:tcW w:w="25.000000%" w:type="pct"/>
          </w:tcPr>
          <w:p>
            <w:pPr>
              <w:ind w:leftChars="0" w:left="0" w:right="0"/>
            </w:pPr>
            <w:r>
              <w:t>OFEX</w:t>
            </w:r>
          </w:p>
        </w:tc>
        <w:tc>
          <w:tcPr>
            <w:cnfStyle w:evenVBand="true" w:oddVBand="false" w:firstColumn="false"/>
            <w:tcW w:w="25.000000%" w:type="pct"/>
          </w:tcPr>
          <w:p>
            <w:pPr>
              <w:ind w:leftChars="0" w:left="0" w:right="0"/>
            </w:pPr>
            <w:r>
              <w:t>OFEX</w:t>
            </w:r>
          </w:p>
        </w:tc>
        <w:tc>
          <w:tcPr>
            <w:cnfStyle w:evenVBand="false" w:oddVBand="true" w:firstColumn="false"/>
            <w:tcW w:w="25.000000%" w:type="pct"/>
          </w:tcPr>
          <w:p>
            <w:pPr>
              <w:ind w:leftChars="0" w:left="0" w:right="0"/>
            </w:pPr>
            <w:r>
              <w:t>OFEX</w:t>
            </w:r>
          </w:p>
        </w:tc>
        <w:tc>
          <w:tcPr>
            <w:cnfStyle w:evenVBand="true" w:oddVBand="false" w:firstColumn="false"/>
            <w:tcW w:w="25.000000%" w:type="pct"/>
          </w:tcPr>
          <w:p>
            <w:pPr>
              <w:ind w:leftChars="0" w:left="0" w:right="0"/>
            </w:pPr>
            <w:r>
              <w:t>1386</w:t>
            </w:r>
          </w:p>
        </w:tc>
      </w:tr>
      <w:tr>
        <w:trPr>
          <w:cnfStyle w:evenHBand="true" w:oddHBand="false" w:firstRow="false"/>
        </w:trPr>
        <w:tc>
          <w:tcPr>
            <w:cnfStyle w:evenVBand="false" w:oddVBand="true" w:firstColumn="false"/>
            <w:tcW w:w="25.000000%" w:type="pct"/>
          </w:tcPr>
          <w:p>
            <w:pPr>
              <w:ind w:leftChars="0" w:left="0" w:right="0"/>
            </w:pPr>
            <w:r>
              <w:t>OHVO</w:t>
            </w:r>
          </w:p>
        </w:tc>
        <w:tc>
          <w:tcPr>
            <w:cnfStyle w:evenVBand="true" w:oddVBand="false" w:firstColumn="false"/>
            <w:tcW w:w="25.000000%" w:type="pct"/>
          </w:tcPr>
          <w:p>
            <w:pPr>
              <w:ind w:leftChars="0" w:left="0" w:right="0"/>
            </w:pPr>
            <w:r>
              <w:t>OHVO</w:t>
            </w:r>
          </w:p>
        </w:tc>
        <w:tc>
          <w:tcPr>
            <w:cnfStyle w:evenVBand="false" w:oddVBand="true" w:firstColumn="false"/>
            <w:tcW w:w="25.000000%" w:type="pct"/>
          </w:tcPr>
          <w:p>
            <w:pPr>
              <w:ind w:leftChars="0" w:left="0" w:right="0"/>
            </w:pPr>
            <w:r>
              <w:t>OHV OTF</w:t>
            </w:r>
          </w:p>
        </w:tc>
        <w:tc>
          <w:tcPr>
            <w:cnfStyle w:evenVBand="true" w:oddVBand="false" w:firstColumn="false"/>
            <w:tcW w:w="25.000000%" w:type="pct"/>
          </w:tcPr>
          <w:p>
            <w:pPr>
              <w:ind w:leftChars="0" w:left="0" w:right="0"/>
            </w:pPr>
            <w:r>
              <w:t>1387</w:t>
            </w:r>
          </w:p>
        </w:tc>
      </w:tr>
      <w:tr>
        <w:trPr>
          <w:cnfStyle w:evenHBand="false" w:oddHBand="true" w:firstRow="false"/>
        </w:trPr>
        <w:tc>
          <w:tcPr>
            <w:cnfStyle w:evenVBand="false" w:oddVBand="true" w:firstColumn="false"/>
            <w:tcW w:w="25.000000%" w:type="pct"/>
          </w:tcPr>
          <w:p>
            <w:pPr>
              <w:ind w:leftChars="0" w:left="0" w:right="0"/>
            </w:pPr>
            <w:r>
              <w:t>OILX</w:t>
            </w:r>
          </w:p>
        </w:tc>
        <w:tc>
          <w:tcPr>
            <w:cnfStyle w:evenVBand="true" w:oddVBand="false" w:firstColumn="false"/>
            <w:tcW w:w="25.000000%" w:type="pct"/>
          </w:tcPr>
          <w:p>
            <w:pPr>
              <w:ind w:leftChars="0" w:left="0" w:right="0"/>
            </w:pPr>
            <w:r>
              <w:t>OILX</w:t>
            </w:r>
          </w:p>
        </w:tc>
        <w:tc>
          <w:tcPr>
            <w:cnfStyle w:evenVBand="false" w:oddVBand="true" w:firstColumn="false"/>
            <w:tcW w:w="25.000000%" w:type="pct"/>
          </w:tcPr>
          <w:p>
            <w:pPr>
              <w:ind w:leftChars="0" w:left="0" w:right="0"/>
            </w:pPr>
            <w:r>
              <w:t>OILX</w:t>
            </w:r>
          </w:p>
        </w:tc>
        <w:tc>
          <w:tcPr>
            <w:cnfStyle w:evenVBand="true" w:oddVBand="false" w:firstColumn="false"/>
            <w:tcW w:w="25.000000%" w:type="pct"/>
          </w:tcPr>
          <w:p>
            <w:pPr>
              <w:ind w:leftChars="0" w:left="0" w:right="0"/>
            </w:pPr>
            <w:r>
              <w:t>1388</w:t>
            </w:r>
          </w:p>
        </w:tc>
      </w:tr>
      <w:tr>
        <w:trPr>
          <w:cnfStyle w:evenHBand="true" w:oddHBand="false" w:firstRow="false"/>
        </w:trPr>
        <w:tc>
          <w:tcPr>
            <w:cnfStyle w:evenVBand="false" w:oddVBand="true" w:firstColumn="false"/>
            <w:tcW w:w="25.000000%" w:type="pct"/>
          </w:tcPr>
          <w:p>
            <w:pPr>
              <w:ind w:leftChars="0" w:left="0" w:right="0"/>
            </w:pPr>
            <w:r>
              <w:t>OLBB</w:t>
            </w:r>
          </w:p>
        </w:tc>
        <w:tc>
          <w:tcPr>
            <w:cnfStyle w:evenVBand="true" w:oddVBand="false" w:firstColumn="false"/>
            <w:tcW w:w="25.000000%" w:type="pct"/>
          </w:tcPr>
          <w:p>
            <w:pPr>
              <w:ind w:leftChars="0" w:left="0" w:right="0"/>
            </w:pPr>
            <w:r>
              <w:t>OLBB</w:t>
            </w:r>
          </w:p>
        </w:tc>
        <w:tc>
          <w:tcPr>
            <w:cnfStyle w:evenVBand="false" w:oddVBand="true" w:firstColumn="false"/>
            <w:tcW w:w="25.000000%" w:type="pct"/>
          </w:tcPr>
          <w:p>
            <w:pPr>
              <w:ind w:leftChars="0" w:left="0" w:right="0"/>
            </w:pPr>
            <w:r>
              <w:t>OLDENBURGISCHE LANDESBANK AG FX  HANDEL - SYSTEMATIC INTERNALISER</w:t>
            </w:r>
          </w:p>
        </w:tc>
        <w:tc>
          <w:tcPr>
            <w:cnfStyle w:evenVBand="true" w:oddVBand="false" w:firstColumn="false"/>
            <w:tcW w:w="25.000000%" w:type="pct"/>
          </w:tcPr>
          <w:p>
            <w:pPr>
              <w:ind w:leftChars="0" w:left="0" w:right="0"/>
            </w:pPr>
            <w:r>
              <w:t>1389</w:t>
            </w:r>
          </w:p>
        </w:tc>
      </w:tr>
      <w:tr>
        <w:trPr>
          <w:cnfStyle w:evenHBand="false" w:oddHBand="true" w:firstRow="false"/>
        </w:trPr>
        <w:tc>
          <w:tcPr>
            <w:cnfStyle w:evenVBand="false" w:oddVBand="true" w:firstColumn="false"/>
            <w:tcW w:w="25.000000%" w:type="pct"/>
          </w:tcPr>
          <w:p>
            <w:pPr>
              <w:ind w:leftChars="0" w:left="0" w:right="0"/>
            </w:pPr>
            <w:r>
              <w:t>OLLC</w:t>
            </w:r>
          </w:p>
        </w:tc>
        <w:tc>
          <w:tcPr>
            <w:cnfStyle w:evenVBand="true" w:oddVBand="false" w:firstColumn="false"/>
            <w:tcW w:w="25.000000%" w:type="pct"/>
          </w:tcPr>
          <w:p>
            <w:pPr>
              <w:ind w:leftChars="0" w:left="0" w:right="0"/>
            </w:pPr>
            <w:r>
              <w:t>OLLC</w:t>
            </w:r>
          </w:p>
        </w:tc>
        <w:tc>
          <w:tcPr>
            <w:cnfStyle w:evenVBand="false" w:oddVBand="true" w:firstColumn="false"/>
            <w:tcW w:w="25.000000%" w:type="pct"/>
          </w:tcPr>
          <w:p>
            <w:pPr>
              <w:ind w:leftChars="0" w:left="0" w:right="0"/>
            </w:pPr>
            <w:r>
              <w:t>OTCEX LLC</w:t>
            </w:r>
          </w:p>
        </w:tc>
        <w:tc>
          <w:tcPr>
            <w:cnfStyle w:evenVBand="true" w:oddVBand="false" w:firstColumn="false"/>
            <w:tcW w:w="25.000000%" w:type="pct"/>
          </w:tcPr>
          <w:p>
            <w:pPr>
              <w:ind w:leftChars="0" w:left="0" w:right="0"/>
            </w:pPr>
            <w:r>
              <w:t>1390</w:t>
            </w:r>
          </w:p>
        </w:tc>
      </w:tr>
      <w:tr>
        <w:trPr>
          <w:cnfStyle w:evenHBand="true" w:oddHBand="false" w:firstRow="false"/>
        </w:trPr>
        <w:tc>
          <w:tcPr>
            <w:cnfStyle w:evenVBand="false" w:oddVBand="true" w:firstColumn="false"/>
            <w:tcW w:w="25.000000%" w:type="pct"/>
          </w:tcPr>
          <w:p>
            <w:pPr>
              <w:ind w:leftChars="0" w:left="0" w:right="0"/>
            </w:pPr>
            <w:r>
              <w:t>OMEL</w:t>
            </w:r>
          </w:p>
        </w:tc>
        <w:tc>
          <w:tcPr>
            <w:cnfStyle w:evenVBand="true" w:oddVBand="false" w:firstColumn="false"/>
            <w:tcW w:w="25.000000%" w:type="pct"/>
          </w:tcPr>
          <w:p>
            <w:pPr>
              <w:ind w:leftChars="0" w:left="0" w:right="0"/>
            </w:pPr>
            <w:r>
              <w:t>OMEL</w:t>
            </w:r>
          </w:p>
        </w:tc>
        <w:tc>
          <w:tcPr>
            <w:cnfStyle w:evenVBand="false" w:oddVBand="true" w:firstColumn="false"/>
            <w:tcW w:w="25.000000%" w:type="pct"/>
          </w:tcPr>
          <w:p>
            <w:pPr>
              <w:ind w:leftChars="0" w:left="0" w:right="0"/>
            </w:pPr>
            <w:r>
              <w:t>OMI POLO ESPANOL S.A. (OMIE)</w:t>
            </w:r>
          </w:p>
        </w:tc>
        <w:tc>
          <w:tcPr>
            <w:cnfStyle w:evenVBand="true" w:oddVBand="false" w:firstColumn="false"/>
            <w:tcW w:w="25.000000%" w:type="pct"/>
          </w:tcPr>
          <w:p>
            <w:pPr>
              <w:ind w:leftChars="0" w:left="0" w:right="0"/>
            </w:pPr>
            <w:r>
              <w:t>1391</w:t>
            </w:r>
          </w:p>
        </w:tc>
      </w:tr>
      <w:tr>
        <w:trPr>
          <w:cnfStyle w:evenHBand="false" w:oddHBand="true" w:firstRow="false"/>
        </w:trPr>
        <w:tc>
          <w:tcPr>
            <w:cnfStyle w:evenVBand="false" w:oddVBand="true" w:firstColumn="false"/>
            <w:tcW w:w="25.000000%" w:type="pct"/>
          </w:tcPr>
          <w:p>
            <w:pPr>
              <w:ind w:leftChars="0" w:left="0" w:right="0"/>
            </w:pPr>
            <w:r>
              <w:t>OMGA</w:t>
            </w:r>
          </w:p>
        </w:tc>
        <w:tc>
          <w:tcPr>
            <w:cnfStyle w:evenVBand="true" w:oddVBand="false" w:firstColumn="false"/>
            <w:tcW w:w="25.000000%" w:type="pct"/>
          </w:tcPr>
          <w:p>
            <w:pPr>
              <w:ind w:leftChars="0" w:left="0" w:right="0"/>
            </w:pPr>
            <w:r>
              <w:t>OMGA</w:t>
            </w:r>
          </w:p>
        </w:tc>
        <w:tc>
          <w:tcPr>
            <w:cnfStyle w:evenVBand="false" w:oddVBand="true" w:firstColumn="false"/>
            <w:tcW w:w="25.000000%" w:type="pct"/>
          </w:tcPr>
          <w:p>
            <w:pPr>
              <w:ind w:leftChars="0" w:left="0" w:right="0"/>
            </w:pPr>
            <w:r>
              <w:t>OMEGA ATS</w:t>
            </w:r>
          </w:p>
        </w:tc>
        <w:tc>
          <w:tcPr>
            <w:cnfStyle w:evenVBand="true" w:oddVBand="false" w:firstColumn="false"/>
            <w:tcW w:w="25.000000%" w:type="pct"/>
          </w:tcPr>
          <w:p>
            <w:pPr>
              <w:ind w:leftChars="0" w:left="0" w:right="0"/>
            </w:pPr>
            <w:r>
              <w:t>1392</w:t>
            </w:r>
          </w:p>
        </w:tc>
      </w:tr>
      <w:tr>
        <w:trPr>
          <w:cnfStyle w:evenHBand="true" w:oddHBand="false" w:firstRow="false"/>
        </w:trPr>
        <w:tc>
          <w:tcPr>
            <w:cnfStyle w:evenVBand="false" w:oddVBand="true" w:firstColumn="false"/>
            <w:tcW w:w="25.000000%" w:type="pct"/>
          </w:tcPr>
          <w:p>
            <w:pPr>
              <w:ind w:leftChars="0" w:left="0" w:right="0"/>
            </w:pPr>
            <w:r>
              <w:t>OMIC</w:t>
            </w:r>
          </w:p>
        </w:tc>
        <w:tc>
          <w:tcPr>
            <w:cnfStyle w:evenVBand="true" w:oddVBand="false" w:firstColumn="false"/>
            <w:tcW w:w="25.000000%" w:type="pct"/>
          </w:tcPr>
          <w:p>
            <w:pPr>
              <w:ind w:leftChars="0" w:left="0" w:right="0"/>
            </w:pPr>
            <w:r>
              <w:t>OMIC</w:t>
            </w:r>
          </w:p>
        </w:tc>
        <w:tc>
          <w:tcPr>
            <w:cnfStyle w:evenVBand="false" w:oddVBand="true" w:firstColumn="false"/>
            <w:tcW w:w="25.000000%" w:type="pct"/>
          </w:tcPr>
          <w:p>
            <w:pPr>
              <w:ind w:leftChars="0" w:left="0" w:right="0"/>
            </w:pPr>
            <w:r>
              <w:t>THE IBERIAN ENERGY CLEARING HOUSE</w:t>
            </w:r>
          </w:p>
        </w:tc>
        <w:tc>
          <w:tcPr>
            <w:cnfStyle w:evenVBand="true" w:oddVBand="false" w:firstColumn="false"/>
            <w:tcW w:w="25.000000%" w:type="pct"/>
          </w:tcPr>
          <w:p>
            <w:pPr>
              <w:ind w:leftChars="0" w:left="0" w:right="0"/>
            </w:pPr>
            <w:r>
              <w:t>1393</w:t>
            </w:r>
          </w:p>
        </w:tc>
      </w:tr>
      <w:tr>
        <w:trPr>
          <w:cnfStyle w:evenHBand="false" w:oddHBand="true" w:firstRow="false"/>
        </w:trPr>
        <w:tc>
          <w:tcPr>
            <w:cnfStyle w:evenVBand="false" w:oddVBand="true" w:firstColumn="false"/>
            <w:tcW w:w="25.000000%" w:type="pct"/>
          </w:tcPr>
          <w:p>
            <w:pPr>
              <w:ind w:leftChars="0" w:left="0" w:right="0"/>
            </w:pPr>
            <w:r>
              <w:t>OMIP</w:t>
            </w:r>
          </w:p>
        </w:tc>
        <w:tc>
          <w:tcPr>
            <w:cnfStyle w:evenVBand="true" w:oddVBand="false" w:firstColumn="false"/>
            <w:tcW w:w="25.000000%" w:type="pct"/>
          </w:tcPr>
          <w:p>
            <w:pPr>
              <w:ind w:leftChars="0" w:left="0" w:right="0"/>
            </w:pPr>
            <w:r>
              <w:t>OMIP</w:t>
            </w:r>
          </w:p>
        </w:tc>
        <w:tc>
          <w:tcPr>
            <w:cnfStyle w:evenVBand="false" w:oddVBand="true" w:firstColumn="false"/>
            <w:tcW w:w="25.000000%" w:type="pct"/>
          </w:tcPr>
          <w:p>
            <w:pPr>
              <w:ind w:leftChars="0" w:left="0" w:right="0"/>
            </w:pPr>
            <w:r>
              <w:t>OMIP - POLO PORTUGUES, S.G.M.R., S.A. / OMIP DERIVATIVES MARKET</w:t>
            </w:r>
          </w:p>
        </w:tc>
        <w:tc>
          <w:tcPr>
            <w:cnfStyle w:evenVBand="true" w:oddVBand="false" w:firstColumn="false"/>
            <w:tcW w:w="25.000000%" w:type="pct"/>
          </w:tcPr>
          <w:p>
            <w:pPr>
              <w:ind w:leftChars="0" w:left="0" w:right="0"/>
            </w:pPr>
            <w:r>
              <w:t>1394</w:t>
            </w:r>
          </w:p>
        </w:tc>
      </w:tr>
      <w:tr>
        <w:trPr>
          <w:cnfStyle w:evenHBand="true" w:oddHBand="false" w:firstRow="false"/>
        </w:trPr>
        <w:tc>
          <w:tcPr>
            <w:cnfStyle w:evenVBand="false" w:oddVBand="true" w:firstColumn="false"/>
            <w:tcW w:w="25.000000%" w:type="pct"/>
          </w:tcPr>
          <w:p>
            <w:pPr>
              <w:ind w:leftChars="0" w:left="0" w:right="0"/>
            </w:pPr>
            <w:r>
              <w:t>ONEC</w:t>
            </w:r>
          </w:p>
        </w:tc>
        <w:tc>
          <w:tcPr>
            <w:cnfStyle w:evenVBand="true" w:oddVBand="false" w:firstColumn="false"/>
            <w:tcW w:w="25.000000%" w:type="pct"/>
          </w:tcPr>
          <w:p>
            <w:pPr>
              <w:ind w:leftChars="0" w:left="0" w:right="0"/>
            </w:pPr>
            <w:r>
              <w:t>ONEC</w:t>
            </w:r>
          </w:p>
        </w:tc>
        <w:tc>
          <w:tcPr>
            <w:cnfStyle w:evenVBand="false" w:oddVBand="true" w:firstColumn="false"/>
            <w:tcW w:w="25.000000%" w:type="pct"/>
          </w:tcPr>
          <w:p>
            <w:pPr>
              <w:ind w:leftChars="0" w:left="0" w:right="0"/>
            </w:pPr>
            <w:r>
              <w:t>CITI-ONE</w:t>
            </w:r>
          </w:p>
        </w:tc>
        <w:tc>
          <w:tcPr>
            <w:cnfStyle w:evenVBand="true" w:oddVBand="false" w:firstColumn="false"/>
            <w:tcW w:w="25.000000%" w:type="pct"/>
          </w:tcPr>
          <w:p>
            <w:pPr>
              <w:ind w:leftChars="0" w:left="0" w:right="0"/>
            </w:pPr>
            <w:r>
              <w:t>1395</w:t>
            </w:r>
          </w:p>
        </w:tc>
      </w:tr>
      <w:tr>
        <w:trPr>
          <w:cnfStyle w:evenHBand="false" w:oddHBand="true" w:firstRow="false"/>
        </w:trPr>
        <w:tc>
          <w:tcPr>
            <w:cnfStyle w:evenVBand="false" w:oddVBand="true" w:firstColumn="false"/>
            <w:tcW w:w="25.000000%" w:type="pct"/>
          </w:tcPr>
          <w:p>
            <w:pPr>
              <w:ind w:leftChars="0" w:left="0" w:right="0"/>
            </w:pPr>
            <w:r>
              <w:t>ONSE</w:t>
            </w:r>
          </w:p>
        </w:tc>
        <w:tc>
          <w:tcPr>
            <w:cnfStyle w:evenVBand="true" w:oddVBand="false" w:firstColumn="false"/>
            <w:tcW w:w="25.000000%" w:type="pct"/>
          </w:tcPr>
          <w:p>
            <w:pPr>
              <w:ind w:leftChars="0" w:left="0" w:right="0"/>
            </w:pPr>
            <w:r>
              <w:t>ONSE</w:t>
            </w:r>
          </w:p>
        </w:tc>
        <w:tc>
          <w:tcPr>
            <w:cnfStyle w:evenVBand="false" w:oddVBand="true" w:firstColumn="false"/>
            <w:tcW w:w="25.000000%" w:type="pct"/>
          </w:tcPr>
          <w:p>
            <w:pPr>
              <w:ind w:leftChars="0" w:left="0" w:right="0"/>
            </w:pPr>
            <w:r>
              <w:t>FIRST NORTH SWEDEN - NORWAY</w:t>
            </w:r>
          </w:p>
        </w:tc>
        <w:tc>
          <w:tcPr>
            <w:cnfStyle w:evenVBand="true" w:oddVBand="false" w:firstColumn="false"/>
            <w:tcW w:w="25.000000%" w:type="pct"/>
          </w:tcPr>
          <w:p>
            <w:pPr>
              <w:ind w:leftChars="0" w:left="0" w:right="0"/>
            </w:pPr>
            <w:r>
              <w:t>1396</w:t>
            </w:r>
          </w:p>
        </w:tc>
      </w:tr>
      <w:tr>
        <w:trPr>
          <w:cnfStyle w:evenHBand="true" w:oddHBand="false" w:firstRow="false"/>
        </w:trPr>
        <w:tc>
          <w:tcPr>
            <w:cnfStyle w:evenVBand="false" w:oddVBand="true" w:firstColumn="false"/>
            <w:tcW w:w="25.000000%" w:type="pct"/>
          </w:tcPr>
          <w:p>
            <w:pPr>
              <w:ind w:leftChars="0" w:left="0" w:right="0"/>
            </w:pPr>
            <w:r>
              <w:t>OOTC</w:t>
            </w:r>
          </w:p>
        </w:tc>
        <w:tc>
          <w:tcPr>
            <w:cnfStyle w:evenVBand="true" w:oddVBand="false" w:firstColumn="false"/>
            <w:tcW w:w="25.000000%" w:type="pct"/>
          </w:tcPr>
          <w:p>
            <w:pPr>
              <w:ind w:leftChars="0" w:left="0" w:right="0"/>
            </w:pPr>
            <w:r>
              <w:t>OOTC</w:t>
            </w:r>
          </w:p>
        </w:tc>
        <w:tc>
          <w:tcPr>
            <w:cnfStyle w:evenVBand="false" w:oddVBand="true" w:firstColumn="false"/>
            <w:tcW w:w="25.000000%" w:type="pct"/>
          </w:tcPr>
          <w:p>
            <w:pPr>
              <w:ind w:leftChars="0" w:left="0" w:right="0"/>
            </w:pPr>
            <w:r>
              <w:t>OTHER OTC</w:t>
            </w:r>
          </w:p>
        </w:tc>
        <w:tc>
          <w:tcPr>
            <w:cnfStyle w:evenVBand="true" w:oddVBand="false" w:firstColumn="false"/>
            <w:tcW w:w="25.000000%" w:type="pct"/>
          </w:tcPr>
          <w:p>
            <w:pPr>
              <w:ind w:leftChars="0" w:left="0" w:right="0"/>
            </w:pPr>
            <w:r>
              <w:t>1397</w:t>
            </w:r>
          </w:p>
        </w:tc>
      </w:tr>
      <w:tr>
        <w:trPr>
          <w:cnfStyle w:evenHBand="false" w:oddHBand="true" w:firstRow="false"/>
        </w:trPr>
        <w:tc>
          <w:tcPr>
            <w:cnfStyle w:evenVBand="false" w:oddVBand="true" w:firstColumn="false"/>
            <w:tcW w:w="25.000000%" w:type="pct"/>
          </w:tcPr>
          <w:p>
            <w:pPr>
              <w:ind w:leftChars="0" w:left="0" w:right="0"/>
            </w:pPr>
            <w:r>
              <w:t>OPCO</w:t>
            </w:r>
          </w:p>
        </w:tc>
        <w:tc>
          <w:tcPr>
            <w:cnfStyle w:evenVBand="true" w:oddVBand="false" w:firstColumn="false"/>
            <w:tcW w:w="25.000000%" w:type="pct"/>
          </w:tcPr>
          <w:p>
            <w:pPr>
              <w:ind w:leftChars="0" w:left="0" w:right="0"/>
            </w:pPr>
            <w:r>
              <w:t>OPCO</w:t>
            </w:r>
          </w:p>
        </w:tc>
        <w:tc>
          <w:tcPr>
            <w:cnfStyle w:evenVBand="false" w:oddVBand="true" w:firstColumn="false"/>
            <w:tcW w:w="25.000000%" w:type="pct"/>
          </w:tcPr>
          <w:p>
            <w:pPr>
              <w:ind w:leftChars="0" w:left="0" w:right="0"/>
            </w:pPr>
            <w:r>
              <w:t>OP CORPORATE BANK PLC - SYSTEMATIC INTERNALISER</w:t>
            </w:r>
          </w:p>
        </w:tc>
        <w:tc>
          <w:tcPr>
            <w:cnfStyle w:evenVBand="true" w:oddVBand="false" w:firstColumn="false"/>
            <w:tcW w:w="25.000000%" w:type="pct"/>
          </w:tcPr>
          <w:p>
            <w:pPr>
              <w:ind w:leftChars="0" w:left="0" w:right="0"/>
            </w:pPr>
            <w:r>
              <w:t>1398</w:t>
            </w:r>
          </w:p>
        </w:tc>
      </w:tr>
      <w:tr>
        <w:trPr>
          <w:cnfStyle w:evenHBand="true" w:oddHBand="false" w:firstRow="false"/>
        </w:trPr>
        <w:tc>
          <w:tcPr>
            <w:cnfStyle w:evenVBand="false" w:oddVBand="true" w:firstColumn="false"/>
            <w:tcW w:w="25.000000%" w:type="pct"/>
          </w:tcPr>
          <w:p>
            <w:pPr>
              <w:ind w:leftChars="0" w:left="0" w:right="0"/>
            </w:pPr>
            <w:r>
              <w:t>OPEX</w:t>
            </w:r>
          </w:p>
        </w:tc>
        <w:tc>
          <w:tcPr>
            <w:cnfStyle w:evenVBand="true" w:oddVBand="false" w:firstColumn="false"/>
            <w:tcW w:w="25.000000%" w:type="pct"/>
          </w:tcPr>
          <w:p>
            <w:pPr>
              <w:ind w:leftChars="0" w:left="0" w:right="0"/>
            </w:pPr>
            <w:r>
              <w:t>OPEX</w:t>
            </w:r>
          </w:p>
        </w:tc>
        <w:tc>
          <w:tcPr>
            <w:cnfStyle w:evenVBand="false" w:oddVBand="true" w:firstColumn="false"/>
            <w:tcW w:w="25.000000%" w:type="pct"/>
          </w:tcPr>
          <w:p>
            <w:pPr>
              <w:ind w:leftChars="0" w:left="0" w:right="0"/>
            </w:pPr>
            <w:r>
              <w:t>PEX-PRIVATE EXCHANGE</w:t>
            </w:r>
          </w:p>
        </w:tc>
        <w:tc>
          <w:tcPr>
            <w:cnfStyle w:evenVBand="true" w:oddVBand="false" w:firstColumn="false"/>
            <w:tcW w:w="25.000000%" w:type="pct"/>
          </w:tcPr>
          <w:p>
            <w:pPr>
              <w:ind w:leftChars="0" w:left="0" w:right="0"/>
            </w:pPr>
            <w:r>
              <w:t>1399</w:t>
            </w:r>
          </w:p>
        </w:tc>
      </w:tr>
      <w:tr>
        <w:trPr>
          <w:cnfStyle w:evenHBand="false" w:oddHBand="true" w:firstRow="false"/>
        </w:trPr>
        <w:tc>
          <w:tcPr>
            <w:cnfStyle w:evenVBand="false" w:oddVBand="true" w:firstColumn="false"/>
            <w:tcW w:w="25.000000%" w:type="pct"/>
          </w:tcPr>
          <w:p>
            <w:pPr>
              <w:ind w:leftChars="0" w:left="0" w:right="0"/>
            </w:pPr>
            <w:r>
              <w:t>OPRA</w:t>
            </w:r>
          </w:p>
        </w:tc>
        <w:tc>
          <w:tcPr>
            <w:cnfStyle w:evenVBand="true" w:oddVBand="false" w:firstColumn="false"/>
            <w:tcW w:w="25.000000%" w:type="pct"/>
          </w:tcPr>
          <w:p>
            <w:pPr>
              <w:ind w:leftChars="0" w:left="0" w:right="0"/>
            </w:pPr>
            <w:r>
              <w:t>OPRA</w:t>
            </w:r>
          </w:p>
        </w:tc>
        <w:tc>
          <w:tcPr>
            <w:cnfStyle w:evenVBand="false" w:oddVBand="true" w:firstColumn="false"/>
            <w:tcW w:w="25.000000%" w:type="pct"/>
          </w:tcPr>
          <w:p>
            <w:pPr>
              <w:ind w:leftChars="0" w:left="0" w:right="0"/>
            </w:pPr>
            <w:r>
              <w:t>OPTIONS PRICE REPORTING AUTHORITY</w:t>
            </w:r>
          </w:p>
        </w:tc>
        <w:tc>
          <w:tcPr>
            <w:cnfStyle w:evenVBand="true" w:oddVBand="false" w:firstColumn="false"/>
            <w:tcW w:w="25.000000%" w:type="pct"/>
          </w:tcPr>
          <w:p>
            <w:pPr>
              <w:ind w:leftChars="0" w:left="0" w:right="0"/>
            </w:pPr>
            <w:r>
              <w:t>1400</w:t>
            </w:r>
          </w:p>
        </w:tc>
      </w:tr>
      <w:tr>
        <w:trPr>
          <w:cnfStyle w:evenHBand="true" w:oddHBand="false" w:firstRow="false"/>
        </w:trPr>
        <w:tc>
          <w:tcPr>
            <w:cnfStyle w:evenVBand="false" w:oddVBand="true" w:firstColumn="false"/>
            <w:tcW w:w="25.000000%" w:type="pct"/>
          </w:tcPr>
          <w:p>
            <w:pPr>
              <w:ind w:leftChars="0" w:left="0" w:right="0"/>
            </w:pPr>
            <w:r>
              <w:t>OSDS</w:t>
            </w:r>
          </w:p>
        </w:tc>
        <w:tc>
          <w:tcPr>
            <w:cnfStyle w:evenVBand="true" w:oddVBand="false" w:firstColumn="false"/>
            <w:tcW w:w="25.000000%" w:type="pct"/>
          </w:tcPr>
          <w:p>
            <w:pPr>
              <w:ind w:leftChars="0" w:left="0" w:right="0"/>
            </w:pPr>
            <w:r>
              <w:t>OSDS</w:t>
            </w:r>
          </w:p>
        </w:tc>
        <w:tc>
          <w:tcPr>
            <w:cnfStyle w:evenVBand="false" w:oddVBand="true" w:firstColumn="false"/>
            <w:tcW w:w="25.000000%" w:type="pct"/>
          </w:tcPr>
          <w:p>
            <w:pPr>
              <w:ind w:leftChars="0" w:left="0" w:right="0"/>
            </w:pPr>
            <w:r>
              <w:t>OSL DIGITAL SECURITIES EXCHANGE</w:t>
            </w:r>
          </w:p>
        </w:tc>
        <w:tc>
          <w:tcPr>
            <w:cnfStyle w:evenVBand="true" w:oddVBand="false" w:firstColumn="false"/>
            <w:tcW w:w="25.000000%" w:type="pct"/>
          </w:tcPr>
          <w:p>
            <w:pPr>
              <w:ind w:leftChars="0" w:left="0" w:right="0"/>
            </w:pPr>
            <w:r>
              <w:t>1401</w:t>
            </w:r>
          </w:p>
        </w:tc>
      </w:tr>
      <w:tr>
        <w:trPr>
          <w:cnfStyle w:evenHBand="false" w:oddHBand="true" w:firstRow="false"/>
        </w:trPr>
        <w:tc>
          <w:tcPr>
            <w:cnfStyle w:evenVBand="false" w:oddVBand="true" w:firstColumn="false"/>
            <w:tcW w:w="25.000000%" w:type="pct"/>
          </w:tcPr>
          <w:p>
            <w:pPr>
              <w:ind w:leftChars="0" w:left="0" w:right="0"/>
            </w:pPr>
            <w:r>
              <w:t>OSLC</w:t>
            </w:r>
          </w:p>
        </w:tc>
        <w:tc>
          <w:tcPr>
            <w:cnfStyle w:evenVBand="true" w:oddVBand="false" w:firstColumn="false"/>
            <w:tcW w:w="25.000000%" w:type="pct"/>
          </w:tcPr>
          <w:p>
            <w:pPr>
              <w:ind w:leftChars="0" w:left="0" w:right="0"/>
            </w:pPr>
            <w:r>
              <w:t>OSLC</w:t>
            </w:r>
          </w:p>
        </w:tc>
        <w:tc>
          <w:tcPr>
            <w:cnfStyle w:evenVBand="false" w:oddVBand="true" w:firstColumn="false"/>
            <w:tcW w:w="25.000000%" w:type="pct"/>
          </w:tcPr>
          <w:p>
            <w:pPr>
              <w:ind w:leftChars="0" w:left="0" w:right="0"/>
            </w:pPr>
            <w:r>
              <w:t>SIX X-CLEAR AG</w:t>
            </w:r>
          </w:p>
        </w:tc>
        <w:tc>
          <w:tcPr>
            <w:cnfStyle w:evenVBand="true" w:oddVBand="false" w:firstColumn="false"/>
            <w:tcW w:w="25.000000%" w:type="pct"/>
          </w:tcPr>
          <w:p>
            <w:pPr>
              <w:ind w:leftChars="0" w:left="0" w:right="0"/>
            </w:pPr>
            <w:r>
              <w:t>1402</w:t>
            </w:r>
          </w:p>
        </w:tc>
      </w:tr>
      <w:tr>
        <w:trPr>
          <w:cnfStyle w:evenHBand="true" w:oddHBand="false" w:firstRow="false"/>
        </w:trPr>
        <w:tc>
          <w:tcPr>
            <w:cnfStyle w:evenVBand="false" w:oddVBand="true" w:firstColumn="false"/>
            <w:tcW w:w="25.000000%" w:type="pct"/>
          </w:tcPr>
          <w:p>
            <w:pPr>
              <w:ind w:leftChars="0" w:left="0" w:right="0"/>
            </w:pPr>
            <w:r>
              <w:t>OSSG</w:t>
            </w:r>
          </w:p>
        </w:tc>
        <w:tc>
          <w:tcPr>
            <w:cnfStyle w:evenVBand="true" w:oddVBand="false" w:firstColumn="false"/>
            <w:tcW w:w="25.000000%" w:type="pct"/>
          </w:tcPr>
          <w:p>
            <w:pPr>
              <w:ind w:leftChars="0" w:left="0" w:right="0"/>
            </w:pPr>
            <w:r>
              <w:t>OSSG</w:t>
            </w:r>
          </w:p>
        </w:tc>
        <w:tc>
          <w:tcPr>
            <w:cnfStyle w:evenVBand="false" w:oddVBand="true" w:firstColumn="false"/>
            <w:tcW w:w="25.000000%" w:type="pct"/>
          </w:tcPr>
          <w:p>
            <w:pPr>
              <w:ind w:leftChars="0" w:left="0" w:right="0"/>
            </w:pPr>
            <w:r>
              <w:t>OSL SG EXCHANGES</w:t>
            </w:r>
          </w:p>
        </w:tc>
        <w:tc>
          <w:tcPr>
            <w:cnfStyle w:evenVBand="true" w:oddVBand="false" w:firstColumn="false"/>
            <w:tcW w:w="25.000000%" w:type="pct"/>
          </w:tcPr>
          <w:p>
            <w:pPr>
              <w:ind w:leftChars="0" w:left="0" w:right="0"/>
            </w:pPr>
            <w:r>
              <w:t>1403</w:t>
            </w:r>
          </w:p>
        </w:tc>
      </w:tr>
      <w:tr>
        <w:trPr>
          <w:cnfStyle w:evenHBand="false" w:oddHBand="true" w:firstRow="false"/>
        </w:trPr>
        <w:tc>
          <w:tcPr>
            <w:cnfStyle w:evenVBand="false" w:oddVBand="true" w:firstColumn="false"/>
            <w:tcW w:w="25.000000%" w:type="pct"/>
          </w:tcPr>
          <w:p>
            <w:pPr>
              <w:ind w:leftChars="0" w:left="0" w:right="0"/>
            </w:pPr>
            <w:r>
              <w:t>OTCB</w:t>
            </w:r>
          </w:p>
        </w:tc>
        <w:tc>
          <w:tcPr>
            <w:cnfStyle w:evenVBand="true" w:oddVBand="false" w:firstColumn="false"/>
            <w:tcW w:w="25.000000%" w:type="pct"/>
          </w:tcPr>
          <w:p>
            <w:pPr>
              <w:ind w:leftChars="0" w:left="0" w:right="0"/>
            </w:pPr>
            <w:r>
              <w:t>OTCB</w:t>
            </w:r>
          </w:p>
        </w:tc>
        <w:tc>
          <w:tcPr>
            <w:cnfStyle w:evenVBand="false" w:oddVBand="true" w:firstColumn="false"/>
            <w:tcW w:w="25.000000%" w:type="pct"/>
          </w:tcPr>
          <w:p>
            <w:pPr>
              <w:ind w:leftChars="0" w:left="0" w:right="0"/>
            </w:pPr>
            <w:r>
              <w:t>OTCQB MARKETPLACE</w:t>
            </w:r>
          </w:p>
        </w:tc>
        <w:tc>
          <w:tcPr>
            <w:cnfStyle w:evenVBand="true" w:oddVBand="false" w:firstColumn="false"/>
            <w:tcW w:w="25.000000%" w:type="pct"/>
          </w:tcPr>
          <w:p>
            <w:pPr>
              <w:ind w:leftChars="0" w:left="0" w:right="0"/>
            </w:pPr>
            <w:r>
              <w:t>1404</w:t>
            </w:r>
          </w:p>
        </w:tc>
      </w:tr>
      <w:tr>
        <w:trPr>
          <w:cnfStyle w:evenHBand="true" w:oddHBand="false" w:firstRow="false"/>
        </w:trPr>
        <w:tc>
          <w:tcPr>
            <w:cnfStyle w:evenVBand="false" w:oddVBand="true" w:firstColumn="false"/>
            <w:tcW w:w="25.000000%" w:type="pct"/>
          </w:tcPr>
          <w:p>
            <w:pPr>
              <w:ind w:leftChars="0" w:left="0" w:right="0"/>
            </w:pPr>
            <w:r>
              <w:t>OTCE</w:t>
            </w:r>
          </w:p>
        </w:tc>
        <w:tc>
          <w:tcPr>
            <w:cnfStyle w:evenVBand="true" w:oddVBand="false" w:firstColumn="false"/>
            <w:tcW w:w="25.000000%" w:type="pct"/>
          </w:tcPr>
          <w:p>
            <w:pPr>
              <w:ind w:leftChars="0" w:left="0" w:right="0"/>
            </w:pPr>
            <w:r>
              <w:t>OTCE</w:t>
            </w:r>
          </w:p>
        </w:tc>
        <w:tc>
          <w:tcPr>
            <w:cnfStyle w:evenVBand="false" w:oddVBand="true" w:firstColumn="false"/>
            <w:tcW w:w="25.000000%" w:type="pct"/>
          </w:tcPr>
          <w:p>
            <w:pPr>
              <w:ind w:leftChars="0" w:left="0" w:right="0"/>
            </w:pPr>
            <w:r>
              <w:t>OTCEX</w:t>
            </w:r>
          </w:p>
        </w:tc>
        <w:tc>
          <w:tcPr>
            <w:cnfStyle w:evenVBand="true" w:oddVBand="false" w:firstColumn="false"/>
            <w:tcW w:w="25.000000%" w:type="pct"/>
          </w:tcPr>
          <w:p>
            <w:pPr>
              <w:ind w:leftChars="0" w:left="0" w:right="0"/>
            </w:pPr>
            <w:r>
              <w:t>1405</w:t>
            </w:r>
          </w:p>
        </w:tc>
      </w:tr>
      <w:tr>
        <w:trPr>
          <w:cnfStyle w:evenHBand="false" w:oddHBand="true" w:firstRow="false"/>
        </w:trPr>
        <w:tc>
          <w:tcPr>
            <w:cnfStyle w:evenVBand="false" w:oddVBand="true" w:firstColumn="false"/>
            <w:tcW w:w="25.000000%" w:type="pct"/>
          </w:tcPr>
          <w:p>
            <w:pPr>
              <w:ind w:leftChars="0" w:left="0" w:right="0"/>
            </w:pPr>
            <w:r>
              <w:t>OTCI</w:t>
            </w:r>
          </w:p>
        </w:tc>
        <w:tc>
          <w:tcPr>
            <w:cnfStyle w:evenVBand="true" w:oddVBand="false" w:firstColumn="false"/>
            <w:tcW w:w="25.000000%" w:type="pct"/>
          </w:tcPr>
          <w:p>
            <w:pPr>
              <w:ind w:leftChars="0" w:left="0" w:right="0"/>
            </w:pPr>
            <w:r>
              <w:t>OTCI</w:t>
            </w:r>
          </w:p>
        </w:tc>
        <w:tc>
          <w:tcPr>
            <w:cnfStyle w:evenVBand="false" w:oddVBand="true" w:firstColumn="false"/>
            <w:tcW w:w="25.000000%" w:type="pct"/>
          </w:tcPr>
          <w:p>
            <w:pPr>
              <w:ind w:leftChars="0" w:left="0" w:right="0"/>
            </w:pPr>
            <w:r>
              <w:t>OTC LINK NQB IDQS (INTER-DEALER QUOTATION SYSTEM)</w:t>
            </w:r>
          </w:p>
        </w:tc>
        <w:tc>
          <w:tcPr>
            <w:cnfStyle w:evenVBand="true" w:oddVBand="false" w:firstColumn="false"/>
            <w:tcW w:w="25.000000%" w:type="pct"/>
          </w:tcPr>
          <w:p>
            <w:pPr>
              <w:ind w:leftChars="0" w:left="0" w:right="0"/>
            </w:pPr>
            <w:r>
              <w:t>1406</w:t>
            </w:r>
          </w:p>
        </w:tc>
      </w:tr>
      <w:tr>
        <w:trPr>
          <w:cnfStyle w:evenHBand="true" w:oddHBand="false" w:firstRow="false"/>
        </w:trPr>
        <w:tc>
          <w:tcPr>
            <w:cnfStyle w:evenVBand="false" w:oddVBand="true" w:firstColumn="false"/>
            <w:tcW w:w="25.000000%" w:type="pct"/>
          </w:tcPr>
          <w:p>
            <w:pPr>
              <w:ind w:leftChars="0" w:left="0" w:right="0"/>
            </w:pPr>
            <w:r>
              <w:t>OTCM</w:t>
            </w:r>
          </w:p>
        </w:tc>
        <w:tc>
          <w:tcPr>
            <w:cnfStyle w:evenVBand="true" w:oddVBand="false" w:firstColumn="false"/>
            <w:tcW w:w="25.000000%" w:type="pct"/>
          </w:tcPr>
          <w:p>
            <w:pPr>
              <w:ind w:leftChars="0" w:left="0" w:right="0"/>
            </w:pPr>
            <w:r>
              <w:t>OTCM</w:t>
            </w:r>
          </w:p>
        </w:tc>
        <w:tc>
          <w:tcPr>
            <w:cnfStyle w:evenVBand="false" w:oddVBand="true" w:firstColumn="false"/>
            <w:tcW w:w="25.000000%" w:type="pct"/>
          </w:tcPr>
          <w:p>
            <w:pPr>
              <w:ind w:leftChars="0" w:left="0" w:right="0"/>
            </w:pPr>
            <w:r>
              <w:t>OTC LINK ATS - OTC MARKETS</w:t>
            </w:r>
          </w:p>
        </w:tc>
        <w:tc>
          <w:tcPr>
            <w:cnfStyle w:evenVBand="true" w:oddVBand="false" w:firstColumn="false"/>
            <w:tcW w:w="25.000000%" w:type="pct"/>
          </w:tcPr>
          <w:p>
            <w:pPr>
              <w:ind w:leftChars="0" w:left="0" w:right="0"/>
            </w:pPr>
            <w:r>
              <w:t>1407</w:t>
            </w:r>
          </w:p>
        </w:tc>
      </w:tr>
      <w:tr>
        <w:trPr>
          <w:cnfStyle w:evenHBand="false" w:oddHBand="true" w:firstRow="false"/>
        </w:trPr>
        <w:tc>
          <w:tcPr>
            <w:cnfStyle w:evenVBand="false" w:oddVBand="true" w:firstColumn="false"/>
            <w:tcW w:w="25.000000%" w:type="pct"/>
          </w:tcPr>
          <w:p>
            <w:pPr>
              <w:ind w:leftChars="0" w:left="0" w:right="0"/>
            </w:pPr>
            <w:r>
              <w:t>OTCN</w:t>
            </w:r>
          </w:p>
        </w:tc>
        <w:tc>
          <w:tcPr>
            <w:cnfStyle w:evenVBand="true" w:oddVBand="false" w:firstColumn="false"/>
            <w:tcW w:w="25.000000%" w:type="pct"/>
          </w:tcPr>
          <w:p>
            <w:pPr>
              <w:ind w:leftChars="0" w:left="0" w:right="0"/>
            </w:pPr>
            <w:r>
              <w:t>OTCN</w:t>
            </w:r>
          </w:p>
        </w:tc>
        <w:tc>
          <w:tcPr>
            <w:cnfStyle w:evenVBand="false" w:oddVBand="true" w:firstColumn="false"/>
            <w:tcW w:w="25.000000%" w:type="pct"/>
          </w:tcPr>
          <w:p>
            <w:pPr>
              <w:ind w:leftChars="0" w:left="0" w:right="0"/>
            </w:pPr>
            <w:r>
              <w:t>OTC LINK ECN</w:t>
            </w:r>
          </w:p>
        </w:tc>
        <w:tc>
          <w:tcPr>
            <w:cnfStyle w:evenVBand="true" w:oddVBand="false" w:firstColumn="false"/>
            <w:tcW w:w="25.000000%" w:type="pct"/>
          </w:tcPr>
          <w:p>
            <w:pPr>
              <w:ind w:leftChars="0" w:left="0" w:right="0"/>
            </w:pPr>
            <w:r>
              <w:t>1408</w:t>
            </w:r>
          </w:p>
        </w:tc>
      </w:tr>
      <w:tr>
        <w:trPr>
          <w:cnfStyle w:evenHBand="true" w:oddHBand="false" w:firstRow="false"/>
        </w:trPr>
        <w:tc>
          <w:tcPr>
            <w:cnfStyle w:evenVBand="false" w:oddVBand="true" w:firstColumn="false"/>
            <w:tcW w:w="25.000000%" w:type="pct"/>
          </w:tcPr>
          <w:p>
            <w:pPr>
              <w:ind w:leftChars="0" w:left="0" w:right="0"/>
            </w:pPr>
            <w:r>
              <w:t>OTCQ</w:t>
            </w:r>
          </w:p>
        </w:tc>
        <w:tc>
          <w:tcPr>
            <w:cnfStyle w:evenVBand="true" w:oddVBand="false" w:firstColumn="false"/>
            <w:tcW w:w="25.000000%" w:type="pct"/>
          </w:tcPr>
          <w:p>
            <w:pPr>
              <w:ind w:leftChars="0" w:left="0" w:right="0"/>
            </w:pPr>
            <w:r>
              <w:t>OTCQ</w:t>
            </w:r>
          </w:p>
        </w:tc>
        <w:tc>
          <w:tcPr>
            <w:cnfStyle w:evenVBand="false" w:oddVBand="true" w:firstColumn="false"/>
            <w:tcW w:w="25.000000%" w:type="pct"/>
          </w:tcPr>
          <w:p>
            <w:pPr>
              <w:ind w:leftChars="0" w:left="0" w:right="0"/>
            </w:pPr>
            <w:r>
              <w:t>OTCQX MARKETPLACE</w:t>
            </w:r>
          </w:p>
        </w:tc>
        <w:tc>
          <w:tcPr>
            <w:cnfStyle w:evenVBand="true" w:oddVBand="false" w:firstColumn="false"/>
            <w:tcW w:w="25.000000%" w:type="pct"/>
          </w:tcPr>
          <w:p>
            <w:pPr>
              <w:ind w:leftChars="0" w:left="0" w:right="0"/>
            </w:pPr>
            <w:r>
              <w:t>1409</w:t>
            </w:r>
          </w:p>
        </w:tc>
      </w:tr>
      <w:tr>
        <w:trPr>
          <w:cnfStyle w:evenHBand="false" w:oddHBand="true" w:firstRow="false"/>
        </w:trPr>
        <w:tc>
          <w:tcPr>
            <w:cnfStyle w:evenVBand="false" w:oddVBand="true" w:firstColumn="false"/>
            <w:tcW w:w="25.000000%" w:type="pct"/>
          </w:tcPr>
          <w:p>
            <w:pPr>
              <w:ind w:leftChars="0" w:left="0" w:right="0"/>
            </w:pPr>
            <w:r>
              <w:t>OTCX</w:t>
            </w:r>
          </w:p>
        </w:tc>
        <w:tc>
          <w:tcPr>
            <w:cnfStyle w:evenVBand="true" w:oddVBand="false" w:firstColumn="false"/>
            <w:tcW w:w="25.000000%" w:type="pct"/>
          </w:tcPr>
          <w:p>
            <w:pPr>
              <w:ind w:leftChars="0" w:left="0" w:right="0"/>
            </w:pPr>
            <w:r>
              <w:t>OTCX</w:t>
            </w:r>
          </w:p>
        </w:tc>
        <w:tc>
          <w:tcPr>
            <w:cnfStyle w:evenVBand="false" w:oddVBand="true" w:firstColumn="false"/>
            <w:tcW w:w="25.000000%" w:type="pct"/>
          </w:tcPr>
          <w:p>
            <w:pPr>
              <w:ind w:leftChars="0" w:left="0" w:right="0"/>
            </w:pPr>
            <w:r>
              <w:t>OTC EXCHANGE OF INDIA</w:t>
            </w:r>
          </w:p>
        </w:tc>
        <w:tc>
          <w:tcPr>
            <w:cnfStyle w:evenVBand="true" w:oddVBand="false" w:firstColumn="false"/>
            <w:tcW w:w="25.000000%" w:type="pct"/>
          </w:tcPr>
          <w:p>
            <w:pPr>
              <w:ind w:leftChars="0" w:left="0" w:right="0"/>
            </w:pPr>
            <w:r>
              <w:t>1410</w:t>
            </w:r>
          </w:p>
        </w:tc>
      </w:tr>
      <w:tr>
        <w:trPr>
          <w:cnfStyle w:evenHBand="true" w:oddHBand="false" w:firstRow="false"/>
        </w:trPr>
        <w:tc>
          <w:tcPr>
            <w:cnfStyle w:evenVBand="false" w:oddVBand="true" w:firstColumn="false"/>
            <w:tcW w:w="25.000000%" w:type="pct"/>
          </w:tcPr>
          <w:p>
            <w:pPr>
              <w:ind w:leftChars="0" w:left="0" w:right="0"/>
            </w:pPr>
            <w:r>
              <w:t>OTPB</w:t>
            </w:r>
          </w:p>
        </w:tc>
        <w:tc>
          <w:tcPr>
            <w:cnfStyle w:evenVBand="true" w:oddVBand="false" w:firstColumn="false"/>
            <w:tcW w:w="25.000000%" w:type="pct"/>
          </w:tcPr>
          <w:p>
            <w:pPr>
              <w:ind w:leftChars="0" w:left="0" w:right="0"/>
            </w:pPr>
            <w:r>
              <w:t>OTPB</w:t>
            </w:r>
          </w:p>
        </w:tc>
        <w:tc>
          <w:tcPr>
            <w:cnfStyle w:evenVBand="false" w:oddVBand="true" w:firstColumn="false"/>
            <w:tcW w:w="25.000000%" w:type="pct"/>
          </w:tcPr>
          <w:p>
            <w:pPr>
              <w:ind w:leftChars="0" w:left="0" w:right="0"/>
            </w:pPr>
            <w:r>
              <w:t>OTP BANK NYRT - SYSTEMATIC INTERNALISER</w:t>
            </w:r>
          </w:p>
        </w:tc>
        <w:tc>
          <w:tcPr>
            <w:cnfStyle w:evenVBand="true" w:oddVBand="false" w:firstColumn="false"/>
            <w:tcW w:w="25.000000%" w:type="pct"/>
          </w:tcPr>
          <w:p>
            <w:pPr>
              <w:ind w:leftChars="0" w:left="0" w:right="0"/>
            </w:pPr>
            <w:r>
              <w:t>1411</w:t>
            </w:r>
          </w:p>
        </w:tc>
      </w:tr>
      <w:tr>
        <w:trPr>
          <w:cnfStyle w:evenHBand="false" w:oddHBand="true" w:firstRow="false"/>
        </w:trPr>
        <w:tc>
          <w:tcPr>
            <w:cnfStyle w:evenVBand="false" w:oddVBand="true" w:firstColumn="false"/>
            <w:tcW w:w="25.000000%" w:type="pct"/>
          </w:tcPr>
          <w:p>
            <w:pPr>
              <w:ind w:leftChars="0" w:left="0" w:right="0"/>
            </w:pPr>
            <w:r>
              <w:t>OTPR</w:t>
            </w:r>
          </w:p>
        </w:tc>
        <w:tc>
          <w:tcPr>
            <w:cnfStyle w:evenVBand="true" w:oddVBand="false" w:firstColumn="false"/>
            <w:tcW w:w="25.000000%" w:type="pct"/>
          </w:tcPr>
          <w:p>
            <w:pPr>
              <w:ind w:leftChars="0" w:left="0" w:right="0"/>
            </w:pPr>
            <w:r>
              <w:t>OTPR</w:t>
            </w:r>
          </w:p>
        </w:tc>
        <w:tc>
          <w:tcPr>
            <w:cnfStyle w:evenVBand="false" w:oddVBand="true" w:firstColumn="false"/>
            <w:tcW w:w="25.000000%" w:type="pct"/>
          </w:tcPr>
          <w:p>
            <w:pPr>
              <w:ind w:leftChars="0" w:left="0" w:right="0"/>
            </w:pPr>
            <w:r>
              <w:t>OTP BANK ROMANIA SA</w:t>
            </w:r>
          </w:p>
        </w:tc>
        <w:tc>
          <w:tcPr>
            <w:cnfStyle w:evenVBand="true" w:oddVBand="false" w:firstColumn="false"/>
            <w:tcW w:w="25.000000%" w:type="pct"/>
          </w:tcPr>
          <w:p>
            <w:pPr>
              <w:ind w:leftChars="0" w:left="0" w:right="0"/>
            </w:pPr>
            <w:r>
              <w:t>1412</w:t>
            </w:r>
          </w:p>
        </w:tc>
      </w:tr>
      <w:tr>
        <w:trPr>
          <w:cnfStyle w:evenHBand="true" w:oddHBand="false" w:firstRow="false"/>
        </w:trPr>
        <w:tc>
          <w:tcPr>
            <w:cnfStyle w:evenVBand="false" w:oddVBand="true" w:firstColumn="false"/>
            <w:tcW w:w="25.000000%" w:type="pct"/>
          </w:tcPr>
          <w:p>
            <w:pPr>
              <w:ind w:leftChars="0" w:left="0" w:right="0"/>
            </w:pPr>
            <w:r>
              <w:t>OTXB</w:t>
            </w:r>
          </w:p>
        </w:tc>
        <w:tc>
          <w:tcPr>
            <w:cnfStyle w:evenVBand="true" w:oddVBand="false" w:firstColumn="false"/>
            <w:tcW w:w="25.000000%" w:type="pct"/>
          </w:tcPr>
          <w:p>
            <w:pPr>
              <w:ind w:leftChars="0" w:left="0" w:right="0"/>
            </w:pPr>
            <w:r>
              <w:t>OTXB</w:t>
            </w:r>
          </w:p>
        </w:tc>
        <w:tc>
          <w:tcPr>
            <w:cnfStyle w:evenVBand="false" w:oddVBand="true" w:firstColumn="false"/>
            <w:tcW w:w="25.000000%" w:type="pct"/>
          </w:tcPr>
          <w:p>
            <w:pPr>
              <w:ind w:leftChars="0" w:left="0" w:right="0"/>
            </w:pPr>
            <w:r>
              <w:t>BERNER KANTONALBANK OTC-X</w:t>
            </w:r>
          </w:p>
        </w:tc>
        <w:tc>
          <w:tcPr>
            <w:cnfStyle w:evenVBand="true" w:oddVBand="false" w:firstColumn="false"/>
            <w:tcW w:w="25.000000%" w:type="pct"/>
          </w:tcPr>
          <w:p>
            <w:pPr>
              <w:ind w:leftChars="0" w:left="0" w:right="0"/>
            </w:pPr>
            <w:r>
              <w:t>1413</w:t>
            </w:r>
          </w:p>
        </w:tc>
      </w:tr>
      <w:tr>
        <w:trPr>
          <w:cnfStyle w:evenHBand="false" w:oddHBand="true" w:firstRow="false"/>
        </w:trPr>
        <w:tc>
          <w:tcPr>
            <w:cnfStyle w:evenVBand="false" w:oddVBand="true" w:firstColumn="false"/>
            <w:tcW w:w="25.000000%" w:type="pct"/>
          </w:tcPr>
          <w:p>
            <w:pPr>
              <w:ind w:leftChars="0" w:left="0" w:right="0"/>
            </w:pPr>
            <w:r>
              <w:t>OTXT</w:t>
            </w:r>
          </w:p>
        </w:tc>
        <w:tc>
          <w:tcPr>
            <w:cnfStyle w:evenVBand="true" w:oddVBand="false" w:firstColumn="false"/>
            <w:tcW w:w="25.000000%" w:type="pct"/>
          </w:tcPr>
          <w:p>
            <w:pPr>
              <w:ind w:leftChars="0" w:left="0" w:right="0"/>
            </w:pPr>
            <w:r>
              <w:t>OTXT</w:t>
            </w:r>
          </w:p>
        </w:tc>
        <w:tc>
          <w:tcPr>
            <w:cnfStyle w:evenVBand="false" w:oddVBand="true" w:firstColumn="false"/>
            <w:tcW w:w="25.000000%" w:type="pct"/>
          </w:tcPr>
          <w:p>
            <w:pPr>
              <w:ind w:leftChars="0" w:left="0" w:right="0"/>
            </w:pPr>
            <w:r>
              <w:t>OTCX TRADING LIMITED UK MTF</w:t>
            </w:r>
          </w:p>
        </w:tc>
        <w:tc>
          <w:tcPr>
            <w:cnfStyle w:evenVBand="true" w:oddVBand="false" w:firstColumn="false"/>
            <w:tcW w:w="25.000000%" w:type="pct"/>
          </w:tcPr>
          <w:p>
            <w:pPr>
              <w:ind w:leftChars="0" w:left="0" w:right="0"/>
            </w:pPr>
            <w:r>
              <w:t>1414</w:t>
            </w:r>
          </w:p>
        </w:tc>
      </w:tr>
      <w:tr>
        <w:trPr>
          <w:cnfStyle w:evenHBand="true" w:oddHBand="false" w:firstRow="false"/>
        </w:trPr>
        <w:tc>
          <w:tcPr>
            <w:cnfStyle w:evenVBand="false" w:oddVBand="true" w:firstColumn="false"/>
            <w:tcW w:w="25.000000%" w:type="pct"/>
          </w:tcPr>
          <w:p>
            <w:pPr>
              <w:ind w:leftChars="0" w:left="0" w:right="0"/>
            </w:pPr>
            <w:r>
              <w:t>PARK</w:t>
            </w:r>
          </w:p>
        </w:tc>
        <w:tc>
          <w:tcPr>
            <w:cnfStyle w:evenVBand="true" w:oddVBand="false" w:firstColumn="false"/>
            <w:tcW w:w="25.000000%" w:type="pct"/>
          </w:tcPr>
          <w:p>
            <w:pPr>
              <w:ind w:leftChars="0" w:left="0" w:right="0"/>
            </w:pPr>
            <w:r>
              <w:t>PARK</w:t>
            </w:r>
          </w:p>
        </w:tc>
        <w:tc>
          <w:tcPr>
            <w:cnfStyle w:evenVBand="false" w:oddVBand="true" w:firstColumn="false"/>
            <w:tcW w:w="25.000000%" w:type="pct"/>
          </w:tcPr>
          <w:p>
            <w:pPr>
              <w:ind w:leftChars="0" w:left="0" w:right="0"/>
            </w:pPr>
            <w:r>
              <w:t>PARKER POLAND SP. ZO.O.</w:t>
            </w:r>
          </w:p>
        </w:tc>
        <w:tc>
          <w:tcPr>
            <w:cnfStyle w:evenVBand="true" w:oddVBand="false" w:firstColumn="false"/>
            <w:tcW w:w="25.000000%" w:type="pct"/>
          </w:tcPr>
          <w:p>
            <w:pPr>
              <w:ind w:leftChars="0" w:left="0" w:right="0"/>
            </w:pPr>
            <w:r>
              <w:t>1415</w:t>
            </w:r>
          </w:p>
        </w:tc>
      </w:tr>
      <w:tr>
        <w:trPr>
          <w:cnfStyle w:evenHBand="false" w:oddHBand="true" w:firstRow="false"/>
        </w:trPr>
        <w:tc>
          <w:tcPr>
            <w:cnfStyle w:evenVBand="false" w:oddVBand="true" w:firstColumn="false"/>
            <w:tcW w:w="25.000000%" w:type="pct"/>
          </w:tcPr>
          <w:p>
            <w:pPr>
              <w:ind w:leftChars="0" w:left="0" w:right="0"/>
            </w:pPr>
            <w:r>
              <w:t>PARX</w:t>
            </w:r>
          </w:p>
        </w:tc>
        <w:tc>
          <w:tcPr>
            <w:cnfStyle w:evenVBand="true" w:oddVBand="false" w:firstColumn="false"/>
            <w:tcW w:w="25.000000%" w:type="pct"/>
          </w:tcPr>
          <w:p>
            <w:pPr>
              <w:ind w:leftChars="0" w:left="0" w:right="0"/>
            </w:pPr>
            <w:r>
              <w:t>PARX</w:t>
            </w:r>
          </w:p>
        </w:tc>
        <w:tc>
          <w:tcPr>
            <w:cnfStyle w:evenVBand="false" w:oddVBand="true" w:firstColumn="false"/>
            <w:tcW w:w="25.000000%" w:type="pct"/>
          </w:tcPr>
          <w:p>
            <w:pPr>
              <w:ind w:leftChars="0" w:left="0" w:right="0"/>
            </w:pPr>
            <w:r>
              <w:t>PARFX</w:t>
            </w:r>
          </w:p>
        </w:tc>
        <w:tc>
          <w:tcPr>
            <w:cnfStyle w:evenVBand="true" w:oddVBand="false" w:firstColumn="false"/>
            <w:tcW w:w="25.000000%" w:type="pct"/>
          </w:tcPr>
          <w:p>
            <w:pPr>
              <w:ind w:leftChars="0" w:left="0" w:right="0"/>
            </w:pPr>
            <w:r>
              <w:t>1416</w:t>
            </w:r>
          </w:p>
        </w:tc>
      </w:tr>
      <w:tr>
        <w:trPr>
          <w:cnfStyle w:evenHBand="true" w:oddHBand="false" w:firstRow="false"/>
        </w:trPr>
        <w:tc>
          <w:tcPr>
            <w:cnfStyle w:evenVBand="false" w:oddVBand="true" w:firstColumn="false"/>
            <w:tcW w:w="25.000000%" w:type="pct"/>
          </w:tcPr>
          <w:p>
            <w:pPr>
              <w:ind w:leftChars="0" w:left="0" w:right="0"/>
            </w:pPr>
            <w:r>
              <w:t>PATF</w:t>
            </w:r>
          </w:p>
        </w:tc>
        <w:tc>
          <w:tcPr>
            <w:cnfStyle w:evenVBand="true" w:oddVBand="false" w:firstColumn="false"/>
            <w:tcW w:w="25.000000%" w:type="pct"/>
          </w:tcPr>
          <w:p>
            <w:pPr>
              <w:ind w:leftChars="0" w:left="0" w:right="0"/>
            </w:pPr>
            <w:r>
              <w:t>PATF</w:t>
            </w:r>
          </w:p>
        </w:tc>
        <w:tc>
          <w:tcPr>
            <w:cnfStyle w:evenVBand="false" w:oddVBand="true" w:firstColumn="false"/>
            <w:tcW w:w="25.000000%" w:type="pct"/>
          </w:tcPr>
          <w:p>
            <w:pPr>
              <w:ind w:leftChars="0" w:left="0" w:right="0"/>
            </w:pPr>
            <w:r>
              <w:t>PATRIA FINANCE A.S.</w:t>
            </w:r>
          </w:p>
        </w:tc>
        <w:tc>
          <w:tcPr>
            <w:cnfStyle w:evenVBand="true" w:oddVBand="false" w:firstColumn="false"/>
            <w:tcW w:w="25.000000%" w:type="pct"/>
          </w:tcPr>
          <w:p>
            <w:pPr>
              <w:ind w:leftChars="0" w:left="0" w:right="0"/>
            </w:pPr>
            <w:r>
              <w:t>1417</w:t>
            </w:r>
          </w:p>
        </w:tc>
      </w:tr>
      <w:tr>
        <w:trPr>
          <w:cnfStyle w:evenHBand="false" w:oddHBand="true" w:firstRow="false"/>
        </w:trPr>
        <w:tc>
          <w:tcPr>
            <w:cnfStyle w:evenVBand="false" w:oddVBand="true" w:firstColumn="false"/>
            <w:tcW w:w="25.000000%" w:type="pct"/>
          </w:tcPr>
          <w:p>
            <w:pPr>
              <w:ind w:leftChars="0" w:left="0" w:right="0"/>
            </w:pPr>
            <w:r>
              <w:t>PAVE</w:t>
            </w:r>
          </w:p>
        </w:tc>
        <w:tc>
          <w:tcPr>
            <w:cnfStyle w:evenVBand="true" w:oddVBand="false" w:firstColumn="false"/>
            <w:tcW w:w="25.000000%" w:type="pct"/>
          </w:tcPr>
          <w:p>
            <w:pPr>
              <w:ind w:leftChars="0" w:left="0" w:right="0"/>
            </w:pPr>
            <w:r>
              <w:t>PAVE</w:t>
            </w:r>
          </w:p>
        </w:tc>
        <w:tc>
          <w:tcPr>
            <w:cnfStyle w:evenVBand="false" w:oddVBand="true" w:firstColumn="false"/>
            <w:tcW w:w="25.000000%" w:type="pct"/>
          </w:tcPr>
          <w:p>
            <w:pPr>
              <w:ind w:leftChars="0" w:left="0" w:right="0"/>
            </w:pPr>
            <w:r>
              <w:t>ALTERNATIVE PLATFORM FOR SPANISH SECURITIES</w:t>
            </w:r>
          </w:p>
        </w:tc>
        <w:tc>
          <w:tcPr>
            <w:cnfStyle w:evenVBand="true" w:oddVBand="false" w:firstColumn="false"/>
            <w:tcW w:w="25.000000%" w:type="pct"/>
          </w:tcPr>
          <w:p>
            <w:pPr>
              <w:ind w:leftChars="0" w:left="0" w:right="0"/>
            </w:pPr>
            <w:r>
              <w:t>1418</w:t>
            </w:r>
          </w:p>
        </w:tc>
      </w:tr>
      <w:tr>
        <w:trPr>
          <w:cnfStyle w:evenHBand="true" w:oddHBand="false" w:firstRow="false"/>
        </w:trPr>
        <w:tc>
          <w:tcPr>
            <w:cnfStyle w:evenVBand="false" w:oddVBand="true" w:firstColumn="false"/>
            <w:tcW w:w="25.000000%" w:type="pct"/>
          </w:tcPr>
          <w:p>
            <w:pPr>
              <w:ind w:leftChars="0" w:left="0" w:right="0"/>
            </w:pPr>
            <w:r>
              <w:t>PBGR</w:t>
            </w:r>
          </w:p>
        </w:tc>
        <w:tc>
          <w:tcPr>
            <w:cnfStyle w:evenVBand="true" w:oddVBand="false" w:firstColumn="false"/>
            <w:tcW w:w="25.000000%" w:type="pct"/>
          </w:tcPr>
          <w:p>
            <w:pPr>
              <w:ind w:leftChars="0" w:left="0" w:right="0"/>
            </w:pPr>
            <w:r>
              <w:t>PBGR</w:t>
            </w:r>
          </w:p>
        </w:tc>
        <w:tc>
          <w:tcPr>
            <w:cnfStyle w:evenVBand="false" w:oddVBand="true" w:firstColumn="false"/>
            <w:tcW w:w="25.000000%" w:type="pct"/>
          </w:tcPr>
          <w:p>
            <w:pPr>
              <w:ind w:leftChars="0" w:left="0" w:right="0"/>
            </w:pPr>
            <w:r>
              <w:t>PIRAEUS BANK - SYSTEMATIC INTERNALISER</w:t>
            </w:r>
          </w:p>
        </w:tc>
        <w:tc>
          <w:tcPr>
            <w:cnfStyle w:evenVBand="true" w:oddVBand="false" w:firstColumn="false"/>
            <w:tcW w:w="25.000000%" w:type="pct"/>
          </w:tcPr>
          <w:p>
            <w:pPr>
              <w:ind w:leftChars="0" w:left="0" w:right="0"/>
            </w:pPr>
            <w:r>
              <w:t>1419</w:t>
            </w:r>
          </w:p>
        </w:tc>
      </w:tr>
      <w:tr>
        <w:trPr>
          <w:cnfStyle w:evenHBand="false" w:oddHBand="true" w:firstRow="false"/>
        </w:trPr>
        <w:tc>
          <w:tcPr>
            <w:cnfStyle w:evenVBand="false" w:oddVBand="true" w:firstColumn="false"/>
            <w:tcW w:w="25.000000%" w:type="pct"/>
          </w:tcPr>
          <w:p>
            <w:pPr>
              <w:ind w:leftChars="0" w:left="0" w:right="0"/>
            </w:pPr>
            <w:r>
              <w:t>PBUL</w:t>
            </w:r>
          </w:p>
        </w:tc>
        <w:tc>
          <w:tcPr>
            <w:cnfStyle w:evenVBand="true" w:oddVBand="false" w:firstColumn="false"/>
            <w:tcW w:w="25.000000%" w:type="pct"/>
          </w:tcPr>
          <w:p>
            <w:pPr>
              <w:ind w:leftChars="0" w:left="0" w:right="0"/>
            </w:pPr>
            <w:r>
              <w:t>PBUL</w:t>
            </w:r>
          </w:p>
        </w:tc>
        <w:tc>
          <w:tcPr>
            <w:cnfStyle w:evenVBand="false" w:oddVBand="true" w:firstColumn="false"/>
            <w:tcW w:w="25.000000%" w:type="pct"/>
          </w:tcPr>
          <w:p>
            <w:pPr>
              <w:ind w:leftChars="0" w:left="0" w:right="0"/>
            </w:pPr>
            <w:r>
              <w:t>BULGARIAN STOCK EXCHANGE - APA</w:t>
            </w:r>
          </w:p>
        </w:tc>
        <w:tc>
          <w:tcPr>
            <w:cnfStyle w:evenVBand="true" w:oddVBand="false" w:firstColumn="false"/>
            <w:tcW w:w="25.000000%" w:type="pct"/>
          </w:tcPr>
          <w:p>
            <w:pPr>
              <w:ind w:leftChars="0" w:left="0" w:right="0"/>
            </w:pPr>
            <w:r>
              <w:t>1420</w:t>
            </w:r>
          </w:p>
        </w:tc>
      </w:tr>
      <w:tr>
        <w:trPr>
          <w:cnfStyle w:evenHBand="true" w:oddHBand="false" w:firstRow="false"/>
        </w:trPr>
        <w:tc>
          <w:tcPr>
            <w:cnfStyle w:evenVBand="false" w:oddVBand="true" w:firstColumn="false"/>
            <w:tcW w:w="25.000000%" w:type="pct"/>
          </w:tcPr>
          <w:p>
            <w:pPr>
              <w:ind w:leftChars="0" w:left="0" w:right="0"/>
            </w:pPr>
            <w:r>
              <w:t>PCDS</w:t>
            </w:r>
          </w:p>
        </w:tc>
        <w:tc>
          <w:tcPr>
            <w:cnfStyle w:evenVBand="true" w:oddVBand="false" w:firstColumn="false"/>
            <w:tcW w:w="25.000000%" w:type="pct"/>
          </w:tcPr>
          <w:p>
            <w:pPr>
              <w:ind w:leftChars="0" w:left="0" w:right="0"/>
            </w:pPr>
            <w:r>
              <w:t>PCDS</w:t>
            </w:r>
          </w:p>
        </w:tc>
        <w:tc>
          <w:tcPr>
            <w:cnfStyle w:evenVBand="false" w:oddVBand="true" w:firstColumn="false"/>
            <w:tcW w:w="25.000000%" w:type="pct"/>
          </w:tcPr>
          <w:p>
            <w:pPr>
              <w:ind w:leftChars="0" w:left="0" w:right="0"/>
            </w:pPr>
            <w:r>
              <w:t>TULLETT PREBON PLC - PREBON CDS</w:t>
            </w:r>
          </w:p>
        </w:tc>
        <w:tc>
          <w:tcPr>
            <w:cnfStyle w:evenVBand="true" w:oddVBand="false" w:firstColumn="false"/>
            <w:tcW w:w="25.000000%" w:type="pct"/>
          </w:tcPr>
          <w:p>
            <w:pPr>
              <w:ind w:leftChars="0" w:left="0" w:right="0"/>
            </w:pPr>
            <w:r>
              <w:t>1421</w:t>
            </w:r>
          </w:p>
        </w:tc>
      </w:tr>
      <w:tr>
        <w:trPr>
          <w:cnfStyle w:evenHBand="false" w:oddHBand="true" w:firstRow="false"/>
        </w:trPr>
        <w:tc>
          <w:tcPr>
            <w:cnfStyle w:evenVBand="false" w:oddVBand="true" w:firstColumn="false"/>
            <w:tcW w:w="25.000000%" w:type="pct"/>
          </w:tcPr>
          <w:p>
            <w:pPr>
              <w:ind w:leftChars="0" w:left="0" w:right="0"/>
            </w:pPr>
            <w:r>
              <w:t>PDEX</w:t>
            </w:r>
          </w:p>
        </w:tc>
        <w:tc>
          <w:tcPr>
            <w:cnfStyle w:evenVBand="true" w:oddVBand="false" w:firstColumn="false"/>
            <w:tcW w:w="25.000000%" w:type="pct"/>
          </w:tcPr>
          <w:p>
            <w:pPr>
              <w:ind w:leftChars="0" w:left="0" w:right="0"/>
            </w:pPr>
            <w:r>
              <w:t>PDEX</w:t>
            </w:r>
          </w:p>
        </w:tc>
        <w:tc>
          <w:tcPr>
            <w:cnfStyle w:evenVBand="false" w:oddVBand="true" w:firstColumn="false"/>
            <w:tcW w:w="25.000000%" w:type="pct"/>
          </w:tcPr>
          <w:p>
            <w:pPr>
              <w:ind w:leftChars="0" w:left="0" w:right="0"/>
            </w:pPr>
            <w:r>
              <w:t>PHILIPPINE DEALING AND EXCHANGE CORP</w:t>
            </w:r>
          </w:p>
        </w:tc>
        <w:tc>
          <w:tcPr>
            <w:cnfStyle w:evenVBand="true" w:oddVBand="false" w:firstColumn="false"/>
            <w:tcW w:w="25.000000%" w:type="pct"/>
          </w:tcPr>
          <w:p>
            <w:pPr>
              <w:ind w:leftChars="0" w:left="0" w:right="0"/>
            </w:pPr>
            <w:r>
              <w:t>1422</w:t>
            </w:r>
          </w:p>
        </w:tc>
      </w:tr>
      <w:tr>
        <w:trPr>
          <w:cnfStyle w:evenHBand="true" w:oddHBand="false" w:firstRow="false"/>
        </w:trPr>
        <w:tc>
          <w:tcPr>
            <w:cnfStyle w:evenVBand="false" w:oddVBand="true" w:firstColumn="false"/>
            <w:tcW w:w="25.000000%" w:type="pct"/>
          </w:tcPr>
          <w:p>
            <w:pPr>
              <w:ind w:leftChars="0" w:left="0" w:right="0"/>
            </w:pPr>
            <w:r>
              <w:t>PDQD</w:t>
            </w:r>
          </w:p>
        </w:tc>
        <w:tc>
          <w:tcPr>
            <w:cnfStyle w:evenVBand="true" w:oddVBand="false" w:firstColumn="false"/>
            <w:tcW w:w="25.000000%" w:type="pct"/>
          </w:tcPr>
          <w:p>
            <w:pPr>
              <w:ind w:leftChars="0" w:left="0" w:right="0"/>
            </w:pPr>
            <w:r>
              <w:t>PDQD</w:t>
            </w:r>
          </w:p>
        </w:tc>
        <w:tc>
          <w:tcPr>
            <w:cnfStyle w:evenVBand="false" w:oddVBand="true" w:firstColumn="false"/>
            <w:tcW w:w="25.000000%" w:type="pct"/>
          </w:tcPr>
          <w:p>
            <w:pPr>
              <w:ind w:leftChars="0" w:left="0" w:right="0"/>
            </w:pPr>
            <w:r>
              <w:t>CODA MARKETS ATS DARK</w:t>
            </w:r>
          </w:p>
        </w:tc>
        <w:tc>
          <w:tcPr>
            <w:cnfStyle w:evenVBand="true" w:oddVBand="false" w:firstColumn="false"/>
            <w:tcW w:w="25.000000%" w:type="pct"/>
          </w:tcPr>
          <w:p>
            <w:pPr>
              <w:ind w:leftChars="0" w:left="0" w:right="0"/>
            </w:pPr>
            <w:r>
              <w:t>1423</w:t>
            </w:r>
          </w:p>
        </w:tc>
      </w:tr>
      <w:tr>
        <w:trPr>
          <w:cnfStyle w:evenHBand="false" w:oddHBand="true" w:firstRow="false"/>
        </w:trPr>
        <w:tc>
          <w:tcPr>
            <w:cnfStyle w:evenVBand="false" w:oddVBand="true" w:firstColumn="false"/>
            <w:tcW w:w="25.000000%" w:type="pct"/>
          </w:tcPr>
          <w:p>
            <w:pPr>
              <w:ind w:leftChars="0" w:left="0" w:right="0"/>
            </w:pPr>
            <w:r>
              <w:t>PDQX</w:t>
            </w:r>
          </w:p>
        </w:tc>
        <w:tc>
          <w:tcPr>
            <w:cnfStyle w:evenVBand="true" w:oddVBand="false" w:firstColumn="false"/>
            <w:tcW w:w="25.000000%" w:type="pct"/>
          </w:tcPr>
          <w:p>
            <w:pPr>
              <w:ind w:leftChars="0" w:left="0" w:right="0"/>
            </w:pPr>
            <w:r>
              <w:t>PDQX</w:t>
            </w:r>
          </w:p>
        </w:tc>
        <w:tc>
          <w:tcPr>
            <w:cnfStyle w:evenVBand="false" w:oddVBand="true" w:firstColumn="false"/>
            <w:tcW w:w="25.000000%" w:type="pct"/>
          </w:tcPr>
          <w:p>
            <w:pPr>
              <w:ind w:leftChars="0" w:left="0" w:right="0"/>
            </w:pPr>
            <w:r>
              <w:t>CODA MARKETS</w:t>
            </w:r>
          </w:p>
        </w:tc>
        <w:tc>
          <w:tcPr>
            <w:cnfStyle w:evenVBand="true" w:oddVBand="false" w:firstColumn="false"/>
            <w:tcW w:w="25.000000%" w:type="pct"/>
          </w:tcPr>
          <w:p>
            <w:pPr>
              <w:ind w:leftChars="0" w:left="0" w:right="0"/>
            </w:pPr>
            <w:r>
              <w:t>1424</w:t>
            </w:r>
          </w:p>
        </w:tc>
      </w:tr>
      <w:tr>
        <w:trPr>
          <w:cnfStyle w:evenHBand="true" w:oddHBand="false" w:firstRow="false"/>
        </w:trPr>
        <w:tc>
          <w:tcPr>
            <w:cnfStyle w:evenVBand="false" w:oddVBand="true" w:firstColumn="false"/>
            <w:tcW w:w="25.000000%" w:type="pct"/>
          </w:tcPr>
          <w:p>
            <w:pPr>
              <w:ind w:leftChars="0" w:left="0" w:right="0"/>
            </w:pPr>
            <w:r>
              <w:t>PEEL</w:t>
            </w:r>
          </w:p>
        </w:tc>
        <w:tc>
          <w:tcPr>
            <w:cnfStyle w:evenVBand="true" w:oddVBand="false" w:firstColumn="false"/>
            <w:tcW w:w="25.000000%" w:type="pct"/>
          </w:tcPr>
          <w:p>
            <w:pPr>
              <w:ind w:leftChars="0" w:left="0" w:right="0"/>
            </w:pPr>
            <w:r>
              <w:t>PEEL</w:t>
            </w:r>
          </w:p>
        </w:tc>
        <w:tc>
          <w:tcPr>
            <w:cnfStyle w:evenVBand="false" w:oddVBand="true" w:firstColumn="false"/>
            <w:tcW w:w="25.000000%" w:type="pct"/>
          </w:tcPr>
          <w:p>
            <w:pPr>
              <w:ind w:leftChars="0" w:left="0" w:right="0"/>
            </w:pPr>
            <w:r>
              <w:t>PEEL HUNT LLP UK</w:t>
            </w:r>
          </w:p>
        </w:tc>
        <w:tc>
          <w:tcPr>
            <w:cnfStyle w:evenVBand="true" w:oddVBand="false" w:firstColumn="false"/>
            <w:tcW w:w="25.000000%" w:type="pct"/>
          </w:tcPr>
          <w:p>
            <w:pPr>
              <w:ind w:leftChars="0" w:left="0" w:right="0"/>
            </w:pPr>
            <w:r>
              <w:t>1425</w:t>
            </w:r>
          </w:p>
        </w:tc>
      </w:tr>
      <w:tr>
        <w:trPr>
          <w:cnfStyle w:evenHBand="false" w:oddHBand="true" w:firstRow="false"/>
        </w:trPr>
        <w:tc>
          <w:tcPr>
            <w:cnfStyle w:evenVBand="false" w:oddVBand="true" w:firstColumn="false"/>
            <w:tcW w:w="25.000000%" w:type="pct"/>
          </w:tcPr>
          <w:p>
            <w:pPr>
              <w:ind w:leftChars="0" w:left="0" w:right="0"/>
            </w:pPr>
            <w:r>
              <w:t>PEPH</w:t>
            </w:r>
          </w:p>
        </w:tc>
        <w:tc>
          <w:tcPr>
            <w:cnfStyle w:evenVBand="true" w:oddVBand="false" w:firstColumn="false"/>
            <w:tcW w:w="25.000000%" w:type="pct"/>
          </w:tcPr>
          <w:p>
            <w:pPr>
              <w:ind w:leftChars="0" w:left="0" w:right="0"/>
            </w:pPr>
            <w:r>
              <w:t>PEPH</w:t>
            </w:r>
          </w:p>
        </w:tc>
        <w:tc>
          <w:tcPr>
            <w:cnfStyle w:evenVBand="false" w:oddVBand="true" w:firstColumn="false"/>
            <w:tcW w:w="25.000000%" w:type="pct"/>
          </w:tcPr>
          <w:p>
            <w:pPr>
              <w:ind w:leftChars="0" w:left="0" w:right="0"/>
            </w:pPr>
            <w:r>
              <w:t>PEPINS - MTF - HALF-YEAR</w:t>
            </w:r>
          </w:p>
        </w:tc>
        <w:tc>
          <w:tcPr>
            <w:cnfStyle w:evenVBand="true" w:oddVBand="false" w:firstColumn="false"/>
            <w:tcW w:w="25.000000%" w:type="pct"/>
          </w:tcPr>
          <w:p>
            <w:pPr>
              <w:ind w:leftChars="0" w:left="0" w:right="0"/>
            </w:pPr>
            <w:r>
              <w:t>1426</w:t>
            </w:r>
          </w:p>
        </w:tc>
      </w:tr>
      <w:tr>
        <w:trPr>
          <w:cnfStyle w:evenHBand="true" w:oddHBand="false" w:firstRow="false"/>
        </w:trPr>
        <w:tc>
          <w:tcPr>
            <w:cnfStyle w:evenVBand="false" w:oddVBand="true" w:firstColumn="false"/>
            <w:tcW w:w="25.000000%" w:type="pct"/>
          </w:tcPr>
          <w:p>
            <w:pPr>
              <w:ind w:leftChars="0" w:left="0" w:right="0"/>
            </w:pPr>
            <w:r>
              <w:t>PEPM</w:t>
            </w:r>
          </w:p>
        </w:tc>
        <w:tc>
          <w:tcPr>
            <w:cnfStyle w:evenVBand="true" w:oddVBand="false" w:firstColumn="false"/>
            <w:tcW w:w="25.000000%" w:type="pct"/>
          </w:tcPr>
          <w:p>
            <w:pPr>
              <w:ind w:leftChars="0" w:left="0" w:right="0"/>
            </w:pPr>
            <w:r>
              <w:t>PEPM</w:t>
            </w:r>
          </w:p>
        </w:tc>
        <w:tc>
          <w:tcPr>
            <w:cnfStyle w:evenVBand="false" w:oddVBand="true" w:firstColumn="false"/>
            <w:tcW w:w="25.000000%" w:type="pct"/>
          </w:tcPr>
          <w:p>
            <w:pPr>
              <w:ind w:leftChars="0" w:left="0" w:right="0"/>
            </w:pPr>
            <w:r>
              <w:t>PEPINS - MTF - MONTH</w:t>
            </w:r>
          </w:p>
        </w:tc>
        <w:tc>
          <w:tcPr>
            <w:cnfStyle w:evenVBand="true" w:oddVBand="false" w:firstColumn="false"/>
            <w:tcW w:w="25.000000%" w:type="pct"/>
          </w:tcPr>
          <w:p>
            <w:pPr>
              <w:ind w:leftChars="0" w:left="0" w:right="0"/>
            </w:pPr>
            <w:r>
              <w:t>1427</w:t>
            </w:r>
          </w:p>
        </w:tc>
      </w:tr>
      <w:tr>
        <w:trPr>
          <w:cnfStyle w:evenHBand="false" w:oddHBand="true" w:firstRow="false"/>
        </w:trPr>
        <w:tc>
          <w:tcPr>
            <w:cnfStyle w:evenVBand="false" w:oddVBand="true" w:firstColumn="false"/>
            <w:tcW w:w="25.000000%" w:type="pct"/>
          </w:tcPr>
          <w:p>
            <w:pPr>
              <w:ind w:leftChars="0" w:left="0" w:right="0"/>
            </w:pPr>
            <w:r>
              <w:t>PEPQ</w:t>
            </w:r>
          </w:p>
        </w:tc>
        <w:tc>
          <w:tcPr>
            <w:cnfStyle w:evenVBand="true" w:oddVBand="false" w:firstColumn="false"/>
            <w:tcW w:w="25.000000%" w:type="pct"/>
          </w:tcPr>
          <w:p>
            <w:pPr>
              <w:ind w:leftChars="0" w:left="0" w:right="0"/>
            </w:pPr>
            <w:r>
              <w:t>PEPQ</w:t>
            </w:r>
          </w:p>
        </w:tc>
        <w:tc>
          <w:tcPr>
            <w:cnfStyle w:evenVBand="false" w:oddVBand="true" w:firstColumn="false"/>
            <w:tcW w:w="25.000000%" w:type="pct"/>
          </w:tcPr>
          <w:p>
            <w:pPr>
              <w:ind w:leftChars="0" w:left="0" w:right="0"/>
            </w:pPr>
            <w:r>
              <w:t>PEPINS - MTF - QUARTER</w:t>
            </w:r>
          </w:p>
        </w:tc>
        <w:tc>
          <w:tcPr>
            <w:cnfStyle w:evenVBand="true" w:oddVBand="false" w:firstColumn="false"/>
            <w:tcW w:w="25.000000%" w:type="pct"/>
          </w:tcPr>
          <w:p>
            <w:pPr>
              <w:ind w:leftChars="0" w:left="0" w:right="0"/>
            </w:pPr>
            <w:r>
              <w:t>1428</w:t>
            </w:r>
          </w:p>
        </w:tc>
      </w:tr>
      <w:tr>
        <w:trPr>
          <w:cnfStyle w:evenHBand="true" w:oddHBand="false" w:firstRow="false"/>
        </w:trPr>
        <w:tc>
          <w:tcPr>
            <w:cnfStyle w:evenVBand="false" w:oddVBand="true" w:firstColumn="false"/>
            <w:tcW w:w="25.000000%" w:type="pct"/>
          </w:tcPr>
          <w:p>
            <w:pPr>
              <w:ind w:leftChars="0" w:left="0" w:right="0"/>
            </w:pPr>
            <w:r>
              <w:t>PEPW</w:t>
            </w:r>
          </w:p>
        </w:tc>
        <w:tc>
          <w:tcPr>
            <w:cnfStyle w:evenVBand="true" w:oddVBand="false" w:firstColumn="false"/>
            <w:tcW w:w="25.000000%" w:type="pct"/>
          </w:tcPr>
          <w:p>
            <w:pPr>
              <w:ind w:leftChars="0" w:left="0" w:right="0"/>
            </w:pPr>
            <w:r>
              <w:t>PEPW</w:t>
            </w:r>
          </w:p>
        </w:tc>
        <w:tc>
          <w:tcPr>
            <w:cnfStyle w:evenVBand="false" w:oddVBand="true" w:firstColumn="false"/>
            <w:tcW w:w="25.000000%" w:type="pct"/>
          </w:tcPr>
          <w:p>
            <w:pPr>
              <w:ind w:leftChars="0" w:left="0" w:right="0"/>
            </w:pPr>
            <w:r>
              <w:t>PEPINS - MTF</w:t>
            </w:r>
          </w:p>
        </w:tc>
        <w:tc>
          <w:tcPr>
            <w:cnfStyle w:evenVBand="true" w:oddVBand="false" w:firstColumn="false"/>
            <w:tcW w:w="25.000000%" w:type="pct"/>
          </w:tcPr>
          <w:p>
            <w:pPr>
              <w:ind w:leftChars="0" w:left="0" w:right="0"/>
            </w:pPr>
            <w:r>
              <w:t>1429</w:t>
            </w:r>
          </w:p>
        </w:tc>
      </w:tr>
      <w:tr>
        <w:trPr>
          <w:cnfStyle w:evenHBand="false" w:oddHBand="true" w:firstRow="false"/>
        </w:trPr>
        <w:tc>
          <w:tcPr>
            <w:cnfStyle w:evenVBand="false" w:oddVBand="true" w:firstColumn="false"/>
            <w:tcW w:w="25.000000%" w:type="pct"/>
          </w:tcPr>
          <w:p>
            <w:pPr>
              <w:ind w:leftChars="0" w:left="0" w:right="0"/>
            </w:pPr>
            <w:r>
              <w:t>PEPY</w:t>
            </w:r>
          </w:p>
        </w:tc>
        <w:tc>
          <w:tcPr>
            <w:cnfStyle w:evenVBand="true" w:oddVBand="false" w:firstColumn="false"/>
            <w:tcW w:w="25.000000%" w:type="pct"/>
          </w:tcPr>
          <w:p>
            <w:pPr>
              <w:ind w:leftChars="0" w:left="0" w:right="0"/>
            </w:pPr>
            <w:r>
              <w:t>PEPY</w:t>
            </w:r>
          </w:p>
        </w:tc>
        <w:tc>
          <w:tcPr>
            <w:cnfStyle w:evenVBand="false" w:oddVBand="true" w:firstColumn="false"/>
            <w:tcW w:w="25.000000%" w:type="pct"/>
          </w:tcPr>
          <w:p>
            <w:pPr>
              <w:ind w:leftChars="0" w:left="0" w:right="0"/>
            </w:pPr>
            <w:r>
              <w:t>PEPINS - MTF - YEAR</w:t>
            </w:r>
          </w:p>
        </w:tc>
        <w:tc>
          <w:tcPr>
            <w:cnfStyle w:evenVBand="true" w:oddVBand="false" w:firstColumn="false"/>
            <w:tcW w:w="25.000000%" w:type="pct"/>
          </w:tcPr>
          <w:p>
            <w:pPr>
              <w:ind w:leftChars="0" w:left="0" w:right="0"/>
            </w:pPr>
            <w:r>
              <w:t>1430</w:t>
            </w:r>
          </w:p>
        </w:tc>
      </w:tr>
      <w:tr>
        <w:trPr>
          <w:cnfStyle w:evenHBand="true" w:oddHBand="false" w:firstRow="false"/>
        </w:trPr>
        <w:tc>
          <w:tcPr>
            <w:cnfStyle w:evenVBand="false" w:oddVBand="true" w:firstColumn="false"/>
            <w:tcW w:w="25.000000%" w:type="pct"/>
          </w:tcPr>
          <w:p>
            <w:pPr>
              <w:ind w:leftChars="0" w:left="0" w:right="0"/>
            </w:pPr>
            <w:r>
              <w:t>PFTQ</w:t>
            </w:r>
          </w:p>
        </w:tc>
        <w:tc>
          <w:tcPr>
            <w:cnfStyle w:evenVBand="true" w:oddVBand="false" w:firstColumn="false"/>
            <w:tcW w:w="25.000000%" w:type="pct"/>
          </w:tcPr>
          <w:p>
            <w:pPr>
              <w:ind w:leftChars="0" w:left="0" w:right="0"/>
            </w:pPr>
            <w:r>
              <w:t>PFTQ</w:t>
            </w:r>
          </w:p>
        </w:tc>
        <w:tc>
          <w:tcPr>
            <w:cnfStyle w:evenVBand="false" w:oddVBand="true" w:firstColumn="false"/>
            <w:tcW w:w="25.000000%" w:type="pct"/>
          </w:tcPr>
          <w:p>
            <w:pPr>
              <w:ind w:leftChars="0" w:left="0" w:right="0"/>
            </w:pPr>
            <w:r>
              <w:t>PFTS QUOTE DRIVEN</w:t>
            </w:r>
          </w:p>
        </w:tc>
        <w:tc>
          <w:tcPr>
            <w:cnfStyle w:evenVBand="true" w:oddVBand="false" w:firstColumn="false"/>
            <w:tcW w:w="25.000000%" w:type="pct"/>
          </w:tcPr>
          <w:p>
            <w:pPr>
              <w:ind w:leftChars="0" w:left="0" w:right="0"/>
            </w:pPr>
            <w:r>
              <w:t>1431</w:t>
            </w:r>
          </w:p>
        </w:tc>
      </w:tr>
      <w:tr>
        <w:trPr>
          <w:cnfStyle w:evenHBand="false" w:oddHBand="true" w:firstRow="false"/>
        </w:trPr>
        <w:tc>
          <w:tcPr>
            <w:cnfStyle w:evenVBand="false" w:oddVBand="true" w:firstColumn="false"/>
            <w:tcW w:w="25.000000%" w:type="pct"/>
          </w:tcPr>
          <w:p>
            <w:pPr>
              <w:ind w:leftChars="0" w:left="0" w:right="0"/>
            </w:pPr>
            <w:r>
              <w:t>PFTS</w:t>
            </w:r>
          </w:p>
        </w:tc>
        <w:tc>
          <w:tcPr>
            <w:cnfStyle w:evenVBand="true" w:oddVBand="false" w:firstColumn="false"/>
            <w:tcW w:w="25.000000%" w:type="pct"/>
          </w:tcPr>
          <w:p>
            <w:pPr>
              <w:ind w:leftChars="0" w:left="0" w:right="0"/>
            </w:pPr>
            <w:r>
              <w:t>PFTS</w:t>
            </w:r>
          </w:p>
        </w:tc>
        <w:tc>
          <w:tcPr>
            <w:cnfStyle w:evenVBand="false" w:oddVBand="true" w:firstColumn="false"/>
            <w:tcW w:w="25.000000%" w:type="pct"/>
          </w:tcPr>
          <w:p>
            <w:pPr>
              <w:ind w:leftChars="0" w:left="0" w:right="0"/>
            </w:pPr>
            <w:r>
              <w:t>PFTS STOCK EXCHANGE</w:t>
            </w:r>
          </w:p>
        </w:tc>
        <w:tc>
          <w:tcPr>
            <w:cnfStyle w:evenVBand="true" w:oddVBand="false" w:firstColumn="false"/>
            <w:tcW w:w="25.000000%" w:type="pct"/>
          </w:tcPr>
          <w:p>
            <w:pPr>
              <w:ind w:leftChars="0" w:left="0" w:right="0"/>
            </w:pPr>
            <w:r>
              <w:t>1432</w:t>
            </w:r>
          </w:p>
        </w:tc>
      </w:tr>
      <w:tr>
        <w:trPr>
          <w:cnfStyle w:evenHBand="true" w:oddHBand="false" w:firstRow="false"/>
        </w:trPr>
        <w:tc>
          <w:tcPr>
            <w:cnfStyle w:evenVBand="false" w:oddVBand="true" w:firstColumn="false"/>
            <w:tcW w:w="25.000000%" w:type="pct"/>
          </w:tcPr>
          <w:p>
            <w:pPr>
              <w:ind w:leftChars="0" w:left="0" w:right="0"/>
            </w:pPr>
            <w:r>
              <w:t>PFXD</w:t>
            </w:r>
          </w:p>
        </w:tc>
        <w:tc>
          <w:tcPr>
            <w:cnfStyle w:evenVBand="true" w:oddVBand="false" w:firstColumn="false"/>
            <w:tcW w:w="25.000000%" w:type="pct"/>
          </w:tcPr>
          <w:p>
            <w:pPr>
              <w:ind w:leftChars="0" w:left="0" w:right="0"/>
            </w:pPr>
            <w:r>
              <w:t>PFXD</w:t>
            </w:r>
          </w:p>
        </w:tc>
        <w:tc>
          <w:tcPr>
            <w:cnfStyle w:evenVBand="false" w:oddVBand="true" w:firstColumn="false"/>
            <w:tcW w:w="25.000000%" w:type="pct"/>
          </w:tcPr>
          <w:p>
            <w:pPr>
              <w:ind w:leftChars="0" w:left="0" w:right="0"/>
            </w:pPr>
            <w:r>
              <w:t>PARNDF</w:t>
            </w:r>
          </w:p>
        </w:tc>
        <w:tc>
          <w:tcPr>
            <w:cnfStyle w:evenVBand="true" w:oddVBand="false" w:firstColumn="false"/>
            <w:tcW w:w="25.000000%" w:type="pct"/>
          </w:tcPr>
          <w:p>
            <w:pPr>
              <w:ind w:leftChars="0" w:left="0" w:right="0"/>
            </w:pPr>
            <w:r>
              <w:t>1433</w:t>
            </w:r>
          </w:p>
        </w:tc>
      </w:tr>
      <w:tr>
        <w:trPr>
          <w:cnfStyle w:evenHBand="false" w:oddHBand="true" w:firstRow="false"/>
        </w:trPr>
        <w:tc>
          <w:tcPr>
            <w:cnfStyle w:evenVBand="false" w:oddVBand="true" w:firstColumn="false"/>
            <w:tcW w:w="25.000000%" w:type="pct"/>
          </w:tcPr>
          <w:p>
            <w:pPr>
              <w:ind w:leftChars="0" w:left="0" w:right="0"/>
            </w:pPr>
            <w:r>
              <w:t>PIEU</w:t>
            </w:r>
          </w:p>
        </w:tc>
        <w:tc>
          <w:tcPr>
            <w:cnfStyle w:evenVBand="true" w:oddVBand="false" w:firstColumn="false"/>
            <w:tcW w:w="25.000000%" w:type="pct"/>
          </w:tcPr>
          <w:p>
            <w:pPr>
              <w:ind w:leftChars="0" w:left="0" w:right="0"/>
            </w:pPr>
            <w:r>
              <w:t>PIEU</w:t>
            </w:r>
          </w:p>
        </w:tc>
        <w:tc>
          <w:tcPr>
            <w:cnfStyle w:evenVBand="false" w:oddVBand="true" w:firstColumn="false"/>
            <w:tcW w:w="25.000000%" w:type="pct"/>
          </w:tcPr>
          <w:p>
            <w:pPr>
              <w:ind w:leftChars="0" w:left="0" w:right="0"/>
            </w:pPr>
            <w:r>
              <w:t>ARITAS FINANCIAL LTD</w:t>
            </w:r>
          </w:p>
        </w:tc>
        <w:tc>
          <w:tcPr>
            <w:cnfStyle w:evenVBand="true" w:oddVBand="false" w:firstColumn="false"/>
            <w:tcW w:w="25.000000%" w:type="pct"/>
          </w:tcPr>
          <w:p>
            <w:pPr>
              <w:ind w:leftChars="0" w:left="0" w:right="0"/>
            </w:pPr>
            <w:r>
              <w:t>1434</w:t>
            </w:r>
          </w:p>
        </w:tc>
      </w:tr>
      <w:tr>
        <w:trPr>
          <w:cnfStyle w:evenHBand="true" w:oddHBand="false" w:firstRow="false"/>
        </w:trPr>
        <w:tc>
          <w:tcPr>
            <w:cnfStyle w:evenVBand="false" w:oddVBand="true" w:firstColumn="false"/>
            <w:tcW w:w="25.000000%" w:type="pct"/>
          </w:tcPr>
          <w:p>
            <w:pPr>
              <w:ind w:leftChars="0" w:left="0" w:right="0"/>
            </w:pPr>
            <w:r>
              <w:t>PINC</w:t>
            </w:r>
          </w:p>
        </w:tc>
        <w:tc>
          <w:tcPr>
            <w:cnfStyle w:evenVBand="true" w:oddVBand="false" w:firstColumn="false"/>
            <w:tcW w:w="25.000000%" w:type="pct"/>
          </w:tcPr>
          <w:p>
            <w:pPr>
              <w:ind w:leftChars="0" w:left="0" w:right="0"/>
            </w:pPr>
            <w:r>
              <w:t>PINC</w:t>
            </w:r>
          </w:p>
        </w:tc>
        <w:tc>
          <w:tcPr>
            <w:cnfStyle w:evenVBand="false" w:oddVBand="true" w:firstColumn="false"/>
            <w:tcW w:w="25.000000%" w:type="pct"/>
          </w:tcPr>
          <w:p>
            <w:pPr>
              <w:ind w:leftChars="0" w:left="0" w:right="0"/>
            </w:pPr>
            <w:r>
              <w:t>OTC PINK CURRENT</w:t>
            </w:r>
          </w:p>
        </w:tc>
        <w:tc>
          <w:tcPr>
            <w:cnfStyle w:evenVBand="true" w:oddVBand="false" w:firstColumn="false"/>
            <w:tcW w:w="25.000000%" w:type="pct"/>
          </w:tcPr>
          <w:p>
            <w:pPr>
              <w:ind w:leftChars="0" w:left="0" w:right="0"/>
            </w:pPr>
            <w:r>
              <w:t>1435</w:t>
            </w:r>
          </w:p>
        </w:tc>
      </w:tr>
      <w:tr>
        <w:trPr>
          <w:cnfStyle w:evenHBand="false" w:oddHBand="true" w:firstRow="false"/>
        </w:trPr>
        <w:tc>
          <w:tcPr>
            <w:cnfStyle w:evenVBand="false" w:oddVBand="true" w:firstColumn="false"/>
            <w:tcW w:w="25.000000%" w:type="pct"/>
          </w:tcPr>
          <w:p>
            <w:pPr>
              <w:ind w:leftChars="0" w:left="0" w:right="0"/>
            </w:pPr>
            <w:r>
              <w:t>PINI</w:t>
            </w:r>
          </w:p>
        </w:tc>
        <w:tc>
          <w:tcPr>
            <w:cnfStyle w:evenVBand="true" w:oddVBand="false" w:firstColumn="false"/>
            <w:tcW w:w="25.000000%" w:type="pct"/>
          </w:tcPr>
          <w:p>
            <w:pPr>
              <w:ind w:leftChars="0" w:left="0" w:right="0"/>
            </w:pPr>
            <w:r>
              <w:t>PINI</w:t>
            </w:r>
          </w:p>
        </w:tc>
        <w:tc>
          <w:tcPr>
            <w:cnfStyle w:evenVBand="false" w:oddVBand="true" w:firstColumn="false"/>
            <w:tcW w:w="25.000000%" w:type="pct"/>
          </w:tcPr>
          <w:p>
            <w:pPr>
              <w:ind w:leftChars="0" w:left="0" w:right="0"/>
            </w:pPr>
            <w:r>
              <w:t>OTC PINK NO INFORMATION</w:t>
            </w:r>
          </w:p>
        </w:tc>
        <w:tc>
          <w:tcPr>
            <w:cnfStyle w:evenVBand="true" w:oddVBand="false" w:firstColumn="false"/>
            <w:tcW w:w="25.000000%" w:type="pct"/>
          </w:tcPr>
          <w:p>
            <w:pPr>
              <w:ind w:leftChars="0" w:left="0" w:right="0"/>
            </w:pPr>
            <w:r>
              <w:t>1436</w:t>
            </w:r>
          </w:p>
        </w:tc>
      </w:tr>
      <w:tr>
        <w:trPr>
          <w:cnfStyle w:evenHBand="true" w:oddHBand="false" w:firstRow="false"/>
        </w:trPr>
        <w:tc>
          <w:tcPr>
            <w:cnfStyle w:evenVBand="false" w:oddVBand="true" w:firstColumn="false"/>
            <w:tcW w:w="25.000000%" w:type="pct"/>
          </w:tcPr>
          <w:p>
            <w:pPr>
              <w:ind w:leftChars="0" w:left="0" w:right="0"/>
            </w:pPr>
            <w:r>
              <w:t>PINL</w:t>
            </w:r>
          </w:p>
        </w:tc>
        <w:tc>
          <w:tcPr>
            <w:cnfStyle w:evenVBand="true" w:oddVBand="false" w:firstColumn="false"/>
            <w:tcW w:w="25.000000%" w:type="pct"/>
          </w:tcPr>
          <w:p>
            <w:pPr>
              <w:ind w:leftChars="0" w:left="0" w:right="0"/>
            </w:pPr>
            <w:r>
              <w:t>PINL</w:t>
            </w:r>
          </w:p>
        </w:tc>
        <w:tc>
          <w:tcPr>
            <w:cnfStyle w:evenVBand="false" w:oddVBand="true" w:firstColumn="false"/>
            <w:tcW w:w="25.000000%" w:type="pct"/>
          </w:tcPr>
          <w:p>
            <w:pPr>
              <w:ind w:leftChars="0" w:left="0" w:right="0"/>
            </w:pPr>
            <w:r>
              <w:t>OTC PINK LIMITED</w:t>
            </w:r>
          </w:p>
        </w:tc>
        <w:tc>
          <w:tcPr>
            <w:cnfStyle w:evenVBand="true" w:oddVBand="false" w:firstColumn="false"/>
            <w:tcW w:w="25.000000%" w:type="pct"/>
          </w:tcPr>
          <w:p>
            <w:pPr>
              <w:ind w:leftChars="0" w:left="0" w:right="0"/>
            </w:pPr>
            <w:r>
              <w:t>1437</w:t>
            </w:r>
          </w:p>
        </w:tc>
      </w:tr>
      <w:tr>
        <w:trPr>
          <w:cnfStyle w:evenHBand="false" w:oddHBand="true" w:firstRow="false"/>
        </w:trPr>
        <w:tc>
          <w:tcPr>
            <w:cnfStyle w:evenVBand="false" w:oddVBand="true" w:firstColumn="false"/>
            <w:tcW w:w="25.000000%" w:type="pct"/>
          </w:tcPr>
          <w:p>
            <w:pPr>
              <w:ind w:leftChars="0" w:left="0" w:right="0"/>
            </w:pPr>
            <w:r>
              <w:t>PINX</w:t>
            </w:r>
          </w:p>
        </w:tc>
        <w:tc>
          <w:tcPr>
            <w:cnfStyle w:evenVBand="true" w:oddVBand="false" w:firstColumn="false"/>
            <w:tcW w:w="25.000000%" w:type="pct"/>
          </w:tcPr>
          <w:p>
            <w:pPr>
              <w:ind w:leftChars="0" w:left="0" w:right="0"/>
            </w:pPr>
            <w:r>
              <w:t>PINX</w:t>
            </w:r>
          </w:p>
        </w:tc>
        <w:tc>
          <w:tcPr>
            <w:cnfStyle w:evenVBand="false" w:oddVBand="true" w:firstColumn="false"/>
            <w:tcW w:w="25.000000%" w:type="pct"/>
          </w:tcPr>
          <w:p>
            <w:pPr>
              <w:ind w:leftChars="0" w:left="0" w:right="0"/>
            </w:pPr>
            <w:r>
              <w:t>OTC PINK MARKETPLACE</w:t>
            </w:r>
          </w:p>
        </w:tc>
        <w:tc>
          <w:tcPr>
            <w:cnfStyle w:evenVBand="true" w:oddVBand="false" w:firstColumn="false"/>
            <w:tcW w:w="25.000000%" w:type="pct"/>
          </w:tcPr>
          <w:p>
            <w:pPr>
              <w:ind w:leftChars="0" w:left="0" w:right="0"/>
            </w:pPr>
            <w:r>
              <w:t>1438</w:t>
            </w:r>
          </w:p>
        </w:tc>
      </w:tr>
      <w:tr>
        <w:trPr>
          <w:cnfStyle w:evenHBand="true" w:oddHBand="false" w:firstRow="false"/>
        </w:trPr>
        <w:tc>
          <w:tcPr>
            <w:cnfStyle w:evenVBand="false" w:oddVBand="true" w:firstColumn="false"/>
            <w:tcW w:w="25.000000%" w:type="pct"/>
          </w:tcPr>
          <w:p>
            <w:pPr>
              <w:ind w:leftChars="0" w:left="0" w:right="0"/>
            </w:pPr>
            <w:r>
              <w:t>PIPE</w:t>
            </w:r>
          </w:p>
        </w:tc>
        <w:tc>
          <w:tcPr>
            <w:cnfStyle w:evenVBand="true" w:oddVBand="false" w:firstColumn="false"/>
            <w:tcW w:w="25.000000%" w:type="pct"/>
          </w:tcPr>
          <w:p>
            <w:pPr>
              <w:ind w:leftChars="0" w:left="0" w:right="0"/>
            </w:pPr>
            <w:r>
              <w:t>PIPE</w:t>
            </w:r>
          </w:p>
        </w:tc>
        <w:tc>
          <w:tcPr>
            <w:cnfStyle w:evenVBand="false" w:oddVBand="true" w:firstColumn="false"/>
            <w:tcW w:w="25.000000%" w:type="pct"/>
          </w:tcPr>
          <w:p>
            <w:pPr>
              <w:ind w:leftChars="0" w:left="0" w:right="0"/>
            </w:pPr>
            <w:r>
              <w:t>ARITAS SECURITIES LLC</w:t>
            </w:r>
          </w:p>
        </w:tc>
        <w:tc>
          <w:tcPr>
            <w:cnfStyle w:evenVBand="true" w:oddVBand="false" w:firstColumn="false"/>
            <w:tcW w:w="25.000000%" w:type="pct"/>
          </w:tcPr>
          <w:p>
            <w:pPr>
              <w:ind w:leftChars="0" w:left="0" w:right="0"/>
            </w:pPr>
            <w:r>
              <w:t>1439</w:t>
            </w:r>
          </w:p>
        </w:tc>
      </w:tr>
      <w:tr>
        <w:trPr>
          <w:cnfStyle w:evenHBand="false" w:oddHBand="true" w:firstRow="false"/>
        </w:trPr>
        <w:tc>
          <w:tcPr>
            <w:cnfStyle w:evenVBand="false" w:oddVBand="true" w:firstColumn="false"/>
            <w:tcW w:w="25.000000%" w:type="pct"/>
          </w:tcPr>
          <w:p>
            <w:pPr>
              <w:ind w:leftChars="0" w:left="0" w:right="0"/>
            </w:pPr>
            <w:r>
              <w:t>PIPR</w:t>
            </w:r>
          </w:p>
        </w:tc>
        <w:tc>
          <w:tcPr>
            <w:cnfStyle w:evenVBand="true" w:oddVBand="false" w:firstColumn="false"/>
            <w:tcW w:w="25.000000%" w:type="pct"/>
          </w:tcPr>
          <w:p>
            <w:pPr>
              <w:ind w:leftChars="0" w:left="0" w:right="0"/>
            </w:pPr>
            <w:r>
              <w:t>PIPR</w:t>
            </w:r>
          </w:p>
        </w:tc>
        <w:tc>
          <w:tcPr>
            <w:cnfStyle w:evenVBand="false" w:oddVBand="true" w:firstColumn="false"/>
            <w:tcW w:w="25.000000%" w:type="pct"/>
          </w:tcPr>
          <w:p>
            <w:pPr>
              <w:ind w:leftChars="0" w:left="0" w:right="0"/>
            </w:pPr>
            <w:r>
              <w:t>PIPER SANDLER AND CO.</w:t>
            </w:r>
          </w:p>
        </w:tc>
        <w:tc>
          <w:tcPr>
            <w:cnfStyle w:evenVBand="true" w:oddVBand="false" w:firstColumn="false"/>
            <w:tcW w:w="25.000000%" w:type="pct"/>
          </w:tcPr>
          <w:p>
            <w:pPr>
              <w:ind w:leftChars="0" w:left="0" w:right="0"/>
            </w:pPr>
            <w:r>
              <w:t>1440</w:t>
            </w:r>
          </w:p>
        </w:tc>
      </w:tr>
      <w:tr>
        <w:trPr>
          <w:cnfStyle w:evenHBand="true" w:oddHBand="false" w:firstRow="false"/>
        </w:trPr>
        <w:tc>
          <w:tcPr>
            <w:cnfStyle w:evenVBand="false" w:oddVBand="true" w:firstColumn="false"/>
            <w:tcW w:w="25.000000%" w:type="pct"/>
          </w:tcPr>
          <w:p>
            <w:pPr>
              <w:ind w:leftChars="0" w:left="0" w:right="0"/>
            </w:pPr>
            <w:r>
              <w:t>PIRM</w:t>
            </w:r>
          </w:p>
        </w:tc>
        <w:tc>
          <w:tcPr>
            <w:cnfStyle w:evenVBand="true" w:oddVBand="false" w:firstColumn="false"/>
            <w:tcW w:w="25.000000%" w:type="pct"/>
          </w:tcPr>
          <w:p>
            <w:pPr>
              <w:ind w:leftChars="0" w:left="0" w:right="0"/>
            </w:pPr>
            <w:r>
              <w:t>PIRM</w:t>
            </w:r>
          </w:p>
        </w:tc>
        <w:tc>
          <w:tcPr>
            <w:cnfStyle w:evenVBand="false" w:oddVBand="true" w:firstColumn="false"/>
            <w:tcW w:w="25.000000%" w:type="pct"/>
          </w:tcPr>
          <w:p>
            <w:pPr>
              <w:ind w:leftChars="0" w:left="0" w:right="0"/>
            </w:pPr>
            <w:r>
              <w:t>PIRUM</w:t>
            </w:r>
          </w:p>
        </w:tc>
        <w:tc>
          <w:tcPr>
            <w:cnfStyle w:evenVBand="true" w:oddVBand="false" w:firstColumn="false"/>
            <w:tcW w:w="25.000000%" w:type="pct"/>
          </w:tcPr>
          <w:p>
            <w:pPr>
              <w:ind w:leftChars="0" w:left="0" w:right="0"/>
            </w:pPr>
            <w:r>
              <w:t>1441</w:t>
            </w:r>
          </w:p>
        </w:tc>
      </w:tr>
      <w:tr>
        <w:trPr>
          <w:cnfStyle w:evenHBand="false" w:oddHBand="true" w:firstRow="false"/>
        </w:trPr>
        <w:tc>
          <w:tcPr>
            <w:cnfStyle w:evenVBand="false" w:oddVBand="true" w:firstColumn="false"/>
            <w:tcW w:w="25.000000%" w:type="pct"/>
          </w:tcPr>
          <w:p>
            <w:pPr>
              <w:ind w:leftChars="0" w:left="0" w:right="0"/>
            </w:pPr>
            <w:r>
              <w:t>PJCX</w:t>
            </w:r>
          </w:p>
        </w:tc>
        <w:tc>
          <w:tcPr>
            <w:cnfStyle w:evenVBand="true" w:oddVBand="false" w:firstColumn="false"/>
            <w:tcW w:w="25.000000%" w:type="pct"/>
          </w:tcPr>
          <w:p>
            <w:pPr>
              <w:ind w:leftChars="0" w:left="0" w:right="0"/>
            </w:pPr>
            <w:r>
              <w:t>PJCX</w:t>
            </w:r>
          </w:p>
        </w:tc>
        <w:tc>
          <w:tcPr>
            <w:cnfStyle w:evenVBand="false" w:oddVBand="true" w:firstColumn="false"/>
            <w:tcW w:w="25.000000%" w:type="pct"/>
          </w:tcPr>
          <w:p>
            <w:pPr>
              <w:ind w:leftChars="0" w:left="0" w:right="0"/>
            </w:pPr>
            <w:r>
              <w:t>PIPER SANDLER AND CO. - ATS</w:t>
            </w:r>
          </w:p>
        </w:tc>
        <w:tc>
          <w:tcPr>
            <w:cnfStyle w:evenVBand="true" w:oddVBand="false" w:firstColumn="false"/>
            <w:tcW w:w="25.000000%" w:type="pct"/>
          </w:tcPr>
          <w:p>
            <w:pPr>
              <w:ind w:leftChars="0" w:left="0" w:right="0"/>
            </w:pPr>
            <w:r>
              <w:t>1442</w:t>
            </w:r>
          </w:p>
        </w:tc>
      </w:tr>
      <w:tr>
        <w:trPr>
          <w:cnfStyle w:evenHBand="true" w:oddHBand="false" w:firstRow="false"/>
        </w:trPr>
        <w:tc>
          <w:tcPr>
            <w:cnfStyle w:evenVBand="false" w:oddVBand="true" w:firstColumn="false"/>
            <w:tcW w:w="25.000000%" w:type="pct"/>
          </w:tcPr>
          <w:p>
            <w:pPr>
              <w:ind w:leftChars="0" w:left="0" w:right="0"/>
            </w:pPr>
            <w:r>
              <w:t>PKOP</w:t>
            </w:r>
          </w:p>
        </w:tc>
        <w:tc>
          <w:tcPr>
            <w:cnfStyle w:evenVBand="true" w:oddVBand="false" w:firstColumn="false"/>
            <w:tcW w:w="25.000000%" w:type="pct"/>
          </w:tcPr>
          <w:p>
            <w:pPr>
              <w:ind w:leftChars="0" w:left="0" w:right="0"/>
            </w:pPr>
            <w:r>
              <w:t>PKOP</w:t>
            </w:r>
          </w:p>
        </w:tc>
        <w:tc>
          <w:tcPr>
            <w:cnfStyle w:evenVBand="false" w:oddVBand="true" w:firstColumn="false"/>
            <w:tcW w:w="25.000000%" w:type="pct"/>
          </w:tcPr>
          <w:p>
            <w:pPr>
              <w:ind w:leftChars="0" w:left="0" w:right="0"/>
            </w:pPr>
            <w:r>
              <w:t>BANK POLSKA KASA OPIEKI S.A. - SYSTEMATIC INTERNALISER</w:t>
            </w:r>
          </w:p>
        </w:tc>
        <w:tc>
          <w:tcPr>
            <w:cnfStyle w:evenVBand="true" w:oddVBand="false" w:firstColumn="false"/>
            <w:tcW w:w="25.000000%" w:type="pct"/>
          </w:tcPr>
          <w:p>
            <w:pPr>
              <w:ind w:leftChars="0" w:left="0" w:right="0"/>
            </w:pPr>
            <w:r>
              <w:t>1443</w:t>
            </w:r>
          </w:p>
        </w:tc>
      </w:tr>
      <w:tr>
        <w:trPr>
          <w:cnfStyle w:evenHBand="false" w:oddHBand="true" w:firstRow="false"/>
        </w:trPr>
        <w:tc>
          <w:tcPr>
            <w:cnfStyle w:evenVBand="false" w:oddVBand="true" w:firstColumn="false"/>
            <w:tcW w:w="25.000000%" w:type="pct"/>
          </w:tcPr>
          <w:p>
            <w:pPr>
              <w:ind w:leftChars="0" w:left="0" w:right="0"/>
            </w:pPr>
            <w:r>
              <w:t>PLDX</w:t>
            </w:r>
          </w:p>
        </w:tc>
        <w:tc>
          <w:tcPr>
            <w:cnfStyle w:evenVBand="true" w:oddVBand="false" w:firstColumn="false"/>
            <w:tcW w:w="25.000000%" w:type="pct"/>
          </w:tcPr>
          <w:p>
            <w:pPr>
              <w:ind w:leftChars="0" w:left="0" w:right="0"/>
            </w:pPr>
            <w:r>
              <w:t>PLDX</w:t>
            </w:r>
          </w:p>
        </w:tc>
        <w:tc>
          <w:tcPr>
            <w:cnfStyle w:evenVBand="false" w:oddVBand="true" w:firstColumn="false"/>
            <w:tcW w:w="25.000000%" w:type="pct"/>
          </w:tcPr>
          <w:p>
            <w:pPr>
              <w:ind w:leftChars="0" w:left="0" w:right="0"/>
            </w:pPr>
            <w:r>
              <w:t>PLUS DERIVATIVES EXCHANGE</w:t>
            </w:r>
          </w:p>
        </w:tc>
        <w:tc>
          <w:tcPr>
            <w:cnfStyle w:evenVBand="true" w:oddVBand="false" w:firstColumn="false"/>
            <w:tcW w:w="25.000000%" w:type="pct"/>
          </w:tcPr>
          <w:p>
            <w:pPr>
              <w:ind w:leftChars="0" w:left="0" w:right="0"/>
            </w:pPr>
            <w:r>
              <w:t>1444</w:t>
            </w:r>
          </w:p>
        </w:tc>
      </w:tr>
      <w:tr>
        <w:trPr>
          <w:cnfStyle w:evenHBand="true" w:oddHBand="false" w:firstRow="false"/>
        </w:trPr>
        <w:tc>
          <w:tcPr>
            <w:cnfStyle w:evenVBand="false" w:oddVBand="true" w:firstColumn="false"/>
            <w:tcW w:w="25.000000%" w:type="pct"/>
          </w:tcPr>
          <w:p>
            <w:pPr>
              <w:ind w:leftChars="0" w:left="0" w:right="0"/>
            </w:pPr>
            <w:r>
              <w:t>PLPD</w:t>
            </w:r>
          </w:p>
        </w:tc>
        <w:tc>
          <w:tcPr>
            <w:cnfStyle w:evenVBand="true" w:oddVBand="false" w:firstColumn="false"/>
            <w:tcW w:w="25.000000%" w:type="pct"/>
          </w:tcPr>
          <w:p>
            <w:pPr>
              <w:ind w:leftChars="0" w:left="0" w:right="0"/>
            </w:pPr>
            <w:r>
              <w:t>PLPD</w:t>
            </w:r>
          </w:p>
        </w:tc>
        <w:tc>
          <w:tcPr>
            <w:cnfStyle w:evenVBand="false" w:oddVBand="true" w:firstColumn="false"/>
            <w:tcW w:w="25.000000%" w:type="pct"/>
          </w:tcPr>
          <w:p>
            <w:pPr>
              <w:ind w:leftChars="0" w:left="0" w:right="0"/>
            </w:pPr>
            <w:r>
              <w:t>WARSAW STOCK EXCHANGE/POLISH POWER EXCHANGE/REGULATED MARKET</w:t>
            </w:r>
          </w:p>
        </w:tc>
        <w:tc>
          <w:tcPr>
            <w:cnfStyle w:evenVBand="true" w:oddVBand="false" w:firstColumn="false"/>
            <w:tcW w:w="25.000000%" w:type="pct"/>
          </w:tcPr>
          <w:p>
            <w:pPr>
              <w:ind w:leftChars="0" w:left="0" w:right="0"/>
            </w:pPr>
            <w:r>
              <w:t>1445</w:t>
            </w:r>
          </w:p>
        </w:tc>
      </w:tr>
      <w:tr>
        <w:trPr>
          <w:cnfStyle w:evenHBand="false" w:oddHBand="true" w:firstRow="false"/>
        </w:trPr>
        <w:tc>
          <w:tcPr>
            <w:cnfStyle w:evenVBand="false" w:oddVBand="true" w:firstColumn="false"/>
            <w:tcW w:w="25.000000%" w:type="pct"/>
          </w:tcPr>
          <w:p>
            <w:pPr>
              <w:ind w:leftChars="0" w:left="0" w:right="0"/>
            </w:pPr>
            <w:r>
              <w:t>PLPO</w:t>
            </w:r>
          </w:p>
        </w:tc>
        <w:tc>
          <w:tcPr>
            <w:cnfStyle w:evenVBand="true" w:oddVBand="false" w:firstColumn="false"/>
            <w:tcW w:w="25.000000%" w:type="pct"/>
          </w:tcPr>
          <w:p>
            <w:pPr>
              <w:ind w:leftChars="0" w:left="0" w:right="0"/>
            </w:pPr>
            <w:r>
              <w:t>PLPO</w:t>
            </w:r>
          </w:p>
        </w:tc>
        <w:tc>
          <w:tcPr>
            <w:cnfStyle w:evenVBand="false" w:oddVBand="true" w:firstColumn="false"/>
            <w:tcW w:w="25.000000%" w:type="pct"/>
          </w:tcPr>
          <w:p>
            <w:pPr>
              <w:ind w:leftChars="0" w:left="0" w:right="0"/>
            </w:pPr>
            <w:r>
              <w:t>WARSAW STOCK EXCHANGE/COMMODITIES/POLISH POWER - EXCHANGE/ORGANIZED TRADING FACILITIES</w:t>
            </w:r>
          </w:p>
        </w:tc>
        <w:tc>
          <w:tcPr>
            <w:cnfStyle w:evenVBand="true" w:oddVBand="false" w:firstColumn="false"/>
            <w:tcW w:w="25.000000%" w:type="pct"/>
          </w:tcPr>
          <w:p>
            <w:pPr>
              <w:ind w:leftChars="0" w:left="0" w:right="0"/>
            </w:pPr>
            <w:r>
              <w:t>1446</w:t>
            </w:r>
          </w:p>
        </w:tc>
      </w:tr>
      <w:tr>
        <w:trPr>
          <w:cnfStyle w:evenHBand="true" w:oddHBand="false" w:firstRow="false"/>
        </w:trPr>
        <w:tc>
          <w:tcPr>
            <w:cnfStyle w:evenVBand="false" w:oddVBand="true" w:firstColumn="false"/>
            <w:tcW w:w="25.000000%" w:type="pct"/>
          </w:tcPr>
          <w:p>
            <w:pPr>
              <w:ind w:leftChars="0" w:left="0" w:right="0"/>
            </w:pPr>
            <w:r>
              <w:t>PLPS</w:t>
            </w:r>
          </w:p>
        </w:tc>
        <w:tc>
          <w:tcPr>
            <w:cnfStyle w:evenVBand="true" w:oddVBand="false" w:firstColumn="false"/>
            <w:tcW w:w="25.000000%" w:type="pct"/>
          </w:tcPr>
          <w:p>
            <w:pPr>
              <w:ind w:leftChars="0" w:left="0" w:right="0"/>
            </w:pPr>
            <w:r>
              <w:t>PLPS</w:t>
            </w:r>
          </w:p>
        </w:tc>
        <w:tc>
          <w:tcPr>
            <w:cnfStyle w:evenVBand="false" w:oddVBand="true" w:firstColumn="false"/>
            <w:tcW w:w="25.000000%" w:type="pct"/>
          </w:tcPr>
          <w:p>
            <w:pPr>
              <w:ind w:leftChars="0" w:left="0" w:right="0"/>
            </w:pPr>
            <w:r>
              <w:t>WARSAW STOCK EXCHANGE/COMMODITIES/POLISH POWER EXCHANGE/SPOT</w:t>
            </w:r>
          </w:p>
        </w:tc>
        <w:tc>
          <w:tcPr>
            <w:cnfStyle w:evenVBand="true" w:oddVBand="false" w:firstColumn="false"/>
            <w:tcW w:w="25.000000%" w:type="pct"/>
          </w:tcPr>
          <w:p>
            <w:pPr>
              <w:ind w:leftChars="0" w:left="0" w:right="0"/>
            </w:pPr>
            <w:r>
              <w:t>1447</w:t>
            </w:r>
          </w:p>
        </w:tc>
      </w:tr>
      <w:tr>
        <w:trPr>
          <w:cnfStyle w:evenHBand="false" w:oddHBand="true" w:firstRow="false"/>
        </w:trPr>
        <w:tc>
          <w:tcPr>
            <w:cnfStyle w:evenVBand="false" w:oddVBand="true" w:firstColumn="false"/>
            <w:tcW w:w="25.000000%" w:type="pct"/>
          </w:tcPr>
          <w:p>
            <w:pPr>
              <w:ind w:leftChars="0" w:left="0" w:right="0"/>
            </w:pPr>
            <w:r>
              <w:t>PLPX</w:t>
            </w:r>
          </w:p>
        </w:tc>
        <w:tc>
          <w:tcPr>
            <w:cnfStyle w:evenVBand="true" w:oddVBand="false" w:firstColumn="false"/>
            <w:tcW w:w="25.000000%" w:type="pct"/>
          </w:tcPr>
          <w:p>
            <w:pPr>
              <w:ind w:leftChars="0" w:left="0" w:right="0"/>
            </w:pPr>
            <w:r>
              <w:t>PLPX</w:t>
            </w:r>
          </w:p>
        </w:tc>
        <w:tc>
          <w:tcPr>
            <w:cnfStyle w:evenVBand="false" w:oddVBand="true" w:firstColumn="false"/>
            <w:tcW w:w="25.000000%" w:type="pct"/>
          </w:tcPr>
          <w:p>
            <w:pPr>
              <w:ind w:leftChars="0" w:left="0" w:right="0"/>
            </w:pPr>
            <w:r>
              <w:t>WARSAW STOCK EXCHANGE/COMMODITIES/POLISH POWER EXCHANGE/ENERGY MARKET</w:t>
            </w:r>
          </w:p>
        </w:tc>
        <w:tc>
          <w:tcPr>
            <w:cnfStyle w:evenVBand="true" w:oddVBand="false" w:firstColumn="false"/>
            <w:tcW w:w="25.000000%" w:type="pct"/>
          </w:tcPr>
          <w:p>
            <w:pPr>
              <w:ind w:leftChars="0" w:left="0" w:right="0"/>
            </w:pPr>
            <w:r>
              <w:t>1448</w:t>
            </w:r>
          </w:p>
        </w:tc>
      </w:tr>
      <w:tr>
        <w:trPr>
          <w:cnfStyle w:evenHBand="true" w:oddHBand="false" w:firstRow="false"/>
        </w:trPr>
        <w:tc>
          <w:tcPr>
            <w:cnfStyle w:evenVBand="false" w:oddVBand="true" w:firstColumn="false"/>
            <w:tcW w:w="25.000000%" w:type="pct"/>
          </w:tcPr>
          <w:p>
            <w:pPr>
              <w:ind w:leftChars="0" w:left="0" w:right="0"/>
            </w:pPr>
            <w:r>
              <w:t>PLSX</w:t>
            </w:r>
          </w:p>
        </w:tc>
        <w:tc>
          <w:tcPr>
            <w:cnfStyle w:evenVBand="true" w:oddVBand="false" w:firstColumn="false"/>
            <w:tcW w:w="25.000000%" w:type="pct"/>
          </w:tcPr>
          <w:p>
            <w:pPr>
              <w:ind w:leftChars="0" w:left="0" w:right="0"/>
            </w:pPr>
            <w:r>
              <w:t>PLSX</w:t>
            </w:r>
          </w:p>
        </w:tc>
        <w:tc>
          <w:tcPr>
            <w:cnfStyle w:evenVBand="false" w:oddVBand="true" w:firstColumn="false"/>
            <w:tcW w:w="25.000000%" w:type="pct"/>
          </w:tcPr>
          <w:p>
            <w:pPr>
              <w:ind w:leftChars="0" w:left="0" w:right="0"/>
            </w:pPr>
            <w:r>
              <w:t>PLUS STOCK EXCHANGE</w:t>
            </w:r>
          </w:p>
        </w:tc>
        <w:tc>
          <w:tcPr>
            <w:cnfStyle w:evenVBand="true" w:oddVBand="false" w:firstColumn="false"/>
            <w:tcW w:w="25.000000%" w:type="pct"/>
          </w:tcPr>
          <w:p>
            <w:pPr>
              <w:ind w:leftChars="0" w:left="0" w:right="0"/>
            </w:pPr>
            <w:r>
              <w:t>1449</w:t>
            </w:r>
          </w:p>
        </w:tc>
      </w:tr>
      <w:tr>
        <w:trPr>
          <w:cnfStyle w:evenHBand="false" w:oddHBand="true" w:firstRow="false"/>
        </w:trPr>
        <w:tc>
          <w:tcPr>
            <w:cnfStyle w:evenVBand="false" w:oddVBand="true" w:firstColumn="false"/>
            <w:tcW w:w="25.000000%" w:type="pct"/>
          </w:tcPr>
          <w:p>
            <w:pPr>
              <w:ind w:leftChars="0" w:left="0" w:right="0"/>
            </w:pPr>
            <w:r>
              <w:t>PLUS</w:t>
            </w:r>
          </w:p>
        </w:tc>
        <w:tc>
          <w:tcPr>
            <w:cnfStyle w:evenVBand="true" w:oddVBand="false" w:firstColumn="false"/>
            <w:tcW w:w="25.000000%" w:type="pct"/>
          </w:tcPr>
          <w:p>
            <w:pPr>
              <w:ind w:leftChars="0" w:left="0" w:right="0"/>
            </w:pPr>
            <w:r>
              <w:t>PLUS</w:t>
            </w:r>
          </w:p>
        </w:tc>
        <w:tc>
          <w:tcPr>
            <w:cnfStyle w:evenVBand="false" w:oddVBand="true" w:firstColumn="false"/>
            <w:tcW w:w="25.000000%" w:type="pct"/>
          </w:tcPr>
          <w:p>
            <w:pPr>
              <w:ind w:leftChars="0" w:left="0" w:right="0"/>
            </w:pPr>
            <w:r>
              <w:t>BOERSE MUENCHEN - FREIVERKHER - PLUS - EUROPE</w:t>
            </w:r>
          </w:p>
        </w:tc>
        <w:tc>
          <w:tcPr>
            <w:cnfStyle w:evenVBand="true" w:oddVBand="false" w:firstColumn="false"/>
            <w:tcW w:w="25.000000%" w:type="pct"/>
          </w:tcPr>
          <w:p>
            <w:pPr>
              <w:ind w:leftChars="0" w:left="0" w:right="0"/>
            </w:pPr>
            <w:r>
              <w:t>1450</w:t>
            </w:r>
          </w:p>
        </w:tc>
      </w:tr>
      <w:tr>
        <w:trPr>
          <w:cnfStyle w:evenHBand="true" w:oddHBand="false" w:firstRow="false"/>
        </w:trPr>
        <w:tc>
          <w:tcPr>
            <w:cnfStyle w:evenVBand="false" w:oddVBand="true" w:firstColumn="false"/>
            <w:tcW w:w="25.000000%" w:type="pct"/>
          </w:tcPr>
          <w:p>
            <w:pPr>
              <w:ind w:leftChars="0" w:left="0" w:right="0"/>
            </w:pPr>
            <w:r>
              <w:t>PMTS</w:t>
            </w:r>
          </w:p>
        </w:tc>
        <w:tc>
          <w:tcPr>
            <w:cnfStyle w:evenVBand="true" w:oddVBand="false" w:firstColumn="false"/>
            <w:tcW w:w="25.000000%" w:type="pct"/>
          </w:tcPr>
          <w:p>
            <w:pPr>
              <w:ind w:leftChars="0" w:left="0" w:right="0"/>
            </w:pPr>
            <w:r>
              <w:t>PMTS</w:t>
            </w:r>
          </w:p>
        </w:tc>
        <w:tc>
          <w:tcPr>
            <w:cnfStyle w:evenVBand="false" w:oddVBand="true" w:firstColumn="false"/>
            <w:tcW w:w="25.000000%" w:type="pct"/>
          </w:tcPr>
          <w:p>
            <w:pPr>
              <w:ind w:leftChars="0" w:left="0" w:right="0"/>
            </w:pPr>
            <w:r>
              <w:t>MTS PORTUGAL SGMR, SA</w:t>
            </w:r>
          </w:p>
        </w:tc>
        <w:tc>
          <w:tcPr>
            <w:cnfStyle w:evenVBand="true" w:oddVBand="false" w:firstColumn="false"/>
            <w:tcW w:w="25.000000%" w:type="pct"/>
          </w:tcPr>
          <w:p>
            <w:pPr>
              <w:ind w:leftChars="0" w:left="0" w:right="0"/>
            </w:pPr>
            <w:r>
              <w:t>1451</w:t>
            </w:r>
          </w:p>
        </w:tc>
      </w:tr>
      <w:tr>
        <w:trPr>
          <w:cnfStyle w:evenHBand="false" w:oddHBand="true" w:firstRow="false"/>
        </w:trPr>
        <w:tc>
          <w:tcPr>
            <w:cnfStyle w:evenVBand="false" w:oddVBand="true" w:firstColumn="false"/>
            <w:tcW w:w="25.000000%" w:type="pct"/>
          </w:tcPr>
          <w:p>
            <w:pPr>
              <w:ind w:leftChars="0" w:left="0" w:right="0"/>
            </w:pPr>
            <w:r>
              <w:t>PNED</w:t>
            </w:r>
          </w:p>
        </w:tc>
        <w:tc>
          <w:tcPr>
            <w:cnfStyle w:evenVBand="true" w:oddVBand="false" w:firstColumn="false"/>
            <w:tcW w:w="25.000000%" w:type="pct"/>
          </w:tcPr>
          <w:p>
            <w:pPr>
              <w:ind w:leftChars="0" w:left="0" w:right="0"/>
            </w:pPr>
            <w:r>
              <w:t>PNED</w:t>
            </w:r>
          </w:p>
        </w:tc>
        <w:tc>
          <w:tcPr>
            <w:cnfStyle w:evenVBand="false" w:oddVBand="true" w:firstColumn="false"/>
            <w:tcW w:w="25.000000%" w:type="pct"/>
          </w:tcPr>
          <w:p>
            <w:pPr>
              <w:ind w:leftChars="0" w:left="0" w:right="0"/>
            </w:pPr>
            <w:r>
              <w:t>NASDAQ STOCKHOLM AB - PAN-NORDIC EQ DERIVATIVES</w:t>
            </w:r>
          </w:p>
        </w:tc>
        <w:tc>
          <w:tcPr>
            <w:cnfStyle w:evenVBand="true" w:oddVBand="false" w:firstColumn="false"/>
            <w:tcW w:w="25.000000%" w:type="pct"/>
          </w:tcPr>
          <w:p>
            <w:pPr>
              <w:ind w:leftChars="0" w:left="0" w:right="0"/>
            </w:pPr>
            <w:r>
              <w:t>1452</w:t>
            </w:r>
          </w:p>
        </w:tc>
      </w:tr>
      <w:tr>
        <w:trPr>
          <w:cnfStyle w:evenHBand="true" w:oddHBand="false" w:firstRow="false"/>
        </w:trPr>
        <w:tc>
          <w:tcPr>
            <w:cnfStyle w:evenVBand="false" w:oddVBand="true" w:firstColumn="false"/>
            <w:tcW w:w="25.000000%" w:type="pct"/>
          </w:tcPr>
          <w:p>
            <w:pPr>
              <w:ind w:leftChars="0" w:left="0" w:right="0"/>
            </w:pPr>
            <w:r>
              <w:t>POEE</w:t>
            </w:r>
          </w:p>
        </w:tc>
        <w:tc>
          <w:tcPr>
            <w:cnfStyle w:evenVBand="true" w:oddVBand="false" w:firstColumn="false"/>
            <w:tcW w:w="25.000000%" w:type="pct"/>
          </w:tcPr>
          <w:p>
            <w:pPr>
              <w:ind w:leftChars="0" w:left="0" w:right="0"/>
            </w:pPr>
            <w:r>
              <w:t>POEE</w:t>
            </w:r>
          </w:p>
        </w:tc>
        <w:tc>
          <w:tcPr>
            <w:cnfStyle w:evenVBand="false" w:oddVBand="true" w:firstColumn="false"/>
            <w:tcW w:w="25.000000%" w:type="pct"/>
          </w:tcPr>
          <w:p>
            <w:pPr>
              <w:ind w:leftChars="0" w:left="0" w:right="0"/>
            </w:pPr>
            <w:r>
              <w:t>WARSAW STOCK EXCHANGE/ENERGY MARKET/POEE</w:t>
            </w:r>
          </w:p>
        </w:tc>
        <w:tc>
          <w:tcPr>
            <w:cnfStyle w:evenVBand="true" w:oddVBand="false" w:firstColumn="false"/>
            <w:tcW w:w="25.000000%" w:type="pct"/>
          </w:tcPr>
          <w:p>
            <w:pPr>
              <w:ind w:leftChars="0" w:left="0" w:right="0"/>
            </w:pPr>
            <w:r>
              <w:t>1453</w:t>
            </w:r>
          </w:p>
        </w:tc>
      </w:tr>
      <w:tr>
        <w:trPr>
          <w:cnfStyle w:evenHBand="false" w:oddHBand="true" w:firstRow="false"/>
        </w:trPr>
        <w:tc>
          <w:tcPr>
            <w:cnfStyle w:evenVBand="false" w:oddVBand="true" w:firstColumn="false"/>
            <w:tcW w:w="25.000000%" w:type="pct"/>
          </w:tcPr>
          <w:p>
            <w:pPr>
              <w:ind w:leftChars="0" w:left="0" w:right="0"/>
            </w:pPr>
            <w:r>
              <w:t>PORT</w:t>
            </w:r>
          </w:p>
        </w:tc>
        <w:tc>
          <w:tcPr>
            <w:cnfStyle w:evenVBand="true" w:oddVBand="false" w:firstColumn="false"/>
            <w:tcW w:w="25.000000%" w:type="pct"/>
          </w:tcPr>
          <w:p>
            <w:pPr>
              <w:ind w:leftChars="0" w:left="0" w:right="0"/>
            </w:pPr>
            <w:r>
              <w:t>PORT</w:t>
            </w:r>
          </w:p>
        </w:tc>
        <w:tc>
          <w:tcPr>
            <w:cnfStyle w:evenVBand="false" w:oddVBand="true" w:firstColumn="false"/>
            <w:tcW w:w="25.000000%" w:type="pct"/>
          </w:tcPr>
          <w:p>
            <w:pPr>
              <w:ind w:leftChars="0" w:left="0" w:right="0"/>
            </w:pPr>
            <w:r>
              <w:t>MTS PORTUGAL</w:t>
            </w:r>
          </w:p>
        </w:tc>
        <w:tc>
          <w:tcPr>
            <w:cnfStyle w:evenVBand="true" w:oddVBand="false" w:firstColumn="false"/>
            <w:tcW w:w="25.000000%" w:type="pct"/>
          </w:tcPr>
          <w:p>
            <w:pPr>
              <w:ind w:leftChars="0" w:left="0" w:right="0"/>
            </w:pPr>
            <w:r>
              <w:t>1454</w:t>
            </w:r>
          </w:p>
        </w:tc>
      </w:tr>
      <w:tr>
        <w:trPr>
          <w:cnfStyle w:evenHBand="true" w:oddHBand="false" w:firstRow="false"/>
        </w:trPr>
        <w:tc>
          <w:tcPr>
            <w:cnfStyle w:evenVBand="false" w:oddVBand="true" w:firstColumn="false"/>
            <w:tcW w:w="25.000000%" w:type="pct"/>
          </w:tcPr>
          <w:p>
            <w:pPr>
              <w:ind w:leftChars="0" w:left="0" w:right="0"/>
            </w:pPr>
            <w:r>
              <w:t>POSE</w:t>
            </w:r>
          </w:p>
        </w:tc>
        <w:tc>
          <w:tcPr>
            <w:cnfStyle w:evenVBand="true" w:oddVBand="false" w:firstColumn="false"/>
            <w:tcW w:w="25.000000%" w:type="pct"/>
          </w:tcPr>
          <w:p>
            <w:pPr>
              <w:ind w:leftChars="0" w:left="0" w:right="0"/>
            </w:pPr>
            <w:r>
              <w:t>POSE</w:t>
            </w:r>
          </w:p>
        </w:tc>
        <w:tc>
          <w:tcPr>
            <w:cnfStyle w:evenVBand="false" w:oddVBand="true" w:firstColumn="false"/>
            <w:tcW w:w="25.000000%" w:type="pct"/>
          </w:tcPr>
          <w:p>
            <w:pPr>
              <w:ind w:leftChars="0" w:left="0" w:right="0"/>
            </w:pPr>
            <w:r>
              <w:t>PORTFOLIO STOCK EXCHANGE</w:t>
            </w:r>
          </w:p>
        </w:tc>
        <w:tc>
          <w:tcPr>
            <w:cnfStyle w:evenVBand="true" w:oddVBand="false" w:firstColumn="false"/>
            <w:tcW w:w="25.000000%" w:type="pct"/>
          </w:tcPr>
          <w:p>
            <w:pPr>
              <w:ind w:leftChars="0" w:left="0" w:right="0"/>
            </w:pPr>
            <w:r>
              <w:t>1455</w:t>
            </w:r>
          </w:p>
        </w:tc>
      </w:tr>
      <w:tr>
        <w:trPr>
          <w:cnfStyle w:evenHBand="false" w:oddHBand="true" w:firstRow="false"/>
        </w:trPr>
        <w:tc>
          <w:tcPr>
            <w:cnfStyle w:evenVBand="false" w:oddVBand="true" w:firstColumn="false"/>
            <w:tcW w:w="25.000000%" w:type="pct"/>
          </w:tcPr>
          <w:p>
            <w:pPr>
              <w:ind w:leftChars="0" w:left="0" w:right="0"/>
            </w:pPr>
            <w:r>
              <w:t>POTC</w:t>
            </w:r>
          </w:p>
        </w:tc>
        <w:tc>
          <w:tcPr>
            <w:cnfStyle w:evenVBand="true" w:oddVBand="false" w:firstColumn="false"/>
            <w:tcW w:w="25.000000%" w:type="pct"/>
          </w:tcPr>
          <w:p>
            <w:pPr>
              <w:ind w:leftChars="0" w:left="0" w:right="0"/>
            </w:pPr>
            <w:r>
              <w:t>POTC</w:t>
            </w:r>
          </w:p>
        </w:tc>
        <w:tc>
          <w:tcPr>
            <w:cnfStyle w:evenVBand="false" w:oddVBand="true" w:firstColumn="false"/>
            <w:tcW w:w="25.000000%" w:type="pct"/>
          </w:tcPr>
          <w:p>
            <w:pPr>
              <w:ind w:leftChars="0" w:left="0" w:right="0"/>
            </w:pPr>
            <w:r>
              <w:t>PACIFIC OTC</w:t>
            </w:r>
          </w:p>
        </w:tc>
        <w:tc>
          <w:tcPr>
            <w:cnfStyle w:evenVBand="true" w:oddVBand="false" w:firstColumn="false"/>
            <w:tcW w:w="25.000000%" w:type="pct"/>
          </w:tcPr>
          <w:p>
            <w:pPr>
              <w:ind w:leftChars="0" w:left="0" w:right="0"/>
            </w:pPr>
            <w:r>
              <w:t>1456</w:t>
            </w:r>
          </w:p>
        </w:tc>
      </w:tr>
      <w:tr>
        <w:trPr>
          <w:cnfStyle w:evenHBand="true" w:oddHBand="false" w:firstRow="false"/>
        </w:trPr>
        <w:tc>
          <w:tcPr>
            <w:cnfStyle w:evenVBand="false" w:oddVBand="true" w:firstColumn="false"/>
            <w:tcW w:w="25.000000%" w:type="pct"/>
          </w:tcPr>
          <w:p>
            <w:pPr>
              <w:ind w:leftChars="0" w:left="0" w:right="0"/>
            </w:pPr>
            <w:r>
              <w:t>PPEX</w:t>
            </w:r>
          </w:p>
        </w:tc>
        <w:tc>
          <w:tcPr>
            <w:cnfStyle w:evenVBand="true" w:oddVBand="false" w:firstColumn="false"/>
            <w:tcW w:w="25.000000%" w:type="pct"/>
          </w:tcPr>
          <w:p>
            <w:pPr>
              <w:ind w:leftChars="0" w:left="0" w:right="0"/>
            </w:pPr>
            <w:r>
              <w:t>PPEX</w:t>
            </w:r>
          </w:p>
        </w:tc>
        <w:tc>
          <w:tcPr>
            <w:cnfStyle w:evenVBand="false" w:oddVBand="true" w:firstColumn="false"/>
            <w:tcW w:w="25.000000%" w:type="pct"/>
          </w:tcPr>
          <w:p>
            <w:pPr>
              <w:ind w:leftChars="0" w:left="0" w:right="0"/>
            </w:pPr>
            <w:r>
              <w:t>PROPERTY PARTNER EXCHANGE</w:t>
            </w:r>
          </w:p>
        </w:tc>
        <w:tc>
          <w:tcPr>
            <w:cnfStyle w:evenVBand="true" w:oddVBand="false" w:firstColumn="false"/>
            <w:tcW w:w="25.000000%" w:type="pct"/>
          </w:tcPr>
          <w:p>
            <w:pPr>
              <w:ind w:leftChars="0" w:left="0" w:right="0"/>
            </w:pPr>
            <w:r>
              <w:t>1457</w:t>
            </w:r>
          </w:p>
        </w:tc>
      </w:tr>
      <w:tr>
        <w:trPr>
          <w:cnfStyle w:evenHBand="false" w:oddHBand="true" w:firstRow="false"/>
        </w:trPr>
        <w:tc>
          <w:tcPr>
            <w:cnfStyle w:evenVBand="false" w:oddVBand="true" w:firstColumn="false"/>
            <w:tcW w:w="25.000000%" w:type="pct"/>
          </w:tcPr>
          <w:p>
            <w:pPr>
              <w:ind w:leftChars="0" w:left="0" w:right="0"/>
            </w:pPr>
            <w:r>
              <w:t>PRME</w:t>
            </w:r>
          </w:p>
        </w:tc>
        <w:tc>
          <w:tcPr>
            <w:cnfStyle w:evenVBand="true" w:oddVBand="false" w:firstColumn="false"/>
            <w:tcW w:w="25.000000%" w:type="pct"/>
          </w:tcPr>
          <w:p>
            <w:pPr>
              <w:ind w:leftChars="0" w:left="0" w:right="0"/>
            </w:pPr>
            <w:r>
              <w:t>PRME</w:t>
            </w:r>
          </w:p>
        </w:tc>
        <w:tc>
          <w:tcPr>
            <w:cnfStyle w:evenVBand="false" w:oddVBand="true" w:firstColumn="false"/>
            <w:tcW w:w="25.000000%" w:type="pct"/>
          </w:tcPr>
          <w:p>
            <w:pPr>
              <w:ind w:leftChars="0" w:left="0" w:right="0"/>
            </w:pPr>
            <w:r>
              <w:t>MTS PRIME</w:t>
            </w:r>
          </w:p>
        </w:tc>
        <w:tc>
          <w:tcPr>
            <w:cnfStyle w:evenVBand="true" w:oddVBand="false" w:firstColumn="false"/>
            <w:tcW w:w="25.000000%" w:type="pct"/>
          </w:tcPr>
          <w:p>
            <w:pPr>
              <w:ind w:leftChars="0" w:left="0" w:right="0"/>
            </w:pPr>
            <w:r>
              <w:t>1458</w:t>
            </w:r>
          </w:p>
        </w:tc>
      </w:tr>
      <w:tr>
        <w:trPr>
          <w:cnfStyle w:evenHBand="true" w:oddHBand="false" w:firstRow="false"/>
        </w:trPr>
        <w:tc>
          <w:tcPr>
            <w:cnfStyle w:evenVBand="false" w:oddVBand="true" w:firstColumn="false"/>
            <w:tcW w:w="25.000000%" w:type="pct"/>
          </w:tcPr>
          <w:p>
            <w:pPr>
              <w:ind w:leftChars="0" w:left="0" w:right="0"/>
            </w:pPr>
            <w:r>
              <w:t>PROS</w:t>
            </w:r>
          </w:p>
        </w:tc>
        <w:tc>
          <w:tcPr>
            <w:cnfStyle w:evenVBand="true" w:oddVBand="false" w:firstColumn="false"/>
            <w:tcW w:w="25.000000%" w:type="pct"/>
          </w:tcPr>
          <w:p>
            <w:pPr>
              <w:ind w:leftChars="0" w:left="0" w:right="0"/>
            </w:pPr>
            <w:r>
              <w:t>PROS</w:t>
            </w:r>
          </w:p>
        </w:tc>
        <w:tc>
          <w:tcPr>
            <w:cnfStyle w:evenVBand="false" w:oddVBand="true" w:firstColumn="false"/>
            <w:tcW w:w="25.000000%" w:type="pct"/>
          </w:tcPr>
          <w:p>
            <w:pPr>
              <w:ind w:leftChars="0" w:left="0" w:right="0"/>
            </w:pPr>
            <w:r>
              <w:t>PROSPECTS</w:t>
            </w:r>
          </w:p>
        </w:tc>
        <w:tc>
          <w:tcPr>
            <w:cnfStyle w:evenVBand="true" w:oddVBand="false" w:firstColumn="false"/>
            <w:tcW w:w="25.000000%" w:type="pct"/>
          </w:tcPr>
          <w:p>
            <w:pPr>
              <w:ind w:leftChars="0" w:left="0" w:right="0"/>
            </w:pPr>
            <w:r>
              <w:t>1459</w:t>
            </w:r>
          </w:p>
        </w:tc>
      </w:tr>
      <w:tr>
        <w:trPr>
          <w:cnfStyle w:evenHBand="false" w:oddHBand="true" w:firstRow="false"/>
        </w:trPr>
        <w:tc>
          <w:tcPr>
            <w:cnfStyle w:evenVBand="false" w:oddVBand="true" w:firstColumn="false"/>
            <w:tcW w:w="25.000000%" w:type="pct"/>
          </w:tcPr>
          <w:p>
            <w:pPr>
              <w:ind w:leftChars="0" w:left="0" w:right="0"/>
            </w:pPr>
            <w:r>
              <w:t>PRSE</w:t>
            </w:r>
          </w:p>
        </w:tc>
        <w:tc>
          <w:tcPr>
            <w:cnfStyle w:evenVBand="true" w:oddVBand="false" w:firstColumn="false"/>
            <w:tcW w:w="25.000000%" w:type="pct"/>
          </w:tcPr>
          <w:p>
            <w:pPr>
              <w:ind w:leftChars="0" w:left="0" w:right="0"/>
            </w:pPr>
            <w:r>
              <w:t>PRSE</w:t>
            </w:r>
          </w:p>
        </w:tc>
        <w:tc>
          <w:tcPr>
            <w:cnfStyle w:evenVBand="false" w:oddVBand="true" w:firstColumn="false"/>
            <w:tcW w:w="25.000000%" w:type="pct"/>
          </w:tcPr>
          <w:p>
            <w:pPr>
              <w:ind w:leftChars="0" w:left="0" w:right="0"/>
            </w:pPr>
            <w:r>
              <w:t>PRAGMA ATS</w:t>
            </w:r>
          </w:p>
        </w:tc>
        <w:tc>
          <w:tcPr>
            <w:cnfStyle w:evenVBand="true" w:oddVBand="false" w:firstColumn="false"/>
            <w:tcW w:w="25.000000%" w:type="pct"/>
          </w:tcPr>
          <w:p>
            <w:pPr>
              <w:ind w:leftChars="0" w:left="0" w:right="0"/>
            </w:pPr>
            <w:r>
              <w:t>1460</w:t>
            </w:r>
          </w:p>
        </w:tc>
      </w:tr>
      <w:tr>
        <w:trPr>
          <w:cnfStyle w:evenHBand="true" w:oddHBand="false" w:firstRow="false"/>
        </w:trPr>
        <w:tc>
          <w:tcPr>
            <w:cnfStyle w:evenVBand="false" w:oddVBand="true" w:firstColumn="false"/>
            <w:tcW w:w="25.000000%" w:type="pct"/>
          </w:tcPr>
          <w:p>
            <w:pPr>
              <w:ind w:leftChars="0" w:left="0" w:right="0"/>
            </w:pPr>
            <w:r>
              <w:t>PSGM</w:t>
            </w:r>
          </w:p>
        </w:tc>
        <w:tc>
          <w:tcPr>
            <w:cnfStyle w:evenVBand="true" w:oddVBand="false" w:firstColumn="false"/>
            <w:tcW w:w="25.000000%" w:type="pct"/>
          </w:tcPr>
          <w:p>
            <w:pPr>
              <w:ind w:leftChars="0" w:left="0" w:right="0"/>
            </w:pPr>
            <w:r>
              <w:t>PSGM</w:t>
            </w:r>
          </w:p>
        </w:tc>
        <w:tc>
          <w:tcPr>
            <w:cnfStyle w:evenVBand="false" w:oddVBand="true" w:firstColumn="false"/>
            <w:tcW w:w="25.000000%" w:type="pct"/>
          </w:tcPr>
          <w:p>
            <w:pPr>
              <w:ind w:leftChars="0" w:left="0" w:right="0"/>
            </w:pPr>
            <w:r>
              <w:t>OTC GREY MARKET</w:t>
            </w:r>
          </w:p>
        </w:tc>
        <w:tc>
          <w:tcPr>
            <w:cnfStyle w:evenVBand="true" w:oddVBand="false" w:firstColumn="false"/>
            <w:tcW w:w="25.000000%" w:type="pct"/>
          </w:tcPr>
          <w:p>
            <w:pPr>
              <w:ind w:leftChars="0" w:left="0" w:right="0"/>
            </w:pPr>
            <w:r>
              <w:t>1461</w:t>
            </w:r>
          </w:p>
        </w:tc>
      </w:tr>
      <w:tr>
        <w:trPr>
          <w:cnfStyle w:evenHBand="false" w:oddHBand="true" w:firstRow="false"/>
        </w:trPr>
        <w:tc>
          <w:tcPr>
            <w:cnfStyle w:evenVBand="false" w:oddVBand="true" w:firstColumn="false"/>
            <w:tcW w:w="25.000000%" w:type="pct"/>
          </w:tcPr>
          <w:p>
            <w:pPr>
              <w:ind w:leftChars="0" w:left="0" w:right="0"/>
            </w:pPr>
            <w:r>
              <w:t>PSXD</w:t>
            </w:r>
          </w:p>
        </w:tc>
        <w:tc>
          <w:tcPr>
            <w:cnfStyle w:evenVBand="true" w:oddVBand="false" w:firstColumn="false"/>
            <w:tcW w:w="25.000000%" w:type="pct"/>
          </w:tcPr>
          <w:p>
            <w:pPr>
              <w:ind w:leftChars="0" w:left="0" w:right="0"/>
            </w:pPr>
            <w:r>
              <w:t>PSXD</w:t>
            </w:r>
          </w:p>
        </w:tc>
        <w:tc>
          <w:tcPr>
            <w:cnfStyle w:evenVBand="false" w:oddVBand="true" w:firstColumn="false"/>
            <w:tcW w:w="25.000000%" w:type="pct"/>
          </w:tcPr>
          <w:p>
            <w:pPr>
              <w:ind w:leftChars="0" w:left="0" w:right="0"/>
            </w:pPr>
            <w:r>
              <w:t>NASDAQ PSX</w:t>
            </w:r>
          </w:p>
        </w:tc>
        <w:tc>
          <w:tcPr>
            <w:cnfStyle w:evenVBand="true" w:oddVBand="false" w:firstColumn="false"/>
            <w:tcW w:w="25.000000%" w:type="pct"/>
          </w:tcPr>
          <w:p>
            <w:pPr>
              <w:ind w:leftChars="0" w:left="0" w:right="0"/>
            </w:pPr>
            <w:r>
              <w:t>1462</w:t>
            </w:r>
          </w:p>
        </w:tc>
      </w:tr>
      <w:tr>
        <w:trPr>
          <w:cnfStyle w:evenHBand="true" w:oddHBand="false" w:firstRow="false"/>
        </w:trPr>
        <w:tc>
          <w:tcPr>
            <w:cnfStyle w:evenVBand="false" w:oddVBand="true" w:firstColumn="false"/>
            <w:tcW w:w="25.000000%" w:type="pct"/>
          </w:tcPr>
          <w:p>
            <w:pPr>
              <w:ind w:leftChars="0" w:left="0" w:right="0"/>
            </w:pPr>
            <w:r>
              <w:t>PTPG</w:t>
            </w:r>
          </w:p>
        </w:tc>
        <w:tc>
          <w:tcPr>
            <w:cnfStyle w:evenVBand="true" w:oddVBand="false" w:firstColumn="false"/>
            <w:tcW w:w="25.000000%" w:type="pct"/>
          </w:tcPr>
          <w:p>
            <w:pPr>
              <w:ind w:leftChars="0" w:left="0" w:right="0"/>
            </w:pPr>
            <w:r>
              <w:t>PTPG</w:t>
            </w:r>
          </w:p>
        </w:tc>
        <w:tc>
          <w:tcPr>
            <w:cnfStyle w:evenVBand="false" w:oddVBand="true" w:firstColumn="false"/>
            <w:tcW w:w="25.000000%" w:type="pct"/>
          </w:tcPr>
          <w:p>
            <w:pPr>
              <w:ind w:leftChars="0" w:left="0" w:right="0"/>
            </w:pPr>
            <w:r>
              <w:t>POLISH TRADING POINT</w:t>
            </w:r>
          </w:p>
        </w:tc>
        <w:tc>
          <w:tcPr>
            <w:cnfStyle w:evenVBand="true" w:oddVBand="false" w:firstColumn="false"/>
            <w:tcW w:w="25.000000%" w:type="pct"/>
          </w:tcPr>
          <w:p>
            <w:pPr>
              <w:ind w:leftChars="0" w:left="0" w:right="0"/>
            </w:pPr>
            <w:r>
              <w:t>1463</w:t>
            </w:r>
          </w:p>
        </w:tc>
      </w:tr>
      <w:tr>
        <w:trPr>
          <w:cnfStyle w:evenHBand="false" w:oddHBand="true" w:firstRow="false"/>
        </w:trPr>
        <w:tc>
          <w:tcPr>
            <w:cnfStyle w:evenVBand="false" w:oddVBand="true" w:firstColumn="false"/>
            <w:tcW w:w="25.000000%" w:type="pct"/>
          </w:tcPr>
          <w:p>
            <w:pPr>
              <w:ind w:leftChars="0" w:left="0" w:right="0"/>
            </w:pPr>
            <w:r>
              <w:t>PULX</w:t>
            </w:r>
          </w:p>
        </w:tc>
        <w:tc>
          <w:tcPr>
            <w:cnfStyle w:evenVBand="true" w:oddVBand="false" w:firstColumn="false"/>
            <w:tcW w:w="25.000000%" w:type="pct"/>
          </w:tcPr>
          <w:p>
            <w:pPr>
              <w:ind w:leftChars="0" w:left="0" w:right="0"/>
            </w:pPr>
            <w:r>
              <w:t>PULX</w:t>
            </w:r>
          </w:p>
        </w:tc>
        <w:tc>
          <w:tcPr>
            <w:cnfStyle w:evenVBand="false" w:oddVBand="true" w:firstColumn="false"/>
            <w:tcW w:w="25.000000%" w:type="pct"/>
          </w:tcPr>
          <w:p>
            <w:pPr>
              <w:ind w:leftChars="0" w:left="0" w:right="0"/>
            </w:pPr>
            <w:r>
              <w:t>INSTINET BLOCKCROSS ATS</w:t>
            </w:r>
          </w:p>
        </w:tc>
        <w:tc>
          <w:tcPr>
            <w:cnfStyle w:evenVBand="true" w:oddVBand="false" w:firstColumn="false"/>
            <w:tcW w:w="25.000000%" w:type="pct"/>
          </w:tcPr>
          <w:p>
            <w:pPr>
              <w:ind w:leftChars="0" w:left="0" w:right="0"/>
            </w:pPr>
            <w:r>
              <w:t>1464</w:t>
            </w:r>
          </w:p>
        </w:tc>
      </w:tr>
      <w:tr>
        <w:trPr>
          <w:cnfStyle w:evenHBand="true" w:oddHBand="false" w:firstRow="false"/>
        </w:trPr>
        <w:tc>
          <w:tcPr>
            <w:cnfStyle w:evenVBand="false" w:oddVBand="true" w:firstColumn="false"/>
            <w:tcW w:w="25.000000%" w:type="pct"/>
          </w:tcPr>
          <w:p>
            <w:pPr>
              <w:ind w:leftChars="0" w:left="0" w:right="0"/>
            </w:pPr>
            <w:r>
              <w:t>PUMA</w:t>
            </w:r>
          </w:p>
        </w:tc>
        <w:tc>
          <w:tcPr>
            <w:cnfStyle w:evenVBand="true" w:oddVBand="false" w:firstColumn="false"/>
            <w:tcW w:w="25.000000%" w:type="pct"/>
          </w:tcPr>
          <w:p>
            <w:pPr>
              <w:ind w:leftChars="0" w:left="0" w:right="0"/>
            </w:pPr>
            <w:r>
              <w:t>PUMA</w:t>
            </w:r>
          </w:p>
        </w:tc>
        <w:tc>
          <w:tcPr>
            <w:cnfStyle w:evenVBand="false" w:oddVBand="true" w:firstColumn="false"/>
            <w:tcW w:w="25.000000%" w:type="pct"/>
          </w:tcPr>
          <w:p>
            <w:pPr>
              <w:ind w:leftChars="0" w:left="0" w:right="0"/>
            </w:pPr>
            <w:r>
              <w:t>PUMA CAPITAL, LLC</w:t>
            </w:r>
          </w:p>
        </w:tc>
        <w:tc>
          <w:tcPr>
            <w:cnfStyle w:evenVBand="true" w:oddVBand="false" w:firstColumn="false"/>
            <w:tcW w:w="25.000000%" w:type="pct"/>
          </w:tcPr>
          <w:p>
            <w:pPr>
              <w:ind w:leftChars="0" w:left="0" w:right="0"/>
            </w:pPr>
            <w:r>
              <w:t>1465</w:t>
            </w:r>
          </w:p>
        </w:tc>
      </w:tr>
      <w:tr>
        <w:trPr>
          <w:cnfStyle w:evenHBand="false" w:oddHBand="true" w:firstRow="false"/>
        </w:trPr>
        <w:tc>
          <w:tcPr>
            <w:cnfStyle w:evenVBand="false" w:oddVBand="true" w:firstColumn="false"/>
            <w:tcW w:w="25.000000%" w:type="pct"/>
          </w:tcPr>
          <w:p>
            <w:pPr>
              <w:ind w:leftChars="0" w:left="0" w:right="0"/>
            </w:pPr>
            <w:r>
              <w:t>PUMX</w:t>
            </w:r>
          </w:p>
        </w:tc>
        <w:tc>
          <w:tcPr>
            <w:cnfStyle w:evenVBand="true" w:oddVBand="false" w:firstColumn="false"/>
            <w:tcW w:w="25.000000%" w:type="pct"/>
          </w:tcPr>
          <w:p>
            <w:pPr>
              <w:ind w:leftChars="0" w:left="0" w:right="0"/>
            </w:pPr>
            <w:r>
              <w:t>PUMX</w:t>
            </w:r>
          </w:p>
        </w:tc>
        <w:tc>
          <w:tcPr>
            <w:cnfStyle w:evenVBand="false" w:oddVBand="true" w:firstColumn="false"/>
            <w:tcW w:w="25.000000%" w:type="pct"/>
          </w:tcPr>
          <w:p>
            <w:pPr>
              <w:ind w:leftChars="0" w:left="0" w:right="0"/>
            </w:pPr>
            <w:r>
              <w:t>PUMA CAPITAL, LLC - OPTIONS</w:t>
            </w:r>
          </w:p>
        </w:tc>
        <w:tc>
          <w:tcPr>
            <w:cnfStyle w:evenVBand="true" w:oddVBand="false" w:firstColumn="false"/>
            <w:tcW w:w="25.000000%" w:type="pct"/>
          </w:tcPr>
          <w:p>
            <w:pPr>
              <w:ind w:leftChars="0" w:left="0" w:right="0"/>
            </w:pPr>
            <w:r>
              <w:t>1466</w:t>
            </w:r>
          </w:p>
        </w:tc>
      </w:tr>
      <w:tr>
        <w:trPr>
          <w:cnfStyle w:evenHBand="true" w:oddHBand="false" w:firstRow="false"/>
        </w:trPr>
        <w:tc>
          <w:tcPr>
            <w:cnfStyle w:evenVBand="false" w:oddVBand="true" w:firstColumn="false"/>
            <w:tcW w:w="25.000000%" w:type="pct"/>
          </w:tcPr>
          <w:p>
            <w:pPr>
              <w:ind w:leftChars="0" w:left="0" w:right="0"/>
            </w:pPr>
            <w:r>
              <w:t>PUND</w:t>
            </w:r>
          </w:p>
        </w:tc>
        <w:tc>
          <w:tcPr>
            <w:cnfStyle w:evenVBand="true" w:oddVBand="false" w:firstColumn="false"/>
            <w:tcW w:w="25.000000%" w:type="pct"/>
          </w:tcPr>
          <w:p>
            <w:pPr>
              <w:ind w:leftChars="0" w:left="0" w:right="0"/>
            </w:pPr>
            <w:r>
              <w:t>PUND</w:t>
            </w:r>
          </w:p>
        </w:tc>
        <w:tc>
          <w:tcPr>
            <w:cnfStyle w:evenVBand="false" w:oddVBand="true" w:firstColumn="false"/>
            <w:tcW w:w="25.000000%" w:type="pct"/>
          </w:tcPr>
          <w:p>
            <w:pPr>
              <w:ind w:leftChars="0" w:left="0" w:right="0"/>
            </w:pPr>
            <w:r>
              <w:t>PUNDION LLC</w:t>
            </w:r>
          </w:p>
        </w:tc>
        <w:tc>
          <w:tcPr>
            <w:cnfStyle w:evenVBand="true" w:oddVBand="false" w:firstColumn="false"/>
            <w:tcW w:w="25.000000%" w:type="pct"/>
          </w:tcPr>
          <w:p>
            <w:pPr>
              <w:ind w:leftChars="0" w:left="0" w:right="0"/>
            </w:pPr>
            <w:r>
              <w:t>1467</w:t>
            </w:r>
          </w:p>
        </w:tc>
      </w:tr>
      <w:tr>
        <w:trPr>
          <w:cnfStyle w:evenHBand="false" w:oddHBand="true" w:firstRow="false"/>
        </w:trPr>
        <w:tc>
          <w:tcPr>
            <w:cnfStyle w:evenVBand="false" w:oddVBand="true" w:firstColumn="false"/>
            <w:tcW w:w="25.000000%" w:type="pct"/>
          </w:tcPr>
          <w:p>
            <w:pPr>
              <w:ind w:leftChars="0" w:left="0" w:right="0"/>
            </w:pPr>
            <w:r>
              <w:t>PURE</w:t>
            </w:r>
          </w:p>
        </w:tc>
        <w:tc>
          <w:tcPr>
            <w:cnfStyle w:evenVBand="true" w:oddVBand="false" w:firstColumn="false"/>
            <w:tcW w:w="25.000000%" w:type="pct"/>
          </w:tcPr>
          <w:p>
            <w:pPr>
              <w:ind w:leftChars="0" w:left="0" w:right="0"/>
            </w:pPr>
            <w:r>
              <w:t>PURE</w:t>
            </w:r>
          </w:p>
        </w:tc>
        <w:tc>
          <w:tcPr>
            <w:cnfStyle w:evenVBand="false" w:oddVBand="true" w:firstColumn="false"/>
            <w:tcW w:w="25.000000%" w:type="pct"/>
          </w:tcPr>
          <w:p>
            <w:pPr>
              <w:ind w:leftChars="0" w:left="0" w:right="0"/>
            </w:pPr>
            <w:r>
              <w:t>CANADIAN SECURITIES EXCHANGE - PURE</w:t>
            </w:r>
          </w:p>
        </w:tc>
        <w:tc>
          <w:tcPr>
            <w:cnfStyle w:evenVBand="true" w:oddVBand="false" w:firstColumn="false"/>
            <w:tcW w:w="25.000000%" w:type="pct"/>
          </w:tcPr>
          <w:p>
            <w:pPr>
              <w:ind w:leftChars="0" w:left="0" w:right="0"/>
            </w:pPr>
            <w:r>
              <w:t>1468</w:t>
            </w:r>
          </w:p>
        </w:tc>
      </w:tr>
      <w:tr>
        <w:trPr>
          <w:cnfStyle w:evenHBand="true" w:oddHBand="false" w:firstRow="false"/>
        </w:trPr>
        <w:tc>
          <w:tcPr>
            <w:cnfStyle w:evenVBand="false" w:oddVBand="true" w:firstColumn="false"/>
            <w:tcW w:w="25.000000%" w:type="pct"/>
          </w:tcPr>
          <w:p>
            <w:pPr>
              <w:ind w:leftChars="0" w:left="0" w:right="0"/>
            </w:pPr>
            <w:r>
              <w:t>PVMF</w:t>
            </w:r>
          </w:p>
        </w:tc>
        <w:tc>
          <w:tcPr>
            <w:cnfStyle w:evenVBand="true" w:oddVBand="false" w:firstColumn="false"/>
            <w:tcW w:w="25.000000%" w:type="pct"/>
          </w:tcPr>
          <w:p>
            <w:pPr>
              <w:ind w:leftChars="0" w:left="0" w:right="0"/>
            </w:pPr>
            <w:r>
              <w:t>PVMF</w:t>
            </w:r>
          </w:p>
        </w:tc>
        <w:tc>
          <w:tcPr>
            <w:cnfStyle w:evenVBand="false" w:oddVBand="true" w:firstColumn="false"/>
            <w:tcW w:w="25.000000%" w:type="pct"/>
          </w:tcPr>
          <w:p>
            <w:pPr>
              <w:ind w:leftChars="0" w:left="0" w:right="0"/>
            </w:pPr>
            <w:r>
              <w:t>PVM OTF</w:t>
            </w:r>
          </w:p>
        </w:tc>
        <w:tc>
          <w:tcPr>
            <w:cnfStyle w:evenVBand="true" w:oddVBand="false" w:firstColumn="false"/>
            <w:tcW w:w="25.000000%" w:type="pct"/>
          </w:tcPr>
          <w:p>
            <w:pPr>
              <w:ind w:leftChars="0" w:left="0" w:right="0"/>
            </w:pPr>
            <w:r>
              <w:t>1469</w:t>
            </w:r>
          </w:p>
        </w:tc>
      </w:tr>
      <w:tr>
        <w:trPr>
          <w:cnfStyle w:evenHBand="false" w:oddHBand="true" w:firstRow="false"/>
        </w:trPr>
        <w:tc>
          <w:tcPr>
            <w:cnfStyle w:evenVBand="false" w:oddVBand="true" w:firstColumn="false"/>
            <w:tcW w:w="25.000000%" w:type="pct"/>
          </w:tcPr>
          <w:p>
            <w:pPr>
              <w:ind w:leftChars="0" w:left="0" w:right="0"/>
            </w:pPr>
            <w:r>
              <w:t>PXIL</w:t>
            </w:r>
          </w:p>
        </w:tc>
        <w:tc>
          <w:tcPr>
            <w:cnfStyle w:evenVBand="true" w:oddVBand="false" w:firstColumn="false"/>
            <w:tcW w:w="25.000000%" w:type="pct"/>
          </w:tcPr>
          <w:p>
            <w:pPr>
              <w:ind w:leftChars="0" w:left="0" w:right="0"/>
            </w:pPr>
            <w:r>
              <w:t>PXIL</w:t>
            </w:r>
          </w:p>
        </w:tc>
        <w:tc>
          <w:tcPr>
            <w:cnfStyle w:evenVBand="false" w:oddVBand="true" w:firstColumn="false"/>
            <w:tcW w:w="25.000000%" w:type="pct"/>
          </w:tcPr>
          <w:p>
            <w:pPr>
              <w:ind w:leftChars="0" w:left="0" w:right="0"/>
            </w:pPr>
            <w:r>
              <w:t>POWER EXCHANGE INDIA LTD.</w:t>
            </w:r>
          </w:p>
        </w:tc>
        <w:tc>
          <w:tcPr>
            <w:cnfStyle w:evenVBand="true" w:oddVBand="false" w:firstColumn="false"/>
            <w:tcW w:w="25.000000%" w:type="pct"/>
          </w:tcPr>
          <w:p>
            <w:pPr>
              <w:ind w:leftChars="0" w:left="0" w:right="0"/>
            </w:pPr>
            <w:r>
              <w:t>1470</w:t>
            </w:r>
          </w:p>
        </w:tc>
      </w:tr>
      <w:tr>
        <w:trPr>
          <w:cnfStyle w:evenHBand="true" w:oddHBand="false" w:firstRow="false"/>
        </w:trPr>
        <w:tc>
          <w:tcPr>
            <w:cnfStyle w:evenVBand="false" w:oddVBand="true" w:firstColumn="false"/>
            <w:tcW w:w="25.000000%" w:type="pct"/>
          </w:tcPr>
          <w:p>
            <w:pPr>
              <w:ind w:leftChars="0" w:left="0" w:right="0"/>
            </w:pPr>
            <w:r>
              <w:t>QMTF</w:t>
            </w:r>
          </w:p>
        </w:tc>
        <w:tc>
          <w:tcPr>
            <w:cnfStyle w:evenVBand="true" w:oddVBand="false" w:firstColumn="false"/>
            <w:tcW w:w="25.000000%" w:type="pct"/>
          </w:tcPr>
          <w:p>
            <w:pPr>
              <w:ind w:leftChars="0" w:left="0" w:right="0"/>
            </w:pPr>
            <w:r>
              <w:t>QMTF</w:t>
            </w:r>
          </w:p>
        </w:tc>
        <w:tc>
          <w:tcPr>
            <w:cnfStyle w:evenVBand="false" w:oddVBand="true" w:firstColumn="false"/>
            <w:tcW w:w="25.000000%" w:type="pct"/>
          </w:tcPr>
          <w:p>
            <w:pPr>
              <w:ind w:leftChars="0" w:left="0" w:right="0"/>
            </w:pPr>
            <w:r>
              <w:t>QUOTE MTF</w:t>
            </w:r>
          </w:p>
        </w:tc>
        <w:tc>
          <w:tcPr>
            <w:cnfStyle w:evenVBand="true" w:oddVBand="false" w:firstColumn="false"/>
            <w:tcW w:w="25.000000%" w:type="pct"/>
          </w:tcPr>
          <w:p>
            <w:pPr>
              <w:ind w:leftChars="0" w:left="0" w:right="0"/>
            </w:pPr>
            <w:r>
              <w:t>1471</w:t>
            </w:r>
          </w:p>
        </w:tc>
      </w:tr>
      <w:tr>
        <w:trPr>
          <w:cnfStyle w:evenHBand="false" w:oddHBand="true" w:firstRow="false"/>
        </w:trPr>
        <w:tc>
          <w:tcPr>
            <w:cnfStyle w:evenVBand="false" w:oddVBand="true" w:firstColumn="false"/>
            <w:tcW w:w="25.000000%" w:type="pct"/>
          </w:tcPr>
          <w:p>
            <w:pPr>
              <w:ind w:leftChars="0" w:left="0" w:right="0"/>
            </w:pPr>
            <w:r>
              <w:t>QMTS</w:t>
            </w:r>
          </w:p>
        </w:tc>
        <w:tc>
          <w:tcPr>
            <w:cnfStyle w:evenVBand="true" w:oddVBand="false" w:firstColumn="false"/>
            <w:tcW w:w="25.000000%" w:type="pct"/>
          </w:tcPr>
          <w:p>
            <w:pPr>
              <w:ind w:leftChars="0" w:left="0" w:right="0"/>
            </w:pPr>
            <w:r>
              <w:t>QMTS</w:t>
            </w:r>
          </w:p>
        </w:tc>
        <w:tc>
          <w:tcPr>
            <w:cnfStyle w:evenVBand="false" w:oddVBand="true" w:firstColumn="false"/>
            <w:tcW w:w="25.000000%" w:type="pct"/>
          </w:tcPr>
          <w:p>
            <w:pPr>
              <w:ind w:leftChars="0" w:left="0" w:right="0"/>
            </w:pPr>
            <w:r>
              <w:t>MTS QUASI GOVERNMENT</w:t>
            </w:r>
          </w:p>
        </w:tc>
        <w:tc>
          <w:tcPr>
            <w:cnfStyle w:evenVBand="true" w:oddVBand="false" w:firstColumn="false"/>
            <w:tcW w:w="25.000000%" w:type="pct"/>
          </w:tcPr>
          <w:p>
            <w:pPr>
              <w:ind w:leftChars="0" w:left="0" w:right="0"/>
            </w:pPr>
            <w:r>
              <w:t>1472</w:t>
            </w:r>
          </w:p>
        </w:tc>
      </w:tr>
      <w:tr>
        <w:trPr>
          <w:cnfStyle w:evenHBand="true" w:oddHBand="false" w:firstRow="false"/>
        </w:trPr>
        <w:tc>
          <w:tcPr>
            <w:cnfStyle w:evenVBand="false" w:oddVBand="true" w:firstColumn="false"/>
            <w:tcW w:w="25.000000%" w:type="pct"/>
          </w:tcPr>
          <w:p>
            <w:pPr>
              <w:ind w:leftChars="0" w:left="0" w:right="0"/>
            </w:pPr>
            <w:r>
              <w:t>QWIX</w:t>
            </w:r>
          </w:p>
        </w:tc>
        <w:tc>
          <w:tcPr>
            <w:cnfStyle w:evenVBand="true" w:oddVBand="false" w:firstColumn="false"/>
            <w:tcW w:w="25.000000%" w:type="pct"/>
          </w:tcPr>
          <w:p>
            <w:pPr>
              <w:ind w:leftChars="0" w:left="0" w:right="0"/>
            </w:pPr>
            <w:r>
              <w:t>QWIX</w:t>
            </w:r>
          </w:p>
        </w:tc>
        <w:tc>
          <w:tcPr>
            <w:cnfStyle w:evenVBand="false" w:oddVBand="true" w:firstColumn="false"/>
            <w:tcW w:w="25.000000%" w:type="pct"/>
          </w:tcPr>
          <w:p>
            <w:pPr>
              <w:ind w:leftChars="0" w:left="0" w:right="0"/>
            </w:pPr>
            <w:r>
              <w:t>Q-WIXX PLATFORM</w:t>
            </w:r>
          </w:p>
        </w:tc>
        <w:tc>
          <w:tcPr>
            <w:cnfStyle w:evenVBand="true" w:oddVBand="false" w:firstColumn="false"/>
            <w:tcW w:w="25.000000%" w:type="pct"/>
          </w:tcPr>
          <w:p>
            <w:pPr>
              <w:ind w:leftChars="0" w:left="0" w:right="0"/>
            </w:pPr>
            <w:r>
              <w:t>1473</w:t>
            </w:r>
          </w:p>
        </w:tc>
      </w:tr>
      <w:tr>
        <w:trPr>
          <w:cnfStyle w:evenHBand="false" w:oddHBand="true" w:firstRow="false"/>
        </w:trPr>
        <w:tc>
          <w:tcPr>
            <w:cnfStyle w:evenVBand="false" w:oddVBand="true" w:firstColumn="false"/>
            <w:tcW w:w="25.000000%" w:type="pct"/>
          </w:tcPr>
          <w:p>
            <w:pPr>
              <w:ind w:leftChars="0" w:left="0" w:right="0"/>
            </w:pPr>
            <w:r>
              <w:t>R5FX</w:t>
            </w:r>
          </w:p>
        </w:tc>
        <w:tc>
          <w:tcPr>
            <w:cnfStyle w:evenVBand="true" w:oddVBand="false" w:firstColumn="false"/>
            <w:tcW w:w="25.000000%" w:type="pct"/>
          </w:tcPr>
          <w:p>
            <w:pPr>
              <w:ind w:leftChars="0" w:left="0" w:right="0"/>
            </w:pPr>
            <w:r>
              <w:t>R5FX</w:t>
            </w:r>
          </w:p>
        </w:tc>
        <w:tc>
          <w:tcPr>
            <w:cnfStyle w:evenVBand="false" w:oddVBand="true" w:firstColumn="false"/>
            <w:tcW w:w="25.000000%" w:type="pct"/>
          </w:tcPr>
          <w:p>
            <w:pPr>
              <w:ind w:leftChars="0" w:left="0" w:right="0"/>
            </w:pPr>
            <w:r>
              <w:t>R5FX LIMITED</w:t>
            </w:r>
          </w:p>
        </w:tc>
        <w:tc>
          <w:tcPr>
            <w:cnfStyle w:evenVBand="true" w:oddVBand="false" w:firstColumn="false"/>
            <w:tcW w:w="25.000000%" w:type="pct"/>
          </w:tcPr>
          <w:p>
            <w:pPr>
              <w:ind w:leftChars="0" w:left="0" w:right="0"/>
            </w:pPr>
            <w:r>
              <w:t>1474</w:t>
            </w:r>
          </w:p>
        </w:tc>
      </w:tr>
      <w:tr>
        <w:trPr>
          <w:cnfStyle w:evenHBand="true" w:oddHBand="false" w:firstRow="false"/>
        </w:trPr>
        <w:tc>
          <w:tcPr>
            <w:cnfStyle w:evenVBand="false" w:oddVBand="true" w:firstColumn="false"/>
            <w:tcW w:w="25.000000%" w:type="pct"/>
          </w:tcPr>
          <w:p>
            <w:pPr>
              <w:ind w:leftChars="0" w:left="0" w:right="0"/>
            </w:pPr>
            <w:r>
              <w:t>RABL</w:t>
            </w:r>
          </w:p>
        </w:tc>
        <w:tc>
          <w:tcPr>
            <w:cnfStyle w:evenVBand="true" w:oddVBand="false" w:firstColumn="false"/>
            <w:tcW w:w="25.000000%" w:type="pct"/>
          </w:tcPr>
          <w:p>
            <w:pPr>
              <w:ind w:leftChars="0" w:left="0" w:right="0"/>
            </w:pPr>
            <w:r>
              <w:t>RABL</w:t>
            </w:r>
          </w:p>
        </w:tc>
        <w:tc>
          <w:tcPr>
            <w:cnfStyle w:evenVBand="false" w:oddVBand="true" w:firstColumn="false"/>
            <w:tcW w:w="25.000000%" w:type="pct"/>
          </w:tcPr>
          <w:p>
            <w:pPr>
              <w:ind w:leftChars="0" w:left="0" w:right="0"/>
            </w:pPr>
            <w:r>
              <w:t>RABOBANK INTERNATIONAL UK - SYSTEMATIC INTERNALISER</w:t>
            </w:r>
          </w:p>
        </w:tc>
        <w:tc>
          <w:tcPr>
            <w:cnfStyle w:evenVBand="true" w:oddVBand="false" w:firstColumn="false"/>
            <w:tcW w:w="25.000000%" w:type="pct"/>
          </w:tcPr>
          <w:p>
            <w:pPr>
              <w:ind w:leftChars="0" w:left="0" w:right="0"/>
            </w:pPr>
            <w:r>
              <w:t>1475</w:t>
            </w:r>
          </w:p>
        </w:tc>
      </w:tr>
      <w:tr>
        <w:trPr>
          <w:cnfStyle w:evenHBand="false" w:oddHBand="true" w:firstRow="false"/>
        </w:trPr>
        <w:tc>
          <w:tcPr>
            <w:cnfStyle w:evenVBand="false" w:oddVBand="true" w:firstColumn="false"/>
            <w:tcW w:w="25.000000%" w:type="pct"/>
          </w:tcPr>
          <w:p>
            <w:pPr>
              <w:ind w:leftChars="0" w:left="0" w:right="0"/>
            </w:pPr>
            <w:r>
              <w:t>RABO</w:t>
            </w:r>
          </w:p>
        </w:tc>
        <w:tc>
          <w:tcPr>
            <w:cnfStyle w:evenVBand="true" w:oddVBand="false" w:firstColumn="false"/>
            <w:tcW w:w="25.000000%" w:type="pct"/>
          </w:tcPr>
          <w:p>
            <w:pPr>
              <w:ind w:leftChars="0" w:left="0" w:right="0"/>
            </w:pPr>
            <w:r>
              <w:t>RABO</w:t>
            </w:r>
          </w:p>
        </w:tc>
        <w:tc>
          <w:tcPr>
            <w:cnfStyle w:evenVBand="false" w:oddVBand="true" w:firstColumn="false"/>
            <w:tcW w:w="25.000000%" w:type="pct"/>
          </w:tcPr>
          <w:p>
            <w:pPr>
              <w:ind w:leftChars="0" w:left="0" w:right="0"/>
            </w:pPr>
            <w:r>
              <w:t>RABOBANK - SYSTEMATIC INTERNALISER</w:t>
            </w:r>
          </w:p>
        </w:tc>
        <w:tc>
          <w:tcPr>
            <w:cnfStyle w:evenVBand="true" w:oddVBand="false" w:firstColumn="false"/>
            <w:tcW w:w="25.000000%" w:type="pct"/>
          </w:tcPr>
          <w:p>
            <w:pPr>
              <w:ind w:leftChars="0" w:left="0" w:right="0"/>
            </w:pPr>
            <w:r>
              <w:t>1476</w:t>
            </w:r>
          </w:p>
        </w:tc>
      </w:tr>
      <w:tr>
        <w:trPr>
          <w:cnfStyle w:evenHBand="true" w:oddHBand="false" w:firstRow="false"/>
        </w:trPr>
        <w:tc>
          <w:tcPr>
            <w:cnfStyle w:evenVBand="false" w:oddVBand="true" w:firstColumn="false"/>
            <w:tcW w:w="25.000000%" w:type="pct"/>
          </w:tcPr>
          <w:p>
            <w:pPr>
              <w:ind w:leftChars="0" w:left="0" w:right="0"/>
            </w:pPr>
            <w:r>
              <w:t>RAJA</w:t>
            </w:r>
          </w:p>
        </w:tc>
        <w:tc>
          <w:tcPr>
            <w:cnfStyle w:evenVBand="true" w:oddVBand="false" w:firstColumn="false"/>
            <w:tcW w:w="25.000000%" w:type="pct"/>
          </w:tcPr>
          <w:p>
            <w:pPr>
              <w:ind w:leftChars="0" w:left="0" w:right="0"/>
            </w:pPr>
            <w:r>
              <w:t>RAJA</w:t>
            </w:r>
          </w:p>
        </w:tc>
        <w:tc>
          <w:tcPr>
            <w:cnfStyle w:evenVBand="false" w:oddVBand="true" w:firstColumn="false"/>
            <w:tcW w:w="25.000000%" w:type="pct"/>
          </w:tcPr>
          <w:p>
            <w:pPr>
              <w:ind w:leftChars="0" w:left="0" w:right="0"/>
            </w:pPr>
            <w:r>
              <w:t>RAYMOND JAMES</w:t>
            </w:r>
          </w:p>
        </w:tc>
        <w:tc>
          <w:tcPr>
            <w:cnfStyle w:evenVBand="true" w:oddVBand="false" w:firstColumn="false"/>
            <w:tcW w:w="25.000000%" w:type="pct"/>
          </w:tcPr>
          <w:p>
            <w:pPr>
              <w:ind w:leftChars="0" w:left="0" w:right="0"/>
            </w:pPr>
            <w:r>
              <w:t>1477</w:t>
            </w:r>
          </w:p>
        </w:tc>
      </w:tr>
      <w:tr>
        <w:trPr>
          <w:cnfStyle w:evenHBand="false" w:oddHBand="true" w:firstRow="false"/>
        </w:trPr>
        <w:tc>
          <w:tcPr>
            <w:cnfStyle w:evenVBand="false" w:oddVBand="true" w:firstColumn="false"/>
            <w:tcW w:w="25.000000%" w:type="pct"/>
          </w:tcPr>
          <w:p>
            <w:pPr>
              <w:ind w:leftChars="0" w:left="0" w:right="0"/>
            </w:pPr>
            <w:r>
              <w:t>RBCB</w:t>
            </w:r>
          </w:p>
        </w:tc>
        <w:tc>
          <w:tcPr>
            <w:cnfStyle w:evenVBand="true" w:oddVBand="false" w:firstColumn="false"/>
            <w:tcW w:w="25.000000%" w:type="pct"/>
          </w:tcPr>
          <w:p>
            <w:pPr>
              <w:ind w:leftChars="0" w:left="0" w:right="0"/>
            </w:pPr>
            <w:r>
              <w:t>RBCB</w:t>
            </w:r>
          </w:p>
        </w:tc>
        <w:tc>
          <w:tcPr>
            <w:cnfStyle w:evenVBand="false" w:oddVBand="true" w:firstColumn="false"/>
            <w:tcW w:w="25.000000%" w:type="pct"/>
          </w:tcPr>
          <w:p>
            <w:pPr>
              <w:ind w:leftChars="0" w:left="0" w:right="0"/>
            </w:pPr>
            <w:r>
              <w:t>RBC INVESTOR SERVICES BANK S.A.</w:t>
            </w:r>
          </w:p>
        </w:tc>
        <w:tc>
          <w:tcPr>
            <w:cnfStyle w:evenVBand="true" w:oddVBand="false" w:firstColumn="false"/>
            <w:tcW w:w="25.000000%" w:type="pct"/>
          </w:tcPr>
          <w:p>
            <w:pPr>
              <w:ind w:leftChars="0" w:left="0" w:right="0"/>
            </w:pPr>
            <w:r>
              <w:t>1478</w:t>
            </w:r>
          </w:p>
        </w:tc>
      </w:tr>
      <w:tr>
        <w:trPr>
          <w:cnfStyle w:evenHBand="true" w:oddHBand="false" w:firstRow="false"/>
        </w:trPr>
        <w:tc>
          <w:tcPr>
            <w:cnfStyle w:evenVBand="false" w:oddVBand="true" w:firstColumn="false"/>
            <w:tcW w:w="25.000000%" w:type="pct"/>
          </w:tcPr>
          <w:p>
            <w:pPr>
              <w:ind w:leftChars="0" w:left="0" w:right="0"/>
            </w:pPr>
            <w:r>
              <w:t>RBCC</w:t>
            </w:r>
          </w:p>
        </w:tc>
        <w:tc>
          <w:tcPr>
            <w:cnfStyle w:evenVBand="true" w:oddVBand="false" w:firstColumn="false"/>
            <w:tcW w:w="25.000000%" w:type="pct"/>
          </w:tcPr>
          <w:p>
            <w:pPr>
              <w:ind w:leftChars="0" w:left="0" w:right="0"/>
            </w:pPr>
            <w:r>
              <w:t>RBCC</w:t>
            </w:r>
          </w:p>
        </w:tc>
        <w:tc>
          <w:tcPr>
            <w:cnfStyle w:evenVBand="false" w:oddVBand="true" w:firstColumn="false"/>
            <w:tcW w:w="25.000000%" w:type="pct"/>
          </w:tcPr>
          <w:p>
            <w:pPr>
              <w:ind w:leftChars="0" w:left="0" w:right="0"/>
            </w:pPr>
            <w:r>
              <w:t>RBC - PARIS BRANCH - SYSTEMATIC INTERNALISER</w:t>
            </w:r>
          </w:p>
        </w:tc>
        <w:tc>
          <w:tcPr>
            <w:cnfStyle w:evenVBand="true" w:oddVBand="false" w:firstColumn="false"/>
            <w:tcW w:w="25.000000%" w:type="pct"/>
          </w:tcPr>
          <w:p>
            <w:pPr>
              <w:ind w:leftChars="0" w:left="0" w:right="0"/>
            </w:pPr>
            <w:r>
              <w:t>1479</w:t>
            </w:r>
          </w:p>
        </w:tc>
      </w:tr>
      <w:tr>
        <w:trPr>
          <w:cnfStyle w:evenHBand="false" w:oddHBand="true" w:firstRow="false"/>
        </w:trPr>
        <w:tc>
          <w:tcPr>
            <w:cnfStyle w:evenVBand="false" w:oddVBand="true" w:firstColumn="false"/>
            <w:tcW w:w="25.000000%" w:type="pct"/>
          </w:tcPr>
          <w:p>
            <w:pPr>
              <w:ind w:leftChars="0" w:left="0" w:right="0"/>
            </w:pPr>
            <w:r>
              <w:t>RBCE</w:t>
            </w:r>
          </w:p>
        </w:tc>
        <w:tc>
          <w:tcPr>
            <w:cnfStyle w:evenVBand="true" w:oddVBand="false" w:firstColumn="false"/>
            <w:tcW w:w="25.000000%" w:type="pct"/>
          </w:tcPr>
          <w:p>
            <w:pPr>
              <w:ind w:leftChars="0" w:left="0" w:right="0"/>
            </w:pPr>
            <w:r>
              <w:t>RBCE</w:t>
            </w:r>
          </w:p>
        </w:tc>
        <w:tc>
          <w:tcPr>
            <w:cnfStyle w:evenVBand="false" w:oddVBand="true" w:firstColumn="false"/>
            <w:tcW w:w="25.000000%" w:type="pct"/>
          </w:tcPr>
          <w:p>
            <w:pPr>
              <w:ind w:leftChars="0" w:left="0" w:right="0"/>
            </w:pPr>
            <w:r>
              <w:t>RBC EUROPE LIMITED</w:t>
            </w:r>
          </w:p>
        </w:tc>
        <w:tc>
          <w:tcPr>
            <w:cnfStyle w:evenVBand="true" w:oddVBand="false" w:firstColumn="false"/>
            <w:tcW w:w="25.000000%" w:type="pct"/>
          </w:tcPr>
          <w:p>
            <w:pPr>
              <w:ind w:leftChars="0" w:left="0" w:right="0"/>
            </w:pPr>
            <w:r>
              <w:t>1480</w:t>
            </w:r>
          </w:p>
        </w:tc>
      </w:tr>
      <w:tr>
        <w:trPr>
          <w:cnfStyle w:evenHBand="true" w:oddHBand="false" w:firstRow="false"/>
        </w:trPr>
        <w:tc>
          <w:tcPr>
            <w:cnfStyle w:evenVBand="false" w:oddVBand="true" w:firstColumn="false"/>
            <w:tcW w:w="25.000000%" w:type="pct"/>
          </w:tcPr>
          <w:p>
            <w:pPr>
              <w:ind w:leftChars="0" w:left="0" w:right="0"/>
            </w:pPr>
            <w:r>
              <w:t>RBCG</w:t>
            </w:r>
          </w:p>
        </w:tc>
        <w:tc>
          <w:tcPr>
            <w:cnfStyle w:evenVBand="true" w:oddVBand="false" w:firstColumn="false"/>
            <w:tcW w:w="25.000000%" w:type="pct"/>
          </w:tcPr>
          <w:p>
            <w:pPr>
              <w:ind w:leftChars="0" w:left="0" w:right="0"/>
            </w:pPr>
            <w:r>
              <w:t>RBCG</w:t>
            </w:r>
          </w:p>
        </w:tc>
        <w:tc>
          <w:tcPr>
            <w:cnfStyle w:evenVBand="false" w:oddVBand="true" w:firstColumn="false"/>
            <w:tcW w:w="25.000000%" w:type="pct"/>
          </w:tcPr>
          <w:p>
            <w:pPr>
              <w:ind w:leftChars="0" w:left="0" w:right="0"/>
            </w:pPr>
            <w:r>
              <w:t>RBC CAPITAL MARKETS (EUROPE) GMBH</w:t>
            </w:r>
          </w:p>
        </w:tc>
        <w:tc>
          <w:tcPr>
            <w:cnfStyle w:evenVBand="true" w:oddVBand="false" w:firstColumn="false"/>
            <w:tcW w:w="25.000000%" w:type="pct"/>
          </w:tcPr>
          <w:p>
            <w:pPr>
              <w:ind w:leftChars="0" w:left="0" w:right="0"/>
            </w:pPr>
            <w:r>
              <w:t>1481</w:t>
            </w:r>
          </w:p>
        </w:tc>
      </w:tr>
      <w:tr>
        <w:trPr>
          <w:cnfStyle w:evenHBand="false" w:oddHBand="true" w:firstRow="false"/>
        </w:trPr>
        <w:tc>
          <w:tcPr>
            <w:cnfStyle w:evenVBand="false" w:oddVBand="true" w:firstColumn="false"/>
            <w:tcW w:w="25.000000%" w:type="pct"/>
          </w:tcPr>
          <w:p>
            <w:pPr>
              <w:ind w:leftChars="0" w:left="0" w:right="0"/>
            </w:pPr>
            <w:r>
              <w:t>RBCM</w:t>
            </w:r>
          </w:p>
        </w:tc>
        <w:tc>
          <w:tcPr>
            <w:cnfStyle w:evenVBand="true" w:oddVBand="false" w:firstColumn="false"/>
            <w:tcW w:w="25.000000%" w:type="pct"/>
          </w:tcPr>
          <w:p>
            <w:pPr>
              <w:ind w:leftChars="0" w:left="0" w:right="0"/>
            </w:pPr>
            <w:r>
              <w:t>RBCM</w:t>
            </w:r>
          </w:p>
        </w:tc>
        <w:tc>
          <w:tcPr>
            <w:cnfStyle w:evenVBand="false" w:oddVBand="true" w:firstColumn="false"/>
            <w:tcW w:w="25.000000%" w:type="pct"/>
          </w:tcPr>
          <w:p>
            <w:pPr>
              <w:ind w:leftChars="0" w:left="0" w:right="0"/>
            </w:pPr>
            <w:r>
              <w:t>RBC - ROYAL BANK OF CANADA</w:t>
            </w:r>
          </w:p>
        </w:tc>
        <w:tc>
          <w:tcPr>
            <w:cnfStyle w:evenVBand="true" w:oddVBand="false" w:firstColumn="false"/>
            <w:tcW w:w="25.000000%" w:type="pct"/>
          </w:tcPr>
          <w:p>
            <w:pPr>
              <w:ind w:leftChars="0" w:left="0" w:right="0"/>
            </w:pPr>
            <w:r>
              <w:t>1482</w:t>
            </w:r>
          </w:p>
        </w:tc>
      </w:tr>
      <w:tr>
        <w:trPr>
          <w:cnfStyle w:evenHBand="true" w:oddHBand="false" w:firstRow="false"/>
        </w:trPr>
        <w:tc>
          <w:tcPr>
            <w:cnfStyle w:evenVBand="false" w:oddVBand="true" w:firstColumn="false"/>
            <w:tcW w:w="25.000000%" w:type="pct"/>
          </w:tcPr>
          <w:p>
            <w:pPr>
              <w:ind w:leftChars="0" w:left="0" w:right="0"/>
            </w:pPr>
            <w:r>
              <w:t>RBCT</w:t>
            </w:r>
          </w:p>
        </w:tc>
        <w:tc>
          <w:tcPr>
            <w:cnfStyle w:evenVBand="true" w:oddVBand="false" w:firstColumn="false"/>
            <w:tcW w:w="25.000000%" w:type="pct"/>
          </w:tcPr>
          <w:p>
            <w:pPr>
              <w:ind w:leftChars="0" w:left="0" w:right="0"/>
            </w:pPr>
            <w:r>
              <w:t>RBCT</w:t>
            </w:r>
          </w:p>
        </w:tc>
        <w:tc>
          <w:tcPr>
            <w:cnfStyle w:evenVBand="false" w:oddVBand="true" w:firstColumn="false"/>
            <w:tcW w:w="25.000000%" w:type="pct"/>
          </w:tcPr>
          <w:p>
            <w:pPr>
              <w:ind w:leftChars="0" w:left="0" w:right="0"/>
            </w:pPr>
            <w:r>
              <w:t>RBC INVESTOR SERVICES TRUST</w:t>
            </w:r>
          </w:p>
        </w:tc>
        <w:tc>
          <w:tcPr>
            <w:cnfStyle w:evenVBand="true" w:oddVBand="false" w:firstColumn="false"/>
            <w:tcW w:w="25.000000%" w:type="pct"/>
          </w:tcPr>
          <w:p>
            <w:pPr>
              <w:ind w:leftChars="0" w:left="0" w:right="0"/>
            </w:pPr>
            <w:r>
              <w:t>1483</w:t>
            </w:r>
          </w:p>
        </w:tc>
      </w:tr>
      <w:tr>
        <w:trPr>
          <w:cnfStyle w:evenHBand="false" w:oddHBand="true" w:firstRow="false"/>
        </w:trPr>
        <w:tc>
          <w:tcPr>
            <w:cnfStyle w:evenVBand="false" w:oddVBand="true" w:firstColumn="false"/>
            <w:tcW w:w="25.000000%" w:type="pct"/>
          </w:tcPr>
          <w:p>
            <w:pPr>
              <w:ind w:leftChars="0" w:left="0" w:right="0"/>
            </w:pPr>
            <w:r>
              <w:t>RBHU</w:t>
            </w:r>
          </w:p>
        </w:tc>
        <w:tc>
          <w:tcPr>
            <w:cnfStyle w:evenVBand="true" w:oddVBand="false" w:firstColumn="false"/>
            <w:tcW w:w="25.000000%" w:type="pct"/>
          </w:tcPr>
          <w:p>
            <w:pPr>
              <w:ind w:leftChars="0" w:left="0" w:right="0"/>
            </w:pPr>
            <w:r>
              <w:t>RBHU</w:t>
            </w:r>
          </w:p>
        </w:tc>
        <w:tc>
          <w:tcPr>
            <w:cnfStyle w:evenVBand="false" w:oddVBand="true" w:firstColumn="false"/>
            <w:tcW w:w="25.000000%" w:type="pct"/>
          </w:tcPr>
          <w:p>
            <w:pPr>
              <w:ind w:leftChars="0" w:left="0" w:right="0"/>
            </w:pPr>
            <w:r>
              <w:t>RAIFFEISEN BANK (HUNGARY) - SYSTEMATIC INTERNALISER</w:t>
            </w:r>
          </w:p>
        </w:tc>
        <w:tc>
          <w:tcPr>
            <w:cnfStyle w:evenVBand="true" w:oddVBand="false" w:firstColumn="false"/>
            <w:tcW w:w="25.000000%" w:type="pct"/>
          </w:tcPr>
          <w:p>
            <w:pPr>
              <w:ind w:leftChars="0" w:left="0" w:right="0"/>
            </w:pPr>
            <w:r>
              <w:t>1484</w:t>
            </w:r>
          </w:p>
        </w:tc>
      </w:tr>
      <w:tr>
        <w:trPr>
          <w:cnfStyle w:evenHBand="true" w:oddHBand="false" w:firstRow="false"/>
        </w:trPr>
        <w:tc>
          <w:tcPr>
            <w:cnfStyle w:evenVBand="false" w:oddVBand="true" w:firstColumn="false"/>
            <w:tcW w:w="25.000000%" w:type="pct"/>
          </w:tcPr>
          <w:p>
            <w:pPr>
              <w:ind w:leftChars="0" w:left="0" w:right="0"/>
            </w:pPr>
            <w:r>
              <w:t>RBIV</w:t>
            </w:r>
          </w:p>
        </w:tc>
        <w:tc>
          <w:tcPr>
            <w:cnfStyle w:evenVBand="true" w:oddVBand="false" w:firstColumn="false"/>
            <w:tcW w:w="25.000000%" w:type="pct"/>
          </w:tcPr>
          <w:p>
            <w:pPr>
              <w:ind w:leftChars="0" w:left="0" w:right="0"/>
            </w:pPr>
            <w:r>
              <w:t>RBIV</w:t>
            </w:r>
          </w:p>
        </w:tc>
        <w:tc>
          <w:tcPr>
            <w:cnfStyle w:evenVBand="false" w:oddVBand="true" w:firstColumn="false"/>
            <w:tcW w:w="25.000000%" w:type="pct"/>
          </w:tcPr>
          <w:p>
            <w:pPr>
              <w:ind w:leftChars="0" w:left="0" w:right="0"/>
            </w:pPr>
            <w:r>
              <w:t>RAIFFEISEN BANK INTERNATIONAL AG - SYSTEMATIC INTERNALISER</w:t>
            </w:r>
          </w:p>
        </w:tc>
        <w:tc>
          <w:tcPr>
            <w:cnfStyle w:evenVBand="true" w:oddVBand="false" w:firstColumn="false"/>
            <w:tcW w:w="25.000000%" w:type="pct"/>
          </w:tcPr>
          <w:p>
            <w:pPr>
              <w:ind w:leftChars="0" w:left="0" w:right="0"/>
            </w:pPr>
            <w:r>
              <w:t>1485</w:t>
            </w:r>
          </w:p>
        </w:tc>
      </w:tr>
      <w:tr>
        <w:trPr>
          <w:cnfStyle w:evenHBand="false" w:oddHBand="true" w:firstRow="false"/>
        </w:trPr>
        <w:tc>
          <w:tcPr>
            <w:cnfStyle w:evenVBand="false" w:oddVBand="true" w:firstColumn="false"/>
            <w:tcW w:w="25.000000%" w:type="pct"/>
          </w:tcPr>
          <w:p>
            <w:pPr>
              <w:ind w:leftChars="0" w:left="0" w:right="0"/>
            </w:pPr>
            <w:r>
              <w:t>RBSI</w:t>
            </w:r>
          </w:p>
        </w:tc>
        <w:tc>
          <w:tcPr>
            <w:cnfStyle w:evenVBand="true" w:oddVBand="false" w:firstColumn="false"/>
            <w:tcW w:w="25.000000%" w:type="pct"/>
          </w:tcPr>
          <w:p>
            <w:pPr>
              <w:ind w:leftChars="0" w:left="0" w:right="0"/>
            </w:pPr>
            <w:r>
              <w:t>RBSI</w:t>
            </w:r>
          </w:p>
        </w:tc>
        <w:tc>
          <w:tcPr>
            <w:cnfStyle w:evenVBand="false" w:oddVBand="true" w:firstColumn="false"/>
            <w:tcW w:w="25.000000%" w:type="pct"/>
          </w:tcPr>
          <w:p>
            <w:pPr>
              <w:ind w:leftChars="0" w:left="0" w:right="0"/>
            </w:pPr>
            <w:r>
              <w:t>RBC INVESTOR SERVICES BANK S.A. - SYSTEMATIC INTERNALISER</w:t>
            </w:r>
          </w:p>
        </w:tc>
        <w:tc>
          <w:tcPr>
            <w:cnfStyle w:evenVBand="true" w:oddVBand="false" w:firstColumn="false"/>
            <w:tcW w:w="25.000000%" w:type="pct"/>
          </w:tcPr>
          <w:p>
            <w:pPr>
              <w:ind w:leftChars="0" w:left="0" w:right="0"/>
            </w:pPr>
            <w:r>
              <w:t>1486</w:t>
            </w:r>
          </w:p>
        </w:tc>
      </w:tr>
      <w:tr>
        <w:trPr>
          <w:cnfStyle w:evenHBand="true" w:oddHBand="false" w:firstRow="false"/>
        </w:trPr>
        <w:tc>
          <w:tcPr>
            <w:cnfStyle w:evenVBand="false" w:oddVBand="true" w:firstColumn="false"/>
            <w:tcW w:w="25.000000%" w:type="pct"/>
          </w:tcPr>
          <w:p>
            <w:pPr>
              <w:ind w:leftChars="0" w:left="0" w:right="0"/>
            </w:pPr>
            <w:r>
              <w:t>RBSX</w:t>
            </w:r>
          </w:p>
        </w:tc>
        <w:tc>
          <w:tcPr>
            <w:cnfStyle w:evenVBand="true" w:oddVBand="false" w:firstColumn="false"/>
            <w:tcW w:w="25.000000%" w:type="pct"/>
          </w:tcPr>
          <w:p>
            <w:pPr>
              <w:ind w:leftChars="0" w:left="0" w:right="0"/>
            </w:pPr>
            <w:r>
              <w:t>RBSX</w:t>
            </w:r>
          </w:p>
        </w:tc>
        <w:tc>
          <w:tcPr>
            <w:cnfStyle w:evenVBand="false" w:oddVBand="true" w:firstColumn="false"/>
            <w:tcW w:w="25.000000%" w:type="pct"/>
          </w:tcPr>
          <w:p>
            <w:pPr>
              <w:ind w:leftChars="0" w:left="0" w:right="0"/>
            </w:pPr>
            <w:r>
              <w:t>RBS CROSS</w:t>
            </w:r>
          </w:p>
        </w:tc>
        <w:tc>
          <w:tcPr>
            <w:cnfStyle w:evenVBand="true" w:oddVBand="false" w:firstColumn="false"/>
            <w:tcW w:w="25.000000%" w:type="pct"/>
          </w:tcPr>
          <w:p>
            <w:pPr>
              <w:ind w:leftChars="0" w:left="0" w:right="0"/>
            </w:pPr>
            <w:r>
              <w:t>1487</w:t>
            </w:r>
          </w:p>
        </w:tc>
      </w:tr>
      <w:tr>
        <w:trPr>
          <w:cnfStyle w:evenHBand="false" w:oddHBand="true" w:firstRow="false"/>
        </w:trPr>
        <w:tc>
          <w:tcPr>
            <w:cnfStyle w:evenVBand="false" w:oddVBand="true" w:firstColumn="false"/>
            <w:tcW w:w="25.000000%" w:type="pct"/>
          </w:tcPr>
          <w:p>
            <w:pPr>
              <w:ind w:leftChars="0" w:left="0" w:right="0"/>
            </w:pPr>
            <w:r>
              <w:t>RCBX</w:t>
            </w:r>
          </w:p>
        </w:tc>
        <w:tc>
          <w:tcPr>
            <w:cnfStyle w:evenVBand="true" w:oddVBand="false" w:firstColumn="false"/>
            <w:tcW w:w="25.000000%" w:type="pct"/>
          </w:tcPr>
          <w:p>
            <w:pPr>
              <w:ind w:leftChars="0" w:left="0" w:right="0"/>
            </w:pPr>
            <w:r>
              <w:t>RCBX</w:t>
            </w:r>
          </w:p>
        </w:tc>
        <w:tc>
          <w:tcPr>
            <w:cnfStyle w:evenVBand="false" w:oddVBand="true" w:firstColumn="false"/>
            <w:tcW w:w="25.000000%" w:type="pct"/>
          </w:tcPr>
          <w:p>
            <w:pPr>
              <w:ind w:leftChars="0" w:left="0" w:right="0"/>
            </w:pPr>
            <w:r>
              <w:t>INSTINET RETAIL CBX</w:t>
            </w:r>
          </w:p>
        </w:tc>
        <w:tc>
          <w:tcPr>
            <w:cnfStyle w:evenVBand="true" w:oddVBand="false" w:firstColumn="false"/>
            <w:tcW w:w="25.000000%" w:type="pct"/>
          </w:tcPr>
          <w:p>
            <w:pPr>
              <w:ind w:leftChars="0" w:left="0" w:right="0"/>
            </w:pPr>
            <w:r>
              <w:t>1488</w:t>
            </w:r>
          </w:p>
        </w:tc>
      </w:tr>
      <w:tr>
        <w:trPr>
          <w:cnfStyle w:evenHBand="true" w:oddHBand="false" w:firstRow="false"/>
        </w:trPr>
        <w:tc>
          <w:tcPr>
            <w:cnfStyle w:evenVBand="false" w:oddVBand="true" w:firstColumn="false"/>
            <w:tcW w:w="25.000000%" w:type="pct"/>
          </w:tcPr>
          <w:p>
            <w:pPr>
              <w:ind w:leftChars="0" w:left="0" w:right="0"/>
            </w:pPr>
            <w:r>
              <w:t>RCMA</w:t>
            </w:r>
          </w:p>
        </w:tc>
        <w:tc>
          <w:tcPr>
            <w:cnfStyle w:evenVBand="true" w:oddVBand="false" w:firstColumn="false"/>
            <w:tcW w:w="25.000000%" w:type="pct"/>
          </w:tcPr>
          <w:p>
            <w:pPr>
              <w:ind w:leftChars="0" w:left="0" w:right="0"/>
            </w:pPr>
            <w:r>
              <w:t>RCMA</w:t>
            </w:r>
          </w:p>
        </w:tc>
        <w:tc>
          <w:tcPr>
            <w:cnfStyle w:evenVBand="false" w:oddVBand="true" w:firstColumn="false"/>
            <w:tcW w:w="25.000000%" w:type="pct"/>
          </w:tcPr>
          <w:p>
            <w:pPr>
              <w:ind w:leftChars="0" w:left="0" w:right="0"/>
            </w:pPr>
            <w:r>
              <w:t>RBC CAPITAL MARKETS ARBITRAGE S.A.</w:t>
            </w:r>
          </w:p>
        </w:tc>
        <w:tc>
          <w:tcPr>
            <w:cnfStyle w:evenVBand="true" w:oddVBand="false" w:firstColumn="false"/>
            <w:tcW w:w="25.000000%" w:type="pct"/>
          </w:tcPr>
          <w:p>
            <w:pPr>
              <w:ind w:leftChars="0" w:left="0" w:right="0"/>
            </w:pPr>
            <w:r>
              <w:t>1489</w:t>
            </w:r>
          </w:p>
        </w:tc>
      </w:tr>
      <w:tr>
        <w:trPr>
          <w:cnfStyle w:evenHBand="false" w:oddHBand="true" w:firstRow="false"/>
        </w:trPr>
        <w:tc>
          <w:tcPr>
            <w:cnfStyle w:evenVBand="false" w:oddVBand="true" w:firstColumn="false"/>
            <w:tcW w:w="25.000000%" w:type="pct"/>
          </w:tcPr>
          <w:p>
            <w:pPr>
              <w:ind w:leftChars="0" w:left="0" w:right="0"/>
            </w:pPr>
            <w:r>
              <w:t>RENC</w:t>
            </w:r>
          </w:p>
        </w:tc>
        <w:tc>
          <w:tcPr>
            <w:cnfStyle w:evenVBand="true" w:oddVBand="false" w:firstColumn="false"/>
            <w:tcW w:w="25.000000%" w:type="pct"/>
          </w:tcPr>
          <w:p>
            <w:pPr>
              <w:ind w:leftChars="0" w:left="0" w:right="0"/>
            </w:pPr>
            <w:r>
              <w:t>RENC</w:t>
            </w:r>
          </w:p>
        </w:tc>
        <w:tc>
          <w:tcPr>
            <w:cnfStyle w:evenVBand="false" w:oddVBand="true" w:firstColumn="false"/>
            <w:tcW w:w="25.000000%" w:type="pct"/>
          </w:tcPr>
          <w:p>
            <w:pPr>
              <w:ind w:leftChars="0" w:left="0" w:right="0"/>
            </w:pPr>
            <w:r>
              <w:t>RENAISSANCE SECURITIES (CYPRUS) LIMITED</w:t>
            </w:r>
          </w:p>
        </w:tc>
        <w:tc>
          <w:tcPr>
            <w:cnfStyle w:evenVBand="true" w:oddVBand="false" w:firstColumn="false"/>
            <w:tcW w:w="25.000000%" w:type="pct"/>
          </w:tcPr>
          <w:p>
            <w:pPr>
              <w:ind w:leftChars="0" w:left="0" w:right="0"/>
            </w:pPr>
            <w:r>
              <w:t>1490</w:t>
            </w:r>
          </w:p>
        </w:tc>
      </w:tr>
      <w:tr>
        <w:trPr>
          <w:cnfStyle w:evenHBand="true" w:oddHBand="false" w:firstRow="false"/>
        </w:trPr>
        <w:tc>
          <w:tcPr>
            <w:cnfStyle w:evenVBand="false" w:oddVBand="true" w:firstColumn="false"/>
            <w:tcW w:w="25.000000%" w:type="pct"/>
          </w:tcPr>
          <w:p>
            <w:pPr>
              <w:ind w:leftChars="0" w:left="0" w:right="0"/>
            </w:pPr>
            <w:r>
              <w:t>RESE</w:t>
            </w:r>
          </w:p>
        </w:tc>
        <w:tc>
          <w:tcPr>
            <w:cnfStyle w:evenVBand="true" w:oddVBand="false" w:firstColumn="false"/>
            <w:tcW w:w="25.000000%" w:type="pct"/>
          </w:tcPr>
          <w:p>
            <w:pPr>
              <w:ind w:leftChars="0" w:left="0" w:right="0"/>
            </w:pPr>
            <w:r>
              <w:t>RESE</w:t>
            </w:r>
          </w:p>
        </w:tc>
        <w:tc>
          <w:tcPr>
            <w:cnfStyle w:evenVBand="false" w:oddVBand="true" w:firstColumn="false"/>
            <w:tcW w:w="25.000000%" w:type="pct"/>
          </w:tcPr>
          <w:p>
            <w:pPr>
              <w:ind w:leftChars="0" w:left="0" w:right="0"/>
            </w:pPr>
            <w:r>
              <w:t>EBS MTF - RESET</w:t>
            </w:r>
          </w:p>
        </w:tc>
        <w:tc>
          <w:tcPr>
            <w:cnfStyle w:evenVBand="true" w:oddVBand="false" w:firstColumn="false"/>
            <w:tcW w:w="25.000000%" w:type="pct"/>
          </w:tcPr>
          <w:p>
            <w:pPr>
              <w:ind w:leftChars="0" w:left="0" w:right="0"/>
            </w:pPr>
            <w:r>
              <w:t>1491</w:t>
            </w:r>
          </w:p>
        </w:tc>
      </w:tr>
      <w:tr>
        <w:trPr>
          <w:cnfStyle w:evenHBand="false" w:oddHBand="true" w:firstRow="false"/>
        </w:trPr>
        <w:tc>
          <w:tcPr>
            <w:cnfStyle w:evenVBand="false" w:oddVBand="true" w:firstColumn="false"/>
            <w:tcW w:w="25.000000%" w:type="pct"/>
          </w:tcPr>
          <w:p>
            <w:pPr>
              <w:ind w:leftChars="0" w:left="0" w:right="0"/>
            </w:pPr>
            <w:r>
              <w:t>RESF</w:t>
            </w:r>
          </w:p>
        </w:tc>
        <w:tc>
          <w:tcPr>
            <w:cnfStyle w:evenVBand="true" w:oddVBand="false" w:firstColumn="false"/>
            <w:tcW w:w="25.000000%" w:type="pct"/>
          </w:tcPr>
          <w:p>
            <w:pPr>
              <w:ind w:leftChars="0" w:left="0" w:right="0"/>
            </w:pPr>
            <w:r>
              <w:t>RESF</w:t>
            </w:r>
          </w:p>
        </w:tc>
        <w:tc>
          <w:tcPr>
            <w:cnfStyle w:evenVBand="false" w:oddVBand="true" w:firstColumn="false"/>
            <w:tcW w:w="25.000000%" w:type="pct"/>
          </w:tcPr>
          <w:p>
            <w:pPr>
              <w:ind w:leftChars="0" w:left="0" w:right="0"/>
            </w:pPr>
            <w:r>
              <w:t>EBS MTF - RESET SEGMENT</w:t>
            </w:r>
          </w:p>
        </w:tc>
        <w:tc>
          <w:tcPr>
            <w:cnfStyle w:evenVBand="true" w:oddVBand="false" w:firstColumn="false"/>
            <w:tcW w:w="25.000000%" w:type="pct"/>
          </w:tcPr>
          <w:p>
            <w:pPr>
              <w:ind w:leftChars="0" w:left="0" w:right="0"/>
            </w:pPr>
            <w:r>
              <w:t>1492</w:t>
            </w:r>
          </w:p>
        </w:tc>
      </w:tr>
      <w:tr>
        <w:trPr>
          <w:cnfStyle w:evenHBand="true" w:oddHBand="false" w:firstRow="false"/>
        </w:trPr>
        <w:tc>
          <w:tcPr>
            <w:cnfStyle w:evenVBand="false" w:oddVBand="true" w:firstColumn="false"/>
            <w:tcW w:w="25.000000%" w:type="pct"/>
          </w:tcPr>
          <w:p>
            <w:pPr>
              <w:ind w:leftChars="0" w:left="0" w:right="0"/>
            </w:pPr>
            <w:r>
              <w:t>REST</w:t>
            </w:r>
          </w:p>
        </w:tc>
        <w:tc>
          <w:tcPr>
            <w:cnfStyle w:evenVBand="true" w:oddVBand="false" w:firstColumn="false"/>
            <w:tcW w:w="25.000000%" w:type="pct"/>
          </w:tcPr>
          <w:p>
            <w:pPr>
              <w:ind w:leftChars="0" w:left="0" w:right="0"/>
            </w:pPr>
            <w:r>
              <w:t>REST</w:t>
            </w:r>
          </w:p>
        </w:tc>
        <w:tc>
          <w:tcPr>
            <w:cnfStyle w:evenVBand="false" w:oddVBand="true" w:firstColumn="false"/>
            <w:tcW w:w="25.000000%" w:type="pct"/>
          </w:tcPr>
          <w:p>
            <w:pPr>
              <w:ind w:leftChars="0" w:left="0" w:right="0"/>
            </w:pPr>
            <w:r>
              <w:t>NEX SEF MTF - RESET - RISK MITIGATION SERVICES</w:t>
            </w:r>
          </w:p>
        </w:tc>
        <w:tc>
          <w:tcPr>
            <w:cnfStyle w:evenVBand="true" w:oddVBand="false" w:firstColumn="false"/>
            <w:tcW w:w="25.000000%" w:type="pct"/>
          </w:tcPr>
          <w:p>
            <w:pPr>
              <w:ind w:leftChars="0" w:left="0" w:right="0"/>
            </w:pPr>
            <w:r>
              <w:t>1493</w:t>
            </w:r>
          </w:p>
        </w:tc>
      </w:tr>
      <w:tr>
        <w:trPr>
          <w:cnfStyle w:evenHBand="false" w:oddHBand="true" w:firstRow="false"/>
        </w:trPr>
        <w:tc>
          <w:tcPr>
            <w:cnfStyle w:evenVBand="false" w:oddVBand="true" w:firstColumn="false"/>
            <w:tcW w:w="25.000000%" w:type="pct"/>
          </w:tcPr>
          <w:p>
            <w:pPr>
              <w:ind w:leftChars="0" w:left="0" w:right="0"/>
            </w:pPr>
            <w:r>
              <w:t>RFBK</w:t>
            </w:r>
          </w:p>
        </w:tc>
        <w:tc>
          <w:tcPr>
            <w:cnfStyle w:evenVBand="true" w:oddVBand="false" w:firstColumn="false"/>
            <w:tcW w:w="25.000000%" w:type="pct"/>
          </w:tcPr>
          <w:p>
            <w:pPr>
              <w:ind w:leftChars="0" w:left="0" w:right="0"/>
            </w:pPr>
            <w:r>
              <w:t>RFBK</w:t>
            </w:r>
          </w:p>
        </w:tc>
        <w:tc>
          <w:tcPr>
            <w:cnfStyle w:evenVBand="false" w:oddVBand="true" w:firstColumn="false"/>
            <w:tcW w:w="25.000000%" w:type="pct"/>
          </w:tcPr>
          <w:p>
            <w:pPr>
              <w:ind w:leftChars="0" w:left="0" w:right="0"/>
            </w:pPr>
            <w:r>
              <w:t>RAIFFEISENBANK, AS.  - SYSTEMATIC INTERNALISER</w:t>
            </w:r>
          </w:p>
        </w:tc>
        <w:tc>
          <w:tcPr>
            <w:cnfStyle w:evenVBand="true" w:oddVBand="false" w:firstColumn="false"/>
            <w:tcW w:w="25.000000%" w:type="pct"/>
          </w:tcPr>
          <w:p>
            <w:pPr>
              <w:ind w:leftChars="0" w:left="0" w:right="0"/>
            </w:pPr>
            <w:r>
              <w:t>1494</w:t>
            </w:r>
          </w:p>
        </w:tc>
      </w:tr>
      <w:tr>
        <w:trPr>
          <w:cnfStyle w:evenHBand="true" w:oddHBand="false" w:firstRow="false"/>
        </w:trPr>
        <w:tc>
          <w:tcPr>
            <w:cnfStyle w:evenVBand="false" w:oddVBand="true" w:firstColumn="false"/>
            <w:tcW w:w="25.000000%" w:type="pct"/>
          </w:tcPr>
          <w:p>
            <w:pPr>
              <w:ind w:leftChars="0" w:left="0" w:right="0"/>
            </w:pPr>
            <w:r>
              <w:t>RICD</w:t>
            </w:r>
          </w:p>
        </w:tc>
        <w:tc>
          <w:tcPr>
            <w:cnfStyle w:evenVBand="true" w:oddVBand="false" w:firstColumn="false"/>
            <w:tcW w:w="25.000000%" w:type="pct"/>
          </w:tcPr>
          <w:p>
            <w:pPr>
              <w:ind w:leftChars="0" w:left="0" w:right="0"/>
            </w:pPr>
            <w:r>
              <w:t>RICD</w:t>
            </w:r>
          </w:p>
        </w:tc>
        <w:tc>
          <w:tcPr>
            <w:cnfStyle w:evenVBand="false" w:oddVBand="true" w:firstColumn="false"/>
            <w:tcW w:w="25.000000%" w:type="pct"/>
          </w:tcPr>
          <w:p>
            <w:pPr>
              <w:ind w:leftChars="0" w:left="0" w:right="0"/>
            </w:pPr>
            <w:r>
              <w:t>RIVERCROSS DARK</w:t>
            </w:r>
          </w:p>
        </w:tc>
        <w:tc>
          <w:tcPr>
            <w:cnfStyle w:evenVBand="true" w:oddVBand="false" w:firstColumn="false"/>
            <w:tcW w:w="25.000000%" w:type="pct"/>
          </w:tcPr>
          <w:p>
            <w:pPr>
              <w:ind w:leftChars="0" w:left="0" w:right="0"/>
            </w:pPr>
            <w:r>
              <w:t>1495</w:t>
            </w:r>
          </w:p>
        </w:tc>
      </w:tr>
      <w:tr>
        <w:trPr>
          <w:cnfStyle w:evenHBand="false" w:oddHBand="true" w:firstRow="false"/>
        </w:trPr>
        <w:tc>
          <w:tcPr>
            <w:cnfStyle w:evenVBand="false" w:oddVBand="true" w:firstColumn="false"/>
            <w:tcW w:w="25.000000%" w:type="pct"/>
          </w:tcPr>
          <w:p>
            <w:pPr>
              <w:ind w:leftChars="0" w:left="0" w:right="0"/>
            </w:pPr>
            <w:r>
              <w:t>RICX</w:t>
            </w:r>
          </w:p>
        </w:tc>
        <w:tc>
          <w:tcPr>
            <w:cnfStyle w:evenVBand="true" w:oddVBand="false" w:firstColumn="false"/>
            <w:tcW w:w="25.000000%" w:type="pct"/>
          </w:tcPr>
          <w:p>
            <w:pPr>
              <w:ind w:leftChars="0" w:left="0" w:right="0"/>
            </w:pPr>
            <w:r>
              <w:t>RICX</w:t>
            </w:r>
          </w:p>
        </w:tc>
        <w:tc>
          <w:tcPr>
            <w:cnfStyle w:evenVBand="false" w:oddVBand="true" w:firstColumn="false"/>
            <w:tcW w:w="25.000000%" w:type="pct"/>
          </w:tcPr>
          <w:p>
            <w:pPr>
              <w:ind w:leftChars="0" w:left="0" w:right="0"/>
            </w:pPr>
            <w:r>
              <w:t>RIVERCROSS</w:t>
            </w:r>
          </w:p>
        </w:tc>
        <w:tc>
          <w:tcPr>
            <w:cnfStyle w:evenVBand="true" w:oddVBand="false" w:firstColumn="false"/>
            <w:tcW w:w="25.000000%" w:type="pct"/>
          </w:tcPr>
          <w:p>
            <w:pPr>
              <w:ind w:leftChars="0" w:left="0" w:right="0"/>
            </w:pPr>
            <w:r>
              <w:t>1496</w:t>
            </w:r>
          </w:p>
        </w:tc>
      </w:tr>
      <w:tr>
        <w:trPr>
          <w:cnfStyle w:evenHBand="true" w:oddHBand="false" w:firstRow="false"/>
        </w:trPr>
        <w:tc>
          <w:tcPr>
            <w:cnfStyle w:evenVBand="false" w:oddVBand="true" w:firstColumn="false"/>
            <w:tcW w:w="25.000000%" w:type="pct"/>
          </w:tcPr>
          <w:p>
            <w:pPr>
              <w:ind w:leftChars="0" w:left="0" w:right="0"/>
            </w:pPr>
            <w:r>
              <w:t>RITS</w:t>
            </w:r>
          </w:p>
        </w:tc>
        <w:tc>
          <w:tcPr>
            <w:cnfStyle w:evenVBand="true" w:oddVBand="false" w:firstColumn="false"/>
            <w:tcW w:w="25.000000%" w:type="pct"/>
          </w:tcPr>
          <w:p>
            <w:pPr>
              <w:ind w:leftChars="0" w:left="0" w:right="0"/>
            </w:pPr>
            <w:r>
              <w:t>RITS</w:t>
            </w:r>
          </w:p>
        </w:tc>
        <w:tc>
          <w:tcPr>
            <w:cnfStyle w:evenVBand="false" w:oddVBand="true" w:firstColumn="false"/>
            <w:tcW w:w="25.000000%" w:type="pct"/>
          </w:tcPr>
          <w:p>
            <w:pPr>
              <w:ind w:leftChars="0" w:left="0" w:right="0"/>
            </w:pPr>
            <w:r>
              <w:t>REFINITIV - FORWARDS MATCHING</w:t>
            </w:r>
          </w:p>
        </w:tc>
        <w:tc>
          <w:tcPr>
            <w:cnfStyle w:evenVBand="true" w:oddVBand="false" w:firstColumn="false"/>
            <w:tcW w:w="25.000000%" w:type="pct"/>
          </w:tcPr>
          <w:p>
            <w:pPr>
              <w:ind w:leftChars="0" w:left="0" w:right="0"/>
            </w:pPr>
            <w:r>
              <w:t>1497</w:t>
            </w:r>
          </w:p>
        </w:tc>
      </w:tr>
      <w:tr>
        <w:trPr>
          <w:cnfStyle w:evenHBand="false" w:oddHBand="true" w:firstRow="false"/>
        </w:trPr>
        <w:tc>
          <w:tcPr>
            <w:cnfStyle w:evenVBand="false" w:oddVBand="true" w:firstColumn="false"/>
            <w:tcW w:w="25.000000%" w:type="pct"/>
          </w:tcPr>
          <w:p>
            <w:pPr>
              <w:ind w:leftChars="0" w:left="0" w:right="0"/>
            </w:pPr>
            <w:r>
              <w:t>RLBO</w:t>
            </w:r>
          </w:p>
        </w:tc>
        <w:tc>
          <w:tcPr>
            <w:cnfStyle w:evenVBand="true" w:oddVBand="false" w:firstColumn="false"/>
            <w:tcW w:w="25.000000%" w:type="pct"/>
          </w:tcPr>
          <w:p>
            <w:pPr>
              <w:ind w:leftChars="0" w:left="0" w:right="0"/>
            </w:pPr>
            <w:r>
              <w:t>RLBO</w:t>
            </w:r>
          </w:p>
        </w:tc>
        <w:tc>
          <w:tcPr>
            <w:cnfStyle w:evenVBand="false" w:oddVBand="true" w:firstColumn="false"/>
            <w:tcW w:w="25.000000%" w:type="pct"/>
          </w:tcPr>
          <w:p>
            <w:pPr>
              <w:ind w:leftChars="0" w:left="0" w:right="0"/>
            </w:pPr>
            <w:r>
              <w:t>RAIFFEISENLANDESBANK OBERÖSTERREICH - SYSTEMATIC INTERNALISER</w:t>
            </w:r>
          </w:p>
        </w:tc>
        <w:tc>
          <w:tcPr>
            <w:cnfStyle w:evenVBand="true" w:oddVBand="false" w:firstColumn="false"/>
            <w:tcW w:w="25.000000%" w:type="pct"/>
          </w:tcPr>
          <w:p>
            <w:pPr>
              <w:ind w:leftChars="0" w:left="0" w:right="0"/>
            </w:pPr>
            <w:r>
              <w:t>1498</w:t>
            </w:r>
          </w:p>
        </w:tc>
      </w:tr>
      <w:tr>
        <w:trPr>
          <w:cnfStyle w:evenHBand="true" w:oddHBand="false" w:firstRow="false"/>
        </w:trPr>
        <w:tc>
          <w:tcPr>
            <w:cnfStyle w:evenVBand="false" w:oddVBand="true" w:firstColumn="false"/>
            <w:tcW w:w="25.000000%" w:type="pct"/>
          </w:tcPr>
          <w:p>
            <w:pPr>
              <w:ind w:leftChars="0" w:left="0" w:right="0"/>
            </w:pPr>
            <w:r>
              <w:t>RMMS</w:t>
            </w:r>
          </w:p>
        </w:tc>
        <w:tc>
          <w:tcPr>
            <w:cnfStyle w:evenVBand="true" w:oddVBand="false" w:firstColumn="false"/>
            <w:tcW w:w="25.000000%" w:type="pct"/>
          </w:tcPr>
          <w:p>
            <w:pPr>
              <w:ind w:leftChars="0" w:left="0" w:right="0"/>
            </w:pPr>
            <w:r>
              <w:t>RMMS</w:t>
            </w:r>
          </w:p>
        </w:tc>
        <w:tc>
          <w:tcPr>
            <w:cnfStyle w:evenVBand="false" w:oddVBand="true" w:firstColumn="false"/>
            <w:tcW w:w="25.000000%" w:type="pct"/>
          </w:tcPr>
          <w:p>
            <w:pPr>
              <w:ind w:leftChars="0" w:left="0" w:right="0"/>
            </w:pPr>
            <w:r>
              <w:t>RMB MORGAN STANLEY</w:t>
            </w:r>
          </w:p>
        </w:tc>
        <w:tc>
          <w:tcPr>
            <w:cnfStyle w:evenVBand="true" w:oddVBand="false" w:firstColumn="false"/>
            <w:tcW w:w="25.000000%" w:type="pct"/>
          </w:tcPr>
          <w:p>
            <w:pPr>
              <w:ind w:leftChars="0" w:left="0" w:right="0"/>
            </w:pPr>
            <w:r>
              <w:t>1499</w:t>
            </w:r>
          </w:p>
        </w:tc>
      </w:tr>
      <w:tr>
        <w:trPr>
          <w:cnfStyle w:evenHBand="false" w:oddHBand="true" w:firstRow="false"/>
        </w:trPr>
        <w:tc>
          <w:tcPr>
            <w:cnfStyle w:evenVBand="false" w:oddVBand="true" w:firstColumn="false"/>
            <w:tcW w:w="25.000000%" w:type="pct"/>
          </w:tcPr>
          <w:p>
            <w:pPr>
              <w:ind w:leftChars="0" w:left="0" w:right="0"/>
            </w:pPr>
            <w:r>
              <w:t>RMMX</w:t>
            </w:r>
          </w:p>
        </w:tc>
        <w:tc>
          <w:tcPr>
            <w:cnfStyle w:evenVBand="true" w:oddVBand="false" w:firstColumn="false"/>
            <w:tcW w:w="25.000000%" w:type="pct"/>
          </w:tcPr>
          <w:p>
            <w:pPr>
              <w:ind w:leftChars="0" w:left="0" w:right="0"/>
            </w:pPr>
            <w:r>
              <w:t>RMMX</w:t>
            </w:r>
          </w:p>
        </w:tc>
        <w:tc>
          <w:tcPr>
            <w:cnfStyle w:evenVBand="false" w:oddVBand="true" w:firstColumn="false"/>
            <w:tcW w:w="25.000000%" w:type="pct"/>
          </w:tcPr>
          <w:p>
            <w:pPr>
              <w:ind w:leftChars="0" w:left="0" w:right="0"/>
            </w:pPr>
            <w:r>
              <w:t>RMB MORGAN STANLEY - INVENTORY MANAGER</w:t>
            </w:r>
          </w:p>
        </w:tc>
        <w:tc>
          <w:tcPr>
            <w:cnfStyle w:evenVBand="true" w:oddVBand="false" w:firstColumn="false"/>
            <w:tcW w:w="25.000000%" w:type="pct"/>
          </w:tcPr>
          <w:p>
            <w:pPr>
              <w:ind w:leftChars="0" w:left="0" w:right="0"/>
            </w:pPr>
            <w:r>
              <w:t>1500</w:t>
            </w:r>
          </w:p>
        </w:tc>
      </w:tr>
      <w:tr>
        <w:trPr>
          <w:cnfStyle w:evenHBand="true" w:oddHBand="false" w:firstRow="false"/>
        </w:trPr>
        <w:tc>
          <w:tcPr>
            <w:cnfStyle w:evenVBand="false" w:oddVBand="true" w:firstColumn="false"/>
            <w:tcW w:w="25.000000%" w:type="pct"/>
          </w:tcPr>
          <w:p>
            <w:pPr>
              <w:ind w:leftChars="0" w:left="0" w:right="0"/>
            </w:pPr>
            <w:r>
              <w:t>RMTF</w:t>
            </w:r>
          </w:p>
        </w:tc>
        <w:tc>
          <w:tcPr>
            <w:cnfStyle w:evenVBand="true" w:oddVBand="false" w:firstColumn="false"/>
            <w:tcW w:w="25.000000%" w:type="pct"/>
          </w:tcPr>
          <w:p>
            <w:pPr>
              <w:ind w:leftChars="0" w:left="0" w:right="0"/>
            </w:pPr>
            <w:r>
              <w:t>RMTF</w:t>
            </w:r>
          </w:p>
        </w:tc>
        <w:tc>
          <w:tcPr>
            <w:cnfStyle w:evenVBand="false" w:oddVBand="true" w:firstColumn="false"/>
            <w:tcW w:w="25.000000%" w:type="pct"/>
          </w:tcPr>
          <w:p>
            <w:pPr>
              <w:ind w:leftChars="0" w:left="0" w:right="0"/>
            </w:pPr>
            <w:r>
              <w:t>REFINITIV MTF</w:t>
            </w:r>
          </w:p>
        </w:tc>
        <w:tc>
          <w:tcPr>
            <w:cnfStyle w:evenVBand="true" w:oddVBand="false" w:firstColumn="false"/>
            <w:tcW w:w="25.000000%" w:type="pct"/>
          </w:tcPr>
          <w:p>
            <w:pPr>
              <w:ind w:leftChars="0" w:left="0" w:right="0"/>
            </w:pPr>
            <w:r>
              <w:t>1501</w:t>
            </w:r>
          </w:p>
        </w:tc>
      </w:tr>
      <w:tr>
        <w:trPr>
          <w:cnfStyle w:evenHBand="false" w:oddHBand="true" w:firstRow="false"/>
        </w:trPr>
        <w:tc>
          <w:tcPr>
            <w:cnfStyle w:evenVBand="false" w:oddVBand="true" w:firstColumn="false"/>
            <w:tcW w:w="25.000000%" w:type="pct"/>
          </w:tcPr>
          <w:p>
            <w:pPr>
              <w:ind w:leftChars="0" w:left="0" w:right="0"/>
            </w:pPr>
            <w:r>
              <w:t>RMTS</w:t>
            </w:r>
          </w:p>
        </w:tc>
        <w:tc>
          <w:tcPr>
            <w:cnfStyle w:evenVBand="true" w:oddVBand="false" w:firstColumn="false"/>
            <w:tcW w:w="25.000000%" w:type="pct"/>
          </w:tcPr>
          <w:p>
            <w:pPr>
              <w:ind w:leftChars="0" w:left="0" w:right="0"/>
            </w:pPr>
            <w:r>
              <w:t>RMTS</w:t>
            </w:r>
          </w:p>
        </w:tc>
        <w:tc>
          <w:tcPr>
            <w:cnfStyle w:evenVBand="false" w:oddVBand="true" w:firstColumn="false"/>
            <w:tcW w:w="25.000000%" w:type="pct"/>
          </w:tcPr>
          <w:p>
            <w:pPr>
              <w:ind w:leftChars="0" w:left="0" w:right="0"/>
            </w:pPr>
            <w:r>
              <w:t>MTS ISRAEL</w:t>
            </w:r>
          </w:p>
        </w:tc>
        <w:tc>
          <w:tcPr>
            <w:cnfStyle w:evenVBand="true" w:oddVBand="false" w:firstColumn="false"/>
            <w:tcW w:w="25.000000%" w:type="pct"/>
          </w:tcPr>
          <w:p>
            <w:pPr>
              <w:ind w:leftChars="0" w:left="0" w:right="0"/>
            </w:pPr>
            <w:r>
              <w:t>1502</w:t>
            </w:r>
          </w:p>
        </w:tc>
      </w:tr>
      <w:tr>
        <w:trPr>
          <w:cnfStyle w:evenHBand="true" w:oddHBand="false" w:firstRow="false"/>
        </w:trPr>
        <w:tc>
          <w:tcPr>
            <w:cnfStyle w:evenVBand="false" w:oddVBand="true" w:firstColumn="false"/>
            <w:tcW w:w="25.000000%" w:type="pct"/>
          </w:tcPr>
          <w:p>
            <w:pPr>
              <w:ind w:leftChars="0" w:left="0" w:right="0"/>
            </w:pPr>
            <w:r>
              <w:t>ROCO</w:t>
            </w:r>
          </w:p>
        </w:tc>
        <w:tc>
          <w:tcPr>
            <w:cnfStyle w:evenVBand="true" w:oddVBand="false" w:firstColumn="false"/>
            <w:tcW w:w="25.000000%" w:type="pct"/>
          </w:tcPr>
          <w:p>
            <w:pPr>
              <w:ind w:leftChars="0" w:left="0" w:right="0"/>
            </w:pPr>
            <w:r>
              <w:t>ROCO</w:t>
            </w:r>
          </w:p>
        </w:tc>
        <w:tc>
          <w:tcPr>
            <w:cnfStyle w:evenVBand="false" w:oddVBand="true" w:firstColumn="false"/>
            <w:tcW w:w="25.000000%" w:type="pct"/>
          </w:tcPr>
          <w:p>
            <w:pPr>
              <w:ind w:leftChars="0" w:left="0" w:right="0"/>
            </w:pPr>
            <w:r>
              <w:t>TAIPEI EXCHANGE</w:t>
            </w:r>
          </w:p>
        </w:tc>
        <w:tc>
          <w:tcPr>
            <w:cnfStyle w:evenVBand="true" w:oddVBand="false" w:firstColumn="false"/>
            <w:tcW w:w="25.000000%" w:type="pct"/>
          </w:tcPr>
          <w:p>
            <w:pPr>
              <w:ind w:leftChars="0" w:left="0" w:right="0"/>
            </w:pPr>
            <w:r>
              <w:t>1503</w:t>
            </w:r>
          </w:p>
        </w:tc>
      </w:tr>
      <w:tr>
        <w:trPr>
          <w:cnfStyle w:evenHBand="false" w:oddHBand="true" w:firstRow="false"/>
        </w:trPr>
        <w:tc>
          <w:tcPr>
            <w:cnfStyle w:evenVBand="false" w:oddVBand="true" w:firstColumn="false"/>
            <w:tcW w:w="25.000000%" w:type="pct"/>
          </w:tcPr>
          <w:p>
            <w:pPr>
              <w:ind w:leftChars="0" w:left="0" w:right="0"/>
            </w:pPr>
            <w:r>
              <w:t>ROFX</w:t>
            </w:r>
          </w:p>
        </w:tc>
        <w:tc>
          <w:tcPr>
            <w:cnfStyle w:evenVBand="true" w:oddVBand="false" w:firstColumn="false"/>
            <w:tcW w:w="25.000000%" w:type="pct"/>
          </w:tcPr>
          <w:p>
            <w:pPr>
              <w:ind w:leftChars="0" w:left="0" w:right="0"/>
            </w:pPr>
            <w:r>
              <w:t>ROFX</w:t>
            </w:r>
          </w:p>
        </w:tc>
        <w:tc>
          <w:tcPr>
            <w:cnfStyle w:evenVBand="false" w:oddVBand="true" w:firstColumn="false"/>
            <w:tcW w:w="25.000000%" w:type="pct"/>
          </w:tcPr>
          <w:p>
            <w:pPr>
              <w:ind w:leftChars="0" w:left="0" w:right="0"/>
            </w:pPr>
            <w:r>
              <w:t>ROSARIO FUTURE EXCHANGE</w:t>
            </w:r>
          </w:p>
        </w:tc>
        <w:tc>
          <w:tcPr>
            <w:cnfStyle w:evenVBand="true" w:oddVBand="false" w:firstColumn="false"/>
            <w:tcW w:w="25.000000%" w:type="pct"/>
          </w:tcPr>
          <w:p>
            <w:pPr>
              <w:ind w:leftChars="0" w:left="0" w:right="0"/>
            </w:pPr>
            <w:r>
              <w:t>1504</w:t>
            </w:r>
          </w:p>
        </w:tc>
      </w:tr>
      <w:tr>
        <w:trPr>
          <w:cnfStyle w:evenHBand="true" w:oddHBand="false" w:firstRow="false"/>
        </w:trPr>
        <w:tc>
          <w:tcPr>
            <w:cnfStyle w:evenVBand="false" w:oddVBand="true" w:firstColumn="false"/>
            <w:tcW w:w="25.000000%" w:type="pct"/>
          </w:tcPr>
          <w:p>
            <w:pPr>
              <w:ind w:leftChars="0" w:left="0" w:right="0"/>
            </w:pPr>
            <w:r>
              <w:t>ROSR</w:t>
            </w:r>
          </w:p>
        </w:tc>
        <w:tc>
          <w:tcPr>
            <w:cnfStyle w:evenVBand="true" w:oddVBand="false" w:firstColumn="false"/>
            <w:tcW w:w="25.000000%" w:type="pct"/>
          </w:tcPr>
          <w:p>
            <w:pPr>
              <w:ind w:leftChars="0" w:left="0" w:right="0"/>
            </w:pPr>
            <w:r>
              <w:t>ROSR</w:t>
            </w:r>
          </w:p>
        </w:tc>
        <w:tc>
          <w:tcPr>
            <w:cnfStyle w:evenVBand="false" w:oddVBand="true" w:firstColumn="false"/>
            <w:tcW w:w="25.000000%" w:type="pct"/>
          </w:tcPr>
          <w:p>
            <w:pPr>
              <w:ind w:leftChars="0" w:left="0" w:right="0"/>
            </w:pPr>
            <w:r>
              <w:t>SIX REPO AG</w:t>
            </w:r>
          </w:p>
        </w:tc>
        <w:tc>
          <w:tcPr>
            <w:cnfStyle w:evenVBand="true" w:oddVBand="false" w:firstColumn="false"/>
            <w:tcW w:w="25.000000%" w:type="pct"/>
          </w:tcPr>
          <w:p>
            <w:pPr>
              <w:ind w:leftChars="0" w:left="0" w:right="0"/>
            </w:pPr>
            <w:r>
              <w:t>1505</w:t>
            </w:r>
          </w:p>
        </w:tc>
      </w:tr>
      <w:tr>
        <w:trPr>
          <w:cnfStyle w:evenHBand="false" w:oddHBand="true" w:firstRow="false"/>
        </w:trPr>
        <w:tc>
          <w:tcPr>
            <w:cnfStyle w:evenVBand="false" w:oddVBand="true" w:firstColumn="false"/>
            <w:tcW w:w="25.000000%" w:type="pct"/>
          </w:tcPr>
          <w:p>
            <w:pPr>
              <w:ind w:leftChars="0" w:left="0" w:right="0"/>
            </w:pPr>
            <w:r>
              <w:t>ROTC</w:t>
            </w:r>
          </w:p>
        </w:tc>
        <w:tc>
          <w:tcPr>
            <w:cnfStyle w:evenVBand="true" w:oddVBand="false" w:firstColumn="false"/>
            <w:tcW w:w="25.000000%" w:type="pct"/>
          </w:tcPr>
          <w:p>
            <w:pPr>
              <w:ind w:leftChars="0" w:left="0" w:right="0"/>
            </w:pPr>
            <w:r>
              <w:t>ROTC</w:t>
            </w:r>
          </w:p>
        </w:tc>
        <w:tc>
          <w:tcPr>
            <w:cnfStyle w:evenVBand="false" w:oddVBand="true" w:firstColumn="false"/>
            <w:tcW w:w="25.000000%" w:type="pct"/>
          </w:tcPr>
          <w:p>
            <w:pPr>
              <w:ind w:leftChars="0" w:left="0" w:right="0"/>
            </w:pPr>
            <w:r>
              <w:t>RWANDA OTC MARKET</w:t>
            </w:r>
          </w:p>
        </w:tc>
        <w:tc>
          <w:tcPr>
            <w:cnfStyle w:evenVBand="true" w:oddVBand="false" w:firstColumn="false"/>
            <w:tcW w:w="25.000000%" w:type="pct"/>
          </w:tcPr>
          <w:p>
            <w:pPr>
              <w:ind w:leftChars="0" w:left="0" w:right="0"/>
            </w:pPr>
            <w:r>
              <w:t>1506</w:t>
            </w:r>
          </w:p>
        </w:tc>
      </w:tr>
      <w:tr>
        <w:trPr>
          <w:cnfStyle w:evenHBand="true" w:oddHBand="false" w:firstRow="false"/>
        </w:trPr>
        <w:tc>
          <w:tcPr>
            <w:cnfStyle w:evenVBand="false" w:oddVBand="true" w:firstColumn="false"/>
            <w:tcW w:w="25.000000%" w:type="pct"/>
          </w:tcPr>
          <w:p>
            <w:pPr>
              <w:ind w:leftChars="0" w:left="0" w:right="0"/>
            </w:pPr>
            <w:r>
              <w:t>RPDX</w:t>
            </w:r>
          </w:p>
        </w:tc>
        <w:tc>
          <w:tcPr>
            <w:cnfStyle w:evenVBand="true" w:oddVBand="false" w:firstColumn="false"/>
            <w:tcW w:w="25.000000%" w:type="pct"/>
          </w:tcPr>
          <w:p>
            <w:pPr>
              <w:ind w:leftChars="0" w:left="0" w:right="0"/>
            </w:pPr>
            <w:r>
              <w:t>RPDX</w:t>
            </w:r>
          </w:p>
        </w:tc>
        <w:tc>
          <w:tcPr>
            <w:cnfStyle w:evenVBand="false" w:oddVBand="true" w:firstColumn="false"/>
            <w:tcW w:w="25.000000%" w:type="pct"/>
          </w:tcPr>
          <w:p>
            <w:pPr>
              <w:ind w:leftChars="0" w:left="0" w:right="0"/>
            </w:pPr>
            <w:r>
              <w:t>MOSCOW ENERGY EXCHANGE</w:t>
            </w:r>
          </w:p>
        </w:tc>
        <w:tc>
          <w:tcPr>
            <w:cnfStyle w:evenVBand="true" w:oddVBand="false" w:firstColumn="false"/>
            <w:tcW w:w="25.000000%" w:type="pct"/>
          </w:tcPr>
          <w:p>
            <w:pPr>
              <w:ind w:leftChars="0" w:left="0" w:right="0"/>
            </w:pPr>
            <w:r>
              <w:t>1507</w:t>
            </w:r>
          </w:p>
        </w:tc>
      </w:tr>
      <w:tr>
        <w:trPr>
          <w:cnfStyle w:evenHBand="false" w:oddHBand="true" w:firstRow="false"/>
        </w:trPr>
        <w:tc>
          <w:tcPr>
            <w:cnfStyle w:evenVBand="false" w:oddVBand="true" w:firstColumn="false"/>
            <w:tcW w:w="25.000000%" w:type="pct"/>
          </w:tcPr>
          <w:p>
            <w:pPr>
              <w:ind w:leftChars="0" w:left="0" w:right="0"/>
            </w:pPr>
            <w:r>
              <w:t>RPWC</w:t>
            </w:r>
          </w:p>
        </w:tc>
        <w:tc>
          <w:tcPr>
            <w:cnfStyle w:evenVBand="true" w:oddVBand="false" w:firstColumn="false"/>
            <w:tcW w:w="25.000000%" w:type="pct"/>
          </w:tcPr>
          <w:p>
            <w:pPr>
              <w:ind w:leftChars="0" w:left="0" w:right="0"/>
            </w:pPr>
            <w:r>
              <w:t>RPWC</w:t>
            </w:r>
          </w:p>
        </w:tc>
        <w:tc>
          <w:tcPr>
            <w:cnfStyle w:evenVBand="false" w:oddVBand="true" w:firstColumn="false"/>
            <w:tcW w:w="25.000000%" w:type="pct"/>
          </w:tcPr>
          <w:p>
            <w:pPr>
              <w:ind w:leftChars="0" w:left="0" w:right="0"/>
            </w:pPr>
            <w:r>
              <w:t>WARSAW STOCK EXCHANGE/BONDS/CATALYST/BONDSPOT/REGULATED MARKET</w:t>
            </w:r>
          </w:p>
        </w:tc>
        <w:tc>
          <w:tcPr>
            <w:cnfStyle w:evenVBand="true" w:oddVBand="false" w:firstColumn="false"/>
            <w:tcW w:w="25.000000%" w:type="pct"/>
          </w:tcPr>
          <w:p>
            <w:pPr>
              <w:ind w:leftChars="0" w:left="0" w:right="0"/>
            </w:pPr>
            <w:r>
              <w:t>1508</w:t>
            </w:r>
          </w:p>
        </w:tc>
      </w:tr>
      <w:tr>
        <w:trPr>
          <w:cnfStyle w:evenHBand="true" w:oddHBand="false" w:firstRow="false"/>
        </w:trPr>
        <w:tc>
          <w:tcPr>
            <w:cnfStyle w:evenVBand="false" w:oddVBand="true" w:firstColumn="false"/>
            <w:tcW w:w="25.000000%" w:type="pct"/>
          </w:tcPr>
          <w:p>
            <w:pPr>
              <w:ind w:leftChars="0" w:left="0" w:right="0"/>
            </w:pPr>
            <w:r>
              <w:t>RR4G</w:t>
            </w:r>
          </w:p>
        </w:tc>
        <w:tc>
          <w:tcPr>
            <w:cnfStyle w:evenVBand="true" w:oddVBand="false" w:firstColumn="false"/>
            <w:tcW w:w="25.000000%" w:type="pct"/>
          </w:tcPr>
          <w:p>
            <w:pPr>
              <w:ind w:leftChars="0" w:left="0" w:right="0"/>
            </w:pPr>
            <w:r>
              <w:t>RR4G</w:t>
            </w:r>
          </w:p>
        </w:tc>
        <w:tc>
          <w:tcPr>
            <w:cnfStyle w:evenVBand="false" w:oddVBand="true" w:firstColumn="false"/>
            <w:tcW w:w="25.000000%" w:type="pct"/>
          </w:tcPr>
          <w:p>
            <w:pPr>
              <w:ind w:leftChars="0" w:left="0" w:right="0"/>
            </w:pPr>
            <w:r>
              <w:t>ROUTE4GAS</w:t>
            </w:r>
          </w:p>
        </w:tc>
        <w:tc>
          <w:tcPr>
            <w:cnfStyle w:evenVBand="true" w:oddVBand="false" w:firstColumn="false"/>
            <w:tcW w:w="25.000000%" w:type="pct"/>
          </w:tcPr>
          <w:p>
            <w:pPr>
              <w:ind w:leftChars="0" w:left="0" w:right="0"/>
            </w:pPr>
            <w:r>
              <w:t>1509</w:t>
            </w:r>
          </w:p>
        </w:tc>
      </w:tr>
      <w:tr>
        <w:trPr>
          <w:cnfStyle w:evenHBand="false" w:oddHBand="true" w:firstRow="false"/>
        </w:trPr>
        <w:tc>
          <w:tcPr>
            <w:cnfStyle w:evenVBand="false" w:oddVBand="true" w:firstColumn="false"/>
            <w:tcW w:w="25.000000%" w:type="pct"/>
          </w:tcPr>
          <w:p>
            <w:pPr>
              <w:ind w:leftChars="0" w:left="0" w:right="0"/>
            </w:pPr>
            <w:r>
              <w:t>RSEX</w:t>
            </w:r>
          </w:p>
        </w:tc>
        <w:tc>
          <w:tcPr>
            <w:cnfStyle w:evenVBand="true" w:oddVBand="false" w:firstColumn="false"/>
            <w:tcW w:w="25.000000%" w:type="pct"/>
          </w:tcPr>
          <w:p>
            <w:pPr>
              <w:ind w:leftChars="0" w:left="0" w:right="0"/>
            </w:pPr>
            <w:r>
              <w:t>RSEX</w:t>
            </w:r>
          </w:p>
        </w:tc>
        <w:tc>
          <w:tcPr>
            <w:cnfStyle w:evenVBand="false" w:oddVBand="true" w:firstColumn="false"/>
            <w:tcW w:w="25.000000%" w:type="pct"/>
          </w:tcPr>
          <w:p>
            <w:pPr>
              <w:ind w:leftChars="0" w:left="0" w:right="0"/>
            </w:pPr>
            <w:r>
              <w:t>RWANDA STOCK EXCHANGE</w:t>
            </w:r>
          </w:p>
        </w:tc>
        <w:tc>
          <w:tcPr>
            <w:cnfStyle w:evenVBand="true" w:oddVBand="false" w:firstColumn="false"/>
            <w:tcW w:w="25.000000%" w:type="pct"/>
          </w:tcPr>
          <w:p>
            <w:pPr>
              <w:ind w:leftChars="0" w:left="0" w:right="0"/>
            </w:pPr>
            <w:r>
              <w:t>1510</w:t>
            </w:r>
          </w:p>
        </w:tc>
      </w:tr>
      <w:tr>
        <w:trPr>
          <w:cnfStyle w:evenHBand="true" w:oddHBand="false" w:firstRow="false"/>
        </w:trPr>
        <w:tc>
          <w:tcPr>
            <w:cnfStyle w:evenVBand="false" w:oddVBand="true" w:firstColumn="false"/>
            <w:tcW w:w="25.000000%" w:type="pct"/>
          </w:tcPr>
          <w:p>
            <w:pPr>
              <w:ind w:leftChars="0" w:left="0" w:right="0"/>
            </w:pPr>
            <w:r>
              <w:t>RTSI</w:t>
            </w:r>
          </w:p>
        </w:tc>
        <w:tc>
          <w:tcPr>
            <w:cnfStyle w:evenVBand="true" w:oddVBand="false" w:firstColumn="false"/>
            <w:tcW w:w="25.000000%" w:type="pct"/>
          </w:tcPr>
          <w:p>
            <w:pPr>
              <w:ind w:leftChars="0" w:left="0" w:right="0"/>
            </w:pPr>
            <w:r>
              <w:t>RTSI</w:t>
            </w:r>
          </w:p>
        </w:tc>
        <w:tc>
          <w:tcPr>
            <w:cnfStyle w:evenVBand="false" w:oddVBand="true" w:firstColumn="false"/>
            <w:tcW w:w="25.000000%" w:type="pct"/>
          </w:tcPr>
          <w:p>
            <w:pPr>
              <w:ind w:leftChars="0" w:left="0" w:right="0"/>
            </w:pPr>
            <w:r>
              <w:t>RBC INVESTOR SERVICES TRUST - SYSTEMATIC INTERNALISER</w:t>
            </w:r>
          </w:p>
        </w:tc>
        <w:tc>
          <w:tcPr>
            <w:cnfStyle w:evenVBand="true" w:oddVBand="false" w:firstColumn="false"/>
            <w:tcW w:w="25.000000%" w:type="pct"/>
          </w:tcPr>
          <w:p>
            <w:pPr>
              <w:ind w:leftChars="0" w:left="0" w:right="0"/>
            </w:pPr>
            <w:r>
              <w:t>1511</w:t>
            </w:r>
          </w:p>
        </w:tc>
      </w:tr>
      <w:tr>
        <w:trPr>
          <w:cnfStyle w:evenHBand="false" w:oddHBand="true" w:firstRow="false"/>
        </w:trPr>
        <w:tc>
          <w:tcPr>
            <w:cnfStyle w:evenVBand="false" w:oddVBand="true" w:firstColumn="false"/>
            <w:tcW w:w="25.000000%" w:type="pct"/>
          </w:tcPr>
          <w:p>
            <w:pPr>
              <w:ind w:leftChars="0" w:left="0" w:right="0"/>
            </w:pPr>
            <w:r>
              <w:t>RTSL</w:t>
            </w:r>
          </w:p>
        </w:tc>
        <w:tc>
          <w:tcPr>
            <w:cnfStyle w:evenVBand="true" w:oddVBand="false" w:firstColumn="false"/>
            <w:tcW w:w="25.000000%" w:type="pct"/>
          </w:tcPr>
          <w:p>
            <w:pPr>
              <w:ind w:leftChars="0" w:left="0" w:right="0"/>
            </w:pPr>
            <w:r>
              <w:t>RTSL</w:t>
            </w:r>
          </w:p>
        </w:tc>
        <w:tc>
          <w:tcPr>
            <w:cnfStyle w:evenVBand="false" w:oddVBand="true" w:firstColumn="false"/>
            <w:tcW w:w="25.000000%" w:type="pct"/>
          </w:tcPr>
          <w:p>
            <w:pPr>
              <w:ind w:leftChars="0" w:left="0" w:right="0"/>
            </w:pPr>
            <w:r>
              <w:t>REFINITIV TRANSACTIONS SERVICES LIMITED</w:t>
            </w:r>
          </w:p>
        </w:tc>
        <w:tc>
          <w:tcPr>
            <w:cnfStyle w:evenVBand="true" w:oddVBand="false" w:firstColumn="false"/>
            <w:tcW w:w="25.000000%" w:type="pct"/>
          </w:tcPr>
          <w:p>
            <w:pPr>
              <w:ind w:leftChars="0" w:left="0" w:right="0"/>
            </w:pPr>
            <w:r>
              <w:t>1512</w:t>
            </w:r>
          </w:p>
        </w:tc>
      </w:tr>
      <w:tr>
        <w:trPr>
          <w:cnfStyle w:evenHBand="true" w:oddHBand="false" w:firstRow="false"/>
        </w:trPr>
        <w:tc>
          <w:tcPr>
            <w:cnfStyle w:evenVBand="false" w:oddVBand="true" w:firstColumn="false"/>
            <w:tcW w:w="25.000000%" w:type="pct"/>
          </w:tcPr>
          <w:p>
            <w:pPr>
              <w:ind w:leftChars="0" w:left="0" w:right="0"/>
            </w:pPr>
            <w:r>
              <w:t>RTSP</w:t>
            </w:r>
          </w:p>
        </w:tc>
        <w:tc>
          <w:tcPr>
            <w:cnfStyle w:evenVBand="true" w:oddVBand="false" w:firstColumn="false"/>
            <w:tcW w:w="25.000000%" w:type="pct"/>
          </w:tcPr>
          <w:p>
            <w:pPr>
              <w:ind w:leftChars="0" w:left="0" w:right="0"/>
            </w:pPr>
            <w:r>
              <w:t>RTSP</w:t>
            </w:r>
          </w:p>
        </w:tc>
        <w:tc>
          <w:tcPr>
            <w:cnfStyle w:evenVBand="false" w:oddVBand="true" w:firstColumn="false"/>
            <w:tcW w:w="25.000000%" w:type="pct"/>
          </w:tcPr>
          <w:p>
            <w:pPr>
              <w:ind w:leftChars="0" w:left="0" w:right="0"/>
            </w:pPr>
            <w:r>
              <w:t>REFINITIV TRANSACTION SERVICES PTE. LTD</w:t>
            </w:r>
          </w:p>
        </w:tc>
        <w:tc>
          <w:tcPr>
            <w:cnfStyle w:evenVBand="true" w:oddVBand="false" w:firstColumn="false"/>
            <w:tcW w:w="25.000000%" w:type="pct"/>
          </w:tcPr>
          <w:p>
            <w:pPr>
              <w:ind w:leftChars="0" w:left="0" w:right="0"/>
            </w:pPr>
            <w:r>
              <w:t>1513</w:t>
            </w:r>
          </w:p>
        </w:tc>
      </w:tr>
      <w:tr>
        <w:trPr>
          <w:cnfStyle w:evenHBand="false" w:oddHBand="true" w:firstRow="false"/>
        </w:trPr>
        <w:tc>
          <w:tcPr>
            <w:cnfStyle w:evenVBand="false" w:oddVBand="true" w:firstColumn="false"/>
            <w:tcW w:w="25.000000%" w:type="pct"/>
          </w:tcPr>
          <w:p>
            <w:pPr>
              <w:ind w:leftChars="0" w:left="0" w:right="0"/>
            </w:pPr>
            <w:r>
              <w:t>RTSX</w:t>
            </w:r>
          </w:p>
        </w:tc>
        <w:tc>
          <w:tcPr>
            <w:cnfStyle w:evenVBand="true" w:oddVBand="false" w:firstColumn="false"/>
            <w:tcW w:w="25.000000%" w:type="pct"/>
          </w:tcPr>
          <w:p>
            <w:pPr>
              <w:ind w:leftChars="0" w:left="0" w:right="0"/>
            </w:pPr>
            <w:r>
              <w:t>RTSX</w:t>
            </w:r>
          </w:p>
        </w:tc>
        <w:tc>
          <w:tcPr>
            <w:cnfStyle w:evenVBand="false" w:oddVBand="true" w:firstColumn="false"/>
            <w:tcW w:w="25.000000%" w:type="pct"/>
          </w:tcPr>
          <w:p>
            <w:pPr>
              <w:ind w:leftChars="0" w:left="0" w:right="0"/>
            </w:pPr>
            <w:r>
              <w:t>MOSCOW EXCHANGE - DERIVATIVES MARKET</w:t>
            </w:r>
          </w:p>
        </w:tc>
        <w:tc>
          <w:tcPr>
            <w:cnfStyle w:evenVBand="true" w:oddVBand="false" w:firstColumn="false"/>
            <w:tcW w:w="25.000000%" w:type="pct"/>
          </w:tcPr>
          <w:p>
            <w:pPr>
              <w:ind w:leftChars="0" w:left="0" w:right="0"/>
            </w:pPr>
            <w:r>
              <w:t>1514</w:t>
            </w:r>
          </w:p>
        </w:tc>
      </w:tr>
      <w:tr>
        <w:trPr>
          <w:cnfStyle w:evenHBand="true" w:oddHBand="false" w:firstRow="false"/>
        </w:trPr>
        <w:tc>
          <w:tcPr>
            <w:cnfStyle w:evenVBand="false" w:oddVBand="true" w:firstColumn="false"/>
            <w:tcW w:w="25.000000%" w:type="pct"/>
          </w:tcPr>
          <w:p>
            <w:pPr>
              <w:ind w:leftChars="0" w:left="0" w:right="0"/>
            </w:pPr>
            <w:r>
              <w:t>RUSX</w:t>
            </w:r>
          </w:p>
        </w:tc>
        <w:tc>
          <w:tcPr>
            <w:cnfStyle w:evenVBand="true" w:oddVBand="false" w:firstColumn="false"/>
            <w:tcW w:w="25.000000%" w:type="pct"/>
          </w:tcPr>
          <w:p>
            <w:pPr>
              <w:ind w:leftChars="0" w:left="0" w:right="0"/>
            </w:pPr>
            <w:r>
              <w:t>RUSX</w:t>
            </w:r>
          </w:p>
        </w:tc>
        <w:tc>
          <w:tcPr>
            <w:cnfStyle w:evenVBand="false" w:oddVBand="true" w:firstColumn="false"/>
            <w:tcW w:w="25.000000%" w:type="pct"/>
          </w:tcPr>
          <w:p>
            <w:pPr>
              <w:ind w:leftChars="0" w:left="0" w:right="0"/>
            </w:pPr>
            <w:r>
              <w:t>NON-PROFIT PARTNERSHIP FOR THE DEVELOPMENT OF FINANCIAL MARKET RTS</w:t>
            </w:r>
          </w:p>
        </w:tc>
        <w:tc>
          <w:tcPr>
            <w:cnfStyle w:evenVBand="true" w:oddVBand="false" w:firstColumn="false"/>
            <w:tcW w:w="25.000000%" w:type="pct"/>
          </w:tcPr>
          <w:p>
            <w:pPr>
              <w:ind w:leftChars="0" w:left="0" w:right="0"/>
            </w:pPr>
            <w:r>
              <w:t>1515</w:t>
            </w:r>
          </w:p>
        </w:tc>
      </w:tr>
      <w:tr>
        <w:trPr>
          <w:cnfStyle w:evenHBand="false" w:oddHBand="true" w:firstRow="false"/>
        </w:trPr>
        <w:tc>
          <w:tcPr>
            <w:cnfStyle w:evenVBand="false" w:oddVBand="true" w:firstColumn="false"/>
            <w:tcW w:w="25.000000%" w:type="pct"/>
          </w:tcPr>
          <w:p>
            <w:pPr>
              <w:ind w:leftChars="0" w:left="0" w:right="0"/>
            </w:pPr>
            <w:r>
              <w:t>S3FM</w:t>
            </w:r>
          </w:p>
        </w:tc>
        <w:tc>
          <w:tcPr>
            <w:cnfStyle w:evenVBand="true" w:oddVBand="false" w:firstColumn="false"/>
            <w:tcW w:w="25.000000%" w:type="pct"/>
          </w:tcPr>
          <w:p>
            <w:pPr>
              <w:ind w:leftChars="0" w:left="0" w:right="0"/>
            </w:pPr>
            <w:r>
              <w:t>S3FM</w:t>
            </w:r>
          </w:p>
        </w:tc>
        <w:tc>
          <w:tcPr>
            <w:cnfStyle w:evenVBand="false" w:oddVBand="true" w:firstColumn="false"/>
            <w:tcW w:w="25.000000%" w:type="pct"/>
          </w:tcPr>
          <w:p>
            <w:pPr>
              <w:ind w:leftChars="0" w:left="0" w:right="0"/>
            </w:pPr>
            <w:r>
              <w:t>SOCIETY3 FUNDERSMART</w:t>
            </w:r>
          </w:p>
        </w:tc>
        <w:tc>
          <w:tcPr>
            <w:cnfStyle w:evenVBand="true" w:oddVBand="false" w:firstColumn="false"/>
            <w:tcW w:w="25.000000%" w:type="pct"/>
          </w:tcPr>
          <w:p>
            <w:pPr>
              <w:ind w:leftChars="0" w:left="0" w:right="0"/>
            </w:pPr>
            <w:r>
              <w:t>1516</w:t>
            </w:r>
          </w:p>
        </w:tc>
      </w:tr>
      <w:tr>
        <w:trPr>
          <w:cnfStyle w:evenHBand="true" w:oddHBand="false" w:firstRow="false"/>
        </w:trPr>
        <w:tc>
          <w:tcPr>
            <w:cnfStyle w:evenVBand="false" w:oddVBand="true" w:firstColumn="false"/>
            <w:tcW w:w="25.000000%" w:type="pct"/>
          </w:tcPr>
          <w:p>
            <w:pPr>
              <w:ind w:leftChars="0" w:left="0" w:right="0"/>
            </w:pPr>
            <w:r>
              <w:t>SAGE</w:t>
            </w:r>
          </w:p>
        </w:tc>
        <w:tc>
          <w:tcPr>
            <w:cnfStyle w:evenVBand="true" w:oddVBand="false" w:firstColumn="false"/>
            <w:tcW w:w="25.000000%" w:type="pct"/>
          </w:tcPr>
          <w:p>
            <w:pPr>
              <w:ind w:leftChars="0" w:left="0" w:right="0"/>
            </w:pPr>
            <w:r>
              <w:t>SAGE</w:t>
            </w:r>
          </w:p>
        </w:tc>
        <w:tc>
          <w:tcPr>
            <w:cnfStyle w:evenVBand="false" w:oddVBand="true" w:firstColumn="false"/>
            <w:tcW w:w="25.000000%" w:type="pct"/>
          </w:tcPr>
          <w:p>
            <w:pPr>
              <w:ind w:leftChars="0" w:left="0" w:right="0"/>
            </w:pPr>
            <w:r>
              <w:t>SAGETRADER</w:t>
            </w:r>
          </w:p>
        </w:tc>
        <w:tc>
          <w:tcPr>
            <w:cnfStyle w:evenVBand="true" w:oddVBand="false" w:firstColumn="false"/>
            <w:tcW w:w="25.000000%" w:type="pct"/>
          </w:tcPr>
          <w:p>
            <w:pPr>
              <w:ind w:leftChars="0" w:left="0" w:right="0"/>
            </w:pPr>
            <w:r>
              <w:t>1517</w:t>
            </w:r>
          </w:p>
        </w:tc>
      </w:tr>
      <w:tr>
        <w:trPr>
          <w:cnfStyle w:evenHBand="false" w:oddHBand="true" w:firstRow="false"/>
        </w:trPr>
        <w:tc>
          <w:tcPr>
            <w:cnfStyle w:evenVBand="false" w:oddVBand="true" w:firstColumn="false"/>
            <w:tcW w:w="25.000000%" w:type="pct"/>
          </w:tcPr>
          <w:p>
            <w:pPr>
              <w:ind w:leftChars="0" w:left="0" w:right="0"/>
            </w:pPr>
            <w:r>
              <w:t>SANT</w:t>
            </w:r>
          </w:p>
        </w:tc>
        <w:tc>
          <w:tcPr>
            <w:cnfStyle w:evenVBand="true" w:oddVBand="false" w:firstColumn="false"/>
            <w:tcW w:w="25.000000%" w:type="pct"/>
          </w:tcPr>
          <w:p>
            <w:pPr>
              <w:ind w:leftChars="0" w:left="0" w:right="0"/>
            </w:pPr>
            <w:r>
              <w:t>SANT</w:t>
            </w:r>
          </w:p>
        </w:tc>
        <w:tc>
          <w:tcPr>
            <w:cnfStyle w:evenVBand="false" w:oddVBand="true" w:firstColumn="false"/>
            <w:tcW w:w="25.000000%" w:type="pct"/>
          </w:tcPr>
          <w:p>
            <w:pPr>
              <w:ind w:leftChars="0" w:left="0" w:right="0"/>
            </w:pPr>
            <w:r>
              <w:t>BANCO SANTANDER S.A. - SYSTEMATIC INTERNALISER</w:t>
            </w:r>
          </w:p>
        </w:tc>
        <w:tc>
          <w:tcPr>
            <w:cnfStyle w:evenVBand="true" w:oddVBand="false" w:firstColumn="false"/>
            <w:tcW w:w="25.000000%" w:type="pct"/>
          </w:tcPr>
          <w:p>
            <w:pPr>
              <w:ind w:leftChars="0" w:left="0" w:right="0"/>
            </w:pPr>
            <w:r>
              <w:t>1518</w:t>
            </w:r>
          </w:p>
        </w:tc>
      </w:tr>
      <w:tr>
        <w:trPr>
          <w:cnfStyle w:evenHBand="true" w:oddHBand="false" w:firstRow="false"/>
        </w:trPr>
        <w:tc>
          <w:tcPr>
            <w:cnfStyle w:evenVBand="false" w:oddVBand="true" w:firstColumn="false"/>
            <w:tcW w:w="25.000000%" w:type="pct"/>
          </w:tcPr>
          <w:p>
            <w:pPr>
              <w:ind w:leftChars="0" w:left="0" w:right="0"/>
            </w:pPr>
            <w:r>
              <w:t>SB1M</w:t>
            </w:r>
          </w:p>
        </w:tc>
        <w:tc>
          <w:tcPr>
            <w:cnfStyle w:evenVBand="true" w:oddVBand="false" w:firstColumn="false"/>
            <w:tcW w:w="25.000000%" w:type="pct"/>
          </w:tcPr>
          <w:p>
            <w:pPr>
              <w:ind w:leftChars="0" w:left="0" w:right="0"/>
            </w:pPr>
            <w:r>
              <w:t>SB1M</w:t>
            </w:r>
          </w:p>
        </w:tc>
        <w:tc>
          <w:tcPr>
            <w:cnfStyle w:evenVBand="false" w:oddVBand="true" w:firstColumn="false"/>
            <w:tcW w:w="25.000000%" w:type="pct"/>
          </w:tcPr>
          <w:p>
            <w:pPr>
              <w:ind w:leftChars="0" w:left="0" w:right="0"/>
            </w:pPr>
            <w:r>
              <w:t>SPAREBANK 1 MARKETS - SYSTEMATIC INTERNALISER</w:t>
            </w:r>
          </w:p>
        </w:tc>
        <w:tc>
          <w:tcPr>
            <w:cnfStyle w:evenVBand="true" w:oddVBand="false" w:firstColumn="false"/>
            <w:tcW w:w="25.000000%" w:type="pct"/>
          </w:tcPr>
          <w:p>
            <w:pPr>
              <w:ind w:leftChars="0" w:left="0" w:right="0"/>
            </w:pPr>
            <w:r>
              <w:t>1519</w:t>
            </w:r>
          </w:p>
        </w:tc>
      </w:tr>
      <w:tr>
        <w:trPr>
          <w:cnfStyle w:evenHBand="false" w:oddHBand="true" w:firstRow="false"/>
        </w:trPr>
        <w:tc>
          <w:tcPr>
            <w:cnfStyle w:evenVBand="false" w:oddVBand="true" w:firstColumn="false"/>
            <w:tcW w:w="25.000000%" w:type="pct"/>
          </w:tcPr>
          <w:p>
            <w:pPr>
              <w:ind w:leftChars="0" w:left="0" w:right="0"/>
            </w:pPr>
            <w:r>
              <w:t>SBAR</w:t>
            </w:r>
          </w:p>
        </w:tc>
        <w:tc>
          <w:tcPr>
            <w:cnfStyle w:evenVBand="true" w:oddVBand="false" w:firstColumn="false"/>
            <w:tcW w:w="25.000000%" w:type="pct"/>
          </w:tcPr>
          <w:p>
            <w:pPr>
              <w:ind w:leftChars="0" w:left="0" w:right="0"/>
            </w:pPr>
            <w:r>
              <w:t>SBAR</w:t>
            </w:r>
          </w:p>
        </w:tc>
        <w:tc>
          <w:tcPr>
            <w:cnfStyle w:evenVBand="false" w:oddVBand="true" w:firstColumn="false"/>
            <w:tcW w:w="25.000000%" w:type="pct"/>
          </w:tcPr>
          <w:p>
            <w:pPr>
              <w:ind w:leftChars="0" w:left="0" w:right="0"/>
            </w:pPr>
            <w:r>
              <w:t>BOLSA DE BARCELONA RENTA FIJA</w:t>
            </w:r>
          </w:p>
        </w:tc>
        <w:tc>
          <w:tcPr>
            <w:cnfStyle w:evenVBand="true" w:oddVBand="false" w:firstColumn="false"/>
            <w:tcW w:w="25.000000%" w:type="pct"/>
          </w:tcPr>
          <w:p>
            <w:pPr>
              <w:ind w:leftChars="0" w:left="0" w:right="0"/>
            </w:pPr>
            <w:r>
              <w:t>1520</w:t>
            </w:r>
          </w:p>
        </w:tc>
      </w:tr>
      <w:tr>
        <w:trPr>
          <w:cnfStyle w:evenHBand="true" w:oddHBand="false" w:firstRow="false"/>
        </w:trPr>
        <w:tc>
          <w:tcPr>
            <w:cnfStyle w:evenVBand="false" w:oddVBand="true" w:firstColumn="false"/>
            <w:tcW w:w="25.000000%" w:type="pct"/>
          </w:tcPr>
          <w:p>
            <w:pPr>
              <w:ind w:leftChars="0" w:left="0" w:right="0"/>
            </w:pPr>
            <w:r>
              <w:t>SBEX</w:t>
            </w:r>
          </w:p>
        </w:tc>
        <w:tc>
          <w:tcPr>
            <w:cnfStyle w:evenVBand="true" w:oddVBand="false" w:firstColumn="false"/>
            <w:tcW w:w="25.000000%" w:type="pct"/>
          </w:tcPr>
          <w:p>
            <w:pPr>
              <w:ind w:leftChars="0" w:left="0" w:right="0"/>
            </w:pPr>
            <w:r>
              <w:t>SBEX</w:t>
            </w:r>
          </w:p>
        </w:tc>
        <w:tc>
          <w:tcPr>
            <w:cnfStyle w:evenVBand="false" w:oddVBand="true" w:firstColumn="false"/>
            <w:tcW w:w="25.000000%" w:type="pct"/>
          </w:tcPr>
          <w:p>
            <w:pPr>
              <w:ind w:leftChars="0" w:left="0" w:right="0"/>
            </w:pPr>
            <w:r>
              <w:t>SCOTIABANK - SYSTEMATIC INTERNALISER</w:t>
            </w:r>
          </w:p>
        </w:tc>
        <w:tc>
          <w:tcPr>
            <w:cnfStyle w:evenVBand="true" w:oddVBand="false" w:firstColumn="false"/>
            <w:tcW w:w="25.000000%" w:type="pct"/>
          </w:tcPr>
          <w:p>
            <w:pPr>
              <w:ind w:leftChars="0" w:left="0" w:right="0"/>
            </w:pPr>
            <w:r>
              <w:t>1521</w:t>
            </w:r>
          </w:p>
        </w:tc>
      </w:tr>
      <w:tr>
        <w:trPr>
          <w:cnfStyle w:evenHBand="false" w:oddHBand="true" w:firstRow="false"/>
        </w:trPr>
        <w:tc>
          <w:tcPr>
            <w:cnfStyle w:evenVBand="false" w:oddVBand="true" w:firstColumn="false"/>
            <w:tcW w:w="25.000000%" w:type="pct"/>
          </w:tcPr>
          <w:p>
            <w:pPr>
              <w:ind w:leftChars="0" w:left="0" w:right="0"/>
            </w:pPr>
            <w:r>
              <w:t>SBIJ</w:t>
            </w:r>
          </w:p>
        </w:tc>
        <w:tc>
          <w:tcPr>
            <w:cnfStyle w:evenVBand="true" w:oddVBand="false" w:firstColumn="false"/>
            <w:tcW w:w="25.000000%" w:type="pct"/>
          </w:tcPr>
          <w:p>
            <w:pPr>
              <w:ind w:leftChars="0" w:left="0" w:right="0"/>
            </w:pPr>
            <w:r>
              <w:t>SBIJ</w:t>
            </w:r>
          </w:p>
        </w:tc>
        <w:tc>
          <w:tcPr>
            <w:cnfStyle w:evenVBand="false" w:oddVBand="true" w:firstColumn="false"/>
            <w:tcW w:w="25.000000%" w:type="pct"/>
          </w:tcPr>
          <w:p>
            <w:pPr>
              <w:ind w:leftChars="0" w:left="0" w:right="0"/>
            </w:pPr>
            <w:r>
              <w:t>JAPANNEXT - J - MARKET</w:t>
            </w:r>
          </w:p>
        </w:tc>
        <w:tc>
          <w:tcPr>
            <w:cnfStyle w:evenVBand="true" w:oddVBand="false" w:firstColumn="false"/>
            <w:tcW w:w="25.000000%" w:type="pct"/>
          </w:tcPr>
          <w:p>
            <w:pPr>
              <w:ind w:leftChars="0" w:left="0" w:right="0"/>
            </w:pPr>
            <w:r>
              <w:t>1522</w:t>
            </w:r>
          </w:p>
        </w:tc>
      </w:tr>
      <w:tr>
        <w:trPr>
          <w:cnfStyle w:evenHBand="true" w:oddHBand="false" w:firstRow="false"/>
        </w:trPr>
        <w:tc>
          <w:tcPr>
            <w:cnfStyle w:evenVBand="false" w:oddVBand="true" w:firstColumn="false"/>
            <w:tcW w:w="25.000000%" w:type="pct"/>
          </w:tcPr>
          <w:p>
            <w:pPr>
              <w:ind w:leftChars="0" w:left="0" w:right="0"/>
            </w:pPr>
            <w:r>
              <w:t>SBIL</w:t>
            </w:r>
          </w:p>
        </w:tc>
        <w:tc>
          <w:tcPr>
            <w:cnfStyle w:evenVBand="true" w:oddVBand="false" w:firstColumn="false"/>
            <w:tcW w:w="25.000000%" w:type="pct"/>
          </w:tcPr>
          <w:p>
            <w:pPr>
              <w:ind w:leftChars="0" w:left="0" w:right="0"/>
            </w:pPr>
            <w:r>
              <w:t>SBIL</w:t>
            </w:r>
          </w:p>
        </w:tc>
        <w:tc>
          <w:tcPr>
            <w:cnfStyle w:evenVBand="false" w:oddVBand="true" w:firstColumn="false"/>
            <w:tcW w:w="25.000000%" w:type="pct"/>
          </w:tcPr>
          <w:p>
            <w:pPr>
              <w:ind w:leftChars="0" w:left="0" w:right="0"/>
            </w:pPr>
            <w:r>
              <w:t>BOLSA DE BILBAO RENTA FIJA</w:t>
            </w:r>
          </w:p>
        </w:tc>
        <w:tc>
          <w:tcPr>
            <w:cnfStyle w:evenVBand="true" w:oddVBand="false" w:firstColumn="false"/>
            <w:tcW w:w="25.000000%" w:type="pct"/>
          </w:tcPr>
          <w:p>
            <w:pPr>
              <w:ind w:leftChars="0" w:left="0" w:right="0"/>
            </w:pPr>
            <w:r>
              <w:t>1523</w:t>
            </w:r>
          </w:p>
        </w:tc>
      </w:tr>
      <w:tr>
        <w:trPr>
          <w:cnfStyle w:evenHBand="false" w:oddHBand="true" w:firstRow="false"/>
        </w:trPr>
        <w:tc>
          <w:tcPr>
            <w:cnfStyle w:evenVBand="false" w:oddVBand="true" w:firstColumn="false"/>
            <w:tcW w:w="25.000000%" w:type="pct"/>
          </w:tcPr>
          <w:p>
            <w:pPr>
              <w:ind w:leftChars="0" w:left="0" w:right="0"/>
            </w:pPr>
            <w:r>
              <w:t>SBIU</w:t>
            </w:r>
          </w:p>
        </w:tc>
        <w:tc>
          <w:tcPr>
            <w:cnfStyle w:evenVBand="true" w:oddVBand="false" w:firstColumn="false"/>
            <w:tcW w:w="25.000000%" w:type="pct"/>
          </w:tcPr>
          <w:p>
            <w:pPr>
              <w:ind w:leftChars="0" w:left="0" w:right="0"/>
            </w:pPr>
            <w:r>
              <w:t>SBIU</w:t>
            </w:r>
          </w:p>
        </w:tc>
        <w:tc>
          <w:tcPr>
            <w:cnfStyle w:evenVBand="false" w:oddVBand="true" w:firstColumn="false"/>
            <w:tcW w:w="25.000000%" w:type="pct"/>
          </w:tcPr>
          <w:p>
            <w:pPr>
              <w:ind w:leftChars="0" w:left="0" w:right="0"/>
            </w:pPr>
            <w:r>
              <w:t>JAPANNEXT - U - MARKET</w:t>
            </w:r>
          </w:p>
        </w:tc>
        <w:tc>
          <w:tcPr>
            <w:cnfStyle w:evenVBand="true" w:oddVBand="false" w:firstColumn="false"/>
            <w:tcW w:w="25.000000%" w:type="pct"/>
          </w:tcPr>
          <w:p>
            <w:pPr>
              <w:ind w:leftChars="0" w:left="0" w:right="0"/>
            </w:pPr>
            <w:r>
              <w:t>1524</w:t>
            </w:r>
          </w:p>
        </w:tc>
      </w:tr>
      <w:tr>
        <w:trPr>
          <w:cnfStyle w:evenHBand="true" w:oddHBand="false" w:firstRow="false"/>
        </w:trPr>
        <w:tc>
          <w:tcPr>
            <w:cnfStyle w:evenVBand="false" w:oddVBand="true" w:firstColumn="false"/>
            <w:tcW w:w="25.000000%" w:type="pct"/>
          </w:tcPr>
          <w:p>
            <w:pPr>
              <w:ind w:leftChars="0" w:left="0" w:right="0"/>
            </w:pPr>
            <w:r>
              <w:t>SBIV</w:t>
            </w:r>
          </w:p>
        </w:tc>
        <w:tc>
          <w:tcPr>
            <w:cnfStyle w:evenVBand="true" w:oddVBand="false" w:firstColumn="false"/>
            <w:tcW w:w="25.000000%" w:type="pct"/>
          </w:tcPr>
          <w:p>
            <w:pPr>
              <w:ind w:leftChars="0" w:left="0" w:right="0"/>
            </w:pPr>
            <w:r>
              <w:t>SBIV</w:t>
            </w:r>
          </w:p>
        </w:tc>
        <w:tc>
          <w:tcPr>
            <w:cnfStyle w:evenVBand="false" w:oddVBand="true" w:firstColumn="false"/>
            <w:tcW w:w="25.000000%" w:type="pct"/>
          </w:tcPr>
          <w:p>
            <w:pPr>
              <w:ind w:leftChars="0" w:left="0" w:right="0"/>
            </w:pPr>
            <w:r>
              <w:t>JAPANNEXT - VWAP CROSSING</w:t>
            </w:r>
          </w:p>
        </w:tc>
        <w:tc>
          <w:tcPr>
            <w:cnfStyle w:evenVBand="true" w:oddVBand="false" w:firstColumn="false"/>
            <w:tcW w:w="25.000000%" w:type="pct"/>
          </w:tcPr>
          <w:p>
            <w:pPr>
              <w:ind w:leftChars="0" w:left="0" w:right="0"/>
            </w:pPr>
            <w:r>
              <w:t>1525</w:t>
            </w:r>
          </w:p>
        </w:tc>
      </w:tr>
      <w:tr>
        <w:trPr>
          <w:cnfStyle w:evenHBand="false" w:oddHBand="true" w:firstRow="false"/>
        </w:trPr>
        <w:tc>
          <w:tcPr>
            <w:cnfStyle w:evenVBand="false" w:oddVBand="true" w:firstColumn="false"/>
            <w:tcW w:w="25.000000%" w:type="pct"/>
          </w:tcPr>
          <w:p>
            <w:pPr>
              <w:ind w:leftChars="0" w:left="0" w:right="0"/>
            </w:pPr>
            <w:r>
              <w:t>SBMF</w:t>
            </w:r>
          </w:p>
        </w:tc>
        <w:tc>
          <w:tcPr>
            <w:cnfStyle w:evenVBand="true" w:oddVBand="false" w:firstColumn="false"/>
            <w:tcW w:w="25.000000%" w:type="pct"/>
          </w:tcPr>
          <w:p>
            <w:pPr>
              <w:ind w:leftChars="0" w:left="0" w:right="0"/>
            </w:pPr>
            <w:r>
              <w:t>SBMF</w:t>
            </w:r>
          </w:p>
        </w:tc>
        <w:tc>
          <w:tcPr>
            <w:cnfStyle w:evenVBand="false" w:oddVBand="true" w:firstColumn="false"/>
            <w:tcW w:w="25.000000%" w:type="pct"/>
          </w:tcPr>
          <w:p>
            <w:pPr>
              <w:ind w:leftChars="0" w:left="0" w:right="0"/>
            </w:pPr>
            <w:r>
              <w:t>SPOT REGULATED MARKET - BMFMS</w:t>
            </w:r>
          </w:p>
        </w:tc>
        <w:tc>
          <w:tcPr>
            <w:cnfStyle w:evenVBand="true" w:oddVBand="false" w:firstColumn="false"/>
            <w:tcW w:w="25.000000%" w:type="pct"/>
          </w:tcPr>
          <w:p>
            <w:pPr>
              <w:ind w:leftChars="0" w:left="0" w:right="0"/>
            </w:pPr>
            <w:r>
              <w:t>1526</w:t>
            </w:r>
          </w:p>
        </w:tc>
      </w:tr>
      <w:tr>
        <w:trPr>
          <w:cnfStyle w:evenHBand="true" w:oddHBand="false" w:firstRow="false"/>
        </w:trPr>
        <w:tc>
          <w:tcPr>
            <w:cnfStyle w:evenVBand="false" w:oddVBand="true" w:firstColumn="false"/>
            <w:tcW w:w="25.000000%" w:type="pct"/>
          </w:tcPr>
          <w:p>
            <w:pPr>
              <w:ind w:leftChars="0" w:left="0" w:right="0"/>
            </w:pPr>
            <w:r>
              <w:t>SBSI</w:t>
            </w:r>
          </w:p>
        </w:tc>
        <w:tc>
          <w:tcPr>
            <w:cnfStyle w:evenVBand="true" w:oddVBand="false" w:firstColumn="false"/>
            <w:tcW w:w="25.000000%" w:type="pct"/>
          </w:tcPr>
          <w:p>
            <w:pPr>
              <w:ind w:leftChars="0" w:left="0" w:right="0"/>
            </w:pPr>
            <w:r>
              <w:t>SBSI</w:t>
            </w:r>
          </w:p>
        </w:tc>
        <w:tc>
          <w:tcPr>
            <w:cnfStyle w:evenVBand="false" w:oddVBand="true" w:firstColumn="false"/>
            <w:tcW w:w="25.000000%" w:type="pct"/>
          </w:tcPr>
          <w:p>
            <w:pPr>
              <w:ind w:leftChars="0" w:left="0" w:right="0"/>
            </w:pPr>
            <w:r>
              <w:t>SYDBANK A/S</w:t>
            </w:r>
          </w:p>
        </w:tc>
        <w:tc>
          <w:tcPr>
            <w:cnfStyle w:evenVBand="true" w:oddVBand="false" w:firstColumn="false"/>
            <w:tcW w:w="25.000000%" w:type="pct"/>
          </w:tcPr>
          <w:p>
            <w:pPr>
              <w:ind w:leftChars="0" w:left="0" w:right="0"/>
            </w:pPr>
            <w:r>
              <w:t>1527</w:t>
            </w:r>
          </w:p>
        </w:tc>
      </w:tr>
      <w:tr>
        <w:trPr>
          <w:cnfStyle w:evenHBand="false" w:oddHBand="true" w:firstRow="false"/>
        </w:trPr>
        <w:tc>
          <w:tcPr>
            <w:cnfStyle w:evenVBand="false" w:oddVBand="true" w:firstColumn="false"/>
            <w:tcW w:w="25.000000%" w:type="pct"/>
          </w:tcPr>
          <w:p>
            <w:pPr>
              <w:ind w:leftChars="0" w:left="0" w:right="0"/>
            </w:pPr>
            <w:r>
              <w:t>SCAG</w:t>
            </w:r>
          </w:p>
        </w:tc>
        <w:tc>
          <w:tcPr>
            <w:cnfStyle w:evenVBand="true" w:oddVBand="false" w:firstColumn="false"/>
            <w:tcW w:w="25.000000%" w:type="pct"/>
          </w:tcPr>
          <w:p>
            <w:pPr>
              <w:ind w:leftChars="0" w:left="0" w:right="0"/>
            </w:pPr>
            <w:r>
              <w:t>SCAG</w:t>
            </w:r>
          </w:p>
        </w:tc>
        <w:tc>
          <w:tcPr>
            <w:cnfStyle w:evenVBand="false" w:oddVBand="true" w:firstColumn="false"/>
            <w:tcW w:w="25.000000%" w:type="pct"/>
          </w:tcPr>
          <w:p>
            <w:pPr>
              <w:ind w:leftChars="0" w:left="0" w:right="0"/>
            </w:pPr>
            <w:r>
              <w:t>STANDARD CHARTERED BANK AG - SYSTEMATIC INTERNALISER</w:t>
            </w:r>
          </w:p>
        </w:tc>
        <w:tc>
          <w:tcPr>
            <w:cnfStyle w:evenVBand="true" w:oddVBand="false" w:firstColumn="false"/>
            <w:tcW w:w="25.000000%" w:type="pct"/>
          </w:tcPr>
          <w:p>
            <w:pPr>
              <w:ind w:leftChars="0" w:left="0" w:right="0"/>
            </w:pPr>
            <w:r>
              <w:t>1528</w:t>
            </w:r>
          </w:p>
        </w:tc>
      </w:tr>
      <w:tr>
        <w:trPr>
          <w:cnfStyle w:evenHBand="true" w:oddHBand="false" w:firstRow="false"/>
        </w:trPr>
        <w:tc>
          <w:tcPr>
            <w:cnfStyle w:evenVBand="false" w:oddVBand="true" w:firstColumn="false"/>
            <w:tcW w:w="25.000000%" w:type="pct"/>
          </w:tcPr>
          <w:p>
            <w:pPr>
              <w:ind w:leftChars="0" w:left="0" w:right="0"/>
            </w:pPr>
            <w:r>
              <w:t>SCOT</w:t>
            </w:r>
          </w:p>
        </w:tc>
        <w:tc>
          <w:tcPr>
            <w:cnfStyle w:evenVBand="true" w:oddVBand="false" w:firstColumn="false"/>
            <w:tcW w:w="25.000000%" w:type="pct"/>
          </w:tcPr>
          <w:p>
            <w:pPr>
              <w:ind w:leftChars="0" w:left="0" w:right="0"/>
            </w:pPr>
            <w:r>
              <w:t>SCOT</w:t>
            </w:r>
          </w:p>
        </w:tc>
        <w:tc>
          <w:tcPr>
            <w:cnfStyle w:evenVBand="false" w:oddVBand="true" w:firstColumn="false"/>
            <w:tcW w:w="25.000000%" w:type="pct"/>
          </w:tcPr>
          <w:p>
            <w:pPr>
              <w:ind w:leftChars="0" w:left="0" w:right="0"/>
            </w:pPr>
            <w:r>
              <w:t>SCOTTISH STOCK EXCHANGE</w:t>
            </w:r>
          </w:p>
        </w:tc>
        <w:tc>
          <w:tcPr>
            <w:cnfStyle w:evenVBand="true" w:oddVBand="false" w:firstColumn="false"/>
            <w:tcW w:w="25.000000%" w:type="pct"/>
          </w:tcPr>
          <w:p>
            <w:pPr>
              <w:ind w:leftChars="0" w:left="0" w:right="0"/>
            </w:pPr>
            <w:r>
              <w:t>1529</w:t>
            </w:r>
          </w:p>
        </w:tc>
      </w:tr>
      <w:tr>
        <w:trPr>
          <w:cnfStyle w:evenHBand="false" w:oddHBand="true" w:firstRow="false"/>
        </w:trPr>
        <w:tc>
          <w:tcPr>
            <w:cnfStyle w:evenVBand="false" w:oddVBand="true" w:firstColumn="false"/>
            <w:tcW w:w="25.000000%" w:type="pct"/>
          </w:tcPr>
          <w:p>
            <w:pPr>
              <w:ind w:leftChars="0" w:left="0" w:right="0"/>
            </w:pPr>
            <w:r>
              <w:t>SCXA</w:t>
            </w:r>
          </w:p>
        </w:tc>
        <w:tc>
          <w:tcPr>
            <w:cnfStyle w:evenVBand="true" w:oddVBand="false" w:firstColumn="false"/>
            <w:tcW w:w="25.000000%" w:type="pct"/>
          </w:tcPr>
          <w:p>
            <w:pPr>
              <w:ind w:leftChars="0" w:left="0" w:right="0"/>
            </w:pPr>
            <w:r>
              <w:t>SCXA</w:t>
            </w:r>
          </w:p>
        </w:tc>
        <w:tc>
          <w:tcPr>
            <w:cnfStyle w:evenVBand="false" w:oddVBand="true" w:firstColumn="false"/>
            <w:tcW w:w="25.000000%" w:type="pct"/>
          </w:tcPr>
          <w:p>
            <w:pPr>
              <w:ind w:leftChars="0" w:left="0" w:right="0"/>
            </w:pPr>
            <w:r>
              <w:t>SEED DIGITAL SECURITIES MARKET</w:t>
            </w:r>
          </w:p>
        </w:tc>
        <w:tc>
          <w:tcPr>
            <w:cnfStyle w:evenVBand="true" w:oddVBand="false" w:firstColumn="false"/>
            <w:tcW w:w="25.000000%" w:type="pct"/>
          </w:tcPr>
          <w:p>
            <w:pPr>
              <w:ind w:leftChars="0" w:left="0" w:right="0"/>
            </w:pPr>
            <w:r>
              <w:t>1530</w:t>
            </w:r>
          </w:p>
        </w:tc>
      </w:tr>
      <w:tr>
        <w:trPr>
          <w:cnfStyle w:evenHBand="true" w:oddHBand="false" w:firstRow="false"/>
        </w:trPr>
        <w:tc>
          <w:tcPr>
            <w:cnfStyle w:evenVBand="false" w:oddVBand="true" w:firstColumn="false"/>
            <w:tcW w:w="25.000000%" w:type="pct"/>
          </w:tcPr>
          <w:p>
            <w:pPr>
              <w:ind w:leftChars="0" w:left="0" w:right="0"/>
            </w:pPr>
            <w:r>
              <w:t>SCXF</w:t>
            </w:r>
          </w:p>
        </w:tc>
        <w:tc>
          <w:tcPr>
            <w:cnfStyle w:evenVBand="true" w:oddVBand="false" w:firstColumn="false"/>
            <w:tcW w:w="25.000000%" w:type="pct"/>
          </w:tcPr>
          <w:p>
            <w:pPr>
              <w:ind w:leftChars="0" w:left="0" w:right="0"/>
            </w:pPr>
            <w:r>
              <w:t>SCXF</w:t>
            </w:r>
          </w:p>
        </w:tc>
        <w:tc>
          <w:tcPr>
            <w:cnfStyle w:evenVBand="false" w:oddVBand="true" w:firstColumn="false"/>
            <w:tcW w:w="25.000000%" w:type="pct"/>
          </w:tcPr>
          <w:p>
            <w:pPr>
              <w:ind w:leftChars="0" w:left="0" w:right="0"/>
            </w:pPr>
            <w:r>
              <w:t>SEED FUTURES</w:t>
            </w:r>
          </w:p>
        </w:tc>
        <w:tc>
          <w:tcPr>
            <w:cnfStyle w:evenVBand="true" w:oddVBand="false" w:firstColumn="false"/>
            <w:tcW w:w="25.000000%" w:type="pct"/>
          </w:tcPr>
          <w:p>
            <w:pPr>
              <w:ind w:leftChars="0" w:left="0" w:right="0"/>
            </w:pPr>
            <w:r>
              <w:t>1531</w:t>
            </w:r>
          </w:p>
        </w:tc>
      </w:tr>
      <w:tr>
        <w:trPr>
          <w:cnfStyle w:evenHBand="false" w:oddHBand="true" w:firstRow="false"/>
        </w:trPr>
        <w:tc>
          <w:tcPr>
            <w:cnfStyle w:evenVBand="false" w:oddVBand="true" w:firstColumn="false"/>
            <w:tcW w:w="25.000000%" w:type="pct"/>
          </w:tcPr>
          <w:p>
            <w:pPr>
              <w:ind w:leftChars="0" w:left="0" w:right="0"/>
            </w:pPr>
            <w:r>
              <w:t>SCXM</w:t>
            </w:r>
          </w:p>
        </w:tc>
        <w:tc>
          <w:tcPr>
            <w:cnfStyle w:evenVBand="true" w:oddVBand="false" w:firstColumn="false"/>
            <w:tcW w:w="25.000000%" w:type="pct"/>
          </w:tcPr>
          <w:p>
            <w:pPr>
              <w:ind w:leftChars="0" w:left="0" w:right="0"/>
            </w:pPr>
            <w:r>
              <w:t>SCXM</w:t>
            </w:r>
          </w:p>
        </w:tc>
        <w:tc>
          <w:tcPr>
            <w:cnfStyle w:evenVBand="false" w:oddVBand="true" w:firstColumn="false"/>
            <w:tcW w:w="25.000000%" w:type="pct"/>
          </w:tcPr>
          <w:p>
            <w:pPr>
              <w:ind w:leftChars="0" w:left="0" w:right="0"/>
            </w:pPr>
            <w:r>
              <w:t>SEED DIGITAL COMMODITIES MARKET</w:t>
            </w:r>
          </w:p>
        </w:tc>
        <w:tc>
          <w:tcPr>
            <w:cnfStyle w:evenVBand="true" w:oddVBand="false" w:firstColumn="false"/>
            <w:tcW w:w="25.000000%" w:type="pct"/>
          </w:tcPr>
          <w:p>
            <w:pPr>
              <w:ind w:leftChars="0" w:left="0" w:right="0"/>
            </w:pPr>
            <w:r>
              <w:t>1532</w:t>
            </w:r>
          </w:p>
        </w:tc>
      </w:tr>
      <w:tr>
        <w:trPr>
          <w:cnfStyle w:evenHBand="true" w:oddHBand="false" w:firstRow="false"/>
        </w:trPr>
        <w:tc>
          <w:tcPr>
            <w:cnfStyle w:evenVBand="false" w:oddVBand="true" w:firstColumn="false"/>
            <w:tcW w:w="25.000000%" w:type="pct"/>
          </w:tcPr>
          <w:p>
            <w:pPr>
              <w:ind w:leftChars="0" w:left="0" w:right="0"/>
            </w:pPr>
            <w:r>
              <w:t>SCXO</w:t>
            </w:r>
          </w:p>
        </w:tc>
        <w:tc>
          <w:tcPr>
            <w:cnfStyle w:evenVBand="true" w:oddVBand="false" w:firstColumn="false"/>
            <w:tcW w:w="25.000000%" w:type="pct"/>
          </w:tcPr>
          <w:p>
            <w:pPr>
              <w:ind w:leftChars="0" w:left="0" w:right="0"/>
            </w:pPr>
            <w:r>
              <w:t>SCXO</w:t>
            </w:r>
          </w:p>
        </w:tc>
        <w:tc>
          <w:tcPr>
            <w:cnfStyle w:evenVBand="false" w:oddVBand="true" w:firstColumn="false"/>
            <w:tcW w:w="25.000000%" w:type="pct"/>
          </w:tcPr>
          <w:p>
            <w:pPr>
              <w:ind w:leftChars="0" w:left="0" w:right="0"/>
            </w:pPr>
            <w:r>
              <w:t>SEED CX</w:t>
            </w:r>
          </w:p>
        </w:tc>
        <w:tc>
          <w:tcPr>
            <w:cnfStyle w:evenVBand="true" w:oddVBand="false" w:firstColumn="false"/>
            <w:tcW w:w="25.000000%" w:type="pct"/>
          </w:tcPr>
          <w:p>
            <w:pPr>
              <w:ind w:leftChars="0" w:left="0" w:right="0"/>
            </w:pPr>
            <w:r>
              <w:t>1533</w:t>
            </w:r>
          </w:p>
        </w:tc>
      </w:tr>
      <w:tr>
        <w:trPr>
          <w:cnfStyle w:evenHBand="false" w:oddHBand="true" w:firstRow="false"/>
        </w:trPr>
        <w:tc>
          <w:tcPr>
            <w:cnfStyle w:evenVBand="false" w:oddVBand="true" w:firstColumn="false"/>
            <w:tcW w:w="25.000000%" w:type="pct"/>
          </w:tcPr>
          <w:p>
            <w:pPr>
              <w:ind w:leftChars="0" w:left="0" w:right="0"/>
            </w:pPr>
            <w:r>
              <w:t>SCXS</w:t>
            </w:r>
          </w:p>
        </w:tc>
        <w:tc>
          <w:tcPr>
            <w:cnfStyle w:evenVBand="true" w:oddVBand="false" w:firstColumn="false"/>
            <w:tcW w:w="25.000000%" w:type="pct"/>
          </w:tcPr>
          <w:p>
            <w:pPr>
              <w:ind w:leftChars="0" w:left="0" w:right="0"/>
            </w:pPr>
            <w:r>
              <w:t>SCXS</w:t>
            </w:r>
          </w:p>
        </w:tc>
        <w:tc>
          <w:tcPr>
            <w:cnfStyle w:evenVBand="false" w:oddVBand="true" w:firstColumn="false"/>
            <w:tcW w:w="25.000000%" w:type="pct"/>
          </w:tcPr>
          <w:p>
            <w:pPr>
              <w:ind w:leftChars="0" w:left="0" w:right="0"/>
            </w:pPr>
            <w:r>
              <w:t>SEED SEF</w:t>
            </w:r>
          </w:p>
        </w:tc>
        <w:tc>
          <w:tcPr>
            <w:cnfStyle w:evenVBand="true" w:oddVBand="false" w:firstColumn="false"/>
            <w:tcW w:w="25.000000%" w:type="pct"/>
          </w:tcPr>
          <w:p>
            <w:pPr>
              <w:ind w:leftChars="0" w:left="0" w:right="0"/>
            </w:pPr>
            <w:r>
              <w:t>1534</w:t>
            </w:r>
          </w:p>
        </w:tc>
      </w:tr>
      <w:tr>
        <w:trPr>
          <w:cnfStyle w:evenHBand="true" w:oddHBand="false" w:firstRow="false"/>
        </w:trPr>
        <w:tc>
          <w:tcPr>
            <w:cnfStyle w:evenVBand="false" w:oddVBand="true" w:firstColumn="false"/>
            <w:tcW w:w="25.000000%" w:type="pct"/>
          </w:tcPr>
          <w:p>
            <w:pPr>
              <w:ind w:leftChars="0" w:left="0" w:right="0"/>
            </w:pPr>
            <w:r>
              <w:t>SEBA</w:t>
            </w:r>
          </w:p>
        </w:tc>
        <w:tc>
          <w:tcPr>
            <w:cnfStyle w:evenVBand="true" w:oddVBand="false" w:firstColumn="false"/>
            <w:tcW w:w="25.000000%" w:type="pct"/>
          </w:tcPr>
          <w:p>
            <w:pPr>
              <w:ind w:leftChars="0" w:left="0" w:right="0"/>
            </w:pPr>
            <w:r>
              <w:t>SEBA</w:t>
            </w:r>
          </w:p>
        </w:tc>
        <w:tc>
          <w:tcPr>
            <w:cnfStyle w:evenVBand="false" w:oddVBand="true" w:firstColumn="false"/>
            <w:tcW w:w="25.000000%" w:type="pct"/>
          </w:tcPr>
          <w:p>
            <w:pPr>
              <w:ind w:leftChars="0" w:left="0" w:right="0"/>
            </w:pPr>
            <w:r>
              <w:t>STIFEL EUROPE BANK AG  - SYSTEMATIC INTERNALISER</w:t>
            </w:r>
          </w:p>
        </w:tc>
        <w:tc>
          <w:tcPr>
            <w:cnfStyle w:evenVBand="true" w:oddVBand="false" w:firstColumn="false"/>
            <w:tcW w:w="25.000000%" w:type="pct"/>
          </w:tcPr>
          <w:p>
            <w:pPr>
              <w:ind w:leftChars="0" w:left="0" w:right="0"/>
            </w:pPr>
            <w:r>
              <w:t>1535</w:t>
            </w:r>
          </w:p>
        </w:tc>
      </w:tr>
      <w:tr>
        <w:trPr>
          <w:cnfStyle w:evenHBand="false" w:oddHBand="true" w:firstRow="false"/>
        </w:trPr>
        <w:tc>
          <w:tcPr>
            <w:cnfStyle w:evenVBand="false" w:oddVBand="true" w:firstColumn="false"/>
            <w:tcW w:w="25.000000%" w:type="pct"/>
          </w:tcPr>
          <w:p>
            <w:pPr>
              <w:ind w:leftChars="0" w:left="0" w:right="0"/>
            </w:pPr>
            <w:r>
              <w:t>SEBL</w:t>
            </w:r>
          </w:p>
        </w:tc>
        <w:tc>
          <w:tcPr>
            <w:cnfStyle w:evenVBand="true" w:oddVBand="false" w:firstColumn="false"/>
            <w:tcW w:w="25.000000%" w:type="pct"/>
          </w:tcPr>
          <w:p>
            <w:pPr>
              <w:ind w:leftChars="0" w:left="0" w:right="0"/>
            </w:pPr>
            <w:r>
              <w:t>SEBL</w:t>
            </w:r>
          </w:p>
        </w:tc>
        <w:tc>
          <w:tcPr>
            <w:cnfStyle w:evenVBand="false" w:oddVBand="true" w:firstColumn="false"/>
            <w:tcW w:w="25.000000%" w:type="pct"/>
          </w:tcPr>
          <w:p>
            <w:pPr>
              <w:ind w:leftChars="0" w:left="0" w:right="0"/>
            </w:pPr>
            <w:r>
              <w:t>SEB LITHUANIA - SYSTEMATIC INTERNALISER</w:t>
            </w:r>
          </w:p>
        </w:tc>
        <w:tc>
          <w:tcPr>
            <w:cnfStyle w:evenVBand="true" w:oddVBand="false" w:firstColumn="false"/>
            <w:tcW w:w="25.000000%" w:type="pct"/>
          </w:tcPr>
          <w:p>
            <w:pPr>
              <w:ind w:leftChars="0" w:left="0" w:right="0"/>
            </w:pPr>
            <w:r>
              <w:t>1536</w:t>
            </w:r>
          </w:p>
        </w:tc>
      </w:tr>
      <w:tr>
        <w:trPr>
          <w:cnfStyle w:evenHBand="true" w:oddHBand="false" w:firstRow="false"/>
        </w:trPr>
        <w:tc>
          <w:tcPr>
            <w:cnfStyle w:evenVBand="false" w:oddVBand="true" w:firstColumn="false"/>
            <w:tcW w:w="25.000000%" w:type="pct"/>
          </w:tcPr>
          <w:p>
            <w:pPr>
              <w:ind w:leftChars="0" w:left="0" w:right="0"/>
            </w:pPr>
            <w:r>
              <w:t>SEBS</w:t>
            </w:r>
          </w:p>
        </w:tc>
        <w:tc>
          <w:tcPr>
            <w:cnfStyle w:evenVBand="true" w:oddVBand="false" w:firstColumn="false"/>
            <w:tcW w:w="25.000000%" w:type="pct"/>
          </w:tcPr>
          <w:p>
            <w:pPr>
              <w:ind w:leftChars="0" w:left="0" w:right="0"/>
            </w:pPr>
            <w:r>
              <w:t>SEBS</w:t>
            </w:r>
          </w:p>
        </w:tc>
        <w:tc>
          <w:tcPr>
            <w:cnfStyle w:evenVBand="false" w:oddVBand="true" w:firstColumn="false"/>
            <w:tcW w:w="25.000000%" w:type="pct"/>
          </w:tcPr>
          <w:p>
            <w:pPr>
              <w:ind w:leftChars="0" w:left="0" w:right="0"/>
            </w:pPr>
            <w:r>
              <w:t>SEB - SYSTEMATIC INTERNALISER</w:t>
            </w:r>
          </w:p>
        </w:tc>
        <w:tc>
          <w:tcPr>
            <w:cnfStyle w:evenVBand="true" w:oddVBand="false" w:firstColumn="false"/>
            <w:tcW w:w="25.000000%" w:type="pct"/>
          </w:tcPr>
          <w:p>
            <w:pPr>
              <w:ind w:leftChars="0" w:left="0" w:right="0"/>
            </w:pPr>
            <w:r>
              <w:t>1537</w:t>
            </w:r>
          </w:p>
        </w:tc>
      </w:tr>
      <w:tr>
        <w:trPr>
          <w:cnfStyle w:evenHBand="false" w:oddHBand="true" w:firstRow="false"/>
        </w:trPr>
        <w:tc>
          <w:tcPr>
            <w:cnfStyle w:evenVBand="false" w:oddVBand="true" w:firstColumn="false"/>
            <w:tcW w:w="25.000000%" w:type="pct"/>
          </w:tcPr>
          <w:p>
            <w:pPr>
              <w:ind w:leftChars="0" w:left="0" w:right="0"/>
            </w:pPr>
            <w:r>
              <w:t>SEBX</w:t>
            </w:r>
          </w:p>
        </w:tc>
        <w:tc>
          <w:tcPr>
            <w:cnfStyle w:evenVBand="true" w:oddVBand="false" w:firstColumn="false"/>
            <w:tcW w:w="25.000000%" w:type="pct"/>
          </w:tcPr>
          <w:p>
            <w:pPr>
              <w:ind w:leftChars="0" w:left="0" w:right="0"/>
            </w:pPr>
            <w:r>
              <w:t>SEBX</w:t>
            </w:r>
          </w:p>
        </w:tc>
        <w:tc>
          <w:tcPr>
            <w:cnfStyle w:evenVBand="false" w:oddVBand="true" w:firstColumn="false"/>
            <w:tcW w:w="25.000000%" w:type="pct"/>
          </w:tcPr>
          <w:p>
            <w:pPr>
              <w:ind w:leftChars="0" w:left="0" w:right="0"/>
            </w:pPr>
            <w:r>
              <w:t>SEB - LIQUIDITY POOL</w:t>
            </w:r>
          </w:p>
        </w:tc>
        <w:tc>
          <w:tcPr>
            <w:cnfStyle w:evenVBand="true" w:oddVBand="false" w:firstColumn="false"/>
            <w:tcW w:w="25.000000%" w:type="pct"/>
          </w:tcPr>
          <w:p>
            <w:pPr>
              <w:ind w:leftChars="0" w:left="0" w:right="0"/>
            </w:pPr>
            <w:r>
              <w:t>1538</w:t>
            </w:r>
          </w:p>
        </w:tc>
      </w:tr>
      <w:tr>
        <w:trPr>
          <w:cnfStyle w:evenHBand="true" w:oddHBand="false" w:firstRow="false"/>
        </w:trPr>
        <w:tc>
          <w:tcPr>
            <w:cnfStyle w:evenVBand="false" w:oddVBand="true" w:firstColumn="false"/>
            <w:tcW w:w="25.000000%" w:type="pct"/>
          </w:tcPr>
          <w:p>
            <w:pPr>
              <w:ind w:leftChars="0" w:left="0" w:right="0"/>
            </w:pPr>
            <w:r>
              <w:t>SECC</w:t>
            </w:r>
          </w:p>
        </w:tc>
        <w:tc>
          <w:tcPr>
            <w:cnfStyle w:evenVBand="true" w:oddVBand="false" w:firstColumn="false"/>
            <w:tcW w:w="25.000000%" w:type="pct"/>
          </w:tcPr>
          <w:p>
            <w:pPr>
              <w:ind w:leftChars="0" w:left="0" w:right="0"/>
            </w:pPr>
            <w:r>
              <w:t>SECC</w:t>
            </w:r>
          </w:p>
        </w:tc>
        <w:tc>
          <w:tcPr>
            <w:cnfStyle w:evenVBand="false" w:oddVBand="true" w:firstColumn="false"/>
            <w:tcW w:w="25.000000%" w:type="pct"/>
          </w:tcPr>
          <w:p>
            <w:pPr>
              <w:ind w:leftChars="0" w:left="0" w:right="0"/>
            </w:pPr>
            <w:r>
              <w:t>SECDEX CLEARING LIMITED</w:t>
            </w:r>
          </w:p>
        </w:tc>
        <w:tc>
          <w:tcPr>
            <w:cnfStyle w:evenVBand="true" w:oddVBand="false" w:firstColumn="false"/>
            <w:tcW w:w="25.000000%" w:type="pct"/>
          </w:tcPr>
          <w:p>
            <w:pPr>
              <w:ind w:leftChars="0" w:left="0" w:right="0"/>
            </w:pPr>
            <w:r>
              <w:t>1539</w:t>
            </w:r>
          </w:p>
        </w:tc>
      </w:tr>
      <w:tr>
        <w:trPr>
          <w:cnfStyle w:evenHBand="false" w:oddHBand="true" w:firstRow="false"/>
        </w:trPr>
        <w:tc>
          <w:tcPr>
            <w:cnfStyle w:evenVBand="false" w:oddVBand="true" w:firstColumn="false"/>
            <w:tcW w:w="25.000000%" w:type="pct"/>
          </w:tcPr>
          <w:p>
            <w:pPr>
              <w:ind w:leftChars="0" w:left="0" w:right="0"/>
            </w:pPr>
            <w:r>
              <w:t>SECD</w:t>
            </w:r>
          </w:p>
        </w:tc>
        <w:tc>
          <w:tcPr>
            <w:cnfStyle w:evenVBand="true" w:oddVBand="false" w:firstColumn="false"/>
            <w:tcW w:w="25.000000%" w:type="pct"/>
          </w:tcPr>
          <w:p>
            <w:pPr>
              <w:ind w:leftChars="0" w:left="0" w:right="0"/>
            </w:pPr>
            <w:r>
              <w:t>SECD</w:t>
            </w:r>
          </w:p>
        </w:tc>
        <w:tc>
          <w:tcPr>
            <w:cnfStyle w:evenVBand="false" w:oddVBand="true" w:firstColumn="false"/>
            <w:tcW w:w="25.000000%" w:type="pct"/>
          </w:tcPr>
          <w:p>
            <w:pPr>
              <w:ind w:leftChars="0" w:left="0" w:right="0"/>
            </w:pPr>
            <w:r>
              <w:t>SECDEX DEPOSITORY LIMITED</w:t>
            </w:r>
          </w:p>
        </w:tc>
        <w:tc>
          <w:tcPr>
            <w:cnfStyle w:evenVBand="true" w:oddVBand="false" w:firstColumn="false"/>
            <w:tcW w:w="25.000000%" w:type="pct"/>
          </w:tcPr>
          <w:p>
            <w:pPr>
              <w:ind w:leftChars="0" w:left="0" w:right="0"/>
            </w:pPr>
            <w:r>
              <w:t>1540</w:t>
            </w:r>
          </w:p>
        </w:tc>
      </w:tr>
      <w:tr>
        <w:trPr>
          <w:cnfStyle w:evenHBand="true" w:oddHBand="false" w:firstRow="false"/>
        </w:trPr>
        <w:tc>
          <w:tcPr>
            <w:cnfStyle w:evenVBand="false" w:oddVBand="true" w:firstColumn="false"/>
            <w:tcW w:w="25.000000%" w:type="pct"/>
          </w:tcPr>
          <w:p>
            <w:pPr>
              <w:ind w:leftChars="0" w:left="0" w:right="0"/>
            </w:pPr>
            <w:r>
              <w:t>SECE</w:t>
            </w:r>
          </w:p>
        </w:tc>
        <w:tc>
          <w:tcPr>
            <w:cnfStyle w:evenVBand="true" w:oddVBand="false" w:firstColumn="false"/>
            <w:tcW w:w="25.000000%" w:type="pct"/>
          </w:tcPr>
          <w:p>
            <w:pPr>
              <w:ind w:leftChars="0" w:left="0" w:right="0"/>
            </w:pPr>
            <w:r>
              <w:t>SECE</w:t>
            </w:r>
          </w:p>
        </w:tc>
        <w:tc>
          <w:tcPr>
            <w:cnfStyle w:evenVBand="false" w:oddVBand="true" w:firstColumn="false"/>
            <w:tcW w:w="25.000000%" w:type="pct"/>
          </w:tcPr>
          <w:p>
            <w:pPr>
              <w:ind w:leftChars="0" w:left="0" w:right="0"/>
            </w:pPr>
            <w:r>
              <w:t>SECDEX EXCHANGE LIMITED</w:t>
            </w:r>
          </w:p>
        </w:tc>
        <w:tc>
          <w:tcPr>
            <w:cnfStyle w:evenVBand="true" w:oddVBand="false" w:firstColumn="false"/>
            <w:tcW w:w="25.000000%" w:type="pct"/>
          </w:tcPr>
          <w:p>
            <w:pPr>
              <w:ind w:leftChars="0" w:left="0" w:right="0"/>
            </w:pPr>
            <w:r>
              <w:t>1541</w:t>
            </w:r>
          </w:p>
        </w:tc>
      </w:tr>
      <w:tr>
        <w:trPr>
          <w:cnfStyle w:evenHBand="false" w:oddHBand="true" w:firstRow="false"/>
        </w:trPr>
        <w:tc>
          <w:tcPr>
            <w:cnfStyle w:evenVBand="false" w:oddVBand="true" w:firstColumn="false"/>
            <w:tcW w:w="25.000000%" w:type="pct"/>
          </w:tcPr>
          <w:p>
            <w:pPr>
              <w:ind w:leftChars="0" w:left="0" w:right="0"/>
            </w:pPr>
            <w:r>
              <w:t>SECF</w:t>
            </w:r>
          </w:p>
        </w:tc>
        <w:tc>
          <w:tcPr>
            <w:cnfStyle w:evenVBand="true" w:oddVBand="false" w:firstColumn="false"/>
            <w:tcW w:w="25.000000%" w:type="pct"/>
          </w:tcPr>
          <w:p>
            <w:pPr>
              <w:ind w:leftChars="0" w:left="0" w:right="0"/>
            </w:pPr>
            <w:r>
              <w:t>SECF</w:t>
            </w:r>
          </w:p>
        </w:tc>
        <w:tc>
          <w:tcPr>
            <w:cnfStyle w:evenVBand="false" w:oddVBand="true" w:firstColumn="false"/>
            <w:tcW w:w="25.000000%" w:type="pct"/>
          </w:tcPr>
          <w:p>
            <w:pPr>
              <w:ind w:leftChars="0" w:left="0" w:right="0"/>
            </w:pPr>
            <w:r>
              <w:t>SECFINEX</w:t>
            </w:r>
          </w:p>
        </w:tc>
        <w:tc>
          <w:tcPr>
            <w:cnfStyle w:evenVBand="true" w:oddVBand="false" w:firstColumn="false"/>
            <w:tcW w:w="25.000000%" w:type="pct"/>
          </w:tcPr>
          <w:p>
            <w:pPr>
              <w:ind w:leftChars="0" w:left="0" w:right="0"/>
            </w:pPr>
            <w:r>
              <w:t>1542</w:t>
            </w:r>
          </w:p>
        </w:tc>
      </w:tr>
      <w:tr>
        <w:trPr>
          <w:cnfStyle w:evenHBand="true" w:oddHBand="false" w:firstRow="false"/>
        </w:trPr>
        <w:tc>
          <w:tcPr>
            <w:cnfStyle w:evenVBand="false" w:oddVBand="true" w:firstColumn="false"/>
            <w:tcW w:w="25.000000%" w:type="pct"/>
          </w:tcPr>
          <w:p>
            <w:pPr>
              <w:ind w:leftChars="0" w:left="0" w:right="0"/>
            </w:pPr>
            <w:r>
              <w:t>SEDC</w:t>
            </w:r>
          </w:p>
        </w:tc>
        <w:tc>
          <w:tcPr>
            <w:cnfStyle w:evenVBand="true" w:oddVBand="false" w:firstColumn="false"/>
            <w:tcW w:w="25.000000%" w:type="pct"/>
          </w:tcPr>
          <w:p>
            <w:pPr>
              <w:ind w:leftChars="0" w:left="0" w:right="0"/>
            </w:pPr>
            <w:r>
              <w:t>SEDC</w:t>
            </w:r>
          </w:p>
        </w:tc>
        <w:tc>
          <w:tcPr>
            <w:cnfStyle w:evenVBand="false" w:oddVBand="true" w:firstColumn="false"/>
            <w:tcW w:w="25.000000%" w:type="pct"/>
          </w:tcPr>
          <w:p>
            <w:pPr>
              <w:ind w:leftChars="0" w:left="0" w:right="0"/>
            </w:pPr>
            <w:r>
              <w:t>SECDEX DIGITAL CUSTODIAN LIMITED</w:t>
            </w:r>
          </w:p>
        </w:tc>
        <w:tc>
          <w:tcPr>
            <w:cnfStyle w:evenVBand="true" w:oddVBand="false" w:firstColumn="false"/>
            <w:tcW w:w="25.000000%" w:type="pct"/>
          </w:tcPr>
          <w:p>
            <w:pPr>
              <w:ind w:leftChars="0" w:left="0" w:right="0"/>
            </w:pPr>
            <w:r>
              <w:t>1543</w:t>
            </w:r>
          </w:p>
        </w:tc>
      </w:tr>
      <w:tr>
        <w:trPr>
          <w:cnfStyle w:evenHBand="false" w:oddHBand="true" w:firstRow="false"/>
        </w:trPr>
        <w:tc>
          <w:tcPr>
            <w:cnfStyle w:evenVBand="false" w:oddVBand="true" w:firstColumn="false"/>
            <w:tcW w:w="25.000000%" w:type="pct"/>
          </w:tcPr>
          <w:p>
            <w:pPr>
              <w:ind w:leftChars="0" w:left="0" w:right="0"/>
            </w:pPr>
            <w:r>
              <w:t>SEDR</w:t>
            </w:r>
          </w:p>
        </w:tc>
        <w:tc>
          <w:tcPr>
            <w:cnfStyle w:evenVBand="true" w:oddVBand="false" w:firstColumn="false"/>
            <w:tcW w:w="25.000000%" w:type="pct"/>
          </w:tcPr>
          <w:p>
            <w:pPr>
              <w:ind w:leftChars="0" w:left="0" w:right="0"/>
            </w:pPr>
            <w:r>
              <w:t>SEDR</w:t>
            </w:r>
          </w:p>
        </w:tc>
        <w:tc>
          <w:tcPr>
            <w:cnfStyle w:evenVBand="false" w:oddVBand="true" w:firstColumn="false"/>
            <w:tcW w:w="25.000000%" w:type="pct"/>
          </w:tcPr>
          <w:p>
            <w:pPr>
              <w:ind w:leftChars="0" w:left="0" w:right="0"/>
            </w:pPr>
            <w:r>
              <w:t>SEEDRS - SECONDARY MARKET</w:t>
            </w:r>
          </w:p>
        </w:tc>
        <w:tc>
          <w:tcPr>
            <w:cnfStyle w:evenVBand="true" w:oddVBand="false" w:firstColumn="false"/>
            <w:tcW w:w="25.000000%" w:type="pct"/>
          </w:tcPr>
          <w:p>
            <w:pPr>
              <w:ind w:leftChars="0" w:left="0" w:right="0"/>
            </w:pPr>
            <w:r>
              <w:t>1544</w:t>
            </w:r>
          </w:p>
        </w:tc>
      </w:tr>
      <w:tr>
        <w:trPr>
          <w:cnfStyle w:evenHBand="true" w:oddHBand="false" w:firstRow="false"/>
        </w:trPr>
        <w:tc>
          <w:tcPr>
            <w:cnfStyle w:evenVBand="false" w:oddVBand="true" w:firstColumn="false"/>
            <w:tcW w:w="25.000000%" w:type="pct"/>
          </w:tcPr>
          <w:p>
            <w:pPr>
              <w:ind w:leftChars="0" w:left="0" w:right="0"/>
            </w:pPr>
            <w:r>
              <w:t>SEDX</w:t>
            </w:r>
          </w:p>
        </w:tc>
        <w:tc>
          <w:tcPr>
            <w:cnfStyle w:evenVBand="true" w:oddVBand="false" w:firstColumn="false"/>
            <w:tcW w:w="25.000000%" w:type="pct"/>
          </w:tcPr>
          <w:p>
            <w:pPr>
              <w:ind w:leftChars="0" w:left="0" w:right="0"/>
            </w:pPr>
            <w:r>
              <w:t>SEDX</w:t>
            </w:r>
          </w:p>
        </w:tc>
        <w:tc>
          <w:tcPr>
            <w:cnfStyle w:evenVBand="false" w:oddVBand="true" w:firstColumn="false"/>
            <w:tcW w:w="25.000000%" w:type="pct"/>
          </w:tcPr>
          <w:p>
            <w:pPr>
              <w:ind w:leftChars="0" w:left="0" w:right="0"/>
            </w:pPr>
            <w:r>
              <w:t>SECURITISED DERIVATIVES MARKET</w:t>
            </w:r>
          </w:p>
        </w:tc>
        <w:tc>
          <w:tcPr>
            <w:cnfStyle w:evenVBand="true" w:oddVBand="false" w:firstColumn="false"/>
            <w:tcW w:w="25.000000%" w:type="pct"/>
          </w:tcPr>
          <w:p>
            <w:pPr>
              <w:ind w:leftChars="0" w:left="0" w:right="0"/>
            </w:pPr>
            <w:r>
              <w:t>1545</w:t>
            </w:r>
          </w:p>
        </w:tc>
      </w:tr>
      <w:tr>
        <w:trPr>
          <w:cnfStyle w:evenHBand="false" w:oddHBand="true" w:firstRow="false"/>
        </w:trPr>
        <w:tc>
          <w:tcPr>
            <w:cnfStyle w:evenVBand="false" w:oddVBand="true" w:firstColumn="false"/>
            <w:tcW w:w="25.000000%" w:type="pct"/>
          </w:tcPr>
          <w:p>
            <w:pPr>
              <w:ind w:leftChars="0" w:left="0" w:right="0"/>
            </w:pPr>
            <w:r>
              <w:t>SEED</w:t>
            </w:r>
          </w:p>
        </w:tc>
        <w:tc>
          <w:tcPr>
            <w:cnfStyle w:evenVBand="true" w:oddVBand="false" w:firstColumn="false"/>
            <w:tcW w:w="25.000000%" w:type="pct"/>
          </w:tcPr>
          <w:p>
            <w:pPr>
              <w:ind w:leftChars="0" w:left="0" w:right="0"/>
            </w:pPr>
            <w:r>
              <w:t>SEED</w:t>
            </w:r>
          </w:p>
        </w:tc>
        <w:tc>
          <w:tcPr>
            <w:cnfStyle w:evenVBand="false" w:oddVBand="true" w:firstColumn="false"/>
            <w:tcW w:w="25.000000%" w:type="pct"/>
          </w:tcPr>
          <w:p>
            <w:pPr>
              <w:ind w:leftChars="0" w:left="0" w:right="0"/>
            </w:pPr>
            <w:r>
              <w:t>NASDAQ STOCKHOLM AB - SWEDISH EQ DERIVATIVES</w:t>
            </w:r>
          </w:p>
        </w:tc>
        <w:tc>
          <w:tcPr>
            <w:cnfStyle w:evenVBand="true" w:oddVBand="false" w:firstColumn="false"/>
            <w:tcW w:w="25.000000%" w:type="pct"/>
          </w:tcPr>
          <w:p>
            <w:pPr>
              <w:ind w:leftChars="0" w:left="0" w:right="0"/>
            </w:pPr>
            <w:r>
              <w:t>1546</w:t>
            </w:r>
          </w:p>
        </w:tc>
      </w:tr>
      <w:tr>
        <w:trPr>
          <w:cnfStyle w:evenHBand="true" w:oddHBand="false" w:firstRow="false"/>
        </w:trPr>
        <w:tc>
          <w:tcPr>
            <w:cnfStyle w:evenVBand="false" w:oddVBand="true" w:firstColumn="false"/>
            <w:tcW w:w="25.000000%" w:type="pct"/>
          </w:tcPr>
          <w:p>
            <w:pPr>
              <w:ind w:leftChars="0" w:left="0" w:right="0"/>
            </w:pPr>
            <w:r>
              <w:t>SELC</w:t>
            </w:r>
          </w:p>
        </w:tc>
        <w:tc>
          <w:tcPr>
            <w:cnfStyle w:evenVBand="true" w:oddVBand="false" w:firstColumn="false"/>
            <w:tcW w:w="25.000000%" w:type="pct"/>
          </w:tcPr>
          <w:p>
            <w:pPr>
              <w:ind w:leftChars="0" w:left="0" w:right="0"/>
            </w:pPr>
            <w:r>
              <w:t>SELC</w:t>
            </w:r>
          </w:p>
        </w:tc>
        <w:tc>
          <w:tcPr>
            <w:cnfStyle w:evenVBand="false" w:oddVBand="true" w:firstColumn="false"/>
            <w:tcW w:w="25.000000%" w:type="pct"/>
          </w:tcPr>
          <w:p>
            <w:pPr>
              <w:ind w:leftChars="0" w:left="0" w:right="0"/>
            </w:pPr>
            <w:r>
              <w:t>SISTEMA ESPECIAL DE LIQUIDACAO E CUSTODIA DE TITULOS PUBLICOS</w:t>
            </w:r>
          </w:p>
        </w:tc>
        <w:tc>
          <w:tcPr>
            <w:cnfStyle w:evenVBand="true" w:oddVBand="false" w:firstColumn="false"/>
            <w:tcW w:w="25.000000%" w:type="pct"/>
          </w:tcPr>
          <w:p>
            <w:pPr>
              <w:ind w:leftChars="0" w:left="0" w:right="0"/>
            </w:pPr>
            <w:r>
              <w:t>1547</w:t>
            </w:r>
          </w:p>
        </w:tc>
      </w:tr>
      <w:tr>
        <w:trPr>
          <w:cnfStyle w:evenHBand="false" w:oddHBand="true" w:firstRow="false"/>
        </w:trPr>
        <w:tc>
          <w:tcPr>
            <w:cnfStyle w:evenVBand="false" w:oddVBand="true" w:firstColumn="false"/>
            <w:tcW w:w="25.000000%" w:type="pct"/>
          </w:tcPr>
          <w:p>
            <w:pPr>
              <w:ind w:leftChars="0" w:left="0" w:right="0"/>
            </w:pPr>
            <w:r>
              <w:t>SEMX</w:t>
            </w:r>
          </w:p>
        </w:tc>
        <w:tc>
          <w:tcPr>
            <w:cnfStyle w:evenVBand="true" w:oddVBand="false" w:firstColumn="false"/>
            <w:tcW w:w="25.000000%" w:type="pct"/>
          </w:tcPr>
          <w:p>
            <w:pPr>
              <w:ind w:leftChars="0" w:left="0" w:right="0"/>
            </w:pPr>
            <w:r>
              <w:t>SEMX</w:t>
            </w:r>
          </w:p>
        </w:tc>
        <w:tc>
          <w:tcPr>
            <w:cnfStyle w:evenVBand="false" w:oddVBand="true" w:firstColumn="false"/>
            <w:tcW w:w="25.000000%" w:type="pct"/>
          </w:tcPr>
          <w:p>
            <w:pPr>
              <w:ind w:leftChars="0" w:left="0" w:right="0"/>
            </w:pPr>
            <w:r>
              <w:t>SEMOPX</w:t>
            </w:r>
          </w:p>
        </w:tc>
        <w:tc>
          <w:tcPr>
            <w:cnfStyle w:evenVBand="true" w:oddVBand="false" w:firstColumn="false"/>
            <w:tcW w:w="25.000000%" w:type="pct"/>
          </w:tcPr>
          <w:p>
            <w:pPr>
              <w:ind w:leftChars="0" w:left="0" w:right="0"/>
            </w:pPr>
            <w:r>
              <w:t>1548</w:t>
            </w:r>
          </w:p>
        </w:tc>
      </w:tr>
      <w:tr>
        <w:trPr>
          <w:cnfStyle w:evenHBand="true" w:oddHBand="false" w:firstRow="false"/>
        </w:trPr>
        <w:tc>
          <w:tcPr>
            <w:cnfStyle w:evenVBand="false" w:oddVBand="true" w:firstColumn="false"/>
            <w:tcW w:w="25.000000%" w:type="pct"/>
          </w:tcPr>
          <w:p>
            <w:pPr>
              <w:ind w:leftChars="0" w:left="0" w:right="0"/>
            </w:pPr>
            <w:r>
              <w:t>SEND</w:t>
            </w:r>
          </w:p>
        </w:tc>
        <w:tc>
          <w:tcPr>
            <w:cnfStyle w:evenVBand="true" w:oddVBand="false" w:firstColumn="false"/>
            <w:tcW w:w="25.000000%" w:type="pct"/>
          </w:tcPr>
          <w:p>
            <w:pPr>
              <w:ind w:leftChars="0" w:left="0" w:right="0"/>
            </w:pPr>
            <w:r>
              <w:t>SEND</w:t>
            </w:r>
          </w:p>
        </w:tc>
        <w:tc>
          <w:tcPr>
            <w:cnfStyle w:evenVBand="false" w:oddVBand="true" w:firstColumn="false"/>
            <w:tcW w:w="25.000000%" w:type="pct"/>
          </w:tcPr>
          <w:p>
            <w:pPr>
              <w:ind w:leftChars="0" w:left="0" w:right="0"/>
            </w:pPr>
            <w:r>
              <w:t>SEND - SISTEMA ELECTRONICO DE NEGOCIACION DE DEUDA</w:t>
            </w:r>
          </w:p>
        </w:tc>
        <w:tc>
          <w:tcPr>
            <w:cnfStyle w:evenVBand="true" w:oddVBand="false" w:firstColumn="false"/>
            <w:tcW w:w="25.000000%" w:type="pct"/>
          </w:tcPr>
          <w:p>
            <w:pPr>
              <w:ind w:leftChars="0" w:left="0" w:right="0"/>
            </w:pPr>
            <w:r>
              <w:t>1549</w:t>
            </w:r>
          </w:p>
        </w:tc>
      </w:tr>
      <w:tr>
        <w:trPr>
          <w:cnfStyle w:evenHBand="false" w:oddHBand="true" w:firstRow="false"/>
        </w:trPr>
        <w:tc>
          <w:tcPr>
            <w:cnfStyle w:evenVBand="false" w:oddVBand="true" w:firstColumn="false"/>
            <w:tcW w:w="25.000000%" w:type="pct"/>
          </w:tcPr>
          <w:p>
            <w:pPr>
              <w:ind w:leftChars="0" w:left="0" w:right="0"/>
            </w:pPr>
            <w:r>
              <w:t>SEOB</w:t>
            </w:r>
          </w:p>
        </w:tc>
        <w:tc>
          <w:tcPr>
            <w:cnfStyle w:evenVBand="true" w:oddVBand="false" w:firstColumn="false"/>
            <w:tcW w:w="25.000000%" w:type="pct"/>
          </w:tcPr>
          <w:p>
            <w:pPr>
              <w:ind w:leftChars="0" w:left="0" w:right="0"/>
            </w:pPr>
            <w:r>
              <w:t>SEOB</w:t>
            </w:r>
          </w:p>
        </w:tc>
        <w:tc>
          <w:tcPr>
            <w:cnfStyle w:evenVBand="false" w:oddVBand="true" w:firstColumn="false"/>
            <w:tcW w:w="25.000000%" w:type="pct"/>
          </w:tcPr>
          <w:p>
            <w:pPr>
              <w:ind w:leftChars="0" w:left="0" w:right="0"/>
            </w:pPr>
            <w:r>
              <w:t>NASDAQ STOCKHOLM AB - OTC SEK WB EQ DERIVATIVES</w:t>
            </w:r>
          </w:p>
        </w:tc>
        <w:tc>
          <w:tcPr>
            <w:cnfStyle w:evenVBand="true" w:oddVBand="false" w:firstColumn="false"/>
            <w:tcW w:w="25.000000%" w:type="pct"/>
          </w:tcPr>
          <w:p>
            <w:pPr>
              <w:ind w:leftChars="0" w:left="0" w:right="0"/>
            </w:pPr>
            <w:r>
              <w:t>1550</w:t>
            </w:r>
          </w:p>
        </w:tc>
      </w:tr>
      <w:tr>
        <w:trPr>
          <w:cnfStyle w:evenHBand="true" w:oddHBand="false" w:firstRow="false"/>
        </w:trPr>
        <w:tc>
          <w:tcPr>
            <w:cnfStyle w:evenVBand="false" w:oddVBand="true" w:firstColumn="false"/>
            <w:tcW w:w="25.000000%" w:type="pct"/>
          </w:tcPr>
          <w:p>
            <w:pPr>
              <w:ind w:leftChars="0" w:left="0" w:right="0"/>
            </w:pPr>
            <w:r>
              <w:t>SEPE</w:t>
            </w:r>
          </w:p>
        </w:tc>
        <w:tc>
          <w:tcPr>
            <w:cnfStyle w:evenVBand="true" w:oddVBand="false" w:firstColumn="false"/>
            <w:tcW w:w="25.000000%" w:type="pct"/>
          </w:tcPr>
          <w:p>
            <w:pPr>
              <w:ind w:leftChars="0" w:left="0" w:right="0"/>
            </w:pPr>
            <w:r>
              <w:t>SEPE</w:t>
            </w:r>
          </w:p>
        </w:tc>
        <w:tc>
          <w:tcPr>
            <w:cnfStyle w:evenVBand="false" w:oddVBand="true" w:firstColumn="false"/>
            <w:tcW w:w="25.000000%" w:type="pct"/>
          </w:tcPr>
          <w:p>
            <w:pPr>
              <w:ind w:leftChars="0" w:left="0" w:right="0"/>
            </w:pPr>
            <w:r>
              <w:t>STOCK EXCHANGE PERSPECTIVA</w:t>
            </w:r>
          </w:p>
        </w:tc>
        <w:tc>
          <w:tcPr>
            <w:cnfStyle w:evenVBand="true" w:oddVBand="false" w:firstColumn="false"/>
            <w:tcW w:w="25.000000%" w:type="pct"/>
          </w:tcPr>
          <w:p>
            <w:pPr>
              <w:ind w:leftChars="0" w:left="0" w:right="0"/>
            </w:pPr>
            <w:r>
              <w:t>1551</w:t>
            </w:r>
          </w:p>
        </w:tc>
      </w:tr>
      <w:tr>
        <w:trPr>
          <w:cnfStyle w:evenHBand="false" w:oddHBand="true" w:firstRow="false"/>
        </w:trPr>
        <w:tc>
          <w:tcPr>
            <w:cnfStyle w:evenVBand="false" w:oddVBand="true" w:firstColumn="false"/>
            <w:tcW w:w="25.000000%" w:type="pct"/>
          </w:tcPr>
          <w:p>
            <w:pPr>
              <w:ind w:leftChars="0" w:left="0" w:right="0"/>
            </w:pPr>
            <w:r>
              <w:t>SEWB</w:t>
            </w:r>
          </w:p>
        </w:tc>
        <w:tc>
          <w:tcPr>
            <w:cnfStyle w:evenVBand="true" w:oddVBand="false" w:firstColumn="false"/>
            <w:tcW w:w="25.000000%" w:type="pct"/>
          </w:tcPr>
          <w:p>
            <w:pPr>
              <w:ind w:leftChars="0" w:left="0" w:right="0"/>
            </w:pPr>
            <w:r>
              <w:t>SEWB</w:t>
            </w:r>
          </w:p>
        </w:tc>
        <w:tc>
          <w:tcPr>
            <w:cnfStyle w:evenVBand="false" w:oddVBand="true" w:firstColumn="false"/>
            <w:tcW w:w="25.000000%" w:type="pct"/>
          </w:tcPr>
          <w:p>
            <w:pPr>
              <w:ind w:leftChars="0" w:left="0" w:right="0"/>
            </w:pPr>
            <w:r>
              <w:t>NASDAQ STOCKHOLM AB - SEK WB EQ DERIVATIVES</w:t>
            </w:r>
          </w:p>
        </w:tc>
        <w:tc>
          <w:tcPr>
            <w:cnfStyle w:evenVBand="true" w:oddVBand="false" w:firstColumn="false"/>
            <w:tcW w:w="25.000000%" w:type="pct"/>
          </w:tcPr>
          <w:p>
            <w:pPr>
              <w:ind w:leftChars="0" w:left="0" w:right="0"/>
            </w:pPr>
            <w:r>
              <w:t>1552</w:t>
            </w:r>
          </w:p>
        </w:tc>
      </w:tr>
      <w:tr>
        <w:trPr>
          <w:cnfStyle w:evenHBand="true" w:oddHBand="false" w:firstRow="false"/>
        </w:trPr>
        <w:tc>
          <w:tcPr>
            <w:cnfStyle w:evenVBand="false" w:oddVBand="true" w:firstColumn="false"/>
            <w:tcW w:w="25.000000%" w:type="pct"/>
          </w:tcPr>
          <w:p>
            <w:pPr>
              <w:ind w:leftChars="0" w:left="0" w:right="0"/>
            </w:pPr>
            <w:r>
              <w:t>SFCL</w:t>
            </w:r>
          </w:p>
        </w:tc>
        <w:tc>
          <w:tcPr>
            <w:cnfStyle w:evenVBand="true" w:oddVBand="false" w:firstColumn="false"/>
            <w:tcW w:w="25.000000%" w:type="pct"/>
          </w:tcPr>
          <w:p>
            <w:pPr>
              <w:ind w:leftChars="0" w:left="0" w:right="0"/>
            </w:pPr>
            <w:r>
              <w:t>SFCL</w:t>
            </w:r>
          </w:p>
        </w:tc>
        <w:tc>
          <w:tcPr>
            <w:cnfStyle w:evenVBand="false" w:oddVBand="true" w:firstColumn="false"/>
            <w:tcW w:w="25.000000%" w:type="pct"/>
          </w:tcPr>
          <w:p>
            <w:pPr>
              <w:ind w:leftChars="0" w:left="0" w:right="0"/>
            </w:pPr>
            <w:r>
              <w:t>SWISSCANTO FUNDS CENTRE LIMITED</w:t>
            </w:r>
          </w:p>
        </w:tc>
        <w:tc>
          <w:tcPr>
            <w:cnfStyle w:evenVBand="true" w:oddVBand="false" w:firstColumn="false"/>
            <w:tcW w:w="25.000000%" w:type="pct"/>
          </w:tcPr>
          <w:p>
            <w:pPr>
              <w:ind w:leftChars="0" w:left="0" w:right="0"/>
            </w:pPr>
            <w:r>
              <w:t>1553</w:t>
            </w:r>
          </w:p>
        </w:tc>
      </w:tr>
      <w:tr>
        <w:trPr>
          <w:cnfStyle w:evenHBand="false" w:oddHBand="true" w:firstRow="false"/>
        </w:trPr>
        <w:tc>
          <w:tcPr>
            <w:cnfStyle w:evenVBand="false" w:oddVBand="true" w:firstColumn="false"/>
            <w:tcW w:w="25.000000%" w:type="pct"/>
          </w:tcPr>
          <w:p>
            <w:pPr>
              <w:ind w:leftChars="0" w:left="0" w:right="0"/>
            </w:pPr>
            <w:r>
              <w:t>SFOX</w:t>
            </w:r>
          </w:p>
        </w:tc>
        <w:tc>
          <w:tcPr>
            <w:cnfStyle w:evenVBand="true" w:oddVBand="false" w:firstColumn="false"/>
            <w:tcW w:w="25.000000%" w:type="pct"/>
          </w:tcPr>
          <w:p>
            <w:pPr>
              <w:ind w:leftChars="0" w:left="0" w:right="0"/>
            </w:pPr>
            <w:r>
              <w:t>SFOX</w:t>
            </w:r>
          </w:p>
        </w:tc>
        <w:tc>
          <w:tcPr>
            <w:cnfStyle w:evenVBand="false" w:oddVBand="true" w:firstColumn="false"/>
            <w:tcW w:w="25.000000%" w:type="pct"/>
          </w:tcPr>
          <w:p>
            <w:pPr>
              <w:ind w:leftChars="0" w:left="0" w:right="0"/>
            </w:pPr>
            <w:r>
              <w:t>SFOX</w:t>
            </w:r>
          </w:p>
        </w:tc>
        <w:tc>
          <w:tcPr>
            <w:cnfStyle w:evenVBand="true" w:oddVBand="false" w:firstColumn="false"/>
            <w:tcW w:w="25.000000%" w:type="pct"/>
          </w:tcPr>
          <w:p>
            <w:pPr>
              <w:ind w:leftChars="0" w:left="0" w:right="0"/>
            </w:pPr>
            <w:r>
              <w:t>1554</w:t>
            </w:r>
          </w:p>
        </w:tc>
      </w:tr>
      <w:tr>
        <w:trPr>
          <w:cnfStyle w:evenHBand="true" w:oddHBand="false" w:firstRow="false"/>
        </w:trPr>
        <w:tc>
          <w:tcPr>
            <w:cnfStyle w:evenVBand="false" w:oddVBand="true" w:firstColumn="false"/>
            <w:tcW w:w="25.000000%" w:type="pct"/>
          </w:tcPr>
          <w:p>
            <w:pPr>
              <w:ind w:leftChars="0" w:left="0" w:right="0"/>
            </w:pPr>
            <w:r>
              <w:t>SGA2</w:t>
            </w:r>
          </w:p>
        </w:tc>
        <w:tc>
          <w:tcPr>
            <w:cnfStyle w:evenVBand="true" w:oddVBand="false" w:firstColumn="false"/>
            <w:tcW w:w="25.000000%" w:type="pct"/>
          </w:tcPr>
          <w:p>
            <w:pPr>
              <w:ind w:leftChars="0" w:left="0" w:right="0"/>
            </w:pPr>
            <w:r>
              <w:t>SGA2</w:t>
            </w:r>
          </w:p>
        </w:tc>
        <w:tc>
          <w:tcPr>
            <w:cnfStyle w:evenVBand="false" w:oddVBand="true" w:firstColumn="false"/>
            <w:tcW w:w="25.000000%" w:type="pct"/>
          </w:tcPr>
          <w:p>
            <w:pPr>
              <w:ind w:leftChars="0" w:left="0" w:right="0"/>
            </w:pPr>
            <w:r>
              <w:t>SG AMERICAS SECURITIES, LLC - SECOND VENUE</w:t>
            </w:r>
          </w:p>
        </w:tc>
        <w:tc>
          <w:tcPr>
            <w:cnfStyle w:evenVBand="true" w:oddVBand="false" w:firstColumn="false"/>
            <w:tcW w:w="25.000000%" w:type="pct"/>
          </w:tcPr>
          <w:p>
            <w:pPr>
              <w:ind w:leftChars="0" w:left="0" w:right="0"/>
            </w:pPr>
            <w:r>
              <w:t>1555</w:t>
            </w:r>
          </w:p>
        </w:tc>
      </w:tr>
      <w:tr>
        <w:trPr>
          <w:cnfStyle w:evenHBand="false" w:oddHBand="true" w:firstRow="false"/>
        </w:trPr>
        <w:tc>
          <w:tcPr>
            <w:cnfStyle w:evenVBand="false" w:oddVBand="true" w:firstColumn="false"/>
            <w:tcW w:w="25.000000%" w:type="pct"/>
          </w:tcPr>
          <w:p>
            <w:pPr>
              <w:ind w:leftChars="0" w:left="0" w:right="0"/>
            </w:pPr>
            <w:r>
              <w:t>SGAS</w:t>
            </w:r>
          </w:p>
        </w:tc>
        <w:tc>
          <w:tcPr>
            <w:cnfStyle w:evenVBand="true" w:oddVBand="false" w:firstColumn="false"/>
            <w:tcW w:w="25.000000%" w:type="pct"/>
          </w:tcPr>
          <w:p>
            <w:pPr>
              <w:ind w:leftChars="0" w:left="0" w:right="0"/>
            </w:pPr>
            <w:r>
              <w:t>SGAS</w:t>
            </w:r>
          </w:p>
        </w:tc>
        <w:tc>
          <w:tcPr>
            <w:cnfStyle w:evenVBand="false" w:oddVBand="true" w:firstColumn="false"/>
            <w:tcW w:w="25.000000%" w:type="pct"/>
          </w:tcPr>
          <w:p>
            <w:pPr>
              <w:ind w:leftChars="0" w:left="0" w:right="0"/>
            </w:pPr>
            <w:r>
              <w:t>SG AMERICAS SECURITIES, LLC</w:t>
            </w:r>
          </w:p>
        </w:tc>
        <w:tc>
          <w:tcPr>
            <w:cnfStyle w:evenVBand="true" w:oddVBand="false" w:firstColumn="false"/>
            <w:tcW w:w="25.000000%" w:type="pct"/>
          </w:tcPr>
          <w:p>
            <w:pPr>
              <w:ind w:leftChars="0" w:left="0" w:right="0"/>
            </w:pPr>
            <w:r>
              <w:t>1556</w:t>
            </w:r>
          </w:p>
        </w:tc>
      </w:tr>
      <w:tr>
        <w:trPr>
          <w:cnfStyle w:evenHBand="true" w:oddHBand="false" w:firstRow="false"/>
        </w:trPr>
        <w:tc>
          <w:tcPr>
            <w:cnfStyle w:evenVBand="false" w:oddVBand="true" w:firstColumn="false"/>
            <w:tcW w:w="25.000000%" w:type="pct"/>
          </w:tcPr>
          <w:p>
            <w:pPr>
              <w:ind w:leftChars="0" w:left="0" w:right="0"/>
            </w:pPr>
            <w:r>
              <w:t>SGEX</w:t>
            </w:r>
          </w:p>
        </w:tc>
        <w:tc>
          <w:tcPr>
            <w:cnfStyle w:evenVBand="true" w:oddVBand="false" w:firstColumn="false"/>
            <w:tcW w:w="25.000000%" w:type="pct"/>
          </w:tcPr>
          <w:p>
            <w:pPr>
              <w:ind w:leftChars="0" w:left="0" w:right="0"/>
            </w:pPr>
            <w:r>
              <w:t>SGEX</w:t>
            </w:r>
          </w:p>
        </w:tc>
        <w:tc>
          <w:tcPr>
            <w:cnfStyle w:evenVBand="false" w:oddVBand="true" w:firstColumn="false"/>
            <w:tcW w:w="25.000000%" w:type="pct"/>
          </w:tcPr>
          <w:p>
            <w:pPr>
              <w:ind w:leftChars="0" w:left="0" w:right="0"/>
            </w:pPr>
            <w:r>
              <w:t>SHANGHAI GOLD EXCHANGE</w:t>
            </w:r>
          </w:p>
        </w:tc>
        <w:tc>
          <w:tcPr>
            <w:cnfStyle w:evenVBand="true" w:oddVBand="false" w:firstColumn="false"/>
            <w:tcW w:w="25.000000%" w:type="pct"/>
          </w:tcPr>
          <w:p>
            <w:pPr>
              <w:ind w:leftChars="0" w:left="0" w:right="0"/>
            </w:pPr>
            <w:r>
              <w:t>1557</w:t>
            </w:r>
          </w:p>
        </w:tc>
      </w:tr>
      <w:tr>
        <w:trPr>
          <w:cnfStyle w:evenHBand="false" w:oddHBand="true" w:firstRow="false"/>
        </w:trPr>
        <w:tc>
          <w:tcPr>
            <w:cnfStyle w:evenVBand="false" w:oddVBand="true" w:firstColumn="false"/>
            <w:tcW w:w="25.000000%" w:type="pct"/>
          </w:tcPr>
          <w:p>
            <w:pPr>
              <w:ind w:leftChars="0" w:left="0" w:right="0"/>
            </w:pPr>
            <w:r>
              <w:t>SGMA</w:t>
            </w:r>
          </w:p>
        </w:tc>
        <w:tc>
          <w:tcPr>
            <w:cnfStyle w:evenVBand="true" w:oddVBand="false" w:firstColumn="false"/>
            <w:tcW w:w="25.000000%" w:type="pct"/>
          </w:tcPr>
          <w:p>
            <w:pPr>
              <w:ind w:leftChars="0" w:left="0" w:right="0"/>
            </w:pPr>
            <w:r>
              <w:t>SGMA</w:t>
            </w:r>
          </w:p>
        </w:tc>
        <w:tc>
          <w:tcPr>
            <w:cnfStyle w:evenVBand="false" w:oddVBand="true" w:firstColumn="false"/>
            <w:tcW w:w="25.000000%" w:type="pct"/>
          </w:tcPr>
          <w:p>
            <w:pPr>
              <w:ind w:leftChars="0" w:left="0" w:right="0"/>
            </w:pPr>
            <w:r>
              <w:t>GOLDMAN SACH MTF</w:t>
            </w:r>
          </w:p>
        </w:tc>
        <w:tc>
          <w:tcPr>
            <w:cnfStyle w:evenVBand="true" w:oddVBand="false" w:firstColumn="false"/>
            <w:tcW w:w="25.000000%" w:type="pct"/>
          </w:tcPr>
          <w:p>
            <w:pPr>
              <w:ind w:leftChars="0" w:left="0" w:right="0"/>
            </w:pPr>
            <w:r>
              <w:t>1558</w:t>
            </w:r>
          </w:p>
        </w:tc>
      </w:tr>
      <w:tr>
        <w:trPr>
          <w:cnfStyle w:evenHBand="true" w:oddHBand="false" w:firstRow="false"/>
        </w:trPr>
        <w:tc>
          <w:tcPr>
            <w:cnfStyle w:evenVBand="false" w:oddVBand="true" w:firstColumn="false"/>
            <w:tcW w:w="25.000000%" w:type="pct"/>
          </w:tcPr>
          <w:p>
            <w:pPr>
              <w:ind w:leftChars="0" w:left="0" w:right="0"/>
            </w:pPr>
            <w:r>
              <w:t>SGMT</w:t>
            </w:r>
          </w:p>
        </w:tc>
        <w:tc>
          <w:tcPr>
            <w:cnfStyle w:evenVBand="true" w:oddVBand="false" w:firstColumn="false"/>
            <w:tcW w:w="25.000000%" w:type="pct"/>
          </w:tcPr>
          <w:p>
            <w:pPr>
              <w:ind w:leftChars="0" w:left="0" w:right="0"/>
            </w:pPr>
            <w:r>
              <w:t>SGMT</w:t>
            </w:r>
          </w:p>
        </w:tc>
        <w:tc>
          <w:tcPr>
            <w:cnfStyle w:evenVBand="false" w:oddVBand="true" w:firstColumn="false"/>
            <w:tcW w:w="25.000000%" w:type="pct"/>
          </w:tcPr>
          <w:p>
            <w:pPr>
              <w:ind w:leftChars="0" w:left="0" w:right="0"/>
            </w:pPr>
            <w:r>
              <w:t>SIGMA X2</w:t>
            </w:r>
          </w:p>
        </w:tc>
        <w:tc>
          <w:tcPr>
            <w:cnfStyle w:evenVBand="true" w:oddVBand="false" w:firstColumn="false"/>
            <w:tcW w:w="25.000000%" w:type="pct"/>
          </w:tcPr>
          <w:p>
            <w:pPr>
              <w:ind w:leftChars="0" w:left="0" w:right="0"/>
            </w:pPr>
            <w:r>
              <w:t>1559</w:t>
            </w:r>
          </w:p>
        </w:tc>
      </w:tr>
      <w:tr>
        <w:trPr>
          <w:cnfStyle w:evenHBand="false" w:oddHBand="true" w:firstRow="false"/>
        </w:trPr>
        <w:tc>
          <w:tcPr>
            <w:cnfStyle w:evenVBand="false" w:oddVBand="true" w:firstColumn="false"/>
            <w:tcW w:w="25.000000%" w:type="pct"/>
          </w:tcPr>
          <w:p>
            <w:pPr>
              <w:ind w:leftChars="0" w:left="0" w:right="0"/>
            </w:pPr>
            <w:r>
              <w:t>SGMU</w:t>
            </w:r>
          </w:p>
        </w:tc>
        <w:tc>
          <w:tcPr>
            <w:cnfStyle w:evenVBand="true" w:oddVBand="false" w:firstColumn="false"/>
            <w:tcW w:w="25.000000%" w:type="pct"/>
          </w:tcPr>
          <w:p>
            <w:pPr>
              <w:ind w:leftChars="0" w:left="0" w:right="0"/>
            </w:pPr>
            <w:r>
              <w:t>SGMU</w:t>
            </w:r>
          </w:p>
        </w:tc>
        <w:tc>
          <w:tcPr>
            <w:cnfStyle w:evenVBand="false" w:oddVBand="true" w:firstColumn="false"/>
            <w:tcW w:w="25.000000%" w:type="pct"/>
          </w:tcPr>
          <w:p>
            <w:pPr>
              <w:ind w:leftChars="0" w:left="0" w:right="0"/>
            </w:pPr>
            <w:r>
              <w:t>SIGMA X EUROPE NON-DISPLAYED BOOK</w:t>
            </w:r>
          </w:p>
        </w:tc>
        <w:tc>
          <w:tcPr>
            <w:cnfStyle w:evenVBand="true" w:oddVBand="false" w:firstColumn="false"/>
            <w:tcW w:w="25.000000%" w:type="pct"/>
          </w:tcPr>
          <w:p>
            <w:pPr>
              <w:ind w:leftChars="0" w:left="0" w:right="0"/>
            </w:pPr>
            <w:r>
              <w:t>1560</w:t>
            </w:r>
          </w:p>
        </w:tc>
      </w:tr>
      <w:tr>
        <w:trPr>
          <w:cnfStyle w:evenHBand="true" w:oddHBand="false" w:firstRow="false"/>
        </w:trPr>
        <w:tc>
          <w:tcPr>
            <w:cnfStyle w:evenVBand="false" w:oddVBand="true" w:firstColumn="false"/>
            <w:tcW w:w="25.000000%" w:type="pct"/>
          </w:tcPr>
          <w:p>
            <w:pPr>
              <w:ind w:leftChars="0" w:left="0" w:right="0"/>
            </w:pPr>
            <w:r>
              <w:t>SGMV</w:t>
            </w:r>
          </w:p>
        </w:tc>
        <w:tc>
          <w:tcPr>
            <w:cnfStyle w:evenVBand="true" w:oddVBand="false" w:firstColumn="false"/>
            <w:tcW w:w="25.000000%" w:type="pct"/>
          </w:tcPr>
          <w:p>
            <w:pPr>
              <w:ind w:leftChars="0" w:left="0" w:right="0"/>
            </w:pPr>
            <w:r>
              <w:t>SGMV</w:t>
            </w:r>
          </w:p>
        </w:tc>
        <w:tc>
          <w:tcPr>
            <w:cnfStyle w:evenVBand="false" w:oddVBand="true" w:firstColumn="false"/>
            <w:tcW w:w="25.000000%" w:type="pct"/>
          </w:tcPr>
          <w:p>
            <w:pPr>
              <w:ind w:leftChars="0" w:left="0" w:right="0"/>
            </w:pPr>
            <w:r>
              <w:t>SIGMA X EUROPE AUCTION BOOK</w:t>
            </w:r>
          </w:p>
        </w:tc>
        <w:tc>
          <w:tcPr>
            <w:cnfStyle w:evenVBand="true" w:oddVBand="false" w:firstColumn="false"/>
            <w:tcW w:w="25.000000%" w:type="pct"/>
          </w:tcPr>
          <w:p>
            <w:pPr>
              <w:ind w:leftChars="0" w:left="0" w:right="0"/>
            </w:pPr>
            <w:r>
              <w:t>1561</w:t>
            </w:r>
          </w:p>
        </w:tc>
      </w:tr>
      <w:tr>
        <w:trPr>
          <w:cnfStyle w:evenHBand="false" w:oddHBand="true" w:firstRow="false"/>
        </w:trPr>
        <w:tc>
          <w:tcPr>
            <w:cnfStyle w:evenVBand="false" w:oddVBand="true" w:firstColumn="false"/>
            <w:tcW w:w="25.000000%" w:type="pct"/>
          </w:tcPr>
          <w:p>
            <w:pPr>
              <w:ind w:leftChars="0" w:left="0" w:right="0"/>
            </w:pPr>
            <w:r>
              <w:t>SGMW</w:t>
            </w:r>
          </w:p>
        </w:tc>
        <w:tc>
          <w:tcPr>
            <w:cnfStyle w:evenVBand="true" w:oddVBand="false" w:firstColumn="false"/>
            <w:tcW w:w="25.000000%" w:type="pct"/>
          </w:tcPr>
          <w:p>
            <w:pPr>
              <w:ind w:leftChars="0" w:left="0" w:right="0"/>
            </w:pPr>
            <w:r>
              <w:t>SGMW</w:t>
            </w:r>
          </w:p>
        </w:tc>
        <w:tc>
          <w:tcPr>
            <w:cnfStyle w:evenVBand="false" w:oddVBand="true" w:firstColumn="false"/>
            <w:tcW w:w="25.000000%" w:type="pct"/>
          </w:tcPr>
          <w:p>
            <w:pPr>
              <w:ind w:leftChars="0" w:left="0" w:right="0"/>
            </w:pPr>
            <w:r>
              <w:t>SIGMA X EUROPE NEGOTIATED TRADE</w:t>
            </w:r>
          </w:p>
        </w:tc>
        <w:tc>
          <w:tcPr>
            <w:cnfStyle w:evenVBand="true" w:oddVBand="false" w:firstColumn="false"/>
            <w:tcW w:w="25.000000%" w:type="pct"/>
          </w:tcPr>
          <w:p>
            <w:pPr>
              <w:ind w:leftChars="0" w:left="0" w:right="0"/>
            </w:pPr>
            <w:r>
              <w:t>1562</w:t>
            </w:r>
          </w:p>
        </w:tc>
      </w:tr>
      <w:tr>
        <w:trPr>
          <w:cnfStyle w:evenHBand="true" w:oddHBand="false" w:firstRow="false"/>
        </w:trPr>
        <w:tc>
          <w:tcPr>
            <w:cnfStyle w:evenVBand="false" w:oddVBand="true" w:firstColumn="false"/>
            <w:tcW w:w="25.000000%" w:type="pct"/>
          </w:tcPr>
          <w:p>
            <w:pPr>
              <w:ind w:leftChars="0" w:left="0" w:right="0"/>
            </w:pPr>
            <w:r>
              <w:t>SGMX</w:t>
            </w:r>
          </w:p>
        </w:tc>
        <w:tc>
          <w:tcPr>
            <w:cnfStyle w:evenVBand="true" w:oddVBand="false" w:firstColumn="false"/>
            <w:tcW w:w="25.000000%" w:type="pct"/>
          </w:tcPr>
          <w:p>
            <w:pPr>
              <w:ind w:leftChars="0" w:left="0" w:right="0"/>
            </w:pPr>
            <w:r>
              <w:t>SGMX</w:t>
            </w:r>
          </w:p>
        </w:tc>
        <w:tc>
          <w:tcPr>
            <w:cnfStyle w:evenVBand="false" w:oddVBand="true" w:firstColumn="false"/>
            <w:tcW w:w="25.000000%" w:type="pct"/>
          </w:tcPr>
          <w:p>
            <w:pPr>
              <w:ind w:leftChars="0" w:left="0" w:right="0"/>
            </w:pPr>
            <w:r>
              <w:t>SIGMA X MTF</w:t>
            </w:r>
          </w:p>
        </w:tc>
        <w:tc>
          <w:tcPr>
            <w:cnfStyle w:evenVBand="true" w:oddVBand="false" w:firstColumn="false"/>
            <w:tcW w:w="25.000000%" w:type="pct"/>
          </w:tcPr>
          <w:p>
            <w:pPr>
              <w:ind w:leftChars="0" w:left="0" w:right="0"/>
            </w:pPr>
            <w:r>
              <w:t>1563</w:t>
            </w:r>
          </w:p>
        </w:tc>
      </w:tr>
      <w:tr>
        <w:trPr>
          <w:cnfStyle w:evenHBand="false" w:oddHBand="true" w:firstRow="false"/>
        </w:trPr>
        <w:tc>
          <w:tcPr>
            <w:cnfStyle w:evenVBand="false" w:oddVBand="true" w:firstColumn="false"/>
            <w:tcW w:w="25.000000%" w:type="pct"/>
          </w:tcPr>
          <w:p>
            <w:pPr>
              <w:ind w:leftChars="0" w:left="0" w:right="0"/>
            </w:pPr>
            <w:r>
              <w:t>SGMY</w:t>
            </w:r>
          </w:p>
        </w:tc>
        <w:tc>
          <w:tcPr>
            <w:cnfStyle w:evenVBand="true" w:oddVBand="false" w:firstColumn="false"/>
            <w:tcW w:w="25.000000%" w:type="pct"/>
          </w:tcPr>
          <w:p>
            <w:pPr>
              <w:ind w:leftChars="0" w:left="0" w:right="0"/>
            </w:pPr>
            <w:r>
              <w:t>SGMY</w:t>
            </w:r>
          </w:p>
        </w:tc>
        <w:tc>
          <w:tcPr>
            <w:cnfStyle w:evenVBand="false" w:oddVBand="true" w:firstColumn="false"/>
            <w:tcW w:w="25.000000%" w:type="pct"/>
          </w:tcPr>
          <w:p>
            <w:pPr>
              <w:ind w:leftChars="0" w:left="0" w:right="0"/>
            </w:pPr>
            <w:r>
              <w:t>SIGMA X MTF - AUCTION BOOK</w:t>
            </w:r>
          </w:p>
        </w:tc>
        <w:tc>
          <w:tcPr>
            <w:cnfStyle w:evenVBand="true" w:oddVBand="false" w:firstColumn="false"/>
            <w:tcW w:w="25.000000%" w:type="pct"/>
          </w:tcPr>
          <w:p>
            <w:pPr>
              <w:ind w:leftChars="0" w:left="0" w:right="0"/>
            </w:pPr>
            <w:r>
              <w:t>1564</w:t>
            </w:r>
          </w:p>
        </w:tc>
      </w:tr>
      <w:tr>
        <w:trPr>
          <w:cnfStyle w:evenHBand="true" w:oddHBand="false" w:firstRow="false"/>
        </w:trPr>
        <w:tc>
          <w:tcPr>
            <w:cnfStyle w:evenVBand="false" w:oddVBand="true" w:firstColumn="false"/>
            <w:tcW w:w="25.000000%" w:type="pct"/>
          </w:tcPr>
          <w:p>
            <w:pPr>
              <w:ind w:leftChars="0" w:left="0" w:right="0"/>
            </w:pPr>
            <w:r>
              <w:t>SGMZ</w:t>
            </w:r>
          </w:p>
        </w:tc>
        <w:tc>
          <w:tcPr>
            <w:cnfStyle w:evenVBand="true" w:oddVBand="false" w:firstColumn="false"/>
            <w:tcW w:w="25.000000%" w:type="pct"/>
          </w:tcPr>
          <w:p>
            <w:pPr>
              <w:ind w:leftChars="0" w:left="0" w:right="0"/>
            </w:pPr>
            <w:r>
              <w:t>SGMZ</w:t>
            </w:r>
          </w:p>
        </w:tc>
        <w:tc>
          <w:tcPr>
            <w:cnfStyle w:evenVBand="false" w:oddVBand="true" w:firstColumn="false"/>
            <w:tcW w:w="25.000000%" w:type="pct"/>
          </w:tcPr>
          <w:p>
            <w:pPr>
              <w:ind w:leftChars="0" w:left="0" w:right="0"/>
            </w:pPr>
            <w:r>
              <w:t>SIGMA X MTF - NEGOTIATED TRADE</w:t>
            </w:r>
          </w:p>
        </w:tc>
        <w:tc>
          <w:tcPr>
            <w:cnfStyle w:evenVBand="true" w:oddVBand="false" w:firstColumn="false"/>
            <w:tcW w:w="25.000000%" w:type="pct"/>
          </w:tcPr>
          <w:p>
            <w:pPr>
              <w:ind w:leftChars="0" w:left="0" w:right="0"/>
            </w:pPr>
            <w:r>
              <w:t>1565</w:t>
            </w:r>
          </w:p>
        </w:tc>
      </w:tr>
      <w:tr>
        <w:trPr>
          <w:cnfStyle w:evenHBand="false" w:oddHBand="true" w:firstRow="false"/>
        </w:trPr>
        <w:tc>
          <w:tcPr>
            <w:cnfStyle w:evenVBand="false" w:oddVBand="true" w:firstColumn="false"/>
            <w:tcW w:w="25.000000%" w:type="pct"/>
          </w:tcPr>
          <w:p>
            <w:pPr>
              <w:ind w:leftChars="0" w:left="0" w:right="0"/>
            </w:pPr>
            <w:r>
              <w:t>SGOE</w:t>
            </w:r>
          </w:p>
        </w:tc>
        <w:tc>
          <w:tcPr>
            <w:cnfStyle w:evenVBand="true" w:oddVBand="false" w:firstColumn="false"/>
            <w:tcW w:w="25.000000%" w:type="pct"/>
          </w:tcPr>
          <w:p>
            <w:pPr>
              <w:ind w:leftChars="0" w:left="0" w:right="0"/>
            </w:pPr>
            <w:r>
              <w:t>SGOE</w:t>
            </w:r>
          </w:p>
        </w:tc>
        <w:tc>
          <w:tcPr>
            <w:cnfStyle w:evenVBand="false" w:oddVBand="true" w:firstColumn="false"/>
            <w:tcW w:w="25.000000%" w:type="pct"/>
          </w:tcPr>
          <w:p>
            <w:pPr>
              <w:ind w:leftChars="0" w:left="0" w:right="0"/>
            </w:pPr>
            <w:r>
              <w:t>SG OPTION EUROPE - SYSTEMATIC INTERNALISER</w:t>
            </w:r>
          </w:p>
        </w:tc>
        <w:tc>
          <w:tcPr>
            <w:cnfStyle w:evenVBand="true" w:oddVBand="false" w:firstColumn="false"/>
            <w:tcW w:w="25.000000%" w:type="pct"/>
          </w:tcPr>
          <w:p>
            <w:pPr>
              <w:ind w:leftChars="0" w:left="0" w:right="0"/>
            </w:pPr>
            <w:r>
              <w:t>1566</w:t>
            </w:r>
          </w:p>
        </w:tc>
      </w:tr>
      <w:tr>
        <w:trPr>
          <w:cnfStyle w:evenHBand="true" w:oddHBand="false" w:firstRow="false"/>
        </w:trPr>
        <w:tc>
          <w:tcPr>
            <w:cnfStyle w:evenVBand="false" w:oddVBand="true" w:firstColumn="false"/>
            <w:tcW w:w="25.000000%" w:type="pct"/>
          </w:tcPr>
          <w:p>
            <w:pPr>
              <w:ind w:leftChars="0" w:left="0" w:right="0"/>
            </w:pPr>
            <w:r>
              <w:t>SHAD</w:t>
            </w:r>
          </w:p>
        </w:tc>
        <w:tc>
          <w:tcPr>
            <w:cnfStyle w:evenVBand="true" w:oddVBand="false" w:firstColumn="false"/>
            <w:tcW w:w="25.000000%" w:type="pct"/>
          </w:tcPr>
          <w:p>
            <w:pPr>
              <w:ind w:leftChars="0" w:left="0" w:right="0"/>
            </w:pPr>
            <w:r>
              <w:t>SHAD</w:t>
            </w:r>
          </w:p>
        </w:tc>
        <w:tc>
          <w:tcPr>
            <w:cnfStyle w:evenVBand="false" w:oddVBand="true" w:firstColumn="false"/>
            <w:tcW w:w="25.000000%" w:type="pct"/>
          </w:tcPr>
          <w:p>
            <w:pPr>
              <w:ind w:leftChars="0" w:left="0" w:right="0"/>
            </w:pPr>
            <w:r>
              <w:t>D.E. SHAW DARK</w:t>
            </w:r>
          </w:p>
        </w:tc>
        <w:tc>
          <w:tcPr>
            <w:cnfStyle w:evenVBand="true" w:oddVBand="false" w:firstColumn="false"/>
            <w:tcW w:w="25.000000%" w:type="pct"/>
          </w:tcPr>
          <w:p>
            <w:pPr>
              <w:ind w:leftChars="0" w:left="0" w:right="0"/>
            </w:pPr>
            <w:r>
              <w:t>1567</w:t>
            </w:r>
          </w:p>
        </w:tc>
      </w:tr>
      <w:tr>
        <w:trPr>
          <w:cnfStyle w:evenHBand="false" w:oddHBand="true" w:firstRow="false"/>
        </w:trPr>
        <w:tc>
          <w:tcPr>
            <w:cnfStyle w:evenVBand="false" w:oddVBand="true" w:firstColumn="false"/>
            <w:tcW w:w="25.000000%" w:type="pct"/>
          </w:tcPr>
          <w:p>
            <w:pPr>
              <w:ind w:leftChars="0" w:left="0" w:right="0"/>
            </w:pPr>
            <w:r>
              <w:t>SHAR</w:t>
            </w:r>
          </w:p>
        </w:tc>
        <w:tc>
          <w:tcPr>
            <w:cnfStyle w:evenVBand="true" w:oddVBand="false" w:firstColumn="false"/>
            <w:tcW w:w="25.000000%" w:type="pct"/>
          </w:tcPr>
          <w:p>
            <w:pPr>
              <w:ind w:leftChars="0" w:left="0" w:right="0"/>
            </w:pPr>
            <w:r>
              <w:t>SHAR</w:t>
            </w:r>
          </w:p>
        </w:tc>
        <w:tc>
          <w:tcPr>
            <w:cnfStyle w:evenVBand="false" w:oddVBand="true" w:firstColumn="false"/>
            <w:tcW w:w="25.000000%" w:type="pct"/>
          </w:tcPr>
          <w:p>
            <w:pPr>
              <w:ind w:leftChars="0" w:left="0" w:right="0"/>
            </w:pPr>
            <w:r>
              <w:t>ASSET MATCH</w:t>
            </w:r>
          </w:p>
        </w:tc>
        <w:tc>
          <w:tcPr>
            <w:cnfStyle w:evenVBand="true" w:oddVBand="false" w:firstColumn="false"/>
            <w:tcW w:w="25.000000%" w:type="pct"/>
          </w:tcPr>
          <w:p>
            <w:pPr>
              <w:ind w:leftChars="0" w:left="0" w:right="0"/>
            </w:pPr>
            <w:r>
              <w:t>1568</w:t>
            </w:r>
          </w:p>
        </w:tc>
      </w:tr>
      <w:tr>
        <w:trPr>
          <w:cnfStyle w:evenHBand="true" w:oddHBand="false" w:firstRow="false"/>
        </w:trPr>
        <w:tc>
          <w:tcPr>
            <w:cnfStyle w:evenVBand="false" w:oddVBand="true" w:firstColumn="false"/>
            <w:tcW w:w="25.000000%" w:type="pct"/>
          </w:tcPr>
          <w:p>
            <w:pPr>
              <w:ind w:leftChars="0" w:left="0" w:right="0"/>
            </w:pPr>
            <w:r>
              <w:t>SHAW</w:t>
            </w:r>
          </w:p>
        </w:tc>
        <w:tc>
          <w:tcPr>
            <w:cnfStyle w:evenVBand="true" w:oddVBand="false" w:firstColumn="false"/>
            <w:tcW w:w="25.000000%" w:type="pct"/>
          </w:tcPr>
          <w:p>
            <w:pPr>
              <w:ind w:leftChars="0" w:left="0" w:right="0"/>
            </w:pPr>
            <w:r>
              <w:t>SHAW</w:t>
            </w:r>
          </w:p>
        </w:tc>
        <w:tc>
          <w:tcPr>
            <w:cnfStyle w:evenVBand="false" w:oddVBand="true" w:firstColumn="false"/>
            <w:tcW w:w="25.000000%" w:type="pct"/>
          </w:tcPr>
          <w:p>
            <w:pPr>
              <w:ind w:leftChars="0" w:left="0" w:right="0"/>
            </w:pPr>
            <w:r>
              <w:t>D.E. SHAW</w:t>
            </w:r>
          </w:p>
        </w:tc>
        <w:tc>
          <w:tcPr>
            <w:cnfStyle w:evenVBand="true" w:oddVBand="false" w:firstColumn="false"/>
            <w:tcW w:w="25.000000%" w:type="pct"/>
          </w:tcPr>
          <w:p>
            <w:pPr>
              <w:ind w:leftChars="0" w:left="0" w:right="0"/>
            </w:pPr>
            <w:r>
              <w:t>1569</w:t>
            </w:r>
          </w:p>
        </w:tc>
      </w:tr>
      <w:tr>
        <w:trPr>
          <w:cnfStyle w:evenHBand="false" w:oddHBand="true" w:firstRow="false"/>
        </w:trPr>
        <w:tc>
          <w:tcPr>
            <w:cnfStyle w:evenVBand="false" w:oddVBand="true" w:firstColumn="false"/>
            <w:tcW w:w="25.000000%" w:type="pct"/>
          </w:tcPr>
          <w:p>
            <w:pPr>
              <w:ind w:leftChars="0" w:left="0" w:right="0"/>
            </w:pPr>
            <w:r>
              <w:t>SHSC</w:t>
            </w:r>
          </w:p>
        </w:tc>
        <w:tc>
          <w:tcPr>
            <w:cnfStyle w:evenVBand="true" w:oddVBand="false" w:firstColumn="false"/>
            <w:tcW w:w="25.000000%" w:type="pct"/>
          </w:tcPr>
          <w:p>
            <w:pPr>
              <w:ind w:leftChars="0" w:left="0" w:right="0"/>
            </w:pPr>
            <w:r>
              <w:t>SHSC</w:t>
            </w:r>
          </w:p>
        </w:tc>
        <w:tc>
          <w:tcPr>
            <w:cnfStyle w:evenVBand="false" w:oddVBand="true" w:firstColumn="false"/>
            <w:tcW w:w="25.000000%" w:type="pct"/>
          </w:tcPr>
          <w:p>
            <w:pPr>
              <w:ind w:leftChars="0" w:left="0" w:right="0"/>
            </w:pPr>
            <w:r>
              <w:t>STOCK EXCHANGE OF HONG KONG LIMITED - SHANGHAI - HONG KONG STOCK CONNECT</w:t>
            </w:r>
          </w:p>
        </w:tc>
        <w:tc>
          <w:tcPr>
            <w:cnfStyle w:evenVBand="true" w:oddVBand="false" w:firstColumn="false"/>
            <w:tcW w:w="25.000000%" w:type="pct"/>
          </w:tcPr>
          <w:p>
            <w:pPr>
              <w:ind w:leftChars="0" w:left="0" w:right="0"/>
            </w:pPr>
            <w:r>
              <w:t>1570</w:t>
            </w:r>
          </w:p>
        </w:tc>
      </w:tr>
      <w:tr>
        <w:trPr>
          <w:cnfStyle w:evenHBand="true" w:oddHBand="false" w:firstRow="false"/>
        </w:trPr>
        <w:tc>
          <w:tcPr>
            <w:cnfStyle w:evenVBand="false" w:oddVBand="true" w:firstColumn="false"/>
            <w:tcW w:w="25.000000%" w:type="pct"/>
          </w:tcPr>
          <w:p>
            <w:pPr>
              <w:ind w:leftChars="0" w:left="0" w:right="0"/>
            </w:pPr>
            <w:r>
              <w:t>SIAB</w:t>
            </w:r>
          </w:p>
        </w:tc>
        <w:tc>
          <w:tcPr>
            <w:cnfStyle w:evenVBand="true" w:oddVBand="false" w:firstColumn="false"/>
            <w:tcW w:w="25.000000%" w:type="pct"/>
          </w:tcPr>
          <w:p>
            <w:pPr>
              <w:ind w:leftChars="0" w:left="0" w:right="0"/>
            </w:pPr>
            <w:r>
              <w:t>SIAB</w:t>
            </w:r>
          </w:p>
        </w:tc>
        <w:tc>
          <w:tcPr>
            <w:cnfStyle w:evenVBand="false" w:oddVBand="true" w:firstColumn="false"/>
            <w:tcW w:w="25.000000%" w:type="pct"/>
          </w:tcPr>
          <w:p>
            <w:pPr>
              <w:ind w:leftChars="0" w:left="0" w:right="0"/>
            </w:pPr>
            <w:r>
              <w:t>ALIOR BANK - SYSTEMATIC INTERNALISER</w:t>
            </w:r>
          </w:p>
        </w:tc>
        <w:tc>
          <w:tcPr>
            <w:cnfStyle w:evenVBand="true" w:oddVBand="false" w:firstColumn="false"/>
            <w:tcW w:w="25.000000%" w:type="pct"/>
          </w:tcPr>
          <w:p>
            <w:pPr>
              <w:ind w:leftChars="0" w:left="0" w:right="0"/>
            </w:pPr>
            <w:r>
              <w:t>1571</w:t>
            </w:r>
          </w:p>
        </w:tc>
      </w:tr>
      <w:tr>
        <w:trPr>
          <w:cnfStyle w:evenHBand="false" w:oddHBand="true" w:firstRow="false"/>
        </w:trPr>
        <w:tc>
          <w:tcPr>
            <w:cnfStyle w:evenVBand="false" w:oddVBand="true" w:firstColumn="false"/>
            <w:tcW w:w="25.000000%" w:type="pct"/>
          </w:tcPr>
          <w:p>
            <w:pPr>
              <w:ind w:leftChars="0" w:left="0" w:right="0"/>
            </w:pPr>
            <w:r>
              <w:t>SIBC</w:t>
            </w:r>
          </w:p>
        </w:tc>
        <w:tc>
          <w:tcPr>
            <w:cnfStyle w:evenVBand="true" w:oddVBand="false" w:firstColumn="false"/>
            <w:tcW w:w="25.000000%" w:type="pct"/>
          </w:tcPr>
          <w:p>
            <w:pPr>
              <w:ind w:leftChars="0" w:left="0" w:right="0"/>
            </w:pPr>
            <w:r>
              <w:t>SIBC</w:t>
            </w:r>
          </w:p>
        </w:tc>
        <w:tc>
          <w:tcPr>
            <w:cnfStyle w:evenVBand="false" w:oddVBand="true" w:firstColumn="false"/>
            <w:tcW w:w="25.000000%" w:type="pct"/>
          </w:tcPr>
          <w:p>
            <w:pPr>
              <w:ind w:leftChars="0" w:left="0" w:right="0"/>
            </w:pPr>
            <w:r>
              <w:t>SIB CYPRUS LTD - SYSTEMATIC INTERNALISER</w:t>
            </w:r>
          </w:p>
        </w:tc>
        <w:tc>
          <w:tcPr>
            <w:cnfStyle w:evenVBand="true" w:oddVBand="false" w:firstColumn="false"/>
            <w:tcW w:w="25.000000%" w:type="pct"/>
          </w:tcPr>
          <w:p>
            <w:pPr>
              <w:ind w:leftChars="0" w:left="0" w:right="0"/>
            </w:pPr>
            <w:r>
              <w:t>1572</w:t>
            </w:r>
          </w:p>
        </w:tc>
      </w:tr>
      <w:tr>
        <w:trPr>
          <w:cnfStyle w:evenHBand="true" w:oddHBand="false" w:firstRow="false"/>
        </w:trPr>
        <w:tc>
          <w:tcPr>
            <w:cnfStyle w:evenVBand="false" w:oddVBand="true" w:firstColumn="false"/>
            <w:tcW w:w="25.000000%" w:type="pct"/>
          </w:tcPr>
          <w:p>
            <w:pPr>
              <w:ind w:leftChars="0" w:left="0" w:right="0"/>
            </w:pPr>
            <w:r>
              <w:t>SICS</w:t>
            </w:r>
          </w:p>
        </w:tc>
        <w:tc>
          <w:tcPr>
            <w:cnfStyle w:evenVBand="true" w:oddVBand="false" w:firstColumn="false"/>
            <w:tcW w:w="25.000000%" w:type="pct"/>
          </w:tcPr>
          <w:p>
            <w:pPr>
              <w:ind w:leftChars="0" w:left="0" w:right="0"/>
            </w:pPr>
            <w:r>
              <w:t>SICS</w:t>
            </w:r>
          </w:p>
        </w:tc>
        <w:tc>
          <w:tcPr>
            <w:cnfStyle w:evenVBand="false" w:oddVBand="true" w:firstColumn="false"/>
            <w:tcW w:w="25.000000%" w:type="pct"/>
          </w:tcPr>
          <w:p>
            <w:pPr>
              <w:ind w:leftChars="0" w:left="0" w:right="0"/>
            </w:pPr>
            <w:r>
              <w:t>CREDIT SUISSE SECURITIES (EUROPE) LIMITED - SYSTEMATIC INTERNALISER</w:t>
            </w:r>
          </w:p>
        </w:tc>
        <w:tc>
          <w:tcPr>
            <w:cnfStyle w:evenVBand="true" w:oddVBand="false" w:firstColumn="false"/>
            <w:tcW w:w="25.000000%" w:type="pct"/>
          </w:tcPr>
          <w:p>
            <w:pPr>
              <w:ind w:leftChars="0" w:left="0" w:right="0"/>
            </w:pPr>
            <w:r>
              <w:t>1573</w:t>
            </w:r>
          </w:p>
        </w:tc>
      </w:tr>
      <w:tr>
        <w:trPr>
          <w:cnfStyle w:evenHBand="false" w:oddHBand="true" w:firstRow="false"/>
        </w:trPr>
        <w:tc>
          <w:tcPr>
            <w:cnfStyle w:evenVBand="false" w:oddVBand="true" w:firstColumn="false"/>
            <w:tcW w:w="25.000000%" w:type="pct"/>
          </w:tcPr>
          <w:p>
            <w:pPr>
              <w:ind w:leftChars="0" w:left="0" w:right="0"/>
            </w:pPr>
            <w:r>
              <w:t>SIDX</w:t>
            </w:r>
          </w:p>
        </w:tc>
        <w:tc>
          <w:tcPr>
            <w:cnfStyle w:evenVBand="true" w:oddVBand="false" w:firstColumn="false"/>
            <w:tcW w:w="25.000000%" w:type="pct"/>
          </w:tcPr>
          <w:p>
            <w:pPr>
              <w:ind w:leftChars="0" w:left="0" w:right="0"/>
            </w:pPr>
            <w:r>
              <w:t>SIDX</w:t>
            </w:r>
          </w:p>
        </w:tc>
        <w:tc>
          <w:tcPr>
            <w:cnfStyle w:evenVBand="false" w:oddVBand="true" w:firstColumn="false"/>
            <w:tcW w:w="25.000000%" w:type="pct"/>
          </w:tcPr>
          <w:p>
            <w:pPr>
              <w:ind w:leftChars="0" w:left="0" w:right="0"/>
            </w:pPr>
            <w:r>
              <w:t>SCOTIABANK (IRELAND) DESIGNATED ACTIVITY COMPANY - SYSTEMATIC INTERNALISER</w:t>
            </w:r>
          </w:p>
        </w:tc>
        <w:tc>
          <w:tcPr>
            <w:cnfStyle w:evenVBand="true" w:oddVBand="false" w:firstColumn="false"/>
            <w:tcW w:w="25.000000%" w:type="pct"/>
          </w:tcPr>
          <w:p>
            <w:pPr>
              <w:ind w:leftChars="0" w:left="0" w:right="0"/>
            </w:pPr>
            <w:r>
              <w:t>1574</w:t>
            </w:r>
          </w:p>
        </w:tc>
      </w:tr>
      <w:tr>
        <w:trPr>
          <w:cnfStyle w:evenHBand="true" w:oddHBand="false" w:firstRow="false"/>
        </w:trPr>
        <w:tc>
          <w:tcPr>
            <w:cnfStyle w:evenVBand="false" w:oddVBand="true" w:firstColumn="false"/>
            <w:tcW w:w="25.000000%" w:type="pct"/>
          </w:tcPr>
          <w:p>
            <w:pPr>
              <w:ind w:leftChars="0" w:left="0" w:right="0"/>
            </w:pPr>
            <w:r>
              <w:t>SIFX</w:t>
            </w:r>
          </w:p>
        </w:tc>
        <w:tc>
          <w:tcPr>
            <w:cnfStyle w:evenVBand="true" w:oddVBand="false" w:firstColumn="false"/>
            <w:tcW w:w="25.000000%" w:type="pct"/>
          </w:tcPr>
          <w:p>
            <w:pPr>
              <w:ind w:leftChars="0" w:left="0" w:right="0"/>
            </w:pPr>
            <w:r>
              <w:t>SIFX</w:t>
            </w:r>
          </w:p>
        </w:tc>
        <w:tc>
          <w:tcPr>
            <w:cnfStyle w:evenVBand="false" w:oddVBand="true" w:firstColumn="false"/>
            <w:tcW w:w="25.000000%" w:type="pct"/>
          </w:tcPr>
          <w:p>
            <w:pPr>
              <w:ind w:leftChars="0" w:left="0" w:right="0"/>
            </w:pPr>
            <w:r>
              <w:t>SIEGE FX LIMITED</w:t>
            </w:r>
          </w:p>
        </w:tc>
        <w:tc>
          <w:tcPr>
            <w:cnfStyle w:evenVBand="true" w:oddVBand="false" w:firstColumn="false"/>
            <w:tcW w:w="25.000000%" w:type="pct"/>
          </w:tcPr>
          <w:p>
            <w:pPr>
              <w:ind w:leftChars="0" w:left="0" w:right="0"/>
            </w:pPr>
            <w:r>
              <w:t>1575</w:t>
            </w:r>
          </w:p>
        </w:tc>
      </w:tr>
      <w:tr>
        <w:trPr>
          <w:cnfStyle w:evenHBand="false" w:oddHBand="true" w:firstRow="false"/>
        </w:trPr>
        <w:tc>
          <w:tcPr>
            <w:cnfStyle w:evenVBand="false" w:oddVBand="true" w:firstColumn="false"/>
            <w:tcW w:w="25.000000%" w:type="pct"/>
          </w:tcPr>
          <w:p>
            <w:pPr>
              <w:ind w:leftChars="0" w:left="0" w:right="0"/>
            </w:pPr>
            <w:r>
              <w:t>SIGA</w:t>
            </w:r>
          </w:p>
        </w:tc>
        <w:tc>
          <w:tcPr>
            <w:cnfStyle w:evenVBand="true" w:oddVBand="false" w:firstColumn="false"/>
            <w:tcW w:w="25.000000%" w:type="pct"/>
          </w:tcPr>
          <w:p>
            <w:pPr>
              <w:ind w:leftChars="0" w:left="0" w:right="0"/>
            </w:pPr>
            <w:r>
              <w:t>SIGA</w:t>
            </w:r>
          </w:p>
        </w:tc>
        <w:tc>
          <w:tcPr>
            <w:cnfStyle w:evenVBand="false" w:oddVBand="true" w:firstColumn="false"/>
            <w:tcW w:w="25.000000%" w:type="pct"/>
          </w:tcPr>
          <w:p>
            <w:pPr>
              <w:ind w:leftChars="0" w:left="0" w:right="0"/>
            </w:pPr>
            <w:r>
              <w:t>SIGMA X AUSTRALIA</w:t>
            </w:r>
          </w:p>
        </w:tc>
        <w:tc>
          <w:tcPr>
            <w:cnfStyle w:evenVBand="true" w:oddVBand="false" w:firstColumn="false"/>
            <w:tcW w:w="25.000000%" w:type="pct"/>
          </w:tcPr>
          <w:p>
            <w:pPr>
              <w:ind w:leftChars="0" w:left="0" w:right="0"/>
            </w:pPr>
            <w:r>
              <w:t>1576</w:t>
            </w:r>
          </w:p>
        </w:tc>
      </w:tr>
      <w:tr>
        <w:trPr>
          <w:cnfStyle w:evenHBand="true" w:oddHBand="false" w:firstRow="false"/>
        </w:trPr>
        <w:tc>
          <w:tcPr>
            <w:cnfStyle w:evenVBand="false" w:oddVBand="true" w:firstColumn="false"/>
            <w:tcW w:w="25.000000%" w:type="pct"/>
          </w:tcPr>
          <w:p>
            <w:pPr>
              <w:ind w:leftChars="0" w:left="0" w:right="0"/>
            </w:pPr>
            <w:r>
              <w:t>SIGH</w:t>
            </w:r>
          </w:p>
        </w:tc>
        <w:tc>
          <w:tcPr>
            <w:cnfStyle w:evenVBand="true" w:oddVBand="false" w:firstColumn="false"/>
            <w:tcW w:w="25.000000%" w:type="pct"/>
          </w:tcPr>
          <w:p>
            <w:pPr>
              <w:ind w:leftChars="0" w:left="0" w:right="0"/>
            </w:pPr>
            <w:r>
              <w:t>SIGH</w:t>
            </w:r>
          </w:p>
        </w:tc>
        <w:tc>
          <w:tcPr>
            <w:cnfStyle w:evenVBand="false" w:oddVBand="true" w:firstColumn="false"/>
            <w:tcW w:w="25.000000%" w:type="pct"/>
          </w:tcPr>
          <w:p>
            <w:pPr>
              <w:ind w:leftChars="0" w:left="0" w:right="0"/>
            </w:pPr>
            <w:r>
              <w:t>SIGMA X HONG KONG</w:t>
            </w:r>
          </w:p>
        </w:tc>
        <w:tc>
          <w:tcPr>
            <w:cnfStyle w:evenVBand="true" w:oddVBand="false" w:firstColumn="false"/>
            <w:tcW w:w="25.000000%" w:type="pct"/>
          </w:tcPr>
          <w:p>
            <w:pPr>
              <w:ind w:leftChars="0" w:left="0" w:right="0"/>
            </w:pPr>
            <w:r>
              <w:t>1577</w:t>
            </w:r>
          </w:p>
        </w:tc>
      </w:tr>
      <w:tr>
        <w:trPr>
          <w:cnfStyle w:evenHBand="false" w:oddHBand="true" w:firstRow="false"/>
        </w:trPr>
        <w:tc>
          <w:tcPr>
            <w:cnfStyle w:evenVBand="false" w:oddVBand="true" w:firstColumn="false"/>
            <w:tcW w:w="25.000000%" w:type="pct"/>
          </w:tcPr>
          <w:p>
            <w:pPr>
              <w:ind w:leftChars="0" w:left="0" w:right="0"/>
            </w:pPr>
            <w:r>
              <w:t>SIGJ</w:t>
            </w:r>
          </w:p>
        </w:tc>
        <w:tc>
          <w:tcPr>
            <w:cnfStyle w:evenVBand="true" w:oddVBand="false" w:firstColumn="false"/>
            <w:tcW w:w="25.000000%" w:type="pct"/>
          </w:tcPr>
          <w:p>
            <w:pPr>
              <w:ind w:leftChars="0" w:left="0" w:right="0"/>
            </w:pPr>
            <w:r>
              <w:t>SIGJ</w:t>
            </w:r>
          </w:p>
        </w:tc>
        <w:tc>
          <w:tcPr>
            <w:cnfStyle w:evenVBand="false" w:oddVBand="true" w:firstColumn="false"/>
            <w:tcW w:w="25.000000%" w:type="pct"/>
          </w:tcPr>
          <w:p>
            <w:pPr>
              <w:ind w:leftChars="0" w:left="0" w:right="0"/>
            </w:pPr>
            <w:r>
              <w:t>SIGMA X JAPAN</w:t>
            </w:r>
          </w:p>
        </w:tc>
        <w:tc>
          <w:tcPr>
            <w:cnfStyle w:evenVBand="true" w:oddVBand="false" w:firstColumn="false"/>
            <w:tcW w:w="25.000000%" w:type="pct"/>
          </w:tcPr>
          <w:p>
            <w:pPr>
              <w:ind w:leftChars="0" w:left="0" w:right="0"/>
            </w:pPr>
            <w:r>
              <w:t>1578</w:t>
            </w:r>
          </w:p>
        </w:tc>
      </w:tr>
      <w:tr>
        <w:trPr>
          <w:cnfStyle w:evenHBand="true" w:oddHBand="false" w:firstRow="false"/>
        </w:trPr>
        <w:tc>
          <w:tcPr>
            <w:cnfStyle w:evenVBand="false" w:oddVBand="true" w:firstColumn="false"/>
            <w:tcW w:w="25.000000%" w:type="pct"/>
          </w:tcPr>
          <w:p>
            <w:pPr>
              <w:ind w:leftChars="0" w:left="0" w:right="0"/>
            </w:pPr>
            <w:r>
              <w:t>SIGX</w:t>
            </w:r>
          </w:p>
        </w:tc>
        <w:tc>
          <w:tcPr>
            <w:cnfStyle w:evenVBand="true" w:oddVBand="false" w:firstColumn="false"/>
            <w:tcW w:w="25.000000%" w:type="pct"/>
          </w:tcPr>
          <w:p>
            <w:pPr>
              <w:ind w:leftChars="0" w:left="0" w:right="0"/>
            </w:pPr>
            <w:r>
              <w:t>SIGX</w:t>
            </w:r>
          </w:p>
        </w:tc>
        <w:tc>
          <w:tcPr>
            <w:cnfStyle w:evenVBand="false" w:oddVBand="true" w:firstColumn="false"/>
            <w:tcW w:w="25.000000%" w:type="pct"/>
          </w:tcPr>
          <w:p>
            <w:pPr>
              <w:ind w:leftChars="0" w:left="0" w:right="0"/>
            </w:pPr>
            <w:r>
              <w:t>SIGMA X CANADA</w:t>
            </w:r>
          </w:p>
        </w:tc>
        <w:tc>
          <w:tcPr>
            <w:cnfStyle w:evenVBand="true" w:oddVBand="false" w:firstColumn="false"/>
            <w:tcW w:w="25.000000%" w:type="pct"/>
          </w:tcPr>
          <w:p>
            <w:pPr>
              <w:ind w:leftChars="0" w:left="0" w:right="0"/>
            </w:pPr>
            <w:r>
              <w:t>1579</w:t>
            </w:r>
          </w:p>
        </w:tc>
      </w:tr>
      <w:tr>
        <w:trPr>
          <w:cnfStyle w:evenHBand="false" w:oddHBand="true" w:firstRow="false"/>
        </w:trPr>
        <w:tc>
          <w:tcPr>
            <w:cnfStyle w:evenVBand="false" w:oddVBand="true" w:firstColumn="false"/>
            <w:tcW w:w="25.000000%" w:type="pct"/>
          </w:tcPr>
          <w:p>
            <w:pPr>
              <w:ind w:leftChars="0" w:left="0" w:right="0"/>
            </w:pPr>
            <w:r>
              <w:t>SIMD</w:t>
            </w:r>
          </w:p>
        </w:tc>
        <w:tc>
          <w:tcPr>
            <w:cnfStyle w:evenVBand="true" w:oddVBand="false" w:firstColumn="false"/>
            <w:tcW w:w="25.000000%" w:type="pct"/>
          </w:tcPr>
          <w:p>
            <w:pPr>
              <w:ind w:leftChars="0" w:left="0" w:right="0"/>
            </w:pPr>
            <w:r>
              <w:t>SIMD</w:t>
            </w:r>
          </w:p>
        </w:tc>
        <w:tc>
          <w:tcPr>
            <w:cnfStyle w:evenVBand="false" w:oddVBand="true" w:firstColumn="false"/>
            <w:tcW w:w="25.000000%" w:type="pct"/>
          </w:tcPr>
          <w:p>
            <w:pPr>
              <w:ind w:leftChars="0" w:left="0" w:right="0"/>
            </w:pPr>
            <w:r>
              <w:t>CREDIT SUISSE BANK (EUROPE), S.A. - SYSTEMATIC INTERNALISER</w:t>
            </w:r>
          </w:p>
        </w:tc>
        <w:tc>
          <w:tcPr>
            <w:cnfStyle w:evenVBand="true" w:oddVBand="false" w:firstColumn="false"/>
            <w:tcW w:w="25.000000%" w:type="pct"/>
          </w:tcPr>
          <w:p>
            <w:pPr>
              <w:ind w:leftChars="0" w:left="0" w:right="0"/>
            </w:pPr>
            <w:r>
              <w:t>1580</w:t>
            </w:r>
          </w:p>
        </w:tc>
      </w:tr>
      <w:tr>
        <w:trPr>
          <w:cnfStyle w:evenHBand="true" w:oddHBand="false" w:firstRow="false"/>
        </w:trPr>
        <w:tc>
          <w:tcPr>
            <w:cnfStyle w:evenVBand="false" w:oddVBand="true" w:firstColumn="false"/>
            <w:tcW w:w="25.000000%" w:type="pct"/>
          </w:tcPr>
          <w:p>
            <w:pPr>
              <w:ind w:leftChars="0" w:left="0" w:right="0"/>
            </w:pPr>
            <w:r>
              <w:t>SIMV</w:t>
            </w:r>
          </w:p>
        </w:tc>
        <w:tc>
          <w:tcPr>
            <w:cnfStyle w:evenVBand="true" w:oddVBand="false" w:firstColumn="false"/>
            <w:tcW w:w="25.000000%" w:type="pct"/>
          </w:tcPr>
          <w:p>
            <w:pPr>
              <w:ind w:leftChars="0" w:left="0" w:right="0"/>
            </w:pPr>
            <w:r>
              <w:t>SIMV</w:t>
            </w:r>
          </w:p>
        </w:tc>
        <w:tc>
          <w:tcPr>
            <w:cnfStyle w:evenVBand="false" w:oddVBand="true" w:firstColumn="false"/>
            <w:tcW w:w="25.000000%" w:type="pct"/>
          </w:tcPr>
          <w:p>
            <w:pPr>
              <w:ind w:leftChars="0" w:left="0" w:right="0"/>
            </w:pPr>
            <w:r>
              <w:t>SIM VENTURE SECURITIES EXCHANGE</w:t>
            </w:r>
          </w:p>
        </w:tc>
        <w:tc>
          <w:tcPr>
            <w:cnfStyle w:evenVBand="true" w:oddVBand="false" w:firstColumn="false"/>
            <w:tcW w:w="25.000000%" w:type="pct"/>
          </w:tcPr>
          <w:p>
            <w:pPr>
              <w:ind w:leftChars="0" w:left="0" w:right="0"/>
            </w:pPr>
            <w:r>
              <w:t>1581</w:t>
            </w:r>
          </w:p>
        </w:tc>
      </w:tr>
      <w:tr>
        <w:trPr>
          <w:cnfStyle w:evenHBand="false" w:oddHBand="true" w:firstRow="false"/>
        </w:trPr>
        <w:tc>
          <w:tcPr>
            <w:cnfStyle w:evenVBand="false" w:oddVBand="true" w:firstColumn="false"/>
            <w:tcW w:w="25.000000%" w:type="pct"/>
          </w:tcPr>
          <w:p>
            <w:pPr>
              <w:ind w:leftChars="0" w:left="0" w:right="0"/>
            </w:pPr>
            <w:r>
              <w:t>SISI</w:t>
            </w:r>
          </w:p>
        </w:tc>
        <w:tc>
          <w:tcPr>
            <w:cnfStyle w:evenVBand="true" w:oddVBand="false" w:firstColumn="false"/>
            <w:tcW w:w="25.000000%" w:type="pct"/>
          </w:tcPr>
          <w:p>
            <w:pPr>
              <w:ind w:leftChars="0" w:left="0" w:right="0"/>
            </w:pPr>
            <w:r>
              <w:t>SISI</w:t>
            </w:r>
          </w:p>
        </w:tc>
        <w:tc>
          <w:tcPr>
            <w:cnfStyle w:evenVBand="false" w:oddVBand="true" w:firstColumn="false"/>
            <w:tcW w:w="25.000000%" w:type="pct"/>
          </w:tcPr>
          <w:p>
            <w:pPr>
              <w:ind w:leftChars="0" w:left="0" w:right="0"/>
            </w:pPr>
            <w:r>
              <w:t>SUSQUEHANNA INTERNATIONAL SECURITIES LIMITED - SYSTEMATIC INTERNALISER</w:t>
            </w:r>
          </w:p>
        </w:tc>
        <w:tc>
          <w:tcPr>
            <w:cnfStyle w:evenVBand="true" w:oddVBand="false" w:firstColumn="false"/>
            <w:tcW w:w="25.000000%" w:type="pct"/>
          </w:tcPr>
          <w:p>
            <w:pPr>
              <w:ind w:leftChars="0" w:left="0" w:right="0"/>
            </w:pPr>
            <w:r>
              <w:t>1582</w:t>
            </w:r>
          </w:p>
        </w:tc>
      </w:tr>
      <w:tr>
        <w:trPr>
          <w:cnfStyle w:evenHBand="true" w:oddHBand="false" w:firstRow="false"/>
        </w:trPr>
        <w:tc>
          <w:tcPr>
            <w:cnfStyle w:evenVBand="false" w:oddVBand="true" w:firstColumn="false"/>
            <w:tcW w:w="25.000000%" w:type="pct"/>
          </w:tcPr>
          <w:p>
            <w:pPr>
              <w:ind w:leftChars="0" w:left="0" w:right="0"/>
            </w:pPr>
            <w:r>
              <w:t>SISU</w:t>
            </w:r>
          </w:p>
        </w:tc>
        <w:tc>
          <w:tcPr>
            <w:cnfStyle w:evenVBand="true" w:oddVBand="false" w:firstColumn="false"/>
            <w:tcW w:w="25.000000%" w:type="pct"/>
          </w:tcPr>
          <w:p>
            <w:pPr>
              <w:ind w:leftChars="0" w:left="0" w:right="0"/>
            </w:pPr>
            <w:r>
              <w:t>SISU</w:t>
            </w:r>
          </w:p>
        </w:tc>
        <w:tc>
          <w:tcPr>
            <w:cnfStyle w:evenVBand="false" w:oddVBand="true" w:firstColumn="false"/>
            <w:tcW w:w="25.000000%" w:type="pct"/>
          </w:tcPr>
          <w:p>
            <w:pPr>
              <w:ind w:leftChars="0" w:left="0" w:right="0"/>
            </w:pPr>
            <w:r>
              <w:t>SUSQUEHANNA INTERNATIONAL SECURITIES LIMITED - LONDON BRANCH - SYSTEMATIC INTERNALISER</w:t>
            </w:r>
          </w:p>
        </w:tc>
        <w:tc>
          <w:tcPr>
            <w:cnfStyle w:evenVBand="true" w:oddVBand="false" w:firstColumn="false"/>
            <w:tcW w:w="25.000000%" w:type="pct"/>
          </w:tcPr>
          <w:p>
            <w:pPr>
              <w:ind w:leftChars="0" w:left="0" w:right="0"/>
            </w:pPr>
            <w:r>
              <w:t>1583</w:t>
            </w:r>
          </w:p>
        </w:tc>
      </w:tr>
      <w:tr>
        <w:trPr>
          <w:cnfStyle w:evenHBand="false" w:oddHBand="true" w:firstRow="false"/>
        </w:trPr>
        <w:tc>
          <w:tcPr>
            <w:cnfStyle w:evenVBand="false" w:oddVBand="true" w:firstColumn="false"/>
            <w:tcW w:w="25.000000%" w:type="pct"/>
          </w:tcPr>
          <w:p>
            <w:pPr>
              <w:ind w:leftChars="0" w:left="0" w:right="0"/>
            </w:pPr>
            <w:r>
              <w:t>SKBB</w:t>
            </w:r>
          </w:p>
        </w:tc>
        <w:tc>
          <w:tcPr>
            <w:cnfStyle w:evenVBand="true" w:oddVBand="false" w:firstColumn="false"/>
            <w:tcW w:w="25.000000%" w:type="pct"/>
          </w:tcPr>
          <w:p>
            <w:pPr>
              <w:ind w:leftChars="0" w:left="0" w:right="0"/>
            </w:pPr>
            <w:r>
              <w:t>SKBB</w:t>
            </w:r>
          </w:p>
        </w:tc>
        <w:tc>
          <w:tcPr>
            <w:cnfStyle w:evenVBand="false" w:oddVBand="true" w:firstColumn="false"/>
            <w:tcW w:w="25.000000%" w:type="pct"/>
          </w:tcPr>
          <w:p>
            <w:pPr>
              <w:ind w:leftChars="0" w:left="0" w:right="0"/>
            </w:pPr>
            <w:r>
              <w:t>SKB BANKA D.D. LJUBLJANA</w:t>
            </w:r>
          </w:p>
        </w:tc>
        <w:tc>
          <w:tcPr>
            <w:cnfStyle w:evenVBand="true" w:oddVBand="false" w:firstColumn="false"/>
            <w:tcW w:w="25.000000%" w:type="pct"/>
          </w:tcPr>
          <w:p>
            <w:pPr>
              <w:ind w:leftChars="0" w:left="0" w:right="0"/>
            </w:pPr>
            <w:r>
              <w:t>1584</w:t>
            </w:r>
          </w:p>
        </w:tc>
      </w:tr>
      <w:tr>
        <w:trPr>
          <w:cnfStyle w:evenHBand="true" w:oddHBand="false" w:firstRow="false"/>
        </w:trPr>
        <w:tc>
          <w:tcPr>
            <w:cnfStyle w:evenVBand="false" w:oddVBand="true" w:firstColumn="false"/>
            <w:tcW w:w="25.000000%" w:type="pct"/>
          </w:tcPr>
          <w:p>
            <w:pPr>
              <w:ind w:leftChars="0" w:left="0" w:right="0"/>
            </w:pPr>
            <w:r>
              <w:t>SKSI</w:t>
            </w:r>
          </w:p>
        </w:tc>
        <w:tc>
          <w:tcPr>
            <w:cnfStyle w:evenVBand="true" w:oddVBand="false" w:firstColumn="false"/>
            <w:tcW w:w="25.000000%" w:type="pct"/>
          </w:tcPr>
          <w:p>
            <w:pPr>
              <w:ind w:leftChars="0" w:left="0" w:right="0"/>
            </w:pPr>
            <w:r>
              <w:t>SKSI</w:t>
            </w:r>
          </w:p>
        </w:tc>
        <w:tc>
          <w:tcPr>
            <w:cnfStyle w:evenVBand="false" w:oddVBand="true" w:firstColumn="false"/>
            <w:tcW w:w="25.000000%" w:type="pct"/>
          </w:tcPr>
          <w:p>
            <w:pPr>
              <w:ind w:leftChars="0" w:left="0" w:right="0"/>
            </w:pPr>
            <w:r>
              <w:t>SPAREKASSEN KRONJYLLAND - SYSTEMATIC INTERNALISER</w:t>
            </w:r>
          </w:p>
        </w:tc>
        <w:tc>
          <w:tcPr>
            <w:cnfStyle w:evenVBand="true" w:oddVBand="false" w:firstColumn="false"/>
            <w:tcW w:w="25.000000%" w:type="pct"/>
          </w:tcPr>
          <w:p>
            <w:pPr>
              <w:ind w:leftChars="0" w:left="0" w:right="0"/>
            </w:pPr>
            <w:r>
              <w:t>1585</w:t>
            </w:r>
          </w:p>
        </w:tc>
      </w:tr>
      <w:tr>
        <w:trPr>
          <w:cnfStyle w:evenHBand="false" w:oddHBand="true" w:firstRow="false"/>
        </w:trPr>
        <w:tc>
          <w:tcPr>
            <w:cnfStyle w:evenVBand="false" w:oddVBand="true" w:firstColumn="false"/>
            <w:tcW w:w="25.000000%" w:type="pct"/>
          </w:tcPr>
          <w:p>
            <w:pPr>
              <w:ind w:leftChars="0" w:left="0" w:right="0"/>
            </w:pPr>
            <w:r>
              <w:t>SKYX</w:t>
            </w:r>
          </w:p>
        </w:tc>
        <w:tc>
          <w:tcPr>
            <w:cnfStyle w:evenVBand="true" w:oddVBand="false" w:firstColumn="false"/>
            <w:tcW w:w="25.000000%" w:type="pct"/>
          </w:tcPr>
          <w:p>
            <w:pPr>
              <w:ind w:leftChars="0" w:left="0" w:right="0"/>
            </w:pPr>
            <w:r>
              <w:t>SKYX</w:t>
            </w:r>
          </w:p>
        </w:tc>
        <w:tc>
          <w:tcPr>
            <w:cnfStyle w:evenVBand="false" w:oddVBand="true" w:firstColumn="false"/>
            <w:tcW w:w="25.000000%" w:type="pct"/>
          </w:tcPr>
          <w:p>
            <w:pPr>
              <w:ind w:leftChars="0" w:left="0" w:right="0"/>
            </w:pPr>
            <w:r>
              <w:t>SKYTRA</w:t>
            </w:r>
          </w:p>
        </w:tc>
        <w:tc>
          <w:tcPr>
            <w:cnfStyle w:evenVBand="true" w:oddVBand="false" w:firstColumn="false"/>
            <w:tcW w:w="25.000000%" w:type="pct"/>
          </w:tcPr>
          <w:p>
            <w:pPr>
              <w:ind w:leftChars="0" w:left="0" w:right="0"/>
            </w:pPr>
            <w:r>
              <w:t>1586</w:t>
            </w:r>
          </w:p>
        </w:tc>
      </w:tr>
      <w:tr>
        <w:trPr>
          <w:cnfStyle w:evenHBand="true" w:oddHBand="false" w:firstRow="false"/>
        </w:trPr>
        <w:tc>
          <w:tcPr>
            <w:cnfStyle w:evenVBand="false" w:oddVBand="true" w:firstColumn="false"/>
            <w:tcW w:w="25.000000%" w:type="pct"/>
          </w:tcPr>
          <w:p>
            <w:pPr>
              <w:ind w:leftChars="0" w:left="0" w:right="0"/>
            </w:pPr>
            <w:r>
              <w:t>SLHB</w:t>
            </w:r>
          </w:p>
        </w:tc>
        <w:tc>
          <w:tcPr>
            <w:cnfStyle w:evenVBand="true" w:oddVBand="false" w:firstColumn="false"/>
            <w:tcW w:w="25.000000%" w:type="pct"/>
          </w:tcPr>
          <w:p>
            <w:pPr>
              <w:ind w:leftChars="0" w:left="0" w:right="0"/>
            </w:pPr>
            <w:r>
              <w:t>SLHB</w:t>
            </w:r>
          </w:p>
        </w:tc>
        <w:tc>
          <w:tcPr>
            <w:cnfStyle w:evenVBand="false" w:oddVBand="true" w:firstColumn="false"/>
            <w:tcW w:w="25.000000%" w:type="pct"/>
          </w:tcPr>
          <w:p>
            <w:pPr>
              <w:ind w:leftChars="0" w:left="0" w:right="0"/>
            </w:pPr>
            <w:r>
              <w:t>SALZBURGER LANDES-HYPOTHEKENBANK</w:t>
            </w:r>
          </w:p>
        </w:tc>
        <w:tc>
          <w:tcPr>
            <w:cnfStyle w:evenVBand="true" w:oddVBand="false" w:firstColumn="false"/>
            <w:tcW w:w="25.000000%" w:type="pct"/>
          </w:tcPr>
          <w:p>
            <w:pPr>
              <w:ind w:leftChars="0" w:left="0" w:right="0"/>
            </w:pPr>
            <w:r>
              <w:t>1587</w:t>
            </w:r>
          </w:p>
        </w:tc>
      </w:tr>
      <w:tr>
        <w:trPr>
          <w:cnfStyle w:evenHBand="false" w:oddHBand="true" w:firstRow="false"/>
        </w:trPr>
        <w:tc>
          <w:tcPr>
            <w:cnfStyle w:evenVBand="false" w:oddVBand="true" w:firstColumn="false"/>
            <w:tcW w:w="25.000000%" w:type="pct"/>
          </w:tcPr>
          <w:p>
            <w:pPr>
              <w:ind w:leftChars="0" w:left="0" w:right="0"/>
            </w:pPr>
            <w:r>
              <w:t>SLKK</w:t>
            </w:r>
          </w:p>
        </w:tc>
        <w:tc>
          <w:tcPr>
            <w:cnfStyle w:evenVBand="true" w:oddVBand="false" w:firstColumn="false"/>
            <w:tcW w:w="25.000000%" w:type="pct"/>
          </w:tcPr>
          <w:p>
            <w:pPr>
              <w:ind w:leftChars="0" w:left="0" w:right="0"/>
            </w:pPr>
            <w:r>
              <w:t>SLKK</w:t>
            </w:r>
          </w:p>
        </w:tc>
        <w:tc>
          <w:tcPr>
            <w:cnfStyle w:evenVBand="false" w:oddVBand="true" w:firstColumn="false"/>
            <w:tcW w:w="25.000000%" w:type="pct"/>
          </w:tcPr>
          <w:p>
            <w:pPr>
              <w:ind w:leftChars="0" w:left="0" w:right="0"/>
            </w:pPr>
            <w:r>
              <w:t>MTS SLOVAKIA</w:t>
            </w:r>
          </w:p>
        </w:tc>
        <w:tc>
          <w:tcPr>
            <w:cnfStyle w:evenVBand="true" w:oddVBand="false" w:firstColumn="false"/>
            <w:tcW w:w="25.000000%" w:type="pct"/>
          </w:tcPr>
          <w:p>
            <w:pPr>
              <w:ind w:leftChars="0" w:left="0" w:right="0"/>
            </w:pPr>
            <w:r>
              <w:t>1588</w:t>
            </w:r>
          </w:p>
        </w:tc>
      </w:tr>
      <w:tr>
        <w:trPr>
          <w:cnfStyle w:evenHBand="true" w:oddHBand="false" w:firstRow="false"/>
        </w:trPr>
        <w:tc>
          <w:tcPr>
            <w:cnfStyle w:evenVBand="false" w:oddVBand="true" w:firstColumn="false"/>
            <w:tcW w:w="25.000000%" w:type="pct"/>
          </w:tcPr>
          <w:p>
            <w:pPr>
              <w:ind w:leftChars="0" w:left="0" w:right="0"/>
            </w:pPr>
            <w:r>
              <w:t>SLXT</w:t>
            </w:r>
          </w:p>
        </w:tc>
        <w:tc>
          <w:tcPr>
            <w:cnfStyle w:evenVBand="true" w:oddVBand="false" w:firstColumn="false"/>
            <w:tcW w:w="25.000000%" w:type="pct"/>
          </w:tcPr>
          <w:p>
            <w:pPr>
              <w:ind w:leftChars="0" w:left="0" w:right="0"/>
            </w:pPr>
            <w:r>
              <w:t>SLXT</w:t>
            </w:r>
          </w:p>
        </w:tc>
        <w:tc>
          <w:tcPr>
            <w:cnfStyle w:evenVBand="false" w:oddVBand="true" w:firstColumn="false"/>
            <w:tcW w:w="25.000000%" w:type="pct"/>
          </w:tcPr>
          <w:p>
            <w:pPr>
              <w:ind w:leftChars="0" w:left="0" w:right="0"/>
            </w:pPr>
            <w:r>
              <w:t>SL-X - SECURITIES LENDING MTF</w:t>
            </w:r>
          </w:p>
        </w:tc>
        <w:tc>
          <w:tcPr>
            <w:cnfStyle w:evenVBand="true" w:oddVBand="false" w:firstColumn="false"/>
            <w:tcW w:w="25.000000%" w:type="pct"/>
          </w:tcPr>
          <w:p>
            <w:pPr>
              <w:ind w:leftChars="0" w:left="0" w:right="0"/>
            </w:pPr>
            <w:r>
              <w:t>1589</w:t>
            </w:r>
          </w:p>
        </w:tc>
      </w:tr>
      <w:tr>
        <w:trPr>
          <w:cnfStyle w:evenHBand="false" w:oddHBand="true" w:firstRow="false"/>
        </w:trPr>
        <w:tc>
          <w:tcPr>
            <w:cnfStyle w:evenVBand="false" w:oddVBand="true" w:firstColumn="false"/>
            <w:tcW w:w="25.000000%" w:type="pct"/>
          </w:tcPr>
          <w:p>
            <w:pPr>
              <w:ind w:leftChars="0" w:left="0" w:right="0"/>
            </w:pPr>
            <w:r>
              <w:t>SMBB</w:t>
            </w:r>
          </w:p>
        </w:tc>
        <w:tc>
          <w:tcPr>
            <w:cnfStyle w:evenVBand="true" w:oddVBand="false" w:firstColumn="false"/>
            <w:tcW w:w="25.000000%" w:type="pct"/>
          </w:tcPr>
          <w:p>
            <w:pPr>
              <w:ind w:leftChars="0" w:left="0" w:right="0"/>
            </w:pPr>
            <w:r>
              <w:t>SMBB</w:t>
            </w:r>
          </w:p>
        </w:tc>
        <w:tc>
          <w:tcPr>
            <w:cnfStyle w:evenVBand="false" w:oddVBand="true" w:firstColumn="false"/>
            <w:tcW w:w="25.000000%" w:type="pct"/>
          </w:tcPr>
          <w:p>
            <w:pPr>
              <w:ind w:leftChars="0" w:left="0" w:right="0"/>
            </w:pPr>
            <w:r>
              <w:t>SUMITOMO MITSUI BANKING CORPORATION - BRUSSELS BRANCH - SYSTEMATIC INTERNALISER</w:t>
            </w:r>
          </w:p>
        </w:tc>
        <w:tc>
          <w:tcPr>
            <w:cnfStyle w:evenVBand="true" w:oddVBand="false" w:firstColumn="false"/>
            <w:tcW w:w="25.000000%" w:type="pct"/>
          </w:tcPr>
          <w:p>
            <w:pPr>
              <w:ind w:leftChars="0" w:left="0" w:right="0"/>
            </w:pPr>
            <w:r>
              <w:t>1590</w:t>
            </w:r>
          </w:p>
        </w:tc>
      </w:tr>
      <w:tr>
        <w:trPr>
          <w:cnfStyle w:evenHBand="true" w:oddHBand="false" w:firstRow="false"/>
        </w:trPr>
        <w:tc>
          <w:tcPr>
            <w:cnfStyle w:evenVBand="false" w:oddVBand="true" w:firstColumn="false"/>
            <w:tcW w:w="25.000000%" w:type="pct"/>
          </w:tcPr>
          <w:p>
            <w:pPr>
              <w:ind w:leftChars="0" w:left="0" w:right="0"/>
            </w:pPr>
            <w:r>
              <w:t>SMBC</w:t>
            </w:r>
          </w:p>
        </w:tc>
        <w:tc>
          <w:tcPr>
            <w:cnfStyle w:evenVBand="true" w:oddVBand="false" w:firstColumn="false"/>
            <w:tcW w:w="25.000000%" w:type="pct"/>
          </w:tcPr>
          <w:p>
            <w:pPr>
              <w:ind w:leftChars="0" w:left="0" w:right="0"/>
            </w:pPr>
            <w:r>
              <w:t>SMBC</w:t>
            </w:r>
          </w:p>
        </w:tc>
        <w:tc>
          <w:tcPr>
            <w:cnfStyle w:evenVBand="false" w:oddVBand="true" w:firstColumn="false"/>
            <w:tcW w:w="25.000000%" w:type="pct"/>
          </w:tcPr>
          <w:p>
            <w:pPr>
              <w:ind w:leftChars="0" w:left="0" w:right="0"/>
            </w:pPr>
            <w:r>
              <w:t>SMBC NIKKO SNET DARKPOOL - SYSTEMATIC INTERNALISER</w:t>
            </w:r>
          </w:p>
        </w:tc>
        <w:tc>
          <w:tcPr>
            <w:cnfStyle w:evenVBand="true" w:oddVBand="false" w:firstColumn="false"/>
            <w:tcW w:w="25.000000%" w:type="pct"/>
          </w:tcPr>
          <w:p>
            <w:pPr>
              <w:ind w:leftChars="0" w:left="0" w:right="0"/>
            </w:pPr>
            <w:r>
              <w:t>1591</w:t>
            </w:r>
          </w:p>
        </w:tc>
      </w:tr>
      <w:tr>
        <w:trPr>
          <w:cnfStyle w:evenHBand="false" w:oddHBand="true" w:firstRow="false"/>
        </w:trPr>
        <w:tc>
          <w:tcPr>
            <w:cnfStyle w:evenVBand="false" w:oddVBand="true" w:firstColumn="false"/>
            <w:tcW w:w="25.000000%" w:type="pct"/>
          </w:tcPr>
          <w:p>
            <w:pPr>
              <w:ind w:leftChars="0" w:left="0" w:right="0"/>
            </w:pPr>
            <w:r>
              <w:t>SMBD</w:t>
            </w:r>
          </w:p>
        </w:tc>
        <w:tc>
          <w:tcPr>
            <w:cnfStyle w:evenVBand="true" w:oddVBand="false" w:firstColumn="false"/>
            <w:tcW w:w="25.000000%" w:type="pct"/>
          </w:tcPr>
          <w:p>
            <w:pPr>
              <w:ind w:leftChars="0" w:left="0" w:right="0"/>
            </w:pPr>
            <w:r>
              <w:t>SMBD</w:t>
            </w:r>
          </w:p>
        </w:tc>
        <w:tc>
          <w:tcPr>
            <w:cnfStyle w:evenVBand="false" w:oddVBand="true" w:firstColumn="false"/>
            <w:tcW w:w="25.000000%" w:type="pct"/>
          </w:tcPr>
          <w:p>
            <w:pPr>
              <w:ind w:leftChars="0" w:left="0" w:right="0"/>
            </w:pPr>
            <w:r>
              <w:t>SUMITOMO MITSUI BANKING CORPORATION - DUESSELDORF BRANCH - SYSTEMATIC INTERNALISER</w:t>
            </w:r>
          </w:p>
        </w:tc>
        <w:tc>
          <w:tcPr>
            <w:cnfStyle w:evenVBand="true" w:oddVBand="false" w:firstColumn="false"/>
            <w:tcW w:w="25.000000%" w:type="pct"/>
          </w:tcPr>
          <w:p>
            <w:pPr>
              <w:ind w:leftChars="0" w:left="0" w:right="0"/>
            </w:pPr>
            <w:r>
              <w:t>1592</w:t>
            </w:r>
          </w:p>
        </w:tc>
      </w:tr>
      <w:tr>
        <w:trPr>
          <w:cnfStyle w:evenHBand="true" w:oddHBand="false" w:firstRow="false"/>
        </w:trPr>
        <w:tc>
          <w:tcPr>
            <w:cnfStyle w:evenVBand="false" w:oddVBand="true" w:firstColumn="false"/>
            <w:tcW w:w="25.000000%" w:type="pct"/>
          </w:tcPr>
          <w:p>
            <w:pPr>
              <w:ind w:leftChars="0" w:left="0" w:right="0"/>
            </w:pPr>
            <w:r>
              <w:t>SMBE</w:t>
            </w:r>
          </w:p>
        </w:tc>
        <w:tc>
          <w:tcPr>
            <w:cnfStyle w:evenVBand="true" w:oddVBand="false" w:firstColumn="false"/>
            <w:tcW w:w="25.000000%" w:type="pct"/>
          </w:tcPr>
          <w:p>
            <w:pPr>
              <w:ind w:leftChars="0" w:left="0" w:right="0"/>
            </w:pPr>
            <w:r>
              <w:t>SMBE</w:t>
            </w:r>
          </w:p>
        </w:tc>
        <w:tc>
          <w:tcPr>
            <w:cnfStyle w:evenVBand="false" w:oddVBand="true" w:firstColumn="false"/>
            <w:tcW w:w="25.000000%" w:type="pct"/>
          </w:tcPr>
          <w:p>
            <w:pPr>
              <w:ind w:leftChars="0" w:left="0" w:right="0"/>
            </w:pPr>
            <w:r>
              <w:t>SUMITOMO MITSUI BANKING CORPORATION EUROPE LIMITED</w:t>
            </w:r>
          </w:p>
        </w:tc>
        <w:tc>
          <w:tcPr>
            <w:cnfStyle w:evenVBand="true" w:oddVBand="false" w:firstColumn="false"/>
            <w:tcW w:w="25.000000%" w:type="pct"/>
          </w:tcPr>
          <w:p>
            <w:pPr>
              <w:ind w:leftChars="0" w:left="0" w:right="0"/>
            </w:pPr>
            <w:r>
              <w:t>1593</w:t>
            </w:r>
          </w:p>
        </w:tc>
      </w:tr>
      <w:tr>
        <w:trPr>
          <w:cnfStyle w:evenHBand="false" w:oddHBand="true" w:firstRow="false"/>
        </w:trPr>
        <w:tc>
          <w:tcPr>
            <w:cnfStyle w:evenVBand="false" w:oddVBand="true" w:firstColumn="false"/>
            <w:tcW w:w="25.000000%" w:type="pct"/>
          </w:tcPr>
          <w:p>
            <w:pPr>
              <w:ind w:leftChars="0" w:left="0" w:right="0"/>
            </w:pPr>
            <w:r>
              <w:t>SMBG</w:t>
            </w:r>
          </w:p>
        </w:tc>
        <w:tc>
          <w:tcPr>
            <w:cnfStyle w:evenVBand="true" w:oddVBand="false" w:firstColumn="false"/>
            <w:tcW w:w="25.000000%" w:type="pct"/>
          </w:tcPr>
          <w:p>
            <w:pPr>
              <w:ind w:leftChars="0" w:left="0" w:right="0"/>
            </w:pPr>
            <w:r>
              <w:t>SMBG</w:t>
            </w:r>
          </w:p>
        </w:tc>
        <w:tc>
          <w:tcPr>
            <w:cnfStyle w:evenVBand="false" w:oddVBand="true" w:firstColumn="false"/>
            <w:tcW w:w="25.000000%" w:type="pct"/>
          </w:tcPr>
          <w:p>
            <w:pPr>
              <w:ind w:leftChars="0" w:left="0" w:right="0"/>
            </w:pPr>
            <w:r>
              <w:t>SUMITOMO MITSUI BANKING CORPORATION - LONDON BRANCH - SYSTEMATIC INTERNALISER</w:t>
            </w:r>
          </w:p>
        </w:tc>
        <w:tc>
          <w:tcPr>
            <w:cnfStyle w:evenVBand="true" w:oddVBand="false" w:firstColumn="false"/>
            <w:tcW w:w="25.000000%" w:type="pct"/>
          </w:tcPr>
          <w:p>
            <w:pPr>
              <w:ind w:leftChars="0" w:left="0" w:right="0"/>
            </w:pPr>
            <w:r>
              <w:t>1594</w:t>
            </w:r>
          </w:p>
        </w:tc>
      </w:tr>
      <w:tr>
        <w:trPr>
          <w:cnfStyle w:evenHBand="true" w:oddHBand="false" w:firstRow="false"/>
        </w:trPr>
        <w:tc>
          <w:tcPr>
            <w:cnfStyle w:evenVBand="false" w:oddVBand="true" w:firstColumn="false"/>
            <w:tcW w:w="25.000000%" w:type="pct"/>
          </w:tcPr>
          <w:p>
            <w:pPr>
              <w:ind w:leftChars="0" w:left="0" w:right="0"/>
            </w:pPr>
            <w:r>
              <w:t>SMBP</w:t>
            </w:r>
          </w:p>
        </w:tc>
        <w:tc>
          <w:tcPr>
            <w:cnfStyle w:evenVBand="true" w:oddVBand="false" w:firstColumn="false"/>
            <w:tcW w:w="25.000000%" w:type="pct"/>
          </w:tcPr>
          <w:p>
            <w:pPr>
              <w:ind w:leftChars="0" w:left="0" w:right="0"/>
            </w:pPr>
            <w:r>
              <w:t>SMBP</w:t>
            </w:r>
          </w:p>
        </w:tc>
        <w:tc>
          <w:tcPr>
            <w:cnfStyle w:evenVBand="false" w:oddVBand="true" w:firstColumn="false"/>
            <w:tcW w:w="25.000000%" w:type="pct"/>
          </w:tcPr>
          <w:p>
            <w:pPr>
              <w:ind w:leftChars="0" w:left="0" w:right="0"/>
            </w:pPr>
            <w:r>
              <w:t>SUMITOMO MITSUI BANKING CORPORATION EUROPE LIMITED - PARIS BRANCH</w:t>
            </w:r>
          </w:p>
        </w:tc>
        <w:tc>
          <w:tcPr>
            <w:cnfStyle w:evenVBand="true" w:oddVBand="false" w:firstColumn="false"/>
            <w:tcW w:w="25.000000%" w:type="pct"/>
          </w:tcPr>
          <w:p>
            <w:pPr>
              <w:ind w:leftChars="0" w:left="0" w:right="0"/>
            </w:pPr>
            <w:r>
              <w:t>1595</w:t>
            </w:r>
          </w:p>
        </w:tc>
      </w:tr>
      <w:tr>
        <w:trPr>
          <w:cnfStyle w:evenHBand="false" w:oddHBand="true" w:firstRow="false"/>
        </w:trPr>
        <w:tc>
          <w:tcPr>
            <w:cnfStyle w:evenVBand="false" w:oddVBand="true" w:firstColumn="false"/>
            <w:tcW w:w="25.000000%" w:type="pct"/>
          </w:tcPr>
          <w:p>
            <w:pPr>
              <w:ind w:leftChars="0" w:left="0" w:right="0"/>
            </w:pPr>
            <w:r>
              <w:t>SMEX</w:t>
            </w:r>
          </w:p>
        </w:tc>
        <w:tc>
          <w:tcPr>
            <w:cnfStyle w:evenVBand="true" w:oddVBand="false" w:firstColumn="false"/>
            <w:tcW w:w="25.000000%" w:type="pct"/>
          </w:tcPr>
          <w:p>
            <w:pPr>
              <w:ind w:leftChars="0" w:left="0" w:right="0"/>
            </w:pPr>
            <w:r>
              <w:t>SMEX</w:t>
            </w:r>
          </w:p>
        </w:tc>
        <w:tc>
          <w:tcPr>
            <w:cnfStyle w:evenVBand="false" w:oddVBand="true" w:firstColumn="false"/>
            <w:tcW w:w="25.000000%" w:type="pct"/>
          </w:tcPr>
          <w:p>
            <w:pPr>
              <w:ind w:leftChars="0" w:left="0" w:right="0"/>
            </w:pPr>
            <w:r>
              <w:t>SINGAPORE MERCANTILE EXCHANGE PTE LTD</w:t>
            </w:r>
          </w:p>
        </w:tc>
        <w:tc>
          <w:tcPr>
            <w:cnfStyle w:evenVBand="true" w:oddVBand="false" w:firstColumn="false"/>
            <w:tcW w:w="25.000000%" w:type="pct"/>
          </w:tcPr>
          <w:p>
            <w:pPr>
              <w:ind w:leftChars="0" w:left="0" w:right="0"/>
            </w:pPr>
            <w:r>
              <w:t>1596</w:t>
            </w:r>
          </w:p>
        </w:tc>
      </w:tr>
      <w:tr>
        <w:trPr>
          <w:cnfStyle w:evenHBand="true" w:oddHBand="false" w:firstRow="false"/>
        </w:trPr>
        <w:tc>
          <w:tcPr>
            <w:cnfStyle w:evenVBand="false" w:oddVBand="true" w:firstColumn="false"/>
            <w:tcW w:w="25.000000%" w:type="pct"/>
          </w:tcPr>
          <w:p>
            <w:pPr>
              <w:ind w:leftChars="0" w:left="0" w:right="0"/>
            </w:pPr>
            <w:r>
              <w:t>SMFE</w:t>
            </w:r>
          </w:p>
        </w:tc>
        <w:tc>
          <w:tcPr>
            <w:cnfStyle w:evenVBand="true" w:oddVBand="false" w:firstColumn="false"/>
            <w:tcW w:w="25.000000%" w:type="pct"/>
          </w:tcPr>
          <w:p>
            <w:pPr>
              <w:ind w:leftChars="0" w:left="0" w:right="0"/>
            </w:pPr>
            <w:r>
              <w:t>SMFE</w:t>
            </w:r>
          </w:p>
        </w:tc>
        <w:tc>
          <w:tcPr>
            <w:cnfStyle w:evenVBand="false" w:oddVBand="true" w:firstColumn="false"/>
            <w:tcW w:w="25.000000%" w:type="pct"/>
          </w:tcPr>
          <w:p>
            <w:pPr>
              <w:ind w:leftChars="0" w:left="0" w:right="0"/>
            </w:pPr>
            <w:r>
              <w:t>SMALL EXCHANGE, INC - DESIGNATED CONTRACT MARKET</w:t>
            </w:r>
          </w:p>
        </w:tc>
        <w:tc>
          <w:tcPr>
            <w:cnfStyle w:evenVBand="true" w:oddVBand="false" w:firstColumn="false"/>
            <w:tcW w:w="25.000000%" w:type="pct"/>
          </w:tcPr>
          <w:p>
            <w:pPr>
              <w:ind w:leftChars="0" w:left="0" w:right="0"/>
            </w:pPr>
            <w:r>
              <w:t>1597</w:t>
            </w:r>
          </w:p>
        </w:tc>
      </w:tr>
      <w:tr>
        <w:trPr>
          <w:cnfStyle w:evenHBand="false" w:oddHBand="true" w:firstRow="false"/>
        </w:trPr>
        <w:tc>
          <w:tcPr>
            <w:cnfStyle w:evenVBand="false" w:oddVBand="true" w:firstColumn="false"/>
            <w:tcW w:w="25.000000%" w:type="pct"/>
          </w:tcPr>
          <w:p>
            <w:pPr>
              <w:ind w:leftChars="0" w:left="0" w:right="0"/>
            </w:pPr>
            <w:r>
              <w:t>SMFF</w:t>
            </w:r>
          </w:p>
        </w:tc>
        <w:tc>
          <w:tcPr>
            <w:cnfStyle w:evenVBand="true" w:oddVBand="false" w:firstColumn="false"/>
            <w:tcW w:w="25.000000%" w:type="pct"/>
          </w:tcPr>
          <w:p>
            <w:pPr>
              <w:ind w:leftChars="0" w:left="0" w:right="0"/>
            </w:pPr>
            <w:r>
              <w:t>SMFF</w:t>
            </w:r>
          </w:p>
        </w:tc>
        <w:tc>
          <w:tcPr>
            <w:cnfStyle w:evenVBand="false" w:oddVBand="true" w:firstColumn="false"/>
            <w:tcW w:w="25.000000%" w:type="pct"/>
          </w:tcPr>
          <w:p>
            <w:pPr>
              <w:ind w:leftChars="0" w:left="0" w:right="0"/>
            </w:pPr>
            <w:r>
              <w:t>SMBC BANK EU AG - SYSTEMATIC INTERNALISER</w:t>
            </w:r>
          </w:p>
        </w:tc>
        <w:tc>
          <w:tcPr>
            <w:cnfStyle w:evenVBand="true" w:oddVBand="false" w:firstColumn="false"/>
            <w:tcW w:w="25.000000%" w:type="pct"/>
          </w:tcPr>
          <w:p>
            <w:pPr>
              <w:ind w:leftChars="0" w:left="0" w:right="0"/>
            </w:pPr>
            <w:r>
              <w:t>1598</w:t>
            </w:r>
          </w:p>
        </w:tc>
      </w:tr>
      <w:tr>
        <w:trPr>
          <w:cnfStyle w:evenHBand="true" w:oddHBand="false" w:firstRow="false"/>
        </w:trPr>
        <w:tc>
          <w:tcPr>
            <w:cnfStyle w:evenVBand="false" w:oddVBand="true" w:firstColumn="false"/>
            <w:tcW w:w="25.000000%" w:type="pct"/>
          </w:tcPr>
          <w:p>
            <w:pPr>
              <w:ind w:leftChars="0" w:left="0" w:right="0"/>
            </w:pPr>
            <w:r>
              <w:t>SMTS</w:t>
            </w:r>
          </w:p>
        </w:tc>
        <w:tc>
          <w:tcPr>
            <w:cnfStyle w:evenVBand="true" w:oddVBand="false" w:firstColumn="false"/>
            <w:tcW w:w="25.000000%" w:type="pct"/>
          </w:tcPr>
          <w:p>
            <w:pPr>
              <w:ind w:leftChars="0" w:left="0" w:right="0"/>
            </w:pPr>
            <w:r>
              <w:t>SMTS</w:t>
            </w:r>
          </w:p>
        </w:tc>
        <w:tc>
          <w:tcPr>
            <w:cnfStyle w:evenVBand="false" w:oddVBand="true" w:firstColumn="false"/>
            <w:tcW w:w="25.000000%" w:type="pct"/>
          </w:tcPr>
          <w:p>
            <w:pPr>
              <w:ind w:leftChars="0" w:left="0" w:right="0"/>
            </w:pPr>
            <w:r>
              <w:t>MTS SPAIN</w:t>
            </w:r>
          </w:p>
        </w:tc>
        <w:tc>
          <w:tcPr>
            <w:cnfStyle w:evenVBand="true" w:oddVBand="false" w:firstColumn="false"/>
            <w:tcW w:w="25.000000%" w:type="pct"/>
          </w:tcPr>
          <w:p>
            <w:pPr>
              <w:ind w:leftChars="0" w:left="0" w:right="0"/>
            </w:pPr>
            <w:r>
              <w:t>1599</w:t>
            </w:r>
          </w:p>
        </w:tc>
      </w:tr>
      <w:tr>
        <w:trPr>
          <w:cnfStyle w:evenHBand="false" w:oddHBand="true" w:firstRow="false"/>
        </w:trPr>
        <w:tc>
          <w:tcPr>
            <w:cnfStyle w:evenVBand="false" w:oddVBand="true" w:firstColumn="false"/>
            <w:tcW w:w="25.000000%" w:type="pct"/>
          </w:tcPr>
          <w:p>
            <w:pPr>
              <w:ind w:leftChars="0" w:left="0" w:right="0"/>
            </w:pPr>
            <w:r>
              <w:t>SNSI</w:t>
            </w:r>
          </w:p>
        </w:tc>
        <w:tc>
          <w:tcPr>
            <w:cnfStyle w:evenVBand="true" w:oddVBand="false" w:firstColumn="false"/>
            <w:tcW w:w="25.000000%" w:type="pct"/>
          </w:tcPr>
          <w:p>
            <w:pPr>
              <w:ind w:leftChars="0" w:left="0" w:right="0"/>
            </w:pPr>
            <w:r>
              <w:t>SNSI</w:t>
            </w:r>
          </w:p>
        </w:tc>
        <w:tc>
          <w:tcPr>
            <w:cnfStyle w:evenVBand="false" w:oddVBand="true" w:firstColumn="false"/>
            <w:tcW w:w="25.000000%" w:type="pct"/>
          </w:tcPr>
          <w:p>
            <w:pPr>
              <w:ind w:leftChars="0" w:left="0" w:right="0"/>
            </w:pPr>
            <w:r>
              <w:t>SPAR NORD BANK - SYSTEMATIC INTERNALISER</w:t>
            </w:r>
          </w:p>
        </w:tc>
        <w:tc>
          <w:tcPr>
            <w:cnfStyle w:evenVBand="true" w:oddVBand="false" w:firstColumn="false"/>
            <w:tcW w:w="25.000000%" w:type="pct"/>
          </w:tcPr>
          <w:p>
            <w:pPr>
              <w:ind w:leftChars="0" w:left="0" w:right="0"/>
            </w:pPr>
            <w:r>
              <w:t>1600</w:t>
            </w:r>
          </w:p>
        </w:tc>
      </w:tr>
      <w:tr>
        <w:trPr>
          <w:cnfStyle w:evenHBand="true" w:oddHBand="false" w:firstRow="false"/>
        </w:trPr>
        <w:tc>
          <w:tcPr>
            <w:cnfStyle w:evenVBand="false" w:oddVBand="true" w:firstColumn="false"/>
            <w:tcW w:w="25.000000%" w:type="pct"/>
          </w:tcPr>
          <w:p>
            <w:pPr>
              <w:ind w:leftChars="0" w:left="0" w:right="0"/>
            </w:pPr>
            <w:r>
              <w:t>SNUK</w:t>
            </w:r>
          </w:p>
        </w:tc>
        <w:tc>
          <w:tcPr>
            <w:cnfStyle w:evenVBand="true" w:oddVBand="false" w:firstColumn="false"/>
            <w:tcW w:w="25.000000%" w:type="pct"/>
          </w:tcPr>
          <w:p>
            <w:pPr>
              <w:ind w:leftChars="0" w:left="0" w:right="0"/>
            </w:pPr>
            <w:r>
              <w:t>SNUK</w:t>
            </w:r>
          </w:p>
        </w:tc>
        <w:tc>
          <w:tcPr>
            <w:cnfStyle w:evenVBand="false" w:oddVBand="true" w:firstColumn="false"/>
            <w:tcW w:w="25.000000%" w:type="pct"/>
          </w:tcPr>
          <w:p>
            <w:pPr>
              <w:ind w:leftChars="0" w:left="0" w:right="0"/>
            </w:pPr>
            <w:r>
              <w:t>SANTANDER UK - SYSTEMATIC INTERNALISER</w:t>
            </w:r>
          </w:p>
        </w:tc>
        <w:tc>
          <w:tcPr>
            <w:cnfStyle w:evenVBand="true" w:oddVBand="false" w:firstColumn="false"/>
            <w:tcW w:w="25.000000%" w:type="pct"/>
          </w:tcPr>
          <w:p>
            <w:pPr>
              <w:ind w:leftChars="0" w:left="0" w:right="0"/>
            </w:pPr>
            <w:r>
              <w:t>1601</w:t>
            </w:r>
          </w:p>
        </w:tc>
      </w:tr>
      <w:tr>
        <w:trPr>
          <w:cnfStyle w:evenHBand="false" w:oddHBand="true" w:firstRow="false"/>
        </w:trPr>
        <w:tc>
          <w:tcPr>
            <w:cnfStyle w:evenVBand="false" w:oddVBand="true" w:firstColumn="false"/>
            <w:tcW w:w="25.000000%" w:type="pct"/>
          </w:tcPr>
          <w:p>
            <w:pPr>
              <w:ind w:leftChars="0" w:left="0" w:right="0"/>
            </w:pPr>
            <w:r>
              <w:t>SOHO</w:t>
            </w:r>
          </w:p>
        </w:tc>
        <w:tc>
          <w:tcPr>
            <w:cnfStyle w:evenVBand="true" w:oddVBand="false" w:firstColumn="false"/>
            <w:tcW w:w="25.000000%" w:type="pct"/>
          </w:tcPr>
          <w:p>
            <w:pPr>
              <w:ind w:leftChars="0" w:left="0" w:right="0"/>
            </w:pPr>
            <w:r>
              <w:t>SOHO</w:t>
            </w:r>
          </w:p>
        </w:tc>
        <w:tc>
          <w:tcPr>
            <w:cnfStyle w:evenVBand="false" w:oddVBand="true" w:firstColumn="false"/>
            <w:tcW w:w="25.000000%" w:type="pct"/>
          </w:tcPr>
          <w:p>
            <w:pPr>
              <w:ind w:leftChars="0" w:left="0" w:right="0"/>
            </w:pPr>
            <w:r>
              <w:t>TWO SIGMA SECURITIES, LLC</w:t>
            </w:r>
          </w:p>
        </w:tc>
        <w:tc>
          <w:tcPr>
            <w:cnfStyle w:evenVBand="true" w:oddVBand="false" w:firstColumn="false"/>
            <w:tcW w:w="25.000000%" w:type="pct"/>
          </w:tcPr>
          <w:p>
            <w:pPr>
              <w:ind w:leftChars="0" w:left="0" w:right="0"/>
            </w:pPr>
            <w:r>
              <w:t>1602</w:t>
            </w:r>
          </w:p>
        </w:tc>
      </w:tr>
      <w:tr>
        <w:trPr>
          <w:cnfStyle w:evenHBand="true" w:oddHBand="false" w:firstRow="false"/>
        </w:trPr>
        <w:tc>
          <w:tcPr>
            <w:cnfStyle w:evenVBand="false" w:oddVBand="true" w:firstColumn="false"/>
            <w:tcW w:w="25.000000%" w:type="pct"/>
          </w:tcPr>
          <w:p>
            <w:pPr>
              <w:ind w:leftChars="0" w:left="0" w:right="0"/>
            </w:pPr>
            <w:r>
              <w:t>SPAD</w:t>
            </w:r>
          </w:p>
        </w:tc>
        <w:tc>
          <w:tcPr>
            <w:cnfStyle w:evenVBand="true" w:oddVBand="false" w:firstColumn="false"/>
            <w:tcW w:w="25.000000%" w:type="pct"/>
          </w:tcPr>
          <w:p>
            <w:pPr>
              <w:ind w:leftChars="0" w:left="0" w:right="0"/>
            </w:pPr>
            <w:r>
              <w:t>SPAD</w:t>
            </w:r>
          </w:p>
        </w:tc>
        <w:tc>
          <w:tcPr>
            <w:cnfStyle w:evenVBand="false" w:oddVBand="true" w:firstColumn="false"/>
            <w:tcW w:w="25.000000%" w:type="pct"/>
          </w:tcPr>
          <w:p>
            <w:pPr>
              <w:ind w:leftChars="0" w:left="0" w:right="0"/>
            </w:pPr>
            <w:r>
              <w:t>SPAD TRADING</w:t>
            </w:r>
          </w:p>
        </w:tc>
        <w:tc>
          <w:tcPr>
            <w:cnfStyle w:evenVBand="true" w:oddVBand="false" w:firstColumn="false"/>
            <w:tcW w:w="25.000000%" w:type="pct"/>
          </w:tcPr>
          <w:p>
            <w:pPr>
              <w:ind w:leftChars="0" w:left="0" w:right="0"/>
            </w:pPr>
            <w:r>
              <w:t>1603</w:t>
            </w:r>
          </w:p>
        </w:tc>
      </w:tr>
      <w:tr>
        <w:trPr>
          <w:cnfStyle w:evenHBand="false" w:oddHBand="true" w:firstRow="false"/>
        </w:trPr>
        <w:tc>
          <w:tcPr>
            <w:cnfStyle w:evenVBand="false" w:oddVBand="true" w:firstColumn="false"/>
            <w:tcW w:w="25.000000%" w:type="pct"/>
          </w:tcPr>
          <w:p>
            <w:pPr>
              <w:ind w:leftChars="0" w:left="0" w:right="0"/>
            </w:pPr>
            <w:r>
              <w:t>SPAX</w:t>
            </w:r>
          </w:p>
        </w:tc>
        <w:tc>
          <w:tcPr>
            <w:cnfStyle w:evenVBand="true" w:oddVBand="false" w:firstColumn="false"/>
            <w:tcW w:w="25.000000%" w:type="pct"/>
          </w:tcPr>
          <w:p>
            <w:pPr>
              <w:ind w:leftChars="0" w:left="0" w:right="0"/>
            </w:pPr>
            <w:r>
              <w:t>SPAX</w:t>
            </w:r>
          </w:p>
        </w:tc>
        <w:tc>
          <w:tcPr>
            <w:cnfStyle w:evenVBand="false" w:oddVBand="true" w:firstColumn="false"/>
            <w:tcW w:w="25.000000%" w:type="pct"/>
          </w:tcPr>
          <w:p>
            <w:pPr>
              <w:ind w:leftChars="0" w:left="0" w:right="0"/>
            </w:pPr>
            <w:r>
              <w:t>SPECTRAXE</w:t>
            </w:r>
          </w:p>
        </w:tc>
        <w:tc>
          <w:tcPr>
            <w:cnfStyle w:evenVBand="true" w:oddVBand="false" w:firstColumn="false"/>
            <w:tcW w:w="25.000000%" w:type="pct"/>
          </w:tcPr>
          <w:p>
            <w:pPr>
              <w:ind w:leftChars="0" w:left="0" w:right="0"/>
            </w:pPr>
            <w:r>
              <w:t>1604</w:t>
            </w:r>
          </w:p>
        </w:tc>
      </w:tr>
      <w:tr>
        <w:trPr>
          <w:cnfStyle w:evenHBand="true" w:oddHBand="false" w:firstRow="false"/>
        </w:trPr>
        <w:tc>
          <w:tcPr>
            <w:cnfStyle w:evenVBand="false" w:oddVBand="true" w:firstColumn="false"/>
            <w:tcW w:w="25.000000%" w:type="pct"/>
          </w:tcPr>
          <w:p>
            <w:pPr>
              <w:ind w:leftChars="0" w:left="0" w:right="0"/>
            </w:pPr>
            <w:r>
              <w:t>SPBE</w:t>
            </w:r>
          </w:p>
        </w:tc>
        <w:tc>
          <w:tcPr>
            <w:cnfStyle w:evenVBand="true" w:oddVBand="false" w:firstColumn="false"/>
            <w:tcW w:w="25.000000%" w:type="pct"/>
          </w:tcPr>
          <w:p>
            <w:pPr>
              <w:ind w:leftChars="0" w:left="0" w:right="0"/>
            </w:pPr>
            <w:r>
              <w:t>SPBE</w:t>
            </w:r>
          </w:p>
        </w:tc>
        <w:tc>
          <w:tcPr>
            <w:cnfStyle w:evenVBand="false" w:oddVBand="true" w:firstColumn="false"/>
            <w:tcW w:w="25.000000%" w:type="pct"/>
          </w:tcPr>
          <w:p>
            <w:pPr>
              <w:ind w:leftChars="0" w:left="0" w:right="0"/>
            </w:pPr>
            <w:r>
              <w:t>SPB EXCHANGE - ALL MARKETS</w:t>
            </w:r>
          </w:p>
        </w:tc>
        <w:tc>
          <w:tcPr>
            <w:cnfStyle w:evenVBand="true" w:oddVBand="false" w:firstColumn="false"/>
            <w:tcW w:w="25.000000%" w:type="pct"/>
          </w:tcPr>
          <w:p>
            <w:pPr>
              <w:ind w:leftChars="0" w:left="0" w:right="0"/>
            </w:pPr>
            <w:r>
              <w:t>1605</w:t>
            </w:r>
          </w:p>
        </w:tc>
      </w:tr>
      <w:tr>
        <w:trPr>
          <w:cnfStyle w:evenHBand="false" w:oddHBand="true" w:firstRow="false"/>
        </w:trPr>
        <w:tc>
          <w:tcPr>
            <w:cnfStyle w:evenVBand="false" w:oddVBand="true" w:firstColumn="false"/>
            <w:tcW w:w="25.000000%" w:type="pct"/>
          </w:tcPr>
          <w:p>
            <w:pPr>
              <w:ind w:leftChars="0" w:left="0" w:right="0"/>
            </w:pPr>
            <w:r>
              <w:t>SPDX</w:t>
            </w:r>
          </w:p>
        </w:tc>
        <w:tc>
          <w:tcPr>
            <w:cnfStyle w:evenVBand="true" w:oddVBand="false" w:firstColumn="false"/>
            <w:tcW w:w="25.000000%" w:type="pct"/>
          </w:tcPr>
          <w:p>
            <w:pPr>
              <w:ind w:leftChars="0" w:left="0" w:right="0"/>
            </w:pPr>
            <w:r>
              <w:t>SPDX</w:t>
            </w:r>
          </w:p>
        </w:tc>
        <w:tc>
          <w:tcPr>
            <w:cnfStyle w:evenVBand="false" w:oddVBand="true" w:firstColumn="false"/>
            <w:tcW w:w="25.000000%" w:type="pct"/>
          </w:tcPr>
          <w:p>
            <w:pPr>
              <w:ind w:leftChars="0" w:left="0" w:right="0"/>
            </w:pPr>
            <w:r>
              <w:t>SPREADEX</w:t>
            </w:r>
          </w:p>
        </w:tc>
        <w:tc>
          <w:tcPr>
            <w:cnfStyle w:evenVBand="true" w:oddVBand="false" w:firstColumn="false"/>
            <w:tcW w:w="25.000000%" w:type="pct"/>
          </w:tcPr>
          <w:p>
            <w:pPr>
              <w:ind w:leftChars="0" w:left="0" w:right="0"/>
            </w:pPr>
            <w:r>
              <w:t>1606</w:t>
            </w:r>
          </w:p>
        </w:tc>
      </w:tr>
      <w:tr>
        <w:trPr>
          <w:cnfStyle w:evenHBand="true" w:oddHBand="false" w:firstRow="false"/>
        </w:trPr>
        <w:tc>
          <w:tcPr>
            <w:cnfStyle w:evenVBand="false" w:oddVBand="true" w:firstColumn="false"/>
            <w:tcW w:w="25.000000%" w:type="pct"/>
          </w:tcPr>
          <w:p>
            <w:pPr>
              <w:ind w:leftChars="0" w:left="0" w:right="0"/>
            </w:pPr>
            <w:r>
              <w:t>SPEC</w:t>
            </w:r>
          </w:p>
        </w:tc>
        <w:tc>
          <w:tcPr>
            <w:cnfStyle w:evenVBand="true" w:oddVBand="false" w:firstColumn="false"/>
            <w:tcW w:w="25.000000%" w:type="pct"/>
          </w:tcPr>
          <w:p>
            <w:pPr>
              <w:ind w:leftChars="0" w:left="0" w:right="0"/>
            </w:pPr>
            <w:r>
              <w:t>SPEC</w:t>
            </w:r>
          </w:p>
        </w:tc>
        <w:tc>
          <w:tcPr>
            <w:cnfStyle w:evenVBand="false" w:oddVBand="true" w:firstColumn="false"/>
            <w:tcW w:w="25.000000%" w:type="pct"/>
          </w:tcPr>
          <w:p>
            <w:pPr>
              <w:ind w:leftChars="0" w:left="0" w:right="0"/>
            </w:pPr>
            <w:r>
              <w:t>MAREX SPECTRON INTERNATIONAL LIMITED OTF</w:t>
            </w:r>
          </w:p>
        </w:tc>
        <w:tc>
          <w:tcPr>
            <w:cnfStyle w:evenVBand="true" w:oddVBand="false" w:firstColumn="false"/>
            <w:tcW w:w="25.000000%" w:type="pct"/>
          </w:tcPr>
          <w:p>
            <w:pPr>
              <w:ind w:leftChars="0" w:left="0" w:right="0"/>
            </w:pPr>
            <w:r>
              <w:t>1607</w:t>
            </w:r>
          </w:p>
        </w:tc>
      </w:tr>
      <w:tr>
        <w:trPr>
          <w:cnfStyle w:evenHBand="false" w:oddHBand="true" w:firstRow="false"/>
        </w:trPr>
        <w:tc>
          <w:tcPr>
            <w:cnfStyle w:evenVBand="false" w:oddVBand="true" w:firstColumn="false"/>
            <w:tcW w:w="25.000000%" w:type="pct"/>
          </w:tcPr>
          <w:p>
            <w:pPr>
              <w:ind w:leftChars="0" w:left="0" w:right="0"/>
            </w:pPr>
            <w:r>
              <w:t>SPEX</w:t>
            </w:r>
          </w:p>
        </w:tc>
        <w:tc>
          <w:tcPr>
            <w:cnfStyle w:evenVBand="true" w:oddVBand="false" w:firstColumn="false"/>
            <w:tcW w:w="25.000000%" w:type="pct"/>
          </w:tcPr>
          <w:p>
            <w:pPr>
              <w:ind w:leftChars="0" w:left="0" w:right="0"/>
            </w:pPr>
            <w:r>
              <w:t>SPEX</w:t>
            </w:r>
          </w:p>
        </w:tc>
        <w:tc>
          <w:tcPr>
            <w:cnfStyle w:evenVBand="false" w:oddVBand="true" w:firstColumn="false"/>
            <w:tcW w:w="25.000000%" w:type="pct"/>
          </w:tcPr>
          <w:p>
            <w:pPr>
              <w:ind w:leftChars="0" w:left="0" w:right="0"/>
            </w:pPr>
            <w:r>
              <w:t>SPECTRUM MARKETS</w:t>
            </w:r>
          </w:p>
        </w:tc>
        <w:tc>
          <w:tcPr>
            <w:cnfStyle w:evenVBand="true" w:oddVBand="false" w:firstColumn="false"/>
            <w:tcW w:w="25.000000%" w:type="pct"/>
          </w:tcPr>
          <w:p>
            <w:pPr>
              <w:ind w:leftChars="0" w:left="0" w:right="0"/>
            </w:pPr>
            <w:r>
              <w:t>1608</w:t>
            </w:r>
          </w:p>
        </w:tc>
      </w:tr>
      <w:tr>
        <w:trPr>
          <w:cnfStyle w:evenHBand="true" w:oddHBand="false" w:firstRow="false"/>
        </w:trPr>
        <w:tc>
          <w:tcPr>
            <w:cnfStyle w:evenVBand="false" w:oddVBand="true" w:firstColumn="false"/>
            <w:tcW w:w="25.000000%" w:type="pct"/>
          </w:tcPr>
          <w:p>
            <w:pPr>
              <w:ind w:leftChars="0" w:left="0" w:right="0"/>
            </w:pPr>
            <w:r>
              <w:t>SPIM</w:t>
            </w:r>
          </w:p>
        </w:tc>
        <w:tc>
          <w:tcPr>
            <w:cnfStyle w:evenVBand="true" w:oddVBand="false" w:firstColumn="false"/>
            <w:tcW w:w="25.000000%" w:type="pct"/>
          </w:tcPr>
          <w:p>
            <w:pPr>
              <w:ind w:leftChars="0" w:left="0" w:right="0"/>
            </w:pPr>
            <w:r>
              <w:t>SPIM</w:t>
            </w:r>
          </w:p>
        </w:tc>
        <w:tc>
          <w:tcPr>
            <w:cnfStyle w:evenVBand="false" w:oddVBand="true" w:firstColumn="false"/>
            <w:tcW w:w="25.000000%" w:type="pct"/>
          </w:tcPr>
          <w:p>
            <w:pPr>
              <w:ind w:leftChars="0" w:left="0" w:right="0"/>
            </w:pPr>
            <w:r>
              <w:t>ST. PETERSBURG INTERNATIONAL MERCANTILE EXCHANGE</w:t>
            </w:r>
          </w:p>
        </w:tc>
        <w:tc>
          <w:tcPr>
            <w:cnfStyle w:evenVBand="true" w:oddVBand="false" w:firstColumn="false"/>
            <w:tcW w:w="25.000000%" w:type="pct"/>
          </w:tcPr>
          <w:p>
            <w:pPr>
              <w:ind w:leftChars="0" w:left="0" w:right="0"/>
            </w:pPr>
            <w:r>
              <w:t>1609</w:t>
            </w:r>
          </w:p>
        </w:tc>
      </w:tr>
      <w:tr>
        <w:trPr>
          <w:cnfStyle w:evenHBand="false" w:oddHBand="true" w:firstRow="false"/>
        </w:trPr>
        <w:tc>
          <w:tcPr>
            <w:cnfStyle w:evenVBand="false" w:oddVBand="true" w:firstColumn="false"/>
            <w:tcW w:w="25.000000%" w:type="pct"/>
          </w:tcPr>
          <w:p>
            <w:pPr>
              <w:ind w:leftChars="0" w:left="0" w:right="0"/>
            </w:pPr>
            <w:r>
              <w:t>SPRZ</w:t>
            </w:r>
          </w:p>
        </w:tc>
        <w:tc>
          <w:tcPr>
            <w:cnfStyle w:evenVBand="true" w:oddVBand="false" w:firstColumn="false"/>
            <w:tcW w:w="25.000000%" w:type="pct"/>
          </w:tcPr>
          <w:p>
            <w:pPr>
              <w:ind w:leftChars="0" w:left="0" w:right="0"/>
            </w:pPr>
            <w:r>
              <w:t>SPRZ</w:t>
            </w:r>
          </w:p>
        </w:tc>
        <w:tc>
          <w:tcPr>
            <w:cnfStyle w:evenVBand="false" w:oddVBand="true" w:firstColumn="false"/>
            <w:tcW w:w="25.000000%" w:type="pct"/>
          </w:tcPr>
          <w:p>
            <w:pPr>
              <w:ind w:leftChars="0" w:left="0" w:right="0"/>
            </w:pPr>
            <w:r>
              <w:t>SPREADZERO</w:t>
            </w:r>
          </w:p>
        </w:tc>
        <w:tc>
          <w:tcPr>
            <w:cnfStyle w:evenVBand="true" w:oddVBand="false" w:firstColumn="false"/>
            <w:tcW w:w="25.000000%" w:type="pct"/>
          </w:tcPr>
          <w:p>
            <w:pPr>
              <w:ind w:leftChars="0" w:left="0" w:right="0"/>
            </w:pPr>
            <w:r>
              <w:t>1610</w:t>
            </w:r>
          </w:p>
        </w:tc>
      </w:tr>
      <w:tr>
        <w:trPr>
          <w:cnfStyle w:evenHBand="true" w:oddHBand="false" w:firstRow="false"/>
        </w:trPr>
        <w:tc>
          <w:tcPr>
            <w:cnfStyle w:evenVBand="false" w:oddVBand="true" w:firstColumn="false"/>
            <w:tcW w:w="25.000000%" w:type="pct"/>
          </w:tcPr>
          <w:p>
            <w:pPr>
              <w:ind w:leftChars="0" w:left="0" w:right="0"/>
            </w:pPr>
            <w:r>
              <w:t>SPTR</w:t>
            </w:r>
          </w:p>
        </w:tc>
        <w:tc>
          <w:tcPr>
            <w:cnfStyle w:evenVBand="true" w:oddVBand="false" w:firstColumn="false"/>
            <w:tcW w:w="25.000000%" w:type="pct"/>
          </w:tcPr>
          <w:p>
            <w:pPr>
              <w:ind w:leftChars="0" w:left="0" w:right="0"/>
            </w:pPr>
            <w:r>
              <w:t>SPTR</w:t>
            </w:r>
          </w:p>
        </w:tc>
        <w:tc>
          <w:tcPr>
            <w:cnfStyle w:evenVBand="false" w:oddVBand="true" w:firstColumn="false"/>
            <w:tcW w:w="25.000000%" w:type="pct"/>
          </w:tcPr>
          <w:p>
            <w:pPr>
              <w:ind w:leftChars="0" w:left="0" w:right="0"/>
            </w:pPr>
            <w:r>
              <w:t>SPAREBANK 1 SMN - SYSTEMATIC INTERNALISER</w:t>
            </w:r>
          </w:p>
        </w:tc>
        <w:tc>
          <w:tcPr>
            <w:cnfStyle w:evenVBand="true" w:oddVBand="false" w:firstColumn="false"/>
            <w:tcW w:w="25.000000%" w:type="pct"/>
          </w:tcPr>
          <w:p>
            <w:pPr>
              <w:ind w:leftChars="0" w:left="0" w:right="0"/>
            </w:pPr>
            <w:r>
              <w:t>1611</w:t>
            </w:r>
          </w:p>
        </w:tc>
      </w:tr>
      <w:tr>
        <w:trPr>
          <w:cnfStyle w:evenHBand="false" w:oddHBand="true" w:firstRow="false"/>
        </w:trPr>
        <w:tc>
          <w:tcPr>
            <w:cnfStyle w:evenVBand="false" w:oddVBand="true" w:firstColumn="false"/>
            <w:tcW w:w="25.000000%" w:type="pct"/>
          </w:tcPr>
          <w:p>
            <w:pPr>
              <w:ind w:leftChars="0" w:left="0" w:right="0"/>
            </w:pPr>
            <w:r>
              <w:t>SPTX</w:t>
            </w:r>
          </w:p>
        </w:tc>
        <w:tc>
          <w:tcPr>
            <w:cnfStyle w:evenVBand="true" w:oddVBand="false" w:firstColumn="false"/>
            <w:tcW w:w="25.000000%" w:type="pct"/>
          </w:tcPr>
          <w:p>
            <w:pPr>
              <w:ind w:leftChars="0" w:left="0" w:right="0"/>
            </w:pPr>
            <w:r>
              <w:t>SPTX</w:t>
            </w:r>
          </w:p>
        </w:tc>
        <w:tc>
          <w:tcPr>
            <w:cnfStyle w:evenVBand="false" w:oddVBand="true" w:firstColumn="false"/>
            <w:tcW w:w="25.000000%" w:type="pct"/>
          </w:tcPr>
          <w:p>
            <w:pPr>
              <w:ind w:leftChars="0" w:left="0" w:right="0"/>
            </w:pPr>
            <w:r>
              <w:t>SPOT FX</w:t>
            </w:r>
          </w:p>
        </w:tc>
        <w:tc>
          <w:tcPr>
            <w:cnfStyle w:evenVBand="true" w:oddVBand="false" w:firstColumn="false"/>
            <w:tcW w:w="25.000000%" w:type="pct"/>
          </w:tcPr>
          <w:p>
            <w:pPr>
              <w:ind w:leftChars="0" w:left="0" w:right="0"/>
            </w:pPr>
            <w:r>
              <w:t>1612</w:t>
            </w:r>
          </w:p>
        </w:tc>
      </w:tr>
      <w:tr>
        <w:trPr>
          <w:cnfStyle w:evenHBand="true" w:oddHBand="false" w:firstRow="false"/>
        </w:trPr>
        <w:tc>
          <w:tcPr>
            <w:cnfStyle w:evenVBand="false" w:oddVBand="true" w:firstColumn="false"/>
            <w:tcW w:w="25.000000%" w:type="pct"/>
          </w:tcPr>
          <w:p>
            <w:pPr>
              <w:ind w:leftChars="0" w:left="0" w:right="0"/>
            </w:pPr>
            <w:r>
              <w:t>SPXE</w:t>
            </w:r>
          </w:p>
        </w:tc>
        <w:tc>
          <w:tcPr>
            <w:cnfStyle w:evenVBand="true" w:oddVBand="false" w:firstColumn="false"/>
            <w:tcW w:w="25.000000%" w:type="pct"/>
          </w:tcPr>
          <w:p>
            <w:pPr>
              <w:ind w:leftChars="0" w:left="0" w:right="0"/>
            </w:pPr>
            <w:r>
              <w:t>SPXE</w:t>
            </w:r>
          </w:p>
        </w:tc>
        <w:tc>
          <w:tcPr>
            <w:cnfStyle w:evenVBand="false" w:oddVBand="true" w:firstColumn="false"/>
            <w:tcW w:w="25.000000%" w:type="pct"/>
          </w:tcPr>
          <w:p>
            <w:pPr>
              <w:ind w:leftChars="0" w:left="0" w:right="0"/>
            </w:pPr>
            <w:r>
              <w:t>SPX</w:t>
            </w:r>
          </w:p>
        </w:tc>
        <w:tc>
          <w:tcPr>
            <w:cnfStyle w:evenVBand="true" w:oddVBand="false" w:firstColumn="false"/>
            <w:tcW w:w="25.000000%" w:type="pct"/>
          </w:tcPr>
          <w:p>
            <w:pPr>
              <w:ind w:leftChars="0" w:left="0" w:right="0"/>
            </w:pPr>
            <w:r>
              <w:t>1613</w:t>
            </w:r>
          </w:p>
        </w:tc>
      </w:tr>
      <w:tr>
        <w:trPr>
          <w:cnfStyle w:evenHBand="false" w:oddHBand="true" w:firstRow="false"/>
        </w:trPr>
        <w:tc>
          <w:tcPr>
            <w:cnfStyle w:evenVBand="false" w:oddVBand="true" w:firstColumn="false"/>
            <w:tcW w:w="25.000000%" w:type="pct"/>
          </w:tcPr>
          <w:p>
            <w:pPr>
              <w:ind w:leftChars="0" w:left="0" w:right="0"/>
            </w:pPr>
            <w:r>
              <w:t>SQUA</w:t>
            </w:r>
          </w:p>
        </w:tc>
        <w:tc>
          <w:tcPr>
            <w:cnfStyle w:evenVBand="true" w:oddVBand="false" w:firstColumn="false"/>
            <w:tcW w:w="25.000000%" w:type="pct"/>
          </w:tcPr>
          <w:p>
            <w:pPr>
              <w:ind w:leftChars="0" w:left="0" w:right="0"/>
            </w:pPr>
            <w:r>
              <w:t>SQUA</w:t>
            </w:r>
          </w:p>
        </w:tc>
        <w:tc>
          <w:tcPr>
            <w:cnfStyle w:evenVBand="false" w:oddVBand="true" w:firstColumn="false"/>
            <w:tcW w:w="25.000000%" w:type="pct"/>
          </w:tcPr>
          <w:p>
            <w:pPr>
              <w:ind w:leftChars="0" w:left="0" w:right="0"/>
            </w:pPr>
            <w:r>
              <w:t>SQUARE GLOBAL - OTF</w:t>
            </w:r>
          </w:p>
        </w:tc>
        <w:tc>
          <w:tcPr>
            <w:cnfStyle w:evenVBand="true" w:oddVBand="false" w:firstColumn="false"/>
            <w:tcW w:w="25.000000%" w:type="pct"/>
          </w:tcPr>
          <w:p>
            <w:pPr>
              <w:ind w:leftChars="0" w:left="0" w:right="0"/>
            </w:pPr>
            <w:r>
              <w:t>1614</w:t>
            </w:r>
          </w:p>
        </w:tc>
      </w:tr>
      <w:tr>
        <w:trPr>
          <w:cnfStyle w:evenHBand="true" w:oddHBand="false" w:firstRow="false"/>
        </w:trPr>
        <w:tc>
          <w:tcPr>
            <w:cnfStyle w:evenVBand="false" w:oddVBand="true" w:firstColumn="false"/>
            <w:tcW w:w="25.000000%" w:type="pct"/>
          </w:tcPr>
          <w:p>
            <w:pPr>
              <w:ind w:leftChars="0" w:left="0" w:right="0"/>
            </w:pPr>
            <w:r>
              <w:t>SSBI</w:t>
            </w:r>
          </w:p>
        </w:tc>
        <w:tc>
          <w:tcPr>
            <w:cnfStyle w:evenVBand="true" w:oddVBand="false" w:firstColumn="false"/>
            <w:tcW w:w="25.000000%" w:type="pct"/>
          </w:tcPr>
          <w:p>
            <w:pPr>
              <w:ind w:leftChars="0" w:left="0" w:right="0"/>
            </w:pPr>
            <w:r>
              <w:t>SSBI</w:t>
            </w:r>
          </w:p>
        </w:tc>
        <w:tc>
          <w:tcPr>
            <w:cnfStyle w:evenVBand="false" w:oddVBand="true" w:firstColumn="false"/>
            <w:tcW w:w="25.000000%" w:type="pct"/>
          </w:tcPr>
          <w:p>
            <w:pPr>
              <w:ind w:leftChars="0" w:left="0" w:right="0"/>
            </w:pPr>
            <w:r>
              <w:t>STATE STREET BANK INTERNATIONAL GMBH</w:t>
            </w:r>
          </w:p>
        </w:tc>
        <w:tc>
          <w:tcPr>
            <w:cnfStyle w:evenVBand="true" w:oddVBand="false" w:firstColumn="false"/>
            <w:tcW w:w="25.000000%" w:type="pct"/>
          </w:tcPr>
          <w:p>
            <w:pPr>
              <w:ind w:leftChars="0" w:left="0" w:right="0"/>
            </w:pPr>
            <w:r>
              <w:t>1615</w:t>
            </w:r>
          </w:p>
        </w:tc>
      </w:tr>
      <w:tr>
        <w:trPr>
          <w:cnfStyle w:evenHBand="false" w:oddHBand="true" w:firstRow="false"/>
        </w:trPr>
        <w:tc>
          <w:tcPr>
            <w:cnfStyle w:evenVBand="false" w:oddVBand="true" w:firstColumn="false"/>
            <w:tcW w:w="25.000000%" w:type="pct"/>
          </w:tcPr>
          <w:p>
            <w:pPr>
              <w:ind w:leftChars="0" w:left="0" w:right="0"/>
            </w:pPr>
            <w:r>
              <w:t>SSBM</w:t>
            </w:r>
          </w:p>
        </w:tc>
        <w:tc>
          <w:tcPr>
            <w:cnfStyle w:evenVBand="true" w:oddVBand="false" w:firstColumn="false"/>
            <w:tcW w:w="25.000000%" w:type="pct"/>
          </w:tcPr>
          <w:p>
            <w:pPr>
              <w:ind w:leftChars="0" w:left="0" w:right="0"/>
            </w:pPr>
            <w:r>
              <w:t>SSBM</w:t>
            </w:r>
          </w:p>
        </w:tc>
        <w:tc>
          <w:tcPr>
            <w:cnfStyle w:evenVBand="false" w:oddVBand="true" w:firstColumn="false"/>
            <w:tcW w:w="25.000000%" w:type="pct"/>
          </w:tcPr>
          <w:p>
            <w:pPr>
              <w:ind w:leftChars="0" w:left="0" w:right="0"/>
            </w:pPr>
            <w:r>
              <w:t>STATE STREET BANK INTERNATIONAL FX - SYSTEMATIC INTERNALISER</w:t>
            </w:r>
          </w:p>
        </w:tc>
        <w:tc>
          <w:tcPr>
            <w:cnfStyle w:evenVBand="true" w:oddVBand="false" w:firstColumn="false"/>
            <w:tcW w:w="25.000000%" w:type="pct"/>
          </w:tcPr>
          <w:p>
            <w:pPr>
              <w:ind w:leftChars="0" w:left="0" w:right="0"/>
            </w:pPr>
            <w:r>
              <w:t>1616</w:t>
            </w:r>
          </w:p>
        </w:tc>
      </w:tr>
      <w:tr>
        <w:trPr>
          <w:cnfStyle w:evenHBand="true" w:oddHBand="false" w:firstRow="false"/>
        </w:trPr>
        <w:tc>
          <w:tcPr>
            <w:cnfStyle w:evenVBand="false" w:oddVBand="true" w:firstColumn="false"/>
            <w:tcW w:w="25.000000%" w:type="pct"/>
          </w:tcPr>
          <w:p>
            <w:pPr>
              <w:ind w:leftChars="0" w:left="0" w:right="0"/>
            </w:pPr>
            <w:r>
              <w:t>SSBT</w:t>
            </w:r>
          </w:p>
        </w:tc>
        <w:tc>
          <w:tcPr>
            <w:cnfStyle w:evenVBand="true" w:oddVBand="false" w:firstColumn="false"/>
            <w:tcW w:w="25.000000%" w:type="pct"/>
          </w:tcPr>
          <w:p>
            <w:pPr>
              <w:ind w:leftChars="0" w:left="0" w:right="0"/>
            </w:pPr>
            <w:r>
              <w:t>SSBT</w:t>
            </w:r>
          </w:p>
        </w:tc>
        <w:tc>
          <w:tcPr>
            <w:cnfStyle w:evenVBand="false" w:oddVBand="true" w:firstColumn="false"/>
            <w:tcW w:w="25.000000%" w:type="pct"/>
          </w:tcPr>
          <w:p>
            <w:pPr>
              <w:ind w:leftChars="0" w:left="0" w:right="0"/>
            </w:pPr>
            <w:r>
              <w:t>STATE STREET BANK AND TRUST COMPANY</w:t>
            </w:r>
          </w:p>
        </w:tc>
        <w:tc>
          <w:tcPr>
            <w:cnfStyle w:evenVBand="true" w:oddVBand="false" w:firstColumn="false"/>
            <w:tcW w:w="25.000000%" w:type="pct"/>
          </w:tcPr>
          <w:p>
            <w:pPr>
              <w:ind w:leftChars="0" w:left="0" w:right="0"/>
            </w:pPr>
            <w:r>
              <w:t>1617</w:t>
            </w:r>
          </w:p>
        </w:tc>
      </w:tr>
      <w:tr>
        <w:trPr>
          <w:cnfStyle w:evenHBand="false" w:oddHBand="true" w:firstRow="false"/>
        </w:trPr>
        <w:tc>
          <w:tcPr>
            <w:cnfStyle w:evenVBand="false" w:oddVBand="true" w:firstColumn="false"/>
            <w:tcW w:w="25.000000%" w:type="pct"/>
          </w:tcPr>
          <w:p>
            <w:pPr>
              <w:ind w:leftChars="0" w:left="0" w:right="0"/>
            </w:pPr>
            <w:r>
              <w:t>SSEX</w:t>
            </w:r>
          </w:p>
        </w:tc>
        <w:tc>
          <w:tcPr>
            <w:cnfStyle w:evenVBand="true" w:oddVBand="false" w:firstColumn="false"/>
            <w:tcW w:w="25.000000%" w:type="pct"/>
          </w:tcPr>
          <w:p>
            <w:pPr>
              <w:ind w:leftChars="0" w:left="0" w:right="0"/>
            </w:pPr>
            <w:r>
              <w:t>SSEX</w:t>
            </w:r>
          </w:p>
        </w:tc>
        <w:tc>
          <w:tcPr>
            <w:cnfStyle w:evenVBand="false" w:oddVBand="true" w:firstColumn="false"/>
            <w:tcW w:w="25.000000%" w:type="pct"/>
          </w:tcPr>
          <w:p>
            <w:pPr>
              <w:ind w:leftChars="0" w:left="0" w:right="0"/>
            </w:pPr>
            <w:r>
              <w:t>SOCIAL STOCK EXCHANGE</w:t>
            </w:r>
          </w:p>
        </w:tc>
        <w:tc>
          <w:tcPr>
            <w:cnfStyle w:evenVBand="true" w:oddVBand="false" w:firstColumn="false"/>
            <w:tcW w:w="25.000000%" w:type="pct"/>
          </w:tcPr>
          <w:p>
            <w:pPr>
              <w:ind w:leftChars="0" w:left="0" w:right="0"/>
            </w:pPr>
            <w:r>
              <w:t>1618</w:t>
            </w:r>
          </w:p>
        </w:tc>
      </w:tr>
      <w:tr>
        <w:trPr>
          <w:cnfStyle w:evenHBand="true" w:oddHBand="false" w:firstRow="false"/>
        </w:trPr>
        <w:tc>
          <w:tcPr>
            <w:cnfStyle w:evenVBand="false" w:oddVBand="true" w:firstColumn="false"/>
            <w:tcW w:w="25.000000%" w:type="pct"/>
          </w:tcPr>
          <w:p>
            <w:pPr>
              <w:ind w:leftChars="0" w:left="0" w:right="0"/>
            </w:pPr>
            <w:r>
              <w:t>SSFX</w:t>
            </w:r>
          </w:p>
        </w:tc>
        <w:tc>
          <w:tcPr>
            <w:cnfStyle w:evenVBand="true" w:oddVBand="false" w:firstColumn="false"/>
            <w:tcW w:w="25.000000%" w:type="pct"/>
          </w:tcPr>
          <w:p>
            <w:pPr>
              <w:ind w:leftChars="0" w:left="0" w:right="0"/>
            </w:pPr>
            <w:r>
              <w:t>SSFX</w:t>
            </w:r>
          </w:p>
        </w:tc>
        <w:tc>
          <w:tcPr>
            <w:cnfStyle w:evenVBand="false" w:oddVBand="true" w:firstColumn="false"/>
            <w:tcW w:w="25.000000%" w:type="pct"/>
          </w:tcPr>
          <w:p>
            <w:pPr>
              <w:ind w:leftChars="0" w:left="0" w:right="0"/>
            </w:pPr>
            <w:r>
              <w:t>STATE STREET BANK AND TRUST FX - SYSTEMATIC INTERNALISER</w:t>
            </w:r>
          </w:p>
        </w:tc>
        <w:tc>
          <w:tcPr>
            <w:cnfStyle w:evenVBand="true" w:oddVBand="false" w:firstColumn="false"/>
            <w:tcW w:w="25.000000%" w:type="pct"/>
          </w:tcPr>
          <w:p>
            <w:pPr>
              <w:ind w:leftChars="0" w:left="0" w:right="0"/>
            </w:pPr>
            <w:r>
              <w:t>1619</w:t>
            </w:r>
          </w:p>
        </w:tc>
      </w:tr>
      <w:tr>
        <w:trPr>
          <w:cnfStyle w:evenHBand="false" w:oddHBand="true" w:firstRow="false"/>
        </w:trPr>
        <w:tc>
          <w:tcPr>
            <w:cnfStyle w:evenVBand="false" w:oddVBand="true" w:firstColumn="false"/>
            <w:tcW w:w="25.000000%" w:type="pct"/>
          </w:tcPr>
          <w:p>
            <w:pPr>
              <w:ind w:leftChars="0" w:left="0" w:right="0"/>
            </w:pPr>
            <w:r>
              <w:t>SSIL</w:t>
            </w:r>
          </w:p>
        </w:tc>
        <w:tc>
          <w:tcPr>
            <w:cnfStyle w:evenVBand="true" w:oddVBand="false" w:firstColumn="false"/>
            <w:tcW w:w="25.000000%" w:type="pct"/>
          </w:tcPr>
          <w:p>
            <w:pPr>
              <w:ind w:leftChars="0" w:left="0" w:right="0"/>
            </w:pPr>
            <w:r>
              <w:t>SSIL</w:t>
            </w:r>
          </w:p>
        </w:tc>
        <w:tc>
          <w:tcPr>
            <w:cnfStyle w:evenVBand="false" w:oddVBand="true" w:firstColumn="false"/>
            <w:tcW w:w="25.000000%" w:type="pct"/>
          </w:tcPr>
          <w:p>
            <w:pPr>
              <w:ind w:leftChars="0" w:left="0" w:right="0"/>
            </w:pPr>
            <w:r>
              <w:t>STATE STREET BANK INTERNATIONAL FX - LONDON BRANCH - SYSTEMATIC INTERNALISER</w:t>
            </w:r>
          </w:p>
        </w:tc>
        <w:tc>
          <w:tcPr>
            <w:cnfStyle w:evenVBand="true" w:oddVBand="false" w:firstColumn="false"/>
            <w:tcW w:w="25.000000%" w:type="pct"/>
          </w:tcPr>
          <w:p>
            <w:pPr>
              <w:ind w:leftChars="0" w:left="0" w:right="0"/>
            </w:pPr>
            <w:r>
              <w:t>1620</w:t>
            </w:r>
          </w:p>
        </w:tc>
      </w:tr>
      <w:tr>
        <w:trPr>
          <w:cnfStyle w:evenHBand="true" w:oddHBand="false" w:firstRow="false"/>
        </w:trPr>
        <w:tc>
          <w:tcPr>
            <w:cnfStyle w:evenVBand="false" w:oddVBand="true" w:firstColumn="false"/>
            <w:tcW w:w="25.000000%" w:type="pct"/>
          </w:tcPr>
          <w:p>
            <w:pPr>
              <w:ind w:leftChars="0" w:left="0" w:right="0"/>
            </w:pPr>
            <w:r>
              <w:t>SSME</w:t>
            </w:r>
          </w:p>
        </w:tc>
        <w:tc>
          <w:tcPr>
            <w:cnfStyle w:evenVBand="true" w:oddVBand="false" w:firstColumn="false"/>
            <w:tcW w:w="25.000000%" w:type="pct"/>
          </w:tcPr>
          <w:p>
            <w:pPr>
              <w:ind w:leftChars="0" w:left="0" w:right="0"/>
            </w:pPr>
            <w:r>
              <w:t>SSME</w:t>
            </w:r>
          </w:p>
        </w:tc>
        <w:tc>
          <w:tcPr>
            <w:cnfStyle w:evenVBand="false" w:oddVBand="true" w:firstColumn="false"/>
            <w:tcW w:w="25.000000%" w:type="pct"/>
          </w:tcPr>
          <w:p>
            <w:pPr>
              <w:ind w:leftChars="0" w:left="0" w:right="0"/>
            </w:pPr>
            <w:r>
              <w:t>FIRST NORTH SWEDEN - SME GROWTH MARKET</w:t>
            </w:r>
          </w:p>
        </w:tc>
        <w:tc>
          <w:tcPr>
            <w:cnfStyle w:evenVBand="true" w:oddVBand="false" w:firstColumn="false"/>
            <w:tcW w:w="25.000000%" w:type="pct"/>
          </w:tcPr>
          <w:p>
            <w:pPr>
              <w:ind w:leftChars="0" w:left="0" w:right="0"/>
            </w:pPr>
            <w:r>
              <w:t>1621</w:t>
            </w:r>
          </w:p>
        </w:tc>
      </w:tr>
      <w:tr>
        <w:trPr>
          <w:cnfStyle w:evenHBand="false" w:oddHBand="true" w:firstRow="false"/>
        </w:trPr>
        <w:tc>
          <w:tcPr>
            <w:cnfStyle w:evenVBand="false" w:oddVBand="true" w:firstColumn="false"/>
            <w:tcW w:w="25.000000%" w:type="pct"/>
          </w:tcPr>
          <w:p>
            <w:pPr>
              <w:ind w:leftChars="0" w:left="0" w:right="0"/>
            </w:pPr>
            <w:r>
              <w:t>SSOB</w:t>
            </w:r>
          </w:p>
        </w:tc>
        <w:tc>
          <w:tcPr>
            <w:cnfStyle w:evenVBand="true" w:oddVBand="false" w:firstColumn="false"/>
            <w:tcW w:w="25.000000%" w:type="pct"/>
          </w:tcPr>
          <w:p>
            <w:pPr>
              <w:ind w:leftChars="0" w:left="0" w:right="0"/>
            </w:pPr>
            <w:r>
              <w:t>SSOB</w:t>
            </w:r>
          </w:p>
        </w:tc>
        <w:tc>
          <w:tcPr>
            <w:cnfStyle w:evenVBand="false" w:oddVBand="true" w:firstColumn="false"/>
            <w:tcW w:w="25.000000%" w:type="pct"/>
          </w:tcPr>
          <w:p>
            <w:pPr>
              <w:ind w:leftChars="0" w:left="0" w:right="0"/>
            </w:pPr>
            <w:r>
              <w:t>BONDVISION EUROPE MTF</w:t>
            </w:r>
          </w:p>
        </w:tc>
        <w:tc>
          <w:tcPr>
            <w:cnfStyle w:evenVBand="true" w:oddVBand="false" w:firstColumn="false"/>
            <w:tcW w:w="25.000000%" w:type="pct"/>
          </w:tcPr>
          <w:p>
            <w:pPr>
              <w:ind w:leftChars="0" w:left="0" w:right="0"/>
            </w:pPr>
            <w:r>
              <w:t>1622</w:t>
            </w:r>
          </w:p>
        </w:tc>
      </w:tr>
      <w:tr>
        <w:trPr>
          <w:cnfStyle w:evenHBand="true" w:oddHBand="false" w:firstRow="false"/>
        </w:trPr>
        <w:tc>
          <w:tcPr>
            <w:cnfStyle w:evenVBand="false" w:oddVBand="true" w:firstColumn="false"/>
            <w:tcW w:w="25.000000%" w:type="pct"/>
          </w:tcPr>
          <w:p>
            <w:pPr>
              <w:ind w:leftChars="0" w:left="0" w:right="0"/>
            </w:pPr>
            <w:r>
              <w:t>SSTX</w:t>
            </w:r>
          </w:p>
        </w:tc>
        <w:tc>
          <w:tcPr>
            <w:cnfStyle w:evenVBand="true" w:oddVBand="false" w:firstColumn="false"/>
            <w:tcW w:w="25.000000%" w:type="pct"/>
          </w:tcPr>
          <w:p>
            <w:pPr>
              <w:ind w:leftChars="0" w:left="0" w:right="0"/>
            </w:pPr>
            <w:r>
              <w:t>SSTX</w:t>
            </w:r>
          </w:p>
        </w:tc>
        <w:tc>
          <w:tcPr>
            <w:cnfStyle w:evenVBand="false" w:oddVBand="true" w:firstColumn="false"/>
            <w:tcW w:w="25.000000%" w:type="pct"/>
          </w:tcPr>
          <w:p>
            <w:pPr>
              <w:ind w:leftChars="0" w:left="0" w:right="0"/>
            </w:pPr>
            <w:r>
              <w:t>E-EXCHANGE</w:t>
            </w:r>
          </w:p>
        </w:tc>
        <w:tc>
          <w:tcPr>
            <w:cnfStyle w:evenVBand="true" w:oddVBand="false" w:firstColumn="false"/>
            <w:tcW w:w="25.000000%" w:type="pct"/>
          </w:tcPr>
          <w:p>
            <w:pPr>
              <w:ind w:leftChars="0" w:left="0" w:right="0"/>
            </w:pPr>
            <w:r>
              <w:t>1623</w:t>
            </w:r>
          </w:p>
        </w:tc>
      </w:tr>
      <w:tr>
        <w:trPr>
          <w:cnfStyle w:evenHBand="false" w:oddHBand="true" w:firstRow="false"/>
        </w:trPr>
        <w:tc>
          <w:tcPr>
            <w:cnfStyle w:evenVBand="false" w:oddVBand="true" w:firstColumn="false"/>
            <w:tcW w:w="25.000000%" w:type="pct"/>
          </w:tcPr>
          <w:p>
            <w:pPr>
              <w:ind w:leftChars="0" w:left="0" w:right="0"/>
            </w:pPr>
            <w:r>
              <w:t>SSWM</w:t>
            </w:r>
          </w:p>
        </w:tc>
        <w:tc>
          <w:tcPr>
            <w:cnfStyle w:evenVBand="true" w:oddVBand="false" w:firstColumn="false"/>
            <w:tcW w:w="25.000000%" w:type="pct"/>
          </w:tcPr>
          <w:p>
            <w:pPr>
              <w:ind w:leftChars="0" w:left="0" w:right="0"/>
            </w:pPr>
            <w:r>
              <w:t>SSWM</w:t>
            </w:r>
          </w:p>
        </w:tc>
        <w:tc>
          <w:tcPr>
            <w:cnfStyle w:evenVBand="false" w:oddVBand="true" w:firstColumn="false"/>
            <w:tcW w:w="25.000000%" w:type="pct"/>
          </w:tcPr>
          <w:p>
            <w:pPr>
              <w:ind w:leftChars="0" w:left="0" w:right="0"/>
            </w:pPr>
            <w:r>
              <w:t>SSW MARKET MAKING - SYSTEMATIC INTERNALISER</w:t>
            </w:r>
          </w:p>
        </w:tc>
        <w:tc>
          <w:tcPr>
            <w:cnfStyle w:evenVBand="true" w:oddVBand="false" w:firstColumn="false"/>
            <w:tcW w:w="25.000000%" w:type="pct"/>
          </w:tcPr>
          <w:p>
            <w:pPr>
              <w:ind w:leftChars="0" w:left="0" w:right="0"/>
            </w:pPr>
            <w:r>
              <w:t>1624</w:t>
            </w:r>
          </w:p>
        </w:tc>
      </w:tr>
      <w:tr>
        <w:trPr>
          <w:cnfStyle w:evenHBand="true" w:oddHBand="false" w:firstRow="false"/>
        </w:trPr>
        <w:tc>
          <w:tcPr>
            <w:cnfStyle w:evenVBand="false" w:oddVBand="true" w:firstColumn="false"/>
            <w:tcW w:w="25.000000%" w:type="pct"/>
          </w:tcPr>
          <w:p>
            <w:pPr>
              <w:ind w:leftChars="0" w:left="0" w:right="0"/>
            </w:pPr>
            <w:r>
              <w:t>STAL</w:t>
            </w:r>
          </w:p>
        </w:tc>
        <w:tc>
          <w:tcPr>
            <w:cnfStyle w:evenVBand="true" w:oddVBand="false" w:firstColumn="false"/>
            <w:tcW w:w="25.000000%" w:type="pct"/>
          </w:tcPr>
          <w:p>
            <w:pPr>
              <w:ind w:leftChars="0" w:left="0" w:right="0"/>
            </w:pPr>
            <w:r>
              <w:t>STAL</w:t>
            </w:r>
          </w:p>
        </w:tc>
        <w:tc>
          <w:tcPr>
            <w:cnfStyle w:evenVBand="false" w:oddVBand="true" w:firstColumn="false"/>
            <w:tcW w:w="25.000000%" w:type="pct"/>
          </w:tcPr>
          <w:p>
            <w:pPr>
              <w:ind w:leftChars="0" w:left="0" w:right="0"/>
            </w:pPr>
            <w:r>
              <w:t>SCHNEIDER OTF</w:t>
            </w:r>
          </w:p>
        </w:tc>
        <w:tc>
          <w:tcPr>
            <w:cnfStyle w:evenVBand="true" w:oddVBand="false" w:firstColumn="false"/>
            <w:tcW w:w="25.000000%" w:type="pct"/>
          </w:tcPr>
          <w:p>
            <w:pPr>
              <w:ind w:leftChars="0" w:left="0" w:right="0"/>
            </w:pPr>
            <w:r>
              <w:t>1625</w:t>
            </w:r>
          </w:p>
        </w:tc>
      </w:tr>
      <w:tr>
        <w:trPr>
          <w:cnfStyle w:evenHBand="false" w:oddHBand="true" w:firstRow="false"/>
        </w:trPr>
        <w:tc>
          <w:tcPr>
            <w:cnfStyle w:evenVBand="false" w:oddVBand="true" w:firstColumn="false"/>
            <w:tcW w:w="25.000000%" w:type="pct"/>
          </w:tcPr>
          <w:p>
            <w:pPr>
              <w:ind w:leftChars="0" w:left="0" w:right="0"/>
            </w:pPr>
            <w:r>
              <w:t>STAN</w:t>
            </w:r>
          </w:p>
        </w:tc>
        <w:tc>
          <w:tcPr>
            <w:cnfStyle w:evenVBand="true" w:oddVBand="false" w:firstColumn="false"/>
            <w:tcW w:w="25.000000%" w:type="pct"/>
          </w:tcPr>
          <w:p>
            <w:pPr>
              <w:ind w:leftChars="0" w:left="0" w:right="0"/>
            </w:pPr>
            <w:r>
              <w:t>STAN</w:t>
            </w:r>
          </w:p>
        </w:tc>
        <w:tc>
          <w:tcPr>
            <w:cnfStyle w:evenVBand="false" w:oddVBand="true" w:firstColumn="false"/>
            <w:tcW w:w="25.000000%" w:type="pct"/>
          </w:tcPr>
          <w:p>
            <w:pPr>
              <w:ind w:leftChars="0" w:left="0" w:right="0"/>
            </w:pPr>
            <w:r>
              <w:t>STANDARD CHARTERED - SYSTEMATIC INTERNALISER</w:t>
            </w:r>
          </w:p>
        </w:tc>
        <w:tc>
          <w:tcPr>
            <w:cnfStyle w:evenVBand="true" w:oddVBand="false" w:firstColumn="false"/>
            <w:tcW w:w="25.000000%" w:type="pct"/>
          </w:tcPr>
          <w:p>
            <w:pPr>
              <w:ind w:leftChars="0" w:left="0" w:right="0"/>
            </w:pPr>
            <w:r>
              <w:t>1626</w:t>
            </w:r>
          </w:p>
        </w:tc>
      </w:tr>
      <w:tr>
        <w:trPr>
          <w:cnfStyle w:evenHBand="true" w:oddHBand="false" w:firstRow="false"/>
        </w:trPr>
        <w:tc>
          <w:tcPr>
            <w:cnfStyle w:evenVBand="false" w:oddVBand="true" w:firstColumn="false"/>
            <w:tcW w:w="25.000000%" w:type="pct"/>
          </w:tcPr>
          <w:p>
            <w:pPr>
              <w:ind w:leftChars="0" w:left="0" w:right="0"/>
            </w:pPr>
            <w:r>
              <w:t>STEE</w:t>
            </w:r>
          </w:p>
        </w:tc>
        <w:tc>
          <w:tcPr>
            <w:cnfStyle w:evenVBand="true" w:oddVBand="false" w:firstColumn="false"/>
            <w:tcW w:w="25.000000%" w:type="pct"/>
          </w:tcPr>
          <w:p>
            <w:pPr>
              <w:ind w:leftChars="0" w:left="0" w:right="0"/>
            </w:pPr>
            <w:r>
              <w:t>STEE</w:t>
            </w:r>
          </w:p>
        </w:tc>
        <w:tc>
          <w:tcPr>
            <w:cnfStyle w:evenVBand="false" w:oddVBand="true" w:firstColumn="false"/>
            <w:tcW w:w="25.000000%" w:type="pct"/>
          </w:tcPr>
          <w:p>
            <w:pPr>
              <w:ind w:leftChars="0" w:left="0" w:right="0"/>
            </w:pPr>
            <w:r>
              <w:t>NASDAQ COMMODITIES - STEEL COMMODITY</w:t>
            </w:r>
          </w:p>
        </w:tc>
        <w:tc>
          <w:tcPr>
            <w:cnfStyle w:evenVBand="true" w:oddVBand="false" w:firstColumn="false"/>
            <w:tcW w:w="25.000000%" w:type="pct"/>
          </w:tcPr>
          <w:p>
            <w:pPr>
              <w:ind w:leftChars="0" w:left="0" w:right="0"/>
            </w:pPr>
            <w:r>
              <w:t>1627</w:t>
            </w:r>
          </w:p>
        </w:tc>
      </w:tr>
      <w:tr>
        <w:trPr>
          <w:cnfStyle w:evenHBand="false" w:oddHBand="true" w:firstRow="false"/>
        </w:trPr>
        <w:tc>
          <w:tcPr>
            <w:cnfStyle w:evenVBand="false" w:oddVBand="true" w:firstColumn="false"/>
            <w:tcW w:w="25.000000%" w:type="pct"/>
          </w:tcPr>
          <w:p>
            <w:pPr>
              <w:ind w:leftChars="0" w:left="0" w:right="0"/>
            </w:pPr>
            <w:r>
              <w:t>STFL</w:t>
            </w:r>
          </w:p>
        </w:tc>
        <w:tc>
          <w:tcPr>
            <w:cnfStyle w:evenVBand="true" w:oddVBand="false" w:firstColumn="false"/>
            <w:tcW w:w="25.000000%" w:type="pct"/>
          </w:tcPr>
          <w:p>
            <w:pPr>
              <w:ind w:leftChars="0" w:left="0" w:right="0"/>
            </w:pPr>
            <w:r>
              <w:t>STFL</w:t>
            </w:r>
          </w:p>
        </w:tc>
        <w:tc>
          <w:tcPr>
            <w:cnfStyle w:evenVBand="false" w:oddVBand="true" w:firstColumn="false"/>
            <w:tcW w:w="25.000000%" w:type="pct"/>
          </w:tcPr>
          <w:p>
            <w:pPr>
              <w:ind w:leftChars="0" w:left="0" w:right="0"/>
            </w:pPr>
            <w:r>
              <w:t>STIFEL NICOLAUS EUROPE LIMITED - SYSTEMATIC INTERNALISER</w:t>
            </w:r>
          </w:p>
        </w:tc>
        <w:tc>
          <w:tcPr>
            <w:cnfStyle w:evenVBand="true" w:oddVBand="false" w:firstColumn="false"/>
            <w:tcW w:w="25.000000%" w:type="pct"/>
          </w:tcPr>
          <w:p>
            <w:pPr>
              <w:ind w:leftChars="0" w:left="0" w:right="0"/>
            </w:pPr>
            <w:r>
              <w:t>1628</w:t>
            </w:r>
          </w:p>
        </w:tc>
      </w:tr>
      <w:tr>
        <w:trPr>
          <w:cnfStyle w:evenHBand="true" w:oddHBand="false" w:firstRow="false"/>
        </w:trPr>
        <w:tc>
          <w:tcPr>
            <w:cnfStyle w:evenVBand="false" w:oddVBand="true" w:firstColumn="false"/>
            <w:tcW w:w="25.000000%" w:type="pct"/>
          </w:tcPr>
          <w:p>
            <w:pPr>
              <w:ind w:leftChars="0" w:left="0" w:right="0"/>
            </w:pPr>
            <w:r>
              <w:t>STFU</w:t>
            </w:r>
          </w:p>
        </w:tc>
        <w:tc>
          <w:tcPr>
            <w:cnfStyle w:evenVBand="true" w:oddVBand="false" w:firstColumn="false"/>
            <w:tcW w:w="25.000000%" w:type="pct"/>
          </w:tcPr>
          <w:p>
            <w:pPr>
              <w:ind w:leftChars="0" w:left="0" w:right="0"/>
            </w:pPr>
            <w:r>
              <w:t>STFU</w:t>
            </w:r>
          </w:p>
        </w:tc>
        <w:tc>
          <w:tcPr>
            <w:cnfStyle w:evenVBand="false" w:oddVBand="true" w:firstColumn="false"/>
            <w:tcW w:w="25.000000%" w:type="pct"/>
          </w:tcPr>
          <w:p>
            <w:pPr>
              <w:ind w:leftChars="0" w:left="0" w:right="0"/>
            </w:pPr>
            <w:r>
              <w:t>STIFEL, NICOLAUS AND COMPANY, INCORPORATED</w:t>
            </w:r>
          </w:p>
        </w:tc>
        <w:tc>
          <w:tcPr>
            <w:cnfStyle w:evenVBand="true" w:oddVBand="false" w:firstColumn="false"/>
            <w:tcW w:w="25.000000%" w:type="pct"/>
          </w:tcPr>
          <w:p>
            <w:pPr>
              <w:ind w:leftChars="0" w:left="0" w:right="0"/>
            </w:pPr>
            <w:r>
              <w:t>1629</w:t>
            </w:r>
          </w:p>
        </w:tc>
      </w:tr>
      <w:tr>
        <w:trPr>
          <w:cnfStyle w:evenHBand="false" w:oddHBand="true" w:firstRow="false"/>
        </w:trPr>
        <w:tc>
          <w:tcPr>
            <w:cnfStyle w:evenVBand="false" w:oddVBand="true" w:firstColumn="false"/>
            <w:tcW w:w="25.000000%" w:type="pct"/>
          </w:tcPr>
          <w:p>
            <w:pPr>
              <w:ind w:leftChars="0" w:left="0" w:right="0"/>
            </w:pPr>
            <w:r>
              <w:t>STFX</w:t>
            </w:r>
          </w:p>
        </w:tc>
        <w:tc>
          <w:tcPr>
            <w:cnfStyle w:evenVBand="true" w:oddVBand="false" w:firstColumn="false"/>
            <w:tcW w:w="25.000000%" w:type="pct"/>
          </w:tcPr>
          <w:p>
            <w:pPr>
              <w:ind w:leftChars="0" w:left="0" w:right="0"/>
            </w:pPr>
            <w:r>
              <w:t>STFX</w:t>
            </w:r>
          </w:p>
        </w:tc>
        <w:tc>
          <w:tcPr>
            <w:cnfStyle w:evenVBand="false" w:oddVBand="true" w:firstColumn="false"/>
            <w:tcW w:w="25.000000%" w:type="pct"/>
          </w:tcPr>
          <w:p>
            <w:pPr>
              <w:ind w:leftChars="0" w:left="0" w:right="0"/>
            </w:pPr>
            <w:r>
              <w:t>STIFEL, NICOLAUS AND COMPANY, INCORPORATED</w:t>
            </w:r>
          </w:p>
        </w:tc>
        <w:tc>
          <w:tcPr>
            <w:cnfStyle w:evenVBand="true" w:oddVBand="false" w:firstColumn="false"/>
            <w:tcW w:w="25.000000%" w:type="pct"/>
          </w:tcPr>
          <w:p>
            <w:pPr>
              <w:ind w:leftChars="0" w:left="0" w:right="0"/>
            </w:pPr>
            <w:r>
              <w:t>1630</w:t>
            </w:r>
          </w:p>
        </w:tc>
      </w:tr>
      <w:tr>
        <w:trPr>
          <w:cnfStyle w:evenHBand="true" w:oddHBand="false" w:firstRow="false"/>
        </w:trPr>
        <w:tc>
          <w:tcPr>
            <w:cnfStyle w:evenVBand="false" w:oddVBand="true" w:firstColumn="false"/>
            <w:tcW w:w="25.000000%" w:type="pct"/>
          </w:tcPr>
          <w:p>
            <w:pPr>
              <w:ind w:leftChars="0" w:left="0" w:right="0"/>
            </w:pPr>
            <w:r>
              <w:t>STOX</w:t>
            </w:r>
          </w:p>
        </w:tc>
        <w:tc>
          <w:tcPr>
            <w:cnfStyle w:evenVBand="true" w:oddVBand="false" w:firstColumn="false"/>
            <w:tcW w:w="25.000000%" w:type="pct"/>
          </w:tcPr>
          <w:p>
            <w:pPr>
              <w:ind w:leftChars="0" w:left="0" w:right="0"/>
            </w:pPr>
            <w:r>
              <w:t>STOX</w:t>
            </w:r>
          </w:p>
        </w:tc>
        <w:tc>
          <w:tcPr>
            <w:cnfStyle w:evenVBand="false" w:oddVBand="true" w:firstColumn="false"/>
            <w:tcW w:w="25.000000%" w:type="pct"/>
          </w:tcPr>
          <w:p>
            <w:pPr>
              <w:ind w:leftChars="0" w:left="0" w:right="0"/>
            </w:pPr>
            <w:r>
              <w:t>STOXX LIMITED</w:t>
            </w:r>
          </w:p>
        </w:tc>
        <w:tc>
          <w:tcPr>
            <w:cnfStyle w:evenVBand="true" w:oddVBand="false" w:firstColumn="false"/>
            <w:tcW w:w="25.000000%" w:type="pct"/>
          </w:tcPr>
          <w:p>
            <w:pPr>
              <w:ind w:leftChars="0" w:left="0" w:right="0"/>
            </w:pPr>
            <w:r>
              <w:t>1631</w:t>
            </w:r>
          </w:p>
        </w:tc>
      </w:tr>
      <w:tr>
        <w:trPr>
          <w:cnfStyle w:evenHBand="false" w:oddHBand="true" w:firstRow="false"/>
        </w:trPr>
        <w:tc>
          <w:tcPr>
            <w:cnfStyle w:evenVBand="false" w:oddVBand="true" w:firstColumn="false"/>
            <w:tcW w:w="25.000000%" w:type="pct"/>
          </w:tcPr>
          <w:p>
            <w:pPr>
              <w:ind w:leftChars="0" w:left="0" w:right="0"/>
            </w:pPr>
            <w:r>
              <w:t>STRM</w:t>
            </w:r>
          </w:p>
        </w:tc>
        <w:tc>
          <w:tcPr>
            <w:cnfStyle w:evenVBand="true" w:oddVBand="false" w:firstColumn="false"/>
            <w:tcW w:w="25.000000%" w:type="pct"/>
          </w:tcPr>
          <w:p>
            <w:pPr>
              <w:ind w:leftChars="0" w:left="0" w:right="0"/>
            </w:pPr>
            <w:r>
              <w:t>STRM</w:t>
            </w:r>
          </w:p>
        </w:tc>
        <w:tc>
          <w:tcPr>
            <w:cnfStyle w:evenVBand="false" w:oddVBand="true" w:firstColumn="false"/>
            <w:tcW w:w="25.000000%" w:type="pct"/>
          </w:tcPr>
          <w:p>
            <w:pPr>
              <w:ind w:leftChars="0" w:left="0" w:right="0"/>
            </w:pPr>
            <w:r>
              <w:t>PURESTREAM</w:t>
            </w:r>
          </w:p>
        </w:tc>
        <w:tc>
          <w:tcPr>
            <w:cnfStyle w:evenVBand="true" w:oddVBand="false" w:firstColumn="false"/>
            <w:tcW w:w="25.000000%" w:type="pct"/>
          </w:tcPr>
          <w:p>
            <w:pPr>
              <w:ind w:leftChars="0" w:left="0" w:right="0"/>
            </w:pPr>
            <w:r>
              <w:t>1632</w:t>
            </w:r>
          </w:p>
        </w:tc>
      </w:tr>
      <w:tr>
        <w:trPr>
          <w:cnfStyle w:evenHBand="true" w:oddHBand="false" w:firstRow="false"/>
        </w:trPr>
        <w:tc>
          <w:tcPr>
            <w:cnfStyle w:evenVBand="false" w:oddVBand="true" w:firstColumn="false"/>
            <w:tcW w:w="25.000000%" w:type="pct"/>
          </w:tcPr>
          <w:p>
            <w:pPr>
              <w:ind w:leftChars="0" w:left="0" w:right="0"/>
            </w:pPr>
            <w:r>
              <w:t>STRT</w:t>
            </w:r>
          </w:p>
        </w:tc>
        <w:tc>
          <w:tcPr>
            <w:cnfStyle w:evenVBand="true" w:oddVBand="false" w:firstColumn="false"/>
            <w:tcW w:w="25.000000%" w:type="pct"/>
          </w:tcPr>
          <w:p>
            <w:pPr>
              <w:ind w:leftChars="0" w:left="0" w:right="0"/>
            </w:pPr>
            <w:r>
              <w:t>STRT</w:t>
            </w:r>
          </w:p>
        </w:tc>
        <w:tc>
          <w:tcPr>
            <w:cnfStyle w:evenVBand="false" w:oddVBand="true" w:firstColumn="false"/>
            <w:tcW w:w="25.000000%" w:type="pct"/>
          </w:tcPr>
          <w:p>
            <w:pPr>
              <w:ind w:leftChars="0" w:left="0" w:right="0"/>
            </w:pPr>
            <w:r>
              <w:t>PRAGUE STOCK EXCHANGE - START (MTF)</w:t>
            </w:r>
          </w:p>
        </w:tc>
        <w:tc>
          <w:tcPr>
            <w:cnfStyle w:evenVBand="true" w:oddVBand="false" w:firstColumn="false"/>
            <w:tcW w:w="25.000000%" w:type="pct"/>
          </w:tcPr>
          <w:p>
            <w:pPr>
              <w:ind w:leftChars="0" w:left="0" w:right="0"/>
            </w:pPr>
            <w:r>
              <w:t>1633</w:t>
            </w:r>
          </w:p>
        </w:tc>
      </w:tr>
      <w:tr>
        <w:trPr>
          <w:cnfStyle w:evenHBand="false" w:oddHBand="true" w:firstRow="false"/>
        </w:trPr>
        <w:tc>
          <w:tcPr>
            <w:cnfStyle w:evenVBand="false" w:oddVBand="true" w:firstColumn="false"/>
            <w:tcW w:w="25.000000%" w:type="pct"/>
          </w:tcPr>
          <w:p>
            <w:pPr>
              <w:ind w:leftChars="0" w:left="0" w:right="0"/>
            </w:pPr>
            <w:r>
              <w:t>STSI</w:t>
            </w:r>
          </w:p>
        </w:tc>
        <w:tc>
          <w:tcPr>
            <w:cnfStyle w:evenVBand="true" w:oddVBand="false" w:firstColumn="false"/>
            <w:tcW w:w="25.000000%" w:type="pct"/>
          </w:tcPr>
          <w:p>
            <w:pPr>
              <w:ind w:leftChars="0" w:left="0" w:right="0"/>
            </w:pPr>
            <w:r>
              <w:t>STSI</w:t>
            </w:r>
          </w:p>
        </w:tc>
        <w:tc>
          <w:tcPr>
            <w:cnfStyle w:evenVBand="false" w:oddVBand="true" w:firstColumn="false"/>
            <w:tcW w:w="25.000000%" w:type="pct"/>
          </w:tcPr>
          <w:p>
            <w:pPr>
              <w:ind w:leftChars="0" w:left="0" w:right="0"/>
            </w:pPr>
            <w:r>
              <w:t>SUN TRADING INTERNATIONAL - SYSTEMATIC INTERNALISER</w:t>
            </w:r>
          </w:p>
        </w:tc>
        <w:tc>
          <w:tcPr>
            <w:cnfStyle w:evenVBand="true" w:oddVBand="false" w:firstColumn="false"/>
            <w:tcW w:w="25.000000%" w:type="pct"/>
          </w:tcPr>
          <w:p>
            <w:pPr>
              <w:ind w:leftChars="0" w:left="0" w:right="0"/>
            </w:pPr>
            <w:r>
              <w:t>1634</w:t>
            </w:r>
          </w:p>
        </w:tc>
      </w:tr>
      <w:tr>
        <w:trPr>
          <w:cnfStyle w:evenHBand="true" w:oddHBand="false" w:firstRow="false"/>
        </w:trPr>
        <w:tc>
          <w:tcPr>
            <w:cnfStyle w:evenVBand="false" w:oddVBand="true" w:firstColumn="false"/>
            <w:tcW w:w="25.000000%" w:type="pct"/>
          </w:tcPr>
          <w:p>
            <w:pPr>
              <w:ind w:leftChars="0" w:left="0" w:right="0"/>
            </w:pPr>
            <w:r>
              <w:t>STUA</w:t>
            </w:r>
          </w:p>
        </w:tc>
        <w:tc>
          <w:tcPr>
            <w:cnfStyle w:evenVBand="true" w:oddVBand="false" w:firstColumn="false"/>
            <w:tcW w:w="25.000000%" w:type="pct"/>
          </w:tcPr>
          <w:p>
            <w:pPr>
              <w:ind w:leftChars="0" w:left="0" w:right="0"/>
            </w:pPr>
            <w:r>
              <w:t>STUA</w:t>
            </w:r>
          </w:p>
        </w:tc>
        <w:tc>
          <w:tcPr>
            <w:cnfStyle w:evenVBand="false" w:oddVBand="true" w:firstColumn="false"/>
            <w:tcW w:w="25.000000%" w:type="pct"/>
          </w:tcPr>
          <w:p>
            <w:pPr>
              <w:ind w:leftChars="0" w:left="0" w:right="0"/>
            </w:pPr>
            <w:r>
              <w:t>BOERSE STUTTGART - REGULIERTER MARKT</w:t>
            </w:r>
          </w:p>
        </w:tc>
        <w:tc>
          <w:tcPr>
            <w:cnfStyle w:evenVBand="true" w:oddVBand="false" w:firstColumn="false"/>
            <w:tcW w:w="25.000000%" w:type="pct"/>
          </w:tcPr>
          <w:p>
            <w:pPr>
              <w:ind w:leftChars="0" w:left="0" w:right="0"/>
            </w:pPr>
            <w:r>
              <w:t>1635</w:t>
            </w:r>
          </w:p>
        </w:tc>
      </w:tr>
      <w:tr>
        <w:trPr>
          <w:cnfStyle w:evenHBand="false" w:oddHBand="true" w:firstRow="false"/>
        </w:trPr>
        <w:tc>
          <w:tcPr>
            <w:cnfStyle w:evenVBand="false" w:oddVBand="true" w:firstColumn="false"/>
            <w:tcW w:w="25.000000%" w:type="pct"/>
          </w:tcPr>
          <w:p>
            <w:pPr>
              <w:ind w:leftChars="0" w:left="0" w:right="0"/>
            </w:pPr>
            <w:r>
              <w:t>STUB</w:t>
            </w:r>
          </w:p>
        </w:tc>
        <w:tc>
          <w:tcPr>
            <w:cnfStyle w:evenVBand="true" w:oddVBand="false" w:firstColumn="false"/>
            <w:tcW w:w="25.000000%" w:type="pct"/>
          </w:tcPr>
          <w:p>
            <w:pPr>
              <w:ind w:leftChars="0" w:left="0" w:right="0"/>
            </w:pPr>
            <w:r>
              <w:t>STUB</w:t>
            </w:r>
          </w:p>
        </w:tc>
        <w:tc>
          <w:tcPr>
            <w:cnfStyle w:evenVBand="false" w:oddVBand="true" w:firstColumn="false"/>
            <w:tcW w:w="25.000000%" w:type="pct"/>
          </w:tcPr>
          <w:p>
            <w:pPr>
              <w:ind w:leftChars="0" w:left="0" w:right="0"/>
            </w:pPr>
            <w:r>
              <w:t>BOERSE STUTTGART - FREIVERKEHR</w:t>
            </w:r>
          </w:p>
        </w:tc>
        <w:tc>
          <w:tcPr>
            <w:cnfStyle w:evenVBand="true" w:oddVBand="false" w:firstColumn="false"/>
            <w:tcW w:w="25.000000%" w:type="pct"/>
          </w:tcPr>
          <w:p>
            <w:pPr>
              <w:ind w:leftChars="0" w:left="0" w:right="0"/>
            </w:pPr>
            <w:r>
              <w:t>1636</w:t>
            </w:r>
          </w:p>
        </w:tc>
      </w:tr>
      <w:tr>
        <w:trPr>
          <w:cnfStyle w:evenHBand="true" w:oddHBand="false" w:firstRow="false"/>
        </w:trPr>
        <w:tc>
          <w:tcPr>
            <w:cnfStyle w:evenVBand="false" w:oddVBand="true" w:firstColumn="false"/>
            <w:tcW w:w="25.000000%" w:type="pct"/>
          </w:tcPr>
          <w:p>
            <w:pPr>
              <w:ind w:leftChars="0" w:left="0" w:right="0"/>
            </w:pPr>
            <w:r>
              <w:t>STUC</w:t>
            </w:r>
          </w:p>
        </w:tc>
        <w:tc>
          <w:tcPr>
            <w:cnfStyle w:evenVBand="true" w:oddVBand="false" w:firstColumn="false"/>
            <w:tcW w:w="25.000000%" w:type="pct"/>
          </w:tcPr>
          <w:p>
            <w:pPr>
              <w:ind w:leftChars="0" w:left="0" w:right="0"/>
            </w:pPr>
            <w:r>
              <w:t>STUC</w:t>
            </w:r>
          </w:p>
        </w:tc>
        <w:tc>
          <w:tcPr>
            <w:cnfStyle w:evenVBand="false" w:oddVBand="true" w:firstColumn="false"/>
            <w:tcW w:w="25.000000%" w:type="pct"/>
          </w:tcPr>
          <w:p>
            <w:pPr>
              <w:ind w:leftChars="0" w:left="0" w:right="0"/>
            </w:pPr>
            <w:r>
              <w:t>BOERSE STUTTGART - REGULIERTER MARKT - TECHNICAL PLATFORM 2</w:t>
            </w:r>
          </w:p>
        </w:tc>
        <w:tc>
          <w:tcPr>
            <w:cnfStyle w:evenVBand="true" w:oddVBand="false" w:firstColumn="false"/>
            <w:tcW w:w="25.000000%" w:type="pct"/>
          </w:tcPr>
          <w:p>
            <w:pPr>
              <w:ind w:leftChars="0" w:left="0" w:right="0"/>
            </w:pPr>
            <w:r>
              <w:t>1637</w:t>
            </w:r>
          </w:p>
        </w:tc>
      </w:tr>
      <w:tr>
        <w:trPr>
          <w:cnfStyle w:evenHBand="false" w:oddHBand="true" w:firstRow="false"/>
        </w:trPr>
        <w:tc>
          <w:tcPr>
            <w:cnfStyle w:evenVBand="false" w:oddVBand="true" w:firstColumn="false"/>
            <w:tcW w:w="25.000000%" w:type="pct"/>
          </w:tcPr>
          <w:p>
            <w:pPr>
              <w:ind w:leftChars="0" w:left="0" w:right="0"/>
            </w:pPr>
            <w:r>
              <w:t>STUD</w:t>
            </w:r>
          </w:p>
        </w:tc>
        <w:tc>
          <w:tcPr>
            <w:cnfStyle w:evenVBand="true" w:oddVBand="false" w:firstColumn="false"/>
            <w:tcW w:w="25.000000%" w:type="pct"/>
          </w:tcPr>
          <w:p>
            <w:pPr>
              <w:ind w:leftChars="0" w:left="0" w:right="0"/>
            </w:pPr>
            <w:r>
              <w:t>STUD</w:t>
            </w:r>
          </w:p>
        </w:tc>
        <w:tc>
          <w:tcPr>
            <w:cnfStyle w:evenVBand="false" w:oddVBand="true" w:firstColumn="false"/>
            <w:tcW w:w="25.000000%" w:type="pct"/>
          </w:tcPr>
          <w:p>
            <w:pPr>
              <w:ind w:leftChars="0" w:left="0" w:right="0"/>
            </w:pPr>
            <w:r>
              <w:t>BOERSE STUTTGART - FREIVERKEHR - TECHNICAL PLATFORM 2</w:t>
            </w:r>
          </w:p>
        </w:tc>
        <w:tc>
          <w:tcPr>
            <w:cnfStyle w:evenVBand="true" w:oddVBand="false" w:firstColumn="false"/>
            <w:tcW w:w="25.000000%" w:type="pct"/>
          </w:tcPr>
          <w:p>
            <w:pPr>
              <w:ind w:leftChars="0" w:left="0" w:right="0"/>
            </w:pPr>
            <w:r>
              <w:t>1638</w:t>
            </w:r>
          </w:p>
        </w:tc>
      </w:tr>
      <w:tr>
        <w:trPr>
          <w:cnfStyle w:evenHBand="true" w:oddHBand="false" w:firstRow="false"/>
        </w:trPr>
        <w:tc>
          <w:tcPr>
            <w:cnfStyle w:evenVBand="false" w:oddVBand="true" w:firstColumn="false"/>
            <w:tcW w:w="25.000000%" w:type="pct"/>
          </w:tcPr>
          <w:p>
            <w:pPr>
              <w:ind w:leftChars="0" w:left="0" w:right="0"/>
            </w:pPr>
            <w:r>
              <w:t>STUE</w:t>
            </w:r>
          </w:p>
        </w:tc>
        <w:tc>
          <w:tcPr>
            <w:cnfStyle w:evenVBand="true" w:oddVBand="false" w:firstColumn="false"/>
            <w:tcW w:w="25.000000%" w:type="pct"/>
          </w:tcPr>
          <w:p>
            <w:pPr>
              <w:ind w:leftChars="0" w:left="0" w:right="0"/>
            </w:pPr>
            <w:r>
              <w:t>STUE</w:t>
            </w:r>
          </w:p>
        </w:tc>
        <w:tc>
          <w:tcPr>
            <w:cnfStyle w:evenVBand="false" w:oddVBand="true" w:firstColumn="false"/>
            <w:tcW w:w="25.000000%" w:type="pct"/>
          </w:tcPr>
          <w:p>
            <w:pPr>
              <w:ind w:leftChars="0" w:left="0" w:right="0"/>
            </w:pPr>
            <w:r>
              <w:t>BOERSE STUTTGART - REGULIERTER MARKT - TECHNICAL PLATFORM 3</w:t>
            </w:r>
          </w:p>
        </w:tc>
        <w:tc>
          <w:tcPr>
            <w:cnfStyle w:evenVBand="true" w:oddVBand="false" w:firstColumn="false"/>
            <w:tcW w:w="25.000000%" w:type="pct"/>
          </w:tcPr>
          <w:p>
            <w:pPr>
              <w:ind w:leftChars="0" w:left="0" w:right="0"/>
            </w:pPr>
            <w:r>
              <w:t>1639</w:t>
            </w:r>
          </w:p>
        </w:tc>
      </w:tr>
      <w:tr>
        <w:trPr>
          <w:cnfStyle w:evenHBand="false" w:oddHBand="true" w:firstRow="false"/>
        </w:trPr>
        <w:tc>
          <w:tcPr>
            <w:cnfStyle w:evenVBand="false" w:oddVBand="true" w:firstColumn="false"/>
            <w:tcW w:w="25.000000%" w:type="pct"/>
          </w:tcPr>
          <w:p>
            <w:pPr>
              <w:ind w:leftChars="0" w:left="0" w:right="0"/>
            </w:pPr>
            <w:r>
              <w:t>STUF</w:t>
            </w:r>
          </w:p>
        </w:tc>
        <w:tc>
          <w:tcPr>
            <w:cnfStyle w:evenVBand="true" w:oddVBand="false" w:firstColumn="false"/>
            <w:tcW w:w="25.000000%" w:type="pct"/>
          </w:tcPr>
          <w:p>
            <w:pPr>
              <w:ind w:leftChars="0" w:left="0" w:right="0"/>
            </w:pPr>
            <w:r>
              <w:t>STUF</w:t>
            </w:r>
          </w:p>
        </w:tc>
        <w:tc>
          <w:tcPr>
            <w:cnfStyle w:evenVBand="false" w:oddVBand="true" w:firstColumn="false"/>
            <w:tcW w:w="25.000000%" w:type="pct"/>
          </w:tcPr>
          <w:p>
            <w:pPr>
              <w:ind w:leftChars="0" w:left="0" w:right="0"/>
            </w:pPr>
            <w:r>
              <w:t>BOERSE STUTTGART - FREIVERKEHR - TECHNICAL PLATFORM 3</w:t>
            </w:r>
          </w:p>
        </w:tc>
        <w:tc>
          <w:tcPr>
            <w:cnfStyle w:evenVBand="true" w:oddVBand="false" w:firstColumn="false"/>
            <w:tcW w:w="25.000000%" w:type="pct"/>
          </w:tcPr>
          <w:p>
            <w:pPr>
              <w:ind w:leftChars="0" w:left="0" w:right="0"/>
            </w:pPr>
            <w:r>
              <w:t>1640</w:t>
            </w:r>
          </w:p>
        </w:tc>
      </w:tr>
      <w:tr>
        <w:trPr>
          <w:cnfStyle w:evenHBand="true" w:oddHBand="false" w:firstRow="false"/>
        </w:trPr>
        <w:tc>
          <w:tcPr>
            <w:cnfStyle w:evenVBand="false" w:oddVBand="true" w:firstColumn="false"/>
            <w:tcW w:w="25.000000%" w:type="pct"/>
          </w:tcPr>
          <w:p>
            <w:pPr>
              <w:ind w:leftChars="0" w:left="0" w:right="0"/>
            </w:pPr>
            <w:r>
              <w:t>STXS</w:t>
            </w:r>
          </w:p>
        </w:tc>
        <w:tc>
          <w:tcPr>
            <w:cnfStyle w:evenVBand="true" w:oddVBand="false" w:firstColumn="false"/>
            <w:tcW w:w="25.000000%" w:type="pct"/>
          </w:tcPr>
          <w:p>
            <w:pPr>
              <w:ind w:leftChars="0" w:left="0" w:right="0"/>
            </w:pPr>
            <w:r>
              <w:t>STXS</w:t>
            </w:r>
          </w:p>
        </w:tc>
        <w:tc>
          <w:tcPr>
            <w:cnfStyle w:evenVBand="false" w:oddVBand="true" w:firstColumn="false"/>
            <w:tcW w:w="25.000000%" w:type="pct"/>
          </w:tcPr>
          <w:p>
            <w:pPr>
              <w:ind w:leftChars="0" w:left="0" w:right="0"/>
            </w:pPr>
            <w:r>
              <w:t>STX FIXED INCOME</w:t>
            </w:r>
          </w:p>
        </w:tc>
        <w:tc>
          <w:tcPr>
            <w:cnfStyle w:evenVBand="true" w:oddVBand="false" w:firstColumn="false"/>
            <w:tcW w:w="25.000000%" w:type="pct"/>
          </w:tcPr>
          <w:p>
            <w:pPr>
              <w:ind w:leftChars="0" w:left="0" w:right="0"/>
            </w:pPr>
            <w:r>
              <w:t>1641</w:t>
            </w:r>
          </w:p>
        </w:tc>
      </w:tr>
      <w:tr>
        <w:trPr>
          <w:cnfStyle w:evenHBand="false" w:oddHBand="true" w:firstRow="false"/>
        </w:trPr>
        <w:tc>
          <w:tcPr>
            <w:cnfStyle w:evenVBand="false" w:oddVBand="true" w:firstColumn="false"/>
            <w:tcW w:w="25.000000%" w:type="pct"/>
          </w:tcPr>
          <w:p>
            <w:pPr>
              <w:ind w:leftChars="0" w:left="0" w:right="0"/>
            </w:pPr>
            <w:r>
              <w:t>SUNB</w:t>
            </w:r>
          </w:p>
        </w:tc>
        <w:tc>
          <w:tcPr>
            <w:cnfStyle w:evenVBand="true" w:oddVBand="false" w:firstColumn="false"/>
            <w:tcW w:w="25.000000%" w:type="pct"/>
          </w:tcPr>
          <w:p>
            <w:pPr>
              <w:ind w:leftChars="0" w:left="0" w:right="0"/>
            </w:pPr>
            <w:r>
              <w:t>SUNB</w:t>
            </w:r>
          </w:p>
        </w:tc>
        <w:tc>
          <w:tcPr>
            <w:cnfStyle w:evenVBand="false" w:oddVBand="true" w:firstColumn="false"/>
            <w:tcW w:w="25.000000%" w:type="pct"/>
          </w:tcPr>
          <w:p>
            <w:pPr>
              <w:ind w:leftChars="0" w:left="0" w:right="0"/>
            </w:pPr>
            <w:r>
              <w:t>SUNRISE BROKERS</w:t>
            </w:r>
          </w:p>
        </w:tc>
        <w:tc>
          <w:tcPr>
            <w:cnfStyle w:evenVBand="true" w:oddVBand="false" w:firstColumn="false"/>
            <w:tcW w:w="25.000000%" w:type="pct"/>
          </w:tcPr>
          <w:p>
            <w:pPr>
              <w:ind w:leftChars="0" w:left="0" w:right="0"/>
            </w:pPr>
            <w:r>
              <w:t>1642</w:t>
            </w:r>
          </w:p>
        </w:tc>
      </w:tr>
      <w:tr>
        <w:trPr>
          <w:cnfStyle w:evenHBand="true" w:oddHBand="false" w:firstRow="false"/>
        </w:trPr>
        <w:tc>
          <w:tcPr>
            <w:cnfStyle w:evenVBand="false" w:oddVBand="true" w:firstColumn="false"/>
            <w:tcW w:w="25.000000%" w:type="pct"/>
          </w:tcPr>
          <w:p>
            <w:pPr>
              <w:ind w:leftChars="0" w:left="0" w:right="0"/>
            </w:pPr>
            <w:r>
              <w:t>SUNM</w:t>
            </w:r>
          </w:p>
        </w:tc>
        <w:tc>
          <w:tcPr>
            <w:cnfStyle w:evenVBand="true" w:oddVBand="false" w:firstColumn="false"/>
            <w:tcW w:w="25.000000%" w:type="pct"/>
          </w:tcPr>
          <w:p>
            <w:pPr>
              <w:ind w:leftChars="0" w:left="0" w:right="0"/>
            </w:pPr>
            <w:r>
              <w:t>SUNM</w:t>
            </w:r>
          </w:p>
        </w:tc>
        <w:tc>
          <w:tcPr>
            <w:cnfStyle w:evenVBand="false" w:oddVBand="true" w:firstColumn="false"/>
            <w:tcW w:w="25.000000%" w:type="pct"/>
          </w:tcPr>
          <w:p>
            <w:pPr>
              <w:ind w:leftChars="0" w:left="0" w:right="0"/>
            </w:pPr>
            <w:r>
              <w:t>SUNRISE - MTF</w:t>
            </w:r>
          </w:p>
        </w:tc>
        <w:tc>
          <w:tcPr>
            <w:cnfStyle w:evenVBand="true" w:oddVBand="false" w:firstColumn="false"/>
            <w:tcW w:w="25.000000%" w:type="pct"/>
          </w:tcPr>
          <w:p>
            <w:pPr>
              <w:ind w:leftChars="0" w:left="0" w:right="0"/>
            </w:pPr>
            <w:r>
              <w:t>1643</w:t>
            </w:r>
          </w:p>
        </w:tc>
      </w:tr>
      <w:tr>
        <w:trPr>
          <w:cnfStyle w:evenHBand="false" w:oddHBand="true" w:firstRow="false"/>
        </w:trPr>
        <w:tc>
          <w:tcPr>
            <w:cnfStyle w:evenVBand="false" w:oddVBand="true" w:firstColumn="false"/>
            <w:tcW w:w="25.000000%" w:type="pct"/>
          </w:tcPr>
          <w:p>
            <w:pPr>
              <w:ind w:leftChars="0" w:left="0" w:right="0"/>
            </w:pPr>
            <w:r>
              <w:t>SUNO</w:t>
            </w:r>
          </w:p>
        </w:tc>
        <w:tc>
          <w:tcPr>
            <w:cnfStyle w:evenVBand="true" w:oddVBand="false" w:firstColumn="false"/>
            <w:tcW w:w="25.000000%" w:type="pct"/>
          </w:tcPr>
          <w:p>
            <w:pPr>
              <w:ind w:leftChars="0" w:left="0" w:right="0"/>
            </w:pPr>
            <w:r>
              <w:t>SUNO</w:t>
            </w:r>
          </w:p>
        </w:tc>
        <w:tc>
          <w:tcPr>
            <w:cnfStyle w:evenVBand="false" w:oddVBand="true" w:firstColumn="false"/>
            <w:tcW w:w="25.000000%" w:type="pct"/>
          </w:tcPr>
          <w:p>
            <w:pPr>
              <w:ind w:leftChars="0" w:left="0" w:right="0"/>
            </w:pPr>
            <w:r>
              <w:t>SUNRISE - OTF</w:t>
            </w:r>
          </w:p>
        </w:tc>
        <w:tc>
          <w:tcPr>
            <w:cnfStyle w:evenVBand="true" w:oddVBand="false" w:firstColumn="false"/>
            <w:tcW w:w="25.000000%" w:type="pct"/>
          </w:tcPr>
          <w:p>
            <w:pPr>
              <w:ind w:leftChars="0" w:left="0" w:right="0"/>
            </w:pPr>
            <w:r>
              <w:t>1644</w:t>
            </w:r>
          </w:p>
        </w:tc>
      </w:tr>
      <w:tr>
        <w:trPr>
          <w:cnfStyle w:evenHBand="true" w:oddHBand="false" w:firstRow="false"/>
        </w:trPr>
        <w:tc>
          <w:tcPr>
            <w:cnfStyle w:evenVBand="false" w:oddVBand="true" w:firstColumn="false"/>
            <w:tcW w:w="25.000000%" w:type="pct"/>
          </w:tcPr>
          <w:p>
            <w:pPr>
              <w:ind w:leftChars="0" w:left="0" w:right="0"/>
            </w:pPr>
            <w:r>
              <w:t>SUNT</w:t>
            </w:r>
          </w:p>
        </w:tc>
        <w:tc>
          <w:tcPr>
            <w:cnfStyle w:evenVBand="true" w:oddVBand="false" w:firstColumn="false"/>
            <w:tcW w:w="25.000000%" w:type="pct"/>
          </w:tcPr>
          <w:p>
            <w:pPr>
              <w:ind w:leftChars="0" w:left="0" w:right="0"/>
            </w:pPr>
            <w:r>
              <w:t>SUNT</w:t>
            </w:r>
          </w:p>
        </w:tc>
        <w:tc>
          <w:tcPr>
            <w:cnfStyle w:evenVBand="false" w:oddVBand="true" w:firstColumn="false"/>
            <w:tcW w:w="25.000000%" w:type="pct"/>
          </w:tcPr>
          <w:p>
            <w:pPr>
              <w:ind w:leftChars="0" w:left="0" w:right="0"/>
            </w:pPr>
            <w:r>
              <w:t>SUN TRADING LLC</w:t>
            </w:r>
          </w:p>
        </w:tc>
        <w:tc>
          <w:tcPr>
            <w:cnfStyle w:evenVBand="true" w:oddVBand="false" w:firstColumn="false"/>
            <w:tcW w:w="25.000000%" w:type="pct"/>
          </w:tcPr>
          <w:p>
            <w:pPr>
              <w:ind w:leftChars="0" w:left="0" w:right="0"/>
            </w:pPr>
            <w:r>
              <w:t>1645</w:t>
            </w:r>
          </w:p>
        </w:tc>
      </w:tr>
      <w:tr>
        <w:trPr>
          <w:cnfStyle w:evenHBand="false" w:oddHBand="true" w:firstRow="false"/>
        </w:trPr>
        <w:tc>
          <w:tcPr>
            <w:cnfStyle w:evenVBand="false" w:oddVBand="true" w:firstColumn="false"/>
            <w:tcW w:w="25.000000%" w:type="pct"/>
          </w:tcPr>
          <w:p>
            <w:pPr>
              <w:ind w:leftChars="0" w:left="0" w:right="0"/>
            </w:pPr>
            <w:r>
              <w:t>SVES</w:t>
            </w:r>
          </w:p>
        </w:tc>
        <w:tc>
          <w:tcPr>
            <w:cnfStyle w:evenVBand="true" w:oddVBand="false" w:firstColumn="false"/>
            <w:tcW w:w="25.000000%" w:type="pct"/>
          </w:tcPr>
          <w:p>
            <w:pPr>
              <w:ind w:leftChars="0" w:left="0" w:right="0"/>
            </w:pPr>
            <w:r>
              <w:t>SVES</w:t>
            </w:r>
          </w:p>
        </w:tc>
        <w:tc>
          <w:tcPr>
            <w:cnfStyle w:evenVBand="false" w:oddVBand="true" w:firstColumn="false"/>
            <w:tcW w:w="25.000000%" w:type="pct"/>
          </w:tcPr>
          <w:p>
            <w:pPr>
              <w:ind w:leftChars="0" w:left="0" w:right="0"/>
            </w:pPr>
            <w:r>
              <w:t>SVENSKA HANDELSBANKEN AB - SYSTEMATIC INTERNALISER</w:t>
            </w:r>
          </w:p>
        </w:tc>
        <w:tc>
          <w:tcPr>
            <w:cnfStyle w:evenVBand="true" w:oddVBand="false" w:firstColumn="false"/>
            <w:tcW w:w="25.000000%" w:type="pct"/>
          </w:tcPr>
          <w:p>
            <w:pPr>
              <w:ind w:leftChars="0" w:left="0" w:right="0"/>
            </w:pPr>
            <w:r>
              <w:t>1646</w:t>
            </w:r>
          </w:p>
        </w:tc>
      </w:tr>
      <w:tr>
        <w:trPr>
          <w:cnfStyle w:evenHBand="true" w:oddHBand="false" w:firstRow="false"/>
        </w:trPr>
        <w:tc>
          <w:tcPr>
            <w:cnfStyle w:evenVBand="false" w:oddVBand="true" w:firstColumn="false"/>
            <w:tcW w:w="25.000000%" w:type="pct"/>
          </w:tcPr>
          <w:p>
            <w:pPr>
              <w:ind w:leftChars="0" w:left="0" w:right="0"/>
            </w:pPr>
            <w:r>
              <w:t>SVEX</w:t>
            </w:r>
          </w:p>
        </w:tc>
        <w:tc>
          <w:tcPr>
            <w:cnfStyle w:evenVBand="true" w:oddVBand="false" w:firstColumn="false"/>
            <w:tcW w:w="25.000000%" w:type="pct"/>
          </w:tcPr>
          <w:p>
            <w:pPr>
              <w:ind w:leftChars="0" w:left="0" w:right="0"/>
            </w:pPr>
            <w:r>
              <w:t>SVEX</w:t>
            </w:r>
          </w:p>
        </w:tc>
        <w:tc>
          <w:tcPr>
            <w:cnfStyle w:evenVBand="false" w:oddVBand="true" w:firstColumn="false"/>
            <w:tcW w:w="25.000000%" w:type="pct"/>
          </w:tcPr>
          <w:p>
            <w:pPr>
              <w:ind w:leftChars="0" w:left="0" w:right="0"/>
            </w:pPr>
            <w:r>
              <w:t>SVENSKA HANDELSBANKEN AB - SVEX</w:t>
            </w:r>
          </w:p>
        </w:tc>
        <w:tc>
          <w:tcPr>
            <w:cnfStyle w:evenVBand="true" w:oddVBand="false" w:firstColumn="false"/>
            <w:tcW w:w="25.000000%" w:type="pct"/>
          </w:tcPr>
          <w:p>
            <w:pPr>
              <w:ind w:leftChars="0" w:left="0" w:right="0"/>
            </w:pPr>
            <w:r>
              <w:t>1647</w:t>
            </w:r>
          </w:p>
        </w:tc>
      </w:tr>
      <w:tr>
        <w:trPr>
          <w:cnfStyle w:evenHBand="false" w:oddHBand="true" w:firstRow="false"/>
        </w:trPr>
        <w:tc>
          <w:tcPr>
            <w:cnfStyle w:evenVBand="false" w:oddVBand="true" w:firstColumn="false"/>
            <w:tcW w:w="25.000000%" w:type="pct"/>
          </w:tcPr>
          <w:p>
            <w:pPr>
              <w:ind w:leftChars="0" w:left="0" w:right="0"/>
            </w:pPr>
            <w:r>
              <w:t>SVXI</w:t>
            </w:r>
          </w:p>
        </w:tc>
        <w:tc>
          <w:tcPr>
            <w:cnfStyle w:evenVBand="true" w:oddVBand="false" w:firstColumn="false"/>
            <w:tcW w:w="25.000000%" w:type="pct"/>
          </w:tcPr>
          <w:p>
            <w:pPr>
              <w:ind w:leftChars="0" w:left="0" w:right="0"/>
            </w:pPr>
            <w:r>
              <w:t>SVXI</w:t>
            </w:r>
          </w:p>
        </w:tc>
        <w:tc>
          <w:tcPr>
            <w:cnfStyle w:evenVBand="false" w:oddVBand="true" w:firstColumn="false"/>
            <w:tcW w:w="25.000000%" w:type="pct"/>
          </w:tcPr>
          <w:p>
            <w:pPr>
              <w:ind w:leftChars="0" w:left="0" w:right="0"/>
            </w:pPr>
            <w:r>
              <w:t>SAINT VINCENT AND THE GRENADINES SECURITIES EXCHANGE</w:t>
            </w:r>
          </w:p>
        </w:tc>
        <w:tc>
          <w:tcPr>
            <w:cnfStyle w:evenVBand="true" w:oddVBand="false" w:firstColumn="false"/>
            <w:tcW w:w="25.000000%" w:type="pct"/>
          </w:tcPr>
          <w:p>
            <w:pPr>
              <w:ind w:leftChars="0" w:left="0" w:right="0"/>
            </w:pPr>
            <w:r>
              <w:t>1648</w:t>
            </w:r>
          </w:p>
        </w:tc>
      </w:tr>
      <w:tr>
        <w:trPr>
          <w:cnfStyle w:evenHBand="true" w:oddHBand="false" w:firstRow="false"/>
        </w:trPr>
        <w:tc>
          <w:tcPr>
            <w:cnfStyle w:evenVBand="false" w:oddVBand="true" w:firstColumn="false"/>
            <w:tcW w:w="25.000000%" w:type="pct"/>
          </w:tcPr>
          <w:p>
            <w:pPr>
              <w:ind w:leftChars="0" w:left="0" w:right="0"/>
            </w:pPr>
            <w:r>
              <w:t>SWAP</w:t>
            </w:r>
          </w:p>
        </w:tc>
        <w:tc>
          <w:tcPr>
            <w:cnfStyle w:evenVBand="true" w:oddVBand="false" w:firstColumn="false"/>
            <w:tcW w:w="25.000000%" w:type="pct"/>
          </w:tcPr>
          <w:p>
            <w:pPr>
              <w:ind w:leftChars="0" w:left="0" w:right="0"/>
            </w:pPr>
            <w:r>
              <w:t>SWAP</w:t>
            </w:r>
          </w:p>
        </w:tc>
        <w:tc>
          <w:tcPr>
            <w:cnfStyle w:evenVBand="false" w:oddVBand="true" w:firstColumn="false"/>
            <w:tcW w:w="25.000000%" w:type="pct"/>
          </w:tcPr>
          <w:p>
            <w:pPr>
              <w:ind w:leftChars="0" w:left="0" w:right="0"/>
            </w:pPr>
            <w:r>
              <w:t>SWAPSTREAM</w:t>
            </w:r>
          </w:p>
        </w:tc>
        <w:tc>
          <w:tcPr>
            <w:cnfStyle w:evenVBand="true" w:oddVBand="false" w:firstColumn="false"/>
            <w:tcW w:w="25.000000%" w:type="pct"/>
          </w:tcPr>
          <w:p>
            <w:pPr>
              <w:ind w:leftChars="0" w:left="0" w:right="0"/>
            </w:pPr>
            <w:r>
              <w:t>1649</w:t>
            </w:r>
          </w:p>
        </w:tc>
      </w:tr>
      <w:tr>
        <w:trPr>
          <w:cnfStyle w:evenHBand="false" w:oddHBand="true" w:firstRow="false"/>
        </w:trPr>
        <w:tc>
          <w:tcPr>
            <w:cnfStyle w:evenVBand="false" w:oddVBand="true" w:firstColumn="false"/>
            <w:tcW w:w="25.000000%" w:type="pct"/>
          </w:tcPr>
          <w:p>
            <w:pPr>
              <w:ind w:leftChars="0" w:left="0" w:right="0"/>
            </w:pPr>
            <w:r>
              <w:t>SWBI</w:t>
            </w:r>
          </w:p>
        </w:tc>
        <w:tc>
          <w:tcPr>
            <w:cnfStyle w:evenVBand="true" w:oddVBand="false" w:firstColumn="false"/>
            <w:tcW w:w="25.000000%" w:type="pct"/>
          </w:tcPr>
          <w:p>
            <w:pPr>
              <w:ind w:leftChars="0" w:left="0" w:right="0"/>
            </w:pPr>
            <w:r>
              <w:t>SWBI</w:t>
            </w:r>
          </w:p>
        </w:tc>
        <w:tc>
          <w:tcPr>
            <w:cnfStyle w:evenVBand="false" w:oddVBand="true" w:firstColumn="false"/>
            <w:tcW w:w="25.000000%" w:type="pct"/>
          </w:tcPr>
          <w:p>
            <w:pPr>
              <w:ind w:leftChars="0" w:left="0" w:right="0"/>
            </w:pPr>
            <w:r>
              <w:t>SWEDBANK - SYSTEMATIC INTERNALISER</w:t>
            </w:r>
          </w:p>
        </w:tc>
        <w:tc>
          <w:tcPr>
            <w:cnfStyle w:evenVBand="true" w:oddVBand="false" w:firstColumn="false"/>
            <w:tcW w:w="25.000000%" w:type="pct"/>
          </w:tcPr>
          <w:p>
            <w:pPr>
              <w:ind w:leftChars="0" w:left="0" w:right="0"/>
            </w:pPr>
            <w:r>
              <w:t>1650</w:t>
            </w:r>
          </w:p>
        </w:tc>
      </w:tr>
      <w:tr>
        <w:trPr>
          <w:cnfStyle w:evenHBand="true" w:oddHBand="false" w:firstRow="false"/>
        </w:trPr>
        <w:tc>
          <w:tcPr>
            <w:cnfStyle w:evenVBand="false" w:oddVBand="true" w:firstColumn="false"/>
            <w:tcW w:w="25.000000%" w:type="pct"/>
          </w:tcPr>
          <w:p>
            <w:pPr>
              <w:ind w:leftChars="0" w:left="0" w:right="0"/>
            </w:pPr>
            <w:r>
              <w:t>SWEE</w:t>
            </w:r>
          </w:p>
        </w:tc>
        <w:tc>
          <w:tcPr>
            <w:cnfStyle w:evenVBand="true" w:oddVBand="false" w:firstColumn="false"/>
            <w:tcW w:w="25.000000%" w:type="pct"/>
          </w:tcPr>
          <w:p>
            <w:pPr>
              <w:ind w:leftChars="0" w:left="0" w:right="0"/>
            </w:pPr>
            <w:r>
              <w:t>SWEE</w:t>
            </w:r>
          </w:p>
        </w:tc>
        <w:tc>
          <w:tcPr>
            <w:cnfStyle w:evenVBand="false" w:oddVBand="true" w:firstColumn="false"/>
            <w:tcW w:w="25.000000%" w:type="pct"/>
          </w:tcPr>
          <w:p>
            <w:pPr>
              <w:ind w:leftChars="0" w:left="0" w:right="0"/>
            </w:pPr>
            <w:r>
              <w:t>SWEDBANK ESTONIA - SYSTEMATIC INTERNALISER</w:t>
            </w:r>
          </w:p>
        </w:tc>
        <w:tc>
          <w:tcPr>
            <w:cnfStyle w:evenVBand="true" w:oddVBand="false" w:firstColumn="false"/>
            <w:tcW w:w="25.000000%" w:type="pct"/>
          </w:tcPr>
          <w:p>
            <w:pPr>
              <w:ind w:leftChars="0" w:left="0" w:right="0"/>
            </w:pPr>
            <w:r>
              <w:t>1651</w:t>
            </w:r>
          </w:p>
        </w:tc>
      </w:tr>
      <w:tr>
        <w:trPr>
          <w:cnfStyle w:evenHBand="false" w:oddHBand="true" w:firstRow="false"/>
        </w:trPr>
        <w:tc>
          <w:tcPr>
            <w:cnfStyle w:evenVBand="false" w:oddVBand="true" w:firstColumn="false"/>
            <w:tcW w:w="25.000000%" w:type="pct"/>
          </w:tcPr>
          <w:p>
            <w:pPr>
              <w:ind w:leftChars="0" w:left="0" w:right="0"/>
            </w:pPr>
            <w:r>
              <w:t>SWLT</w:t>
            </w:r>
          </w:p>
        </w:tc>
        <w:tc>
          <w:tcPr>
            <w:cnfStyle w:evenVBand="true" w:oddVBand="false" w:firstColumn="false"/>
            <w:tcW w:w="25.000000%" w:type="pct"/>
          </w:tcPr>
          <w:p>
            <w:pPr>
              <w:ind w:leftChars="0" w:left="0" w:right="0"/>
            </w:pPr>
            <w:r>
              <w:t>SWLT</w:t>
            </w:r>
          </w:p>
        </w:tc>
        <w:tc>
          <w:tcPr>
            <w:cnfStyle w:evenVBand="false" w:oddVBand="true" w:firstColumn="false"/>
            <w:tcW w:w="25.000000%" w:type="pct"/>
          </w:tcPr>
          <w:p>
            <w:pPr>
              <w:ind w:leftChars="0" w:left="0" w:right="0"/>
            </w:pPr>
            <w:r>
              <w:t>SWEDBANK LITHUANIA - SYSTEMATIC INTERNALISER</w:t>
            </w:r>
          </w:p>
        </w:tc>
        <w:tc>
          <w:tcPr>
            <w:cnfStyle w:evenVBand="true" w:oddVBand="false" w:firstColumn="false"/>
            <w:tcW w:w="25.000000%" w:type="pct"/>
          </w:tcPr>
          <w:p>
            <w:pPr>
              <w:ind w:leftChars="0" w:left="0" w:right="0"/>
            </w:pPr>
            <w:r>
              <w:t>1652</w:t>
            </w:r>
          </w:p>
        </w:tc>
      </w:tr>
      <w:tr>
        <w:trPr>
          <w:cnfStyle w:evenHBand="true" w:oddHBand="false" w:firstRow="false"/>
        </w:trPr>
        <w:tc>
          <w:tcPr>
            <w:cnfStyle w:evenVBand="false" w:oddVBand="true" w:firstColumn="false"/>
            <w:tcW w:w="25.000000%" w:type="pct"/>
          </w:tcPr>
          <w:p>
            <w:pPr>
              <w:ind w:leftChars="0" w:left="0" w:right="0"/>
            </w:pPr>
            <w:r>
              <w:t>SWLV</w:t>
            </w:r>
          </w:p>
        </w:tc>
        <w:tc>
          <w:tcPr>
            <w:cnfStyle w:evenVBand="true" w:oddVBand="false" w:firstColumn="false"/>
            <w:tcW w:w="25.000000%" w:type="pct"/>
          </w:tcPr>
          <w:p>
            <w:pPr>
              <w:ind w:leftChars="0" w:left="0" w:right="0"/>
            </w:pPr>
            <w:r>
              <w:t>SWLV</w:t>
            </w:r>
          </w:p>
        </w:tc>
        <w:tc>
          <w:tcPr>
            <w:cnfStyle w:evenVBand="false" w:oddVBand="true" w:firstColumn="false"/>
            <w:tcW w:w="25.000000%" w:type="pct"/>
          </w:tcPr>
          <w:p>
            <w:pPr>
              <w:ind w:leftChars="0" w:left="0" w:right="0"/>
            </w:pPr>
            <w:r>
              <w:t>SWEDBANK LATVIA - SYSTEMATIC INTERNALISER</w:t>
            </w:r>
          </w:p>
        </w:tc>
        <w:tc>
          <w:tcPr>
            <w:cnfStyle w:evenVBand="true" w:oddVBand="false" w:firstColumn="false"/>
            <w:tcW w:w="25.000000%" w:type="pct"/>
          </w:tcPr>
          <w:p>
            <w:pPr>
              <w:ind w:leftChars="0" w:left="0" w:right="0"/>
            </w:pPr>
            <w:r>
              <w:t>1653</w:t>
            </w:r>
          </w:p>
        </w:tc>
      </w:tr>
      <w:tr>
        <w:trPr>
          <w:cnfStyle w:evenHBand="false" w:oddHBand="true" w:firstRow="false"/>
        </w:trPr>
        <w:tc>
          <w:tcPr>
            <w:cnfStyle w:evenVBand="false" w:oddVBand="true" w:firstColumn="false"/>
            <w:tcW w:w="25.000000%" w:type="pct"/>
          </w:tcPr>
          <w:p>
            <w:pPr>
              <w:ind w:leftChars="0" w:left="0" w:right="0"/>
            </w:pPr>
            <w:r>
              <w:t>SXSI</w:t>
            </w:r>
          </w:p>
        </w:tc>
        <w:tc>
          <w:tcPr>
            <w:cnfStyle w:evenVBand="true" w:oddVBand="false" w:firstColumn="false"/>
            <w:tcW w:w="25.000000%" w:type="pct"/>
          </w:tcPr>
          <w:p>
            <w:pPr>
              <w:ind w:leftChars="0" w:left="0" w:right="0"/>
            </w:pPr>
            <w:r>
              <w:t>SXSI</w:t>
            </w:r>
          </w:p>
        </w:tc>
        <w:tc>
          <w:tcPr>
            <w:cnfStyle w:evenVBand="false" w:oddVBand="true" w:firstColumn="false"/>
            <w:tcW w:w="25.000000%" w:type="pct"/>
          </w:tcPr>
          <w:p>
            <w:pPr>
              <w:ind w:leftChars="0" w:left="0" w:right="0"/>
            </w:pPr>
            <w:r>
              <w:t>SAXO BANK A/S</w:t>
            </w:r>
          </w:p>
        </w:tc>
        <w:tc>
          <w:tcPr>
            <w:cnfStyle w:evenVBand="true" w:oddVBand="false" w:firstColumn="false"/>
            <w:tcW w:w="25.000000%" w:type="pct"/>
          </w:tcPr>
          <w:p>
            <w:pPr>
              <w:ind w:leftChars="0" w:left="0" w:right="0"/>
            </w:pPr>
            <w:r>
              <w:t>1654</w:t>
            </w:r>
          </w:p>
        </w:tc>
      </w:tr>
      <w:tr>
        <w:trPr>
          <w:cnfStyle w:evenHBand="true" w:oddHBand="false" w:firstRow="false"/>
        </w:trPr>
        <w:tc>
          <w:tcPr>
            <w:cnfStyle w:evenVBand="false" w:oddVBand="true" w:firstColumn="false"/>
            <w:tcW w:w="25.000000%" w:type="pct"/>
          </w:tcPr>
          <w:p>
            <w:pPr>
              <w:ind w:leftChars="0" w:left="0" w:right="0"/>
            </w:pPr>
            <w:r>
              <w:t>SYFX</w:t>
            </w:r>
          </w:p>
        </w:tc>
        <w:tc>
          <w:tcPr>
            <w:cnfStyle w:evenVBand="true" w:oddVBand="false" w:firstColumn="false"/>
            <w:tcW w:w="25.000000%" w:type="pct"/>
          </w:tcPr>
          <w:p>
            <w:pPr>
              <w:ind w:leftChars="0" w:left="0" w:right="0"/>
            </w:pPr>
            <w:r>
              <w:t>SYFX</w:t>
            </w:r>
          </w:p>
        </w:tc>
        <w:tc>
          <w:tcPr>
            <w:cnfStyle w:evenVBand="false" w:oddVBand="true" w:firstColumn="false"/>
            <w:tcW w:w="25.000000%" w:type="pct"/>
          </w:tcPr>
          <w:p>
            <w:pPr>
              <w:ind w:leftChars="0" w:left="0" w:right="0"/>
            </w:pPr>
            <w:r>
              <w:t>SYNOPTION</w:t>
            </w:r>
          </w:p>
        </w:tc>
        <w:tc>
          <w:tcPr>
            <w:cnfStyle w:evenVBand="true" w:oddVBand="false" w:firstColumn="false"/>
            <w:tcW w:w="25.000000%" w:type="pct"/>
          </w:tcPr>
          <w:p>
            <w:pPr>
              <w:ind w:leftChars="0" w:left="0" w:right="0"/>
            </w:pPr>
            <w:r>
              <w:t>1655</w:t>
            </w:r>
          </w:p>
        </w:tc>
      </w:tr>
      <w:tr>
        <w:trPr>
          <w:cnfStyle w:evenHBand="false" w:oddHBand="true" w:firstRow="false"/>
        </w:trPr>
        <w:tc>
          <w:tcPr>
            <w:cnfStyle w:evenVBand="false" w:oddVBand="true" w:firstColumn="false"/>
            <w:tcW w:w="25.000000%" w:type="pct"/>
          </w:tcPr>
          <w:p>
            <w:pPr>
              <w:ind w:leftChars="0" w:left="0" w:right="0"/>
            </w:pPr>
            <w:r>
              <w:t>SZSC</w:t>
            </w:r>
          </w:p>
        </w:tc>
        <w:tc>
          <w:tcPr>
            <w:cnfStyle w:evenVBand="true" w:oddVBand="false" w:firstColumn="false"/>
            <w:tcW w:w="25.000000%" w:type="pct"/>
          </w:tcPr>
          <w:p>
            <w:pPr>
              <w:ind w:leftChars="0" w:left="0" w:right="0"/>
            </w:pPr>
            <w:r>
              <w:t>SZSC</w:t>
            </w:r>
          </w:p>
        </w:tc>
        <w:tc>
          <w:tcPr>
            <w:cnfStyle w:evenVBand="false" w:oddVBand="true" w:firstColumn="false"/>
            <w:tcW w:w="25.000000%" w:type="pct"/>
          </w:tcPr>
          <w:p>
            <w:pPr>
              <w:ind w:leftChars="0" w:left="0" w:right="0"/>
            </w:pPr>
            <w:r>
              <w:t>STOCK EXCHANGE OF HONG KONG LIMITED - SHENZHEN - HONG KONG STOCK CONNECT</w:t>
            </w:r>
          </w:p>
        </w:tc>
        <w:tc>
          <w:tcPr>
            <w:cnfStyle w:evenVBand="true" w:oddVBand="false" w:firstColumn="false"/>
            <w:tcW w:w="25.000000%" w:type="pct"/>
          </w:tcPr>
          <w:p>
            <w:pPr>
              <w:ind w:leftChars="0" w:left="0" w:right="0"/>
            </w:pPr>
            <w:r>
              <w:t>1656</w:t>
            </w:r>
          </w:p>
        </w:tc>
      </w:tr>
      <w:tr>
        <w:trPr>
          <w:cnfStyle w:evenHBand="true" w:oddHBand="false" w:firstRow="false"/>
        </w:trPr>
        <w:tc>
          <w:tcPr>
            <w:cnfStyle w:evenVBand="false" w:oddVBand="true" w:firstColumn="false"/>
            <w:tcW w:w="25.000000%" w:type="pct"/>
          </w:tcPr>
          <w:p>
            <w:pPr>
              <w:ind w:leftChars="0" w:left="0" w:right="0"/>
            </w:pPr>
            <w:r>
              <w:t>T212</w:t>
            </w:r>
          </w:p>
        </w:tc>
        <w:tc>
          <w:tcPr>
            <w:cnfStyle w:evenVBand="true" w:oddVBand="false" w:firstColumn="false"/>
            <w:tcW w:w="25.000000%" w:type="pct"/>
          </w:tcPr>
          <w:p>
            <w:pPr>
              <w:ind w:leftChars="0" w:left="0" w:right="0"/>
            </w:pPr>
            <w:r>
              <w:t>T212</w:t>
            </w:r>
          </w:p>
        </w:tc>
        <w:tc>
          <w:tcPr>
            <w:cnfStyle w:evenVBand="false" w:oddVBand="true" w:firstColumn="false"/>
            <w:tcW w:w="25.000000%" w:type="pct"/>
          </w:tcPr>
          <w:p>
            <w:pPr>
              <w:ind w:leftChars="0" w:left="0" w:right="0"/>
            </w:pPr>
            <w:r>
              <w:t>TRADING 212 LIMITED - SYSTEMATIC INTERNALISER</w:t>
            </w:r>
          </w:p>
        </w:tc>
        <w:tc>
          <w:tcPr>
            <w:cnfStyle w:evenVBand="true" w:oddVBand="false" w:firstColumn="false"/>
            <w:tcW w:w="25.000000%" w:type="pct"/>
          </w:tcPr>
          <w:p>
            <w:pPr>
              <w:ind w:leftChars="0" w:left="0" w:right="0"/>
            </w:pPr>
            <w:r>
              <w:t>1657</w:t>
            </w:r>
          </w:p>
        </w:tc>
      </w:tr>
      <w:tr>
        <w:trPr>
          <w:cnfStyle w:evenHBand="false" w:oddHBand="true" w:firstRow="false"/>
        </w:trPr>
        <w:tc>
          <w:tcPr>
            <w:cnfStyle w:evenVBand="false" w:oddVBand="true" w:firstColumn="false"/>
            <w:tcW w:w="25.000000%" w:type="pct"/>
          </w:tcPr>
          <w:p>
            <w:pPr>
              <w:ind w:leftChars="0" w:left="0" w:right="0"/>
            </w:pPr>
            <w:r>
              <w:t>TBEN</w:t>
            </w:r>
          </w:p>
        </w:tc>
        <w:tc>
          <w:tcPr>
            <w:cnfStyle w:evenVBand="true" w:oddVBand="false" w:firstColumn="false"/>
            <w:tcW w:w="25.000000%" w:type="pct"/>
          </w:tcPr>
          <w:p>
            <w:pPr>
              <w:ind w:leftChars="0" w:left="0" w:right="0"/>
            </w:pPr>
            <w:r>
              <w:t>TBEN</w:t>
            </w:r>
          </w:p>
        </w:tc>
        <w:tc>
          <w:tcPr>
            <w:cnfStyle w:evenVBand="false" w:oddVBand="true" w:firstColumn="false"/>
            <w:tcW w:w="25.000000%" w:type="pct"/>
          </w:tcPr>
          <w:p>
            <w:pPr>
              <w:ind w:leftChars="0" w:left="0" w:right="0"/>
            </w:pPr>
            <w:r>
              <w:t>TULLETT PREBON PLC - TP ENERGY</w:t>
            </w:r>
          </w:p>
        </w:tc>
        <w:tc>
          <w:tcPr>
            <w:cnfStyle w:evenVBand="true" w:oddVBand="false" w:firstColumn="false"/>
            <w:tcW w:w="25.000000%" w:type="pct"/>
          </w:tcPr>
          <w:p>
            <w:pPr>
              <w:ind w:leftChars="0" w:left="0" w:right="0"/>
            </w:pPr>
            <w:r>
              <w:t>1658</w:t>
            </w:r>
          </w:p>
        </w:tc>
      </w:tr>
      <w:tr>
        <w:trPr>
          <w:cnfStyle w:evenHBand="true" w:oddHBand="false" w:firstRow="false"/>
        </w:trPr>
        <w:tc>
          <w:tcPr>
            <w:cnfStyle w:evenVBand="false" w:oddVBand="true" w:firstColumn="false"/>
            <w:tcW w:w="25.000000%" w:type="pct"/>
          </w:tcPr>
          <w:p>
            <w:pPr>
              <w:ind w:leftChars="0" w:left="0" w:right="0"/>
            </w:pPr>
            <w:r>
              <w:t>TBLA</w:t>
            </w:r>
          </w:p>
        </w:tc>
        <w:tc>
          <w:tcPr>
            <w:cnfStyle w:evenVBand="true" w:oddVBand="false" w:firstColumn="false"/>
            <w:tcW w:w="25.000000%" w:type="pct"/>
          </w:tcPr>
          <w:p>
            <w:pPr>
              <w:ind w:leftChars="0" w:left="0" w:right="0"/>
            </w:pPr>
            <w:r>
              <w:t>TBLA</w:t>
            </w:r>
          </w:p>
        </w:tc>
        <w:tc>
          <w:tcPr>
            <w:cnfStyle w:evenVBand="false" w:oddVBand="true" w:firstColumn="false"/>
            <w:tcW w:w="25.000000%" w:type="pct"/>
          </w:tcPr>
          <w:p>
            <w:pPr>
              <w:ind w:leftChars="0" w:left="0" w:right="0"/>
            </w:pPr>
            <w:r>
              <w:t>TULLETT PREBON PLC - TP TRADEBLADE</w:t>
            </w:r>
          </w:p>
        </w:tc>
        <w:tc>
          <w:tcPr>
            <w:cnfStyle w:evenVBand="true" w:oddVBand="false" w:firstColumn="false"/>
            <w:tcW w:w="25.000000%" w:type="pct"/>
          </w:tcPr>
          <w:p>
            <w:pPr>
              <w:ind w:leftChars="0" w:left="0" w:right="0"/>
            </w:pPr>
            <w:r>
              <w:t>1659</w:t>
            </w:r>
          </w:p>
        </w:tc>
      </w:tr>
      <w:tr>
        <w:trPr>
          <w:cnfStyle w:evenHBand="false" w:oddHBand="true" w:firstRow="false"/>
        </w:trPr>
        <w:tc>
          <w:tcPr>
            <w:cnfStyle w:evenVBand="false" w:oddVBand="true" w:firstColumn="false"/>
            <w:tcW w:w="25.000000%" w:type="pct"/>
          </w:tcPr>
          <w:p>
            <w:pPr>
              <w:ind w:leftChars="0" w:left="0" w:right="0"/>
            </w:pPr>
            <w:r>
              <w:t>TBSA</w:t>
            </w:r>
          </w:p>
        </w:tc>
        <w:tc>
          <w:tcPr>
            <w:cnfStyle w:evenVBand="true" w:oddVBand="false" w:firstColumn="false"/>
            <w:tcW w:w="25.000000%" w:type="pct"/>
          </w:tcPr>
          <w:p>
            <w:pPr>
              <w:ind w:leftChars="0" w:left="0" w:right="0"/>
            </w:pPr>
            <w:r>
              <w:t>TBSA</w:t>
            </w:r>
          </w:p>
        </w:tc>
        <w:tc>
          <w:tcPr>
            <w:cnfStyle w:evenVBand="false" w:oddVBand="true" w:firstColumn="false"/>
            <w:tcW w:w="25.000000%" w:type="pct"/>
          </w:tcPr>
          <w:p>
            <w:pPr>
              <w:ind w:leftChars="0" w:left="0" w:right="0"/>
            </w:pPr>
            <w:r>
              <w:t>WARSAW STOCK EXCHANGE/BONDS/TREASURY BOND/BONDSPOT/B2C MARKET/MTF</w:t>
            </w:r>
          </w:p>
        </w:tc>
        <w:tc>
          <w:tcPr>
            <w:cnfStyle w:evenVBand="true" w:oddVBand="false" w:firstColumn="false"/>
            <w:tcW w:w="25.000000%" w:type="pct"/>
          </w:tcPr>
          <w:p>
            <w:pPr>
              <w:ind w:leftChars="0" w:left="0" w:right="0"/>
            </w:pPr>
            <w:r>
              <w:t>1660</w:t>
            </w:r>
          </w:p>
        </w:tc>
      </w:tr>
      <w:tr>
        <w:trPr>
          <w:cnfStyle w:evenHBand="true" w:oddHBand="false" w:firstRow="false"/>
        </w:trPr>
        <w:tc>
          <w:tcPr>
            <w:cnfStyle w:evenVBand="false" w:oddVBand="true" w:firstColumn="false"/>
            <w:tcW w:w="25.000000%" w:type="pct"/>
          </w:tcPr>
          <w:p>
            <w:pPr>
              <w:ind w:leftChars="0" w:left="0" w:right="0"/>
            </w:pPr>
            <w:r>
              <w:t>TBSP</w:t>
            </w:r>
          </w:p>
        </w:tc>
        <w:tc>
          <w:tcPr>
            <w:cnfStyle w:evenVBand="true" w:oddVBand="false" w:firstColumn="false"/>
            <w:tcW w:w="25.000000%" w:type="pct"/>
          </w:tcPr>
          <w:p>
            <w:pPr>
              <w:ind w:leftChars="0" w:left="0" w:right="0"/>
            </w:pPr>
            <w:r>
              <w:t>TBSP</w:t>
            </w:r>
          </w:p>
        </w:tc>
        <w:tc>
          <w:tcPr>
            <w:cnfStyle w:evenVBand="false" w:oddVBand="true" w:firstColumn="false"/>
            <w:tcW w:w="25.000000%" w:type="pct"/>
          </w:tcPr>
          <w:p>
            <w:pPr>
              <w:ind w:leftChars="0" w:left="0" w:right="0"/>
            </w:pPr>
            <w:r>
              <w:t>WARSAW STOCK EXCHANGE/BONDS/BONDSPOT/TREASURY BOND MARKET</w:t>
            </w:r>
          </w:p>
        </w:tc>
        <w:tc>
          <w:tcPr>
            <w:cnfStyle w:evenVBand="true" w:oddVBand="false" w:firstColumn="false"/>
            <w:tcW w:w="25.000000%" w:type="pct"/>
          </w:tcPr>
          <w:p>
            <w:pPr>
              <w:ind w:leftChars="0" w:left="0" w:right="0"/>
            </w:pPr>
            <w:r>
              <w:t>1661</w:t>
            </w:r>
          </w:p>
        </w:tc>
      </w:tr>
      <w:tr>
        <w:trPr>
          <w:cnfStyle w:evenHBand="false" w:oddHBand="true" w:firstRow="false"/>
        </w:trPr>
        <w:tc>
          <w:tcPr>
            <w:cnfStyle w:evenVBand="false" w:oddVBand="true" w:firstColumn="false"/>
            <w:tcW w:w="25.000000%" w:type="pct"/>
          </w:tcPr>
          <w:p>
            <w:pPr>
              <w:ind w:leftChars="0" w:left="0" w:right="0"/>
            </w:pPr>
            <w:r>
              <w:t>TCDS</w:t>
            </w:r>
          </w:p>
        </w:tc>
        <w:tc>
          <w:tcPr>
            <w:cnfStyle w:evenVBand="true" w:oddVBand="false" w:firstColumn="false"/>
            <w:tcW w:w="25.000000%" w:type="pct"/>
          </w:tcPr>
          <w:p>
            <w:pPr>
              <w:ind w:leftChars="0" w:left="0" w:right="0"/>
            </w:pPr>
            <w:r>
              <w:t>TCDS</w:t>
            </w:r>
          </w:p>
        </w:tc>
        <w:tc>
          <w:tcPr>
            <w:cnfStyle w:evenVBand="false" w:oddVBand="true" w:firstColumn="false"/>
            <w:tcW w:w="25.000000%" w:type="pct"/>
          </w:tcPr>
          <w:p>
            <w:pPr>
              <w:ind w:leftChars="0" w:left="0" w:right="0"/>
            </w:pPr>
            <w:r>
              <w:t>TRADITION OTF</w:t>
            </w:r>
          </w:p>
        </w:tc>
        <w:tc>
          <w:tcPr>
            <w:cnfStyle w:evenVBand="true" w:oddVBand="false" w:firstColumn="false"/>
            <w:tcW w:w="25.000000%" w:type="pct"/>
          </w:tcPr>
          <w:p>
            <w:pPr>
              <w:ind w:leftChars="0" w:left="0" w:right="0"/>
            </w:pPr>
            <w:r>
              <w:t>1662</w:t>
            </w:r>
          </w:p>
        </w:tc>
      </w:tr>
      <w:tr>
        <w:trPr>
          <w:cnfStyle w:evenHBand="true" w:oddHBand="false" w:firstRow="false"/>
        </w:trPr>
        <w:tc>
          <w:tcPr>
            <w:cnfStyle w:evenVBand="false" w:oddVBand="true" w:firstColumn="false"/>
            <w:tcW w:w="25.000000%" w:type="pct"/>
          </w:tcPr>
          <w:p>
            <w:pPr>
              <w:ind w:leftChars="0" w:left="0" w:right="0"/>
            </w:pPr>
            <w:r>
              <w:t>TCME</w:t>
            </w:r>
          </w:p>
        </w:tc>
        <w:tc>
          <w:tcPr>
            <w:cnfStyle w:evenVBand="true" w:oddVBand="false" w:firstColumn="false"/>
            <w:tcW w:w="25.000000%" w:type="pct"/>
          </w:tcPr>
          <w:p>
            <w:pPr>
              <w:ind w:leftChars="0" w:left="0" w:right="0"/>
            </w:pPr>
            <w:r>
              <w:t>TCME</w:t>
            </w:r>
          </w:p>
        </w:tc>
        <w:tc>
          <w:tcPr>
            <w:cnfStyle w:evenVBand="false" w:oddVBand="true" w:firstColumn="false"/>
            <w:tcW w:w="25.000000%" w:type="pct"/>
          </w:tcPr>
          <w:p>
            <w:pPr>
              <w:ind w:leftChars="0" w:left="0" w:right="0"/>
            </w:pPr>
            <w:r>
              <w:t>TFS CME DIRECT</w:t>
            </w:r>
          </w:p>
        </w:tc>
        <w:tc>
          <w:tcPr>
            <w:cnfStyle w:evenVBand="true" w:oddVBand="false" w:firstColumn="false"/>
            <w:tcW w:w="25.000000%" w:type="pct"/>
          </w:tcPr>
          <w:p>
            <w:pPr>
              <w:ind w:leftChars="0" w:left="0" w:right="0"/>
            </w:pPr>
            <w:r>
              <w:t>1663</w:t>
            </w:r>
          </w:p>
        </w:tc>
      </w:tr>
      <w:tr>
        <w:trPr>
          <w:cnfStyle w:evenHBand="false" w:oddHBand="true" w:firstRow="false"/>
        </w:trPr>
        <w:tc>
          <w:tcPr>
            <w:cnfStyle w:evenVBand="false" w:oddVBand="true" w:firstColumn="false"/>
            <w:tcW w:w="25.000000%" w:type="pct"/>
          </w:tcPr>
          <w:p>
            <w:pPr>
              <w:ind w:leftChars="0" w:left="0" w:right="0"/>
            </w:pPr>
            <w:r>
              <w:t>TCML</w:t>
            </w:r>
          </w:p>
        </w:tc>
        <w:tc>
          <w:tcPr>
            <w:cnfStyle w:evenVBand="true" w:oddVBand="false" w:firstColumn="false"/>
            <w:tcW w:w="25.000000%" w:type="pct"/>
          </w:tcPr>
          <w:p>
            <w:pPr>
              <w:ind w:leftChars="0" w:left="0" w:right="0"/>
            </w:pPr>
            <w:r>
              <w:t>TCML</w:t>
            </w:r>
          </w:p>
        </w:tc>
        <w:tc>
          <w:tcPr>
            <w:cnfStyle w:evenVBand="false" w:oddVBand="true" w:firstColumn="false"/>
            <w:tcW w:w="25.000000%" w:type="pct"/>
          </w:tcPr>
          <w:p>
            <w:pPr>
              <w:ind w:leftChars="0" w:left="0" w:right="0"/>
            </w:pPr>
            <w:r>
              <w:t>TIDE CM</w:t>
            </w:r>
          </w:p>
        </w:tc>
        <w:tc>
          <w:tcPr>
            <w:cnfStyle w:evenVBand="true" w:oddVBand="false" w:firstColumn="false"/>
            <w:tcW w:w="25.000000%" w:type="pct"/>
          </w:tcPr>
          <w:p>
            <w:pPr>
              <w:ind w:leftChars="0" w:left="0" w:right="0"/>
            </w:pPr>
            <w:r>
              <w:t>1664</w:t>
            </w:r>
          </w:p>
        </w:tc>
      </w:tr>
      <w:tr>
        <w:trPr>
          <w:cnfStyle w:evenHBand="true" w:oddHBand="false" w:firstRow="false"/>
        </w:trPr>
        <w:tc>
          <w:tcPr>
            <w:cnfStyle w:evenVBand="false" w:oddVBand="true" w:firstColumn="false"/>
            <w:tcW w:w="25.000000%" w:type="pct"/>
          </w:tcPr>
          <w:p>
            <w:pPr>
              <w:ind w:leftChars="0" w:left="0" w:right="0"/>
            </w:pPr>
            <w:r>
              <w:t>TDBL</w:t>
            </w:r>
          </w:p>
        </w:tc>
        <w:tc>
          <w:tcPr>
            <w:cnfStyle w:evenVBand="true" w:oddVBand="false" w:firstColumn="false"/>
            <w:tcW w:w="25.000000%" w:type="pct"/>
          </w:tcPr>
          <w:p>
            <w:pPr>
              <w:ind w:leftChars="0" w:left="0" w:right="0"/>
            </w:pPr>
            <w:r>
              <w:t>TDBL</w:t>
            </w:r>
          </w:p>
        </w:tc>
        <w:tc>
          <w:tcPr>
            <w:cnfStyle w:evenVBand="false" w:oddVBand="true" w:firstColumn="false"/>
            <w:tcW w:w="25.000000%" w:type="pct"/>
          </w:tcPr>
          <w:p>
            <w:pPr>
              <w:ind w:leftChars="0" w:left="0" w:right="0"/>
            </w:pPr>
            <w:r>
              <w:t>TORONTO DOMINION BANK - LONDON BRANCH</w:t>
            </w:r>
          </w:p>
        </w:tc>
        <w:tc>
          <w:tcPr>
            <w:cnfStyle w:evenVBand="true" w:oddVBand="false" w:firstColumn="false"/>
            <w:tcW w:w="25.000000%" w:type="pct"/>
          </w:tcPr>
          <w:p>
            <w:pPr>
              <w:ind w:leftChars="0" w:left="0" w:right="0"/>
            </w:pPr>
            <w:r>
              <w:t>1665</w:t>
            </w:r>
          </w:p>
        </w:tc>
      </w:tr>
      <w:tr>
        <w:trPr>
          <w:cnfStyle w:evenHBand="false" w:oddHBand="true" w:firstRow="false"/>
        </w:trPr>
        <w:tc>
          <w:tcPr>
            <w:cnfStyle w:evenVBand="false" w:oddVBand="true" w:firstColumn="false"/>
            <w:tcW w:w="25.000000%" w:type="pct"/>
          </w:tcPr>
          <w:p>
            <w:pPr>
              <w:ind w:leftChars="0" w:left="0" w:right="0"/>
            </w:pPr>
            <w:r>
              <w:t>TDGF</w:t>
            </w:r>
          </w:p>
        </w:tc>
        <w:tc>
          <w:tcPr>
            <w:cnfStyle w:evenVBand="true" w:oddVBand="false" w:firstColumn="false"/>
            <w:tcW w:w="25.000000%" w:type="pct"/>
          </w:tcPr>
          <w:p>
            <w:pPr>
              <w:ind w:leftChars="0" w:left="0" w:right="0"/>
            </w:pPr>
            <w:r>
              <w:t>TDGF</w:t>
            </w:r>
          </w:p>
        </w:tc>
        <w:tc>
          <w:tcPr>
            <w:cnfStyle w:evenVBand="false" w:oddVBand="true" w:firstColumn="false"/>
            <w:tcW w:w="25.000000%" w:type="pct"/>
          </w:tcPr>
          <w:p>
            <w:pPr>
              <w:ind w:leftChars="0" w:left="0" w:right="0"/>
            </w:pPr>
            <w:r>
              <w:t>TD SECURITIES</w:t>
            </w:r>
          </w:p>
        </w:tc>
        <w:tc>
          <w:tcPr>
            <w:cnfStyle w:evenVBand="true" w:oddVBand="false" w:firstColumn="false"/>
            <w:tcW w:w="25.000000%" w:type="pct"/>
          </w:tcPr>
          <w:p>
            <w:pPr>
              <w:ind w:leftChars="0" w:left="0" w:right="0"/>
            </w:pPr>
            <w:r>
              <w:t>1666</w:t>
            </w:r>
          </w:p>
        </w:tc>
      </w:tr>
      <w:tr>
        <w:trPr>
          <w:cnfStyle w:evenHBand="true" w:oddHBand="false" w:firstRow="false"/>
        </w:trPr>
        <w:tc>
          <w:tcPr>
            <w:cnfStyle w:evenVBand="false" w:oddVBand="true" w:firstColumn="false"/>
            <w:tcW w:w="25.000000%" w:type="pct"/>
          </w:tcPr>
          <w:p>
            <w:pPr>
              <w:ind w:leftChars="0" w:left="0" w:right="0"/>
            </w:pPr>
            <w:r>
              <w:t>TDON</w:t>
            </w:r>
          </w:p>
        </w:tc>
        <w:tc>
          <w:tcPr>
            <w:cnfStyle w:evenVBand="true" w:oddVBand="false" w:firstColumn="false"/>
            <w:tcW w:w="25.000000%" w:type="pct"/>
          </w:tcPr>
          <w:p>
            <w:pPr>
              <w:ind w:leftChars="0" w:left="0" w:right="0"/>
            </w:pPr>
            <w:r>
              <w:t>TDON</w:t>
            </w:r>
          </w:p>
        </w:tc>
        <w:tc>
          <w:tcPr>
            <w:cnfStyle w:evenVBand="false" w:oddVBand="true" w:firstColumn="false"/>
            <w:tcW w:w="25.000000%" w:type="pct"/>
          </w:tcPr>
          <w:p>
            <w:pPr>
              <w:ind w:leftChars="0" w:left="0" w:right="0"/>
            </w:pPr>
            <w:r>
              <w:t>TRADITION PARIS - TSAF</w:t>
            </w:r>
          </w:p>
        </w:tc>
        <w:tc>
          <w:tcPr>
            <w:cnfStyle w:evenVBand="true" w:oddVBand="false" w:firstColumn="false"/>
            <w:tcW w:w="25.000000%" w:type="pct"/>
          </w:tcPr>
          <w:p>
            <w:pPr>
              <w:ind w:leftChars="0" w:left="0" w:right="0"/>
            </w:pPr>
            <w:r>
              <w:t>1667</w:t>
            </w:r>
          </w:p>
        </w:tc>
      </w:tr>
      <w:tr>
        <w:trPr>
          <w:cnfStyle w:evenHBand="false" w:oddHBand="true" w:firstRow="false"/>
        </w:trPr>
        <w:tc>
          <w:tcPr>
            <w:cnfStyle w:evenVBand="false" w:oddVBand="true" w:firstColumn="false"/>
            <w:tcW w:w="25.000000%" w:type="pct"/>
          </w:tcPr>
          <w:p>
            <w:pPr>
              <w:ind w:leftChars="0" w:left="0" w:right="0"/>
            </w:pPr>
            <w:r>
              <w:t>TECO</w:t>
            </w:r>
          </w:p>
        </w:tc>
        <w:tc>
          <w:tcPr>
            <w:cnfStyle w:evenVBand="true" w:oddVBand="false" w:firstColumn="false"/>
            <w:tcW w:w="25.000000%" w:type="pct"/>
          </w:tcPr>
          <w:p>
            <w:pPr>
              <w:ind w:leftChars="0" w:left="0" w:right="0"/>
            </w:pPr>
            <w:r>
              <w:t>TECO</w:t>
            </w:r>
          </w:p>
        </w:tc>
        <w:tc>
          <w:tcPr>
            <w:cnfStyle w:evenVBand="false" w:oddVBand="true" w:firstColumn="false"/>
            <w:tcW w:w="25.000000%" w:type="pct"/>
          </w:tcPr>
          <w:p>
            <w:pPr>
              <w:ind w:leftChars="0" w:left="0" w:right="0"/>
            </w:pPr>
            <w:r>
              <w:t>TULLETT PREBON EUROPE - OTF - COMMODITY AND ENERGY DERIVATIVES</w:t>
            </w:r>
          </w:p>
        </w:tc>
        <w:tc>
          <w:tcPr>
            <w:cnfStyle w:evenVBand="true" w:oddVBand="false" w:firstColumn="false"/>
            <w:tcW w:w="25.000000%" w:type="pct"/>
          </w:tcPr>
          <w:p>
            <w:pPr>
              <w:ind w:leftChars="0" w:left="0" w:right="0"/>
            </w:pPr>
            <w:r>
              <w:t>1668</w:t>
            </w:r>
          </w:p>
        </w:tc>
      </w:tr>
      <w:tr>
        <w:trPr>
          <w:cnfStyle w:evenHBand="true" w:oddHBand="false" w:firstRow="false"/>
        </w:trPr>
        <w:tc>
          <w:tcPr>
            <w:cnfStyle w:evenVBand="false" w:oddVBand="true" w:firstColumn="false"/>
            <w:tcW w:w="25.000000%" w:type="pct"/>
          </w:tcPr>
          <w:p>
            <w:pPr>
              <w:ind w:leftChars="0" w:left="0" w:right="0"/>
            </w:pPr>
            <w:r>
              <w:t>TEEG</w:t>
            </w:r>
          </w:p>
        </w:tc>
        <w:tc>
          <w:tcPr>
            <w:cnfStyle w:evenVBand="true" w:oddVBand="false" w:firstColumn="false"/>
            <w:tcW w:w="25.000000%" w:type="pct"/>
          </w:tcPr>
          <w:p>
            <w:pPr>
              <w:ind w:leftChars="0" w:left="0" w:right="0"/>
            </w:pPr>
            <w:r>
              <w:t>TEEG</w:t>
            </w:r>
          </w:p>
        </w:tc>
        <w:tc>
          <w:tcPr>
            <w:cnfStyle w:evenVBand="false" w:oddVBand="true" w:firstColumn="false"/>
            <w:tcW w:w="25.000000%" w:type="pct"/>
          </w:tcPr>
          <w:p>
            <w:pPr>
              <w:ind w:leftChars="0" w:left="0" w:right="0"/>
            </w:pPr>
            <w:r>
              <w:t>TULLETT PREBON SECURITIES - OTF - EUROPEAN GOVERNMENT BONDS</w:t>
            </w:r>
          </w:p>
        </w:tc>
        <w:tc>
          <w:tcPr>
            <w:cnfStyle w:evenVBand="true" w:oddVBand="false" w:firstColumn="false"/>
            <w:tcW w:w="25.000000%" w:type="pct"/>
          </w:tcPr>
          <w:p>
            <w:pPr>
              <w:ind w:leftChars="0" w:left="0" w:right="0"/>
            </w:pPr>
            <w:r>
              <w:t>1669</w:t>
            </w:r>
          </w:p>
        </w:tc>
      </w:tr>
      <w:tr>
        <w:trPr>
          <w:cnfStyle w:evenHBand="false" w:oddHBand="true" w:firstRow="false"/>
        </w:trPr>
        <w:tc>
          <w:tcPr>
            <w:cnfStyle w:evenVBand="false" w:oddVBand="true" w:firstColumn="false"/>
            <w:tcW w:w="25.000000%" w:type="pct"/>
          </w:tcPr>
          <w:p>
            <w:pPr>
              <w:ind w:leftChars="0" w:left="0" w:right="0"/>
            </w:pPr>
            <w:r>
              <w:t>TEFD</w:t>
            </w:r>
          </w:p>
        </w:tc>
        <w:tc>
          <w:tcPr>
            <w:cnfStyle w:evenVBand="true" w:oddVBand="false" w:firstColumn="false"/>
            <w:tcW w:w="25.000000%" w:type="pct"/>
          </w:tcPr>
          <w:p>
            <w:pPr>
              <w:ind w:leftChars="0" w:left="0" w:right="0"/>
            </w:pPr>
            <w:r>
              <w:t>TEFD</w:t>
            </w:r>
          </w:p>
        </w:tc>
        <w:tc>
          <w:tcPr>
            <w:cnfStyle w:evenVBand="false" w:oddVBand="true" w:firstColumn="false"/>
            <w:tcW w:w="25.000000%" w:type="pct"/>
          </w:tcPr>
          <w:p>
            <w:pPr>
              <w:ind w:leftChars="0" w:left="0" w:right="0"/>
            </w:pPr>
            <w:r>
              <w:t>TULLETT PREBON EUROPE -  MTF - FX DERIVATIVES</w:t>
            </w:r>
          </w:p>
        </w:tc>
        <w:tc>
          <w:tcPr>
            <w:cnfStyle w:evenVBand="true" w:oddVBand="false" w:firstColumn="false"/>
            <w:tcW w:w="25.000000%" w:type="pct"/>
          </w:tcPr>
          <w:p>
            <w:pPr>
              <w:ind w:leftChars="0" w:left="0" w:right="0"/>
            </w:pPr>
            <w:r>
              <w:t>1670</w:t>
            </w:r>
          </w:p>
        </w:tc>
      </w:tr>
      <w:tr>
        <w:trPr>
          <w:cnfStyle w:evenHBand="true" w:oddHBand="false" w:firstRow="false"/>
        </w:trPr>
        <w:tc>
          <w:tcPr>
            <w:cnfStyle w:evenVBand="false" w:oddVBand="true" w:firstColumn="false"/>
            <w:tcW w:w="25.000000%" w:type="pct"/>
          </w:tcPr>
          <w:p>
            <w:pPr>
              <w:ind w:leftChars="0" w:left="0" w:right="0"/>
            </w:pPr>
            <w:r>
              <w:t>TEFX</w:t>
            </w:r>
          </w:p>
        </w:tc>
        <w:tc>
          <w:tcPr>
            <w:cnfStyle w:evenVBand="true" w:oddVBand="false" w:firstColumn="false"/>
            <w:tcW w:w="25.000000%" w:type="pct"/>
          </w:tcPr>
          <w:p>
            <w:pPr>
              <w:ind w:leftChars="0" w:left="0" w:right="0"/>
            </w:pPr>
            <w:r>
              <w:t>TEFX</w:t>
            </w:r>
          </w:p>
        </w:tc>
        <w:tc>
          <w:tcPr>
            <w:cnfStyle w:evenVBand="false" w:oddVBand="true" w:firstColumn="false"/>
            <w:tcW w:w="25.000000%" w:type="pct"/>
          </w:tcPr>
          <w:p>
            <w:pPr>
              <w:ind w:leftChars="0" w:left="0" w:right="0"/>
            </w:pPr>
            <w:r>
              <w:t>TULLETT PREBON EUROPE - OTF - FX DERIVATIVES</w:t>
            </w:r>
          </w:p>
        </w:tc>
        <w:tc>
          <w:tcPr>
            <w:cnfStyle w:evenVBand="true" w:oddVBand="false" w:firstColumn="false"/>
            <w:tcW w:w="25.000000%" w:type="pct"/>
          </w:tcPr>
          <w:p>
            <w:pPr>
              <w:ind w:leftChars="0" w:left="0" w:right="0"/>
            </w:pPr>
            <w:r>
              <w:t>1671</w:t>
            </w:r>
          </w:p>
        </w:tc>
      </w:tr>
      <w:tr>
        <w:trPr>
          <w:cnfStyle w:evenHBand="false" w:oddHBand="true" w:firstRow="false"/>
        </w:trPr>
        <w:tc>
          <w:tcPr>
            <w:cnfStyle w:evenVBand="false" w:oddVBand="true" w:firstColumn="false"/>
            <w:tcW w:w="25.000000%" w:type="pct"/>
          </w:tcPr>
          <w:p>
            <w:pPr>
              <w:ind w:leftChars="0" w:left="0" w:right="0"/>
            </w:pPr>
            <w:r>
              <w:t>TEGB</w:t>
            </w:r>
          </w:p>
        </w:tc>
        <w:tc>
          <w:tcPr>
            <w:cnfStyle w:evenVBand="true" w:oddVBand="false" w:firstColumn="false"/>
            <w:tcW w:w="25.000000%" w:type="pct"/>
          </w:tcPr>
          <w:p>
            <w:pPr>
              <w:ind w:leftChars="0" w:left="0" w:right="0"/>
            </w:pPr>
            <w:r>
              <w:t>TEGB</w:t>
            </w:r>
          </w:p>
        </w:tc>
        <w:tc>
          <w:tcPr>
            <w:cnfStyle w:evenVBand="false" w:oddVBand="true" w:firstColumn="false"/>
            <w:tcW w:w="25.000000%" w:type="pct"/>
          </w:tcPr>
          <w:p>
            <w:pPr>
              <w:ind w:leftChars="0" w:left="0" w:right="0"/>
            </w:pPr>
            <w:r>
              <w:t>TULLETT PREBON EUROPE - OTF - GOVERNMENT BONDS EXCLUDING UK GILTS</w:t>
            </w:r>
          </w:p>
        </w:tc>
        <w:tc>
          <w:tcPr>
            <w:cnfStyle w:evenVBand="true" w:oddVBand="false" w:firstColumn="false"/>
            <w:tcW w:w="25.000000%" w:type="pct"/>
          </w:tcPr>
          <w:p>
            <w:pPr>
              <w:ind w:leftChars="0" w:left="0" w:right="0"/>
            </w:pPr>
            <w:r>
              <w:t>1672</w:t>
            </w:r>
          </w:p>
        </w:tc>
      </w:tr>
      <w:tr>
        <w:trPr>
          <w:cnfStyle w:evenHBand="true" w:oddHBand="false" w:firstRow="false"/>
        </w:trPr>
        <w:tc>
          <w:tcPr>
            <w:cnfStyle w:evenVBand="false" w:oddVBand="true" w:firstColumn="false"/>
            <w:tcW w:w="25.000000%" w:type="pct"/>
          </w:tcPr>
          <w:p>
            <w:pPr>
              <w:ind w:leftChars="0" w:left="0" w:right="0"/>
            </w:pPr>
            <w:r>
              <w:t>TEGI</w:t>
            </w:r>
          </w:p>
        </w:tc>
        <w:tc>
          <w:tcPr>
            <w:cnfStyle w:evenVBand="true" w:oddVBand="false" w:firstColumn="false"/>
            <w:tcW w:w="25.000000%" w:type="pct"/>
          </w:tcPr>
          <w:p>
            <w:pPr>
              <w:ind w:leftChars="0" w:left="0" w:right="0"/>
            </w:pPr>
            <w:r>
              <w:t>TEGI</w:t>
            </w:r>
          </w:p>
        </w:tc>
        <w:tc>
          <w:tcPr>
            <w:cnfStyle w:evenVBand="false" w:oddVBand="true" w:firstColumn="false"/>
            <w:tcW w:w="25.000000%" w:type="pct"/>
          </w:tcPr>
          <w:p>
            <w:pPr>
              <w:ind w:leftChars="0" w:left="0" w:right="0"/>
            </w:pPr>
            <w:r>
              <w:t>TULLETT PREBON EUROPE - OTF - GOVERNMENT BONDS - UK GILTS</w:t>
            </w:r>
          </w:p>
        </w:tc>
        <w:tc>
          <w:tcPr>
            <w:cnfStyle w:evenVBand="true" w:oddVBand="false" w:firstColumn="false"/>
            <w:tcW w:w="25.000000%" w:type="pct"/>
          </w:tcPr>
          <w:p>
            <w:pPr>
              <w:ind w:leftChars="0" w:left="0" w:right="0"/>
            </w:pPr>
            <w:r>
              <w:t>1673</w:t>
            </w:r>
          </w:p>
        </w:tc>
      </w:tr>
      <w:tr>
        <w:trPr>
          <w:cnfStyle w:evenHBand="false" w:oddHBand="true" w:firstRow="false"/>
        </w:trPr>
        <w:tc>
          <w:tcPr>
            <w:cnfStyle w:evenVBand="false" w:oddVBand="true" w:firstColumn="false"/>
            <w:tcW w:w="25.000000%" w:type="pct"/>
          </w:tcPr>
          <w:p>
            <w:pPr>
              <w:ind w:leftChars="0" w:left="0" w:right="0"/>
            </w:pPr>
            <w:r>
              <w:t>TEIR</w:t>
            </w:r>
          </w:p>
        </w:tc>
        <w:tc>
          <w:tcPr>
            <w:cnfStyle w:evenVBand="true" w:oddVBand="false" w:firstColumn="false"/>
            <w:tcW w:w="25.000000%" w:type="pct"/>
          </w:tcPr>
          <w:p>
            <w:pPr>
              <w:ind w:leftChars="0" w:left="0" w:right="0"/>
            </w:pPr>
            <w:r>
              <w:t>TEIR</w:t>
            </w:r>
          </w:p>
        </w:tc>
        <w:tc>
          <w:tcPr>
            <w:cnfStyle w:evenVBand="false" w:oddVBand="true" w:firstColumn="false"/>
            <w:tcW w:w="25.000000%" w:type="pct"/>
          </w:tcPr>
          <w:p>
            <w:pPr>
              <w:ind w:leftChars="0" w:left="0" w:right="0"/>
            </w:pPr>
            <w:r>
              <w:t>TULLETT PREBON EUROPE - OTF - INTEREST RATE DERIVATIVES</w:t>
            </w:r>
          </w:p>
        </w:tc>
        <w:tc>
          <w:tcPr>
            <w:cnfStyle w:evenVBand="true" w:oddVBand="false" w:firstColumn="false"/>
            <w:tcW w:w="25.000000%" w:type="pct"/>
          </w:tcPr>
          <w:p>
            <w:pPr>
              <w:ind w:leftChars="0" w:left="0" w:right="0"/>
            </w:pPr>
            <w:r>
              <w:t>1674</w:t>
            </w:r>
          </w:p>
        </w:tc>
      </w:tr>
      <w:tr>
        <w:trPr>
          <w:cnfStyle w:evenHBand="true" w:oddHBand="false" w:firstRow="false"/>
        </w:trPr>
        <w:tc>
          <w:tcPr>
            <w:cnfStyle w:evenVBand="false" w:oddVBand="true" w:firstColumn="false"/>
            <w:tcW w:w="25.000000%" w:type="pct"/>
          </w:tcPr>
          <w:p>
            <w:pPr>
              <w:ind w:leftChars="0" w:left="0" w:right="0"/>
            </w:pPr>
            <w:r>
              <w:t>TEMB</w:t>
            </w:r>
          </w:p>
        </w:tc>
        <w:tc>
          <w:tcPr>
            <w:cnfStyle w:evenVBand="true" w:oddVBand="false" w:firstColumn="false"/>
            <w:tcW w:w="25.000000%" w:type="pct"/>
          </w:tcPr>
          <w:p>
            <w:pPr>
              <w:ind w:leftChars="0" w:left="0" w:right="0"/>
            </w:pPr>
            <w:r>
              <w:t>TEMB</w:t>
            </w:r>
          </w:p>
        </w:tc>
        <w:tc>
          <w:tcPr>
            <w:cnfStyle w:evenVBand="false" w:oddVBand="true" w:firstColumn="false"/>
            <w:tcW w:w="25.000000%" w:type="pct"/>
          </w:tcPr>
          <w:p>
            <w:pPr>
              <w:ind w:leftChars="0" w:left="0" w:right="0"/>
            </w:pPr>
            <w:r>
              <w:t>TULLETT PREBON EUROPE -  MTF - GOVERNMENT BONDS EXCLUDING UK GILTS</w:t>
            </w:r>
          </w:p>
        </w:tc>
        <w:tc>
          <w:tcPr>
            <w:cnfStyle w:evenVBand="true" w:oddVBand="false" w:firstColumn="false"/>
            <w:tcW w:w="25.000000%" w:type="pct"/>
          </w:tcPr>
          <w:p>
            <w:pPr>
              <w:ind w:leftChars="0" w:left="0" w:right="0"/>
            </w:pPr>
            <w:r>
              <w:t>1675</w:t>
            </w:r>
          </w:p>
        </w:tc>
      </w:tr>
      <w:tr>
        <w:trPr>
          <w:cnfStyle w:evenHBand="false" w:oddHBand="true" w:firstRow="false"/>
        </w:trPr>
        <w:tc>
          <w:tcPr>
            <w:cnfStyle w:evenVBand="false" w:oddVBand="true" w:firstColumn="false"/>
            <w:tcW w:w="25.000000%" w:type="pct"/>
          </w:tcPr>
          <w:p>
            <w:pPr>
              <w:ind w:leftChars="0" w:left="0" w:right="0"/>
            </w:pPr>
            <w:r>
              <w:t>TEMC</w:t>
            </w:r>
          </w:p>
        </w:tc>
        <w:tc>
          <w:tcPr>
            <w:cnfStyle w:evenVBand="true" w:oddVBand="false" w:firstColumn="false"/>
            <w:tcW w:w="25.000000%" w:type="pct"/>
          </w:tcPr>
          <w:p>
            <w:pPr>
              <w:ind w:leftChars="0" w:left="0" w:right="0"/>
            </w:pPr>
            <w:r>
              <w:t>TEMC</w:t>
            </w:r>
          </w:p>
        </w:tc>
        <w:tc>
          <w:tcPr>
            <w:cnfStyle w:evenVBand="false" w:oddVBand="true" w:firstColumn="false"/>
            <w:tcW w:w="25.000000%" w:type="pct"/>
          </w:tcPr>
          <w:p>
            <w:pPr>
              <w:ind w:leftChars="0" w:left="0" w:right="0"/>
            </w:pPr>
            <w:r>
              <w:t>TULLETT PREBON EUROPE -  MTF - COMMODITIES AND ENERGY DERIVATIVES</w:t>
            </w:r>
          </w:p>
        </w:tc>
        <w:tc>
          <w:tcPr>
            <w:cnfStyle w:evenVBand="true" w:oddVBand="false" w:firstColumn="false"/>
            <w:tcW w:w="25.000000%" w:type="pct"/>
          </w:tcPr>
          <w:p>
            <w:pPr>
              <w:ind w:leftChars="0" w:left="0" w:right="0"/>
            </w:pPr>
            <w:r>
              <w:t>1676</w:t>
            </w:r>
          </w:p>
        </w:tc>
      </w:tr>
      <w:tr>
        <w:trPr>
          <w:cnfStyle w:evenHBand="true" w:oddHBand="false" w:firstRow="false"/>
        </w:trPr>
        <w:tc>
          <w:tcPr>
            <w:cnfStyle w:evenVBand="false" w:oddVBand="true" w:firstColumn="false"/>
            <w:tcW w:w="25.000000%" w:type="pct"/>
          </w:tcPr>
          <w:p>
            <w:pPr>
              <w:ind w:leftChars="0" w:left="0" w:right="0"/>
            </w:pPr>
            <w:r>
              <w:t>TEMF</w:t>
            </w:r>
          </w:p>
        </w:tc>
        <w:tc>
          <w:tcPr>
            <w:cnfStyle w:evenVBand="true" w:oddVBand="false" w:firstColumn="false"/>
            <w:tcW w:w="25.000000%" w:type="pct"/>
          </w:tcPr>
          <w:p>
            <w:pPr>
              <w:ind w:leftChars="0" w:left="0" w:right="0"/>
            </w:pPr>
            <w:r>
              <w:t>TEMF</w:t>
            </w:r>
          </w:p>
        </w:tc>
        <w:tc>
          <w:tcPr>
            <w:cnfStyle w:evenVBand="false" w:oddVBand="true" w:firstColumn="false"/>
            <w:tcW w:w="25.000000%" w:type="pct"/>
          </w:tcPr>
          <w:p>
            <w:pPr>
              <w:ind w:leftChars="0" w:left="0" w:right="0"/>
            </w:pPr>
            <w:r>
              <w:t>TULLETT PREBON EUROPE -  MTF - CORPORATE BONDS AND SECURITISED DEBT</w:t>
            </w:r>
          </w:p>
        </w:tc>
        <w:tc>
          <w:tcPr>
            <w:cnfStyle w:evenVBand="true" w:oddVBand="false" w:firstColumn="false"/>
            <w:tcW w:w="25.000000%" w:type="pct"/>
          </w:tcPr>
          <w:p>
            <w:pPr>
              <w:ind w:leftChars="0" w:left="0" w:right="0"/>
            </w:pPr>
            <w:r>
              <w:t>1677</w:t>
            </w:r>
          </w:p>
        </w:tc>
      </w:tr>
      <w:tr>
        <w:trPr>
          <w:cnfStyle w:evenHBand="false" w:oddHBand="true" w:firstRow="false"/>
        </w:trPr>
        <w:tc>
          <w:tcPr>
            <w:cnfStyle w:evenVBand="false" w:oddVBand="true" w:firstColumn="false"/>
            <w:tcW w:w="25.000000%" w:type="pct"/>
          </w:tcPr>
          <w:p>
            <w:pPr>
              <w:ind w:leftChars="0" w:left="0" w:right="0"/>
            </w:pPr>
            <w:r>
              <w:t>TEMG</w:t>
            </w:r>
          </w:p>
        </w:tc>
        <w:tc>
          <w:tcPr>
            <w:cnfStyle w:evenVBand="true" w:oddVBand="false" w:firstColumn="false"/>
            <w:tcW w:w="25.000000%" w:type="pct"/>
          </w:tcPr>
          <w:p>
            <w:pPr>
              <w:ind w:leftChars="0" w:left="0" w:right="0"/>
            </w:pPr>
            <w:r>
              <w:t>TEMG</w:t>
            </w:r>
          </w:p>
        </w:tc>
        <w:tc>
          <w:tcPr>
            <w:cnfStyle w:evenVBand="false" w:oddVBand="true" w:firstColumn="false"/>
            <w:tcW w:w="25.000000%" w:type="pct"/>
          </w:tcPr>
          <w:p>
            <w:pPr>
              <w:ind w:leftChars="0" w:left="0" w:right="0"/>
            </w:pPr>
            <w:r>
              <w:t>TULLETT PREBON EUROPE -  MTF - GOVERNMENT BONDS - UK GILTS</w:t>
            </w:r>
          </w:p>
        </w:tc>
        <w:tc>
          <w:tcPr>
            <w:cnfStyle w:evenVBand="true" w:oddVBand="false" w:firstColumn="false"/>
            <w:tcW w:w="25.000000%" w:type="pct"/>
          </w:tcPr>
          <w:p>
            <w:pPr>
              <w:ind w:leftChars="0" w:left="0" w:right="0"/>
            </w:pPr>
            <w:r>
              <w:t>1678</w:t>
            </w:r>
          </w:p>
        </w:tc>
      </w:tr>
      <w:tr>
        <w:trPr>
          <w:cnfStyle w:evenHBand="true" w:oddHBand="false" w:firstRow="false"/>
        </w:trPr>
        <w:tc>
          <w:tcPr>
            <w:cnfStyle w:evenVBand="false" w:oddVBand="true" w:firstColumn="false"/>
            <w:tcW w:w="25.000000%" w:type="pct"/>
          </w:tcPr>
          <w:p>
            <w:pPr>
              <w:ind w:leftChars="0" w:left="0" w:right="0"/>
            </w:pPr>
            <w:r>
              <w:t>TEMI</w:t>
            </w:r>
          </w:p>
        </w:tc>
        <w:tc>
          <w:tcPr>
            <w:cnfStyle w:evenVBand="true" w:oddVBand="false" w:firstColumn="false"/>
            <w:tcW w:w="25.000000%" w:type="pct"/>
          </w:tcPr>
          <w:p>
            <w:pPr>
              <w:ind w:leftChars="0" w:left="0" w:right="0"/>
            </w:pPr>
            <w:r>
              <w:t>TEMI</w:t>
            </w:r>
          </w:p>
        </w:tc>
        <w:tc>
          <w:tcPr>
            <w:cnfStyle w:evenVBand="false" w:oddVBand="true" w:firstColumn="false"/>
            <w:tcW w:w="25.000000%" w:type="pct"/>
          </w:tcPr>
          <w:p>
            <w:pPr>
              <w:ind w:leftChars="0" w:left="0" w:right="0"/>
            </w:pPr>
            <w:r>
              <w:t>TULLETT PREBON EUROPE -  MTF - MONEY MARKETS</w:t>
            </w:r>
          </w:p>
        </w:tc>
        <w:tc>
          <w:tcPr>
            <w:cnfStyle w:evenVBand="true" w:oddVBand="false" w:firstColumn="false"/>
            <w:tcW w:w="25.000000%" w:type="pct"/>
          </w:tcPr>
          <w:p>
            <w:pPr>
              <w:ind w:leftChars="0" w:left="0" w:right="0"/>
            </w:pPr>
            <w:r>
              <w:t>1679</w:t>
            </w:r>
          </w:p>
        </w:tc>
      </w:tr>
      <w:tr>
        <w:trPr>
          <w:cnfStyle w:evenHBand="false" w:oddHBand="true" w:firstRow="false"/>
        </w:trPr>
        <w:tc>
          <w:tcPr>
            <w:cnfStyle w:evenVBand="false" w:oddVBand="true" w:firstColumn="false"/>
            <w:tcW w:w="25.000000%" w:type="pct"/>
          </w:tcPr>
          <w:p>
            <w:pPr>
              <w:ind w:leftChars="0" w:left="0" w:right="0"/>
            </w:pPr>
            <w:r>
              <w:t>TEMM</w:t>
            </w:r>
          </w:p>
        </w:tc>
        <w:tc>
          <w:tcPr>
            <w:cnfStyle w:evenVBand="true" w:oddVBand="false" w:firstColumn="false"/>
            <w:tcW w:w="25.000000%" w:type="pct"/>
          </w:tcPr>
          <w:p>
            <w:pPr>
              <w:ind w:leftChars="0" w:left="0" w:right="0"/>
            </w:pPr>
            <w:r>
              <w:t>TEMM</w:t>
            </w:r>
          </w:p>
        </w:tc>
        <w:tc>
          <w:tcPr>
            <w:cnfStyle w:evenVBand="false" w:oddVBand="true" w:firstColumn="false"/>
            <w:tcW w:w="25.000000%" w:type="pct"/>
          </w:tcPr>
          <w:p>
            <w:pPr>
              <w:ind w:leftChars="0" w:left="0" w:right="0"/>
            </w:pPr>
            <w:r>
              <w:t>TULLETT PREBON EUROPE - OTF - MONEY MARKET INSTRUMENTS</w:t>
            </w:r>
          </w:p>
        </w:tc>
        <w:tc>
          <w:tcPr>
            <w:cnfStyle w:evenVBand="true" w:oddVBand="false" w:firstColumn="false"/>
            <w:tcW w:w="25.000000%" w:type="pct"/>
          </w:tcPr>
          <w:p>
            <w:pPr>
              <w:ind w:leftChars="0" w:left="0" w:right="0"/>
            </w:pPr>
            <w:r>
              <w:t>1680</w:t>
            </w:r>
          </w:p>
        </w:tc>
      </w:tr>
      <w:tr>
        <w:trPr>
          <w:cnfStyle w:evenHBand="true" w:oddHBand="false" w:firstRow="false"/>
        </w:trPr>
        <w:tc>
          <w:tcPr>
            <w:cnfStyle w:evenVBand="false" w:oddVBand="true" w:firstColumn="false"/>
            <w:tcW w:w="25.000000%" w:type="pct"/>
          </w:tcPr>
          <w:p>
            <w:pPr>
              <w:ind w:leftChars="0" w:left="0" w:right="0"/>
            </w:pPr>
            <w:r>
              <w:t>TEMR</w:t>
            </w:r>
          </w:p>
        </w:tc>
        <w:tc>
          <w:tcPr>
            <w:cnfStyle w:evenVBand="true" w:oddVBand="false" w:firstColumn="false"/>
            <w:tcW w:w="25.000000%" w:type="pct"/>
          </w:tcPr>
          <w:p>
            <w:pPr>
              <w:ind w:leftChars="0" w:left="0" w:right="0"/>
            </w:pPr>
            <w:r>
              <w:t>TEMR</w:t>
            </w:r>
          </w:p>
        </w:tc>
        <w:tc>
          <w:tcPr>
            <w:cnfStyle w:evenVBand="false" w:oddVBand="true" w:firstColumn="false"/>
            <w:tcW w:w="25.000000%" w:type="pct"/>
          </w:tcPr>
          <w:p>
            <w:pPr>
              <w:ind w:leftChars="0" w:left="0" w:right="0"/>
            </w:pPr>
            <w:r>
              <w:t>TULLETT PREBON EUROPE -  MTF - REPOS</w:t>
            </w:r>
          </w:p>
        </w:tc>
        <w:tc>
          <w:tcPr>
            <w:cnfStyle w:evenVBand="true" w:oddVBand="false" w:firstColumn="false"/>
            <w:tcW w:w="25.000000%" w:type="pct"/>
          </w:tcPr>
          <w:p>
            <w:pPr>
              <w:ind w:leftChars="0" w:left="0" w:right="0"/>
            </w:pPr>
            <w:r>
              <w:t>1681</w:t>
            </w:r>
          </w:p>
        </w:tc>
      </w:tr>
      <w:tr>
        <w:trPr>
          <w:cnfStyle w:evenHBand="false" w:oddHBand="true" w:firstRow="false"/>
        </w:trPr>
        <w:tc>
          <w:tcPr>
            <w:cnfStyle w:evenVBand="false" w:oddVBand="true" w:firstColumn="false"/>
            <w:tcW w:w="25.000000%" w:type="pct"/>
          </w:tcPr>
          <w:p>
            <w:pPr>
              <w:ind w:leftChars="0" w:left="0" w:right="0"/>
            </w:pPr>
            <w:r>
              <w:t>TEOF</w:t>
            </w:r>
          </w:p>
        </w:tc>
        <w:tc>
          <w:tcPr>
            <w:cnfStyle w:evenVBand="true" w:oddVBand="false" w:firstColumn="false"/>
            <w:tcW w:w="25.000000%" w:type="pct"/>
          </w:tcPr>
          <w:p>
            <w:pPr>
              <w:ind w:leftChars="0" w:left="0" w:right="0"/>
            </w:pPr>
            <w:r>
              <w:t>TEOF</w:t>
            </w:r>
          </w:p>
        </w:tc>
        <w:tc>
          <w:tcPr>
            <w:cnfStyle w:evenVBand="false" w:oddVBand="true" w:firstColumn="false"/>
            <w:tcW w:w="25.000000%" w:type="pct"/>
          </w:tcPr>
          <w:p>
            <w:pPr>
              <w:ind w:leftChars="0" w:left="0" w:right="0"/>
            </w:pPr>
            <w:r>
              <w:t>TULLETT PREBON EUROPE - OTF - PREBON FX DERIVATIVES</w:t>
            </w:r>
          </w:p>
        </w:tc>
        <w:tc>
          <w:tcPr>
            <w:cnfStyle w:evenVBand="true" w:oddVBand="false" w:firstColumn="false"/>
            <w:tcW w:w="25.000000%" w:type="pct"/>
          </w:tcPr>
          <w:p>
            <w:pPr>
              <w:ind w:leftChars="0" w:left="0" w:right="0"/>
            </w:pPr>
            <w:r>
              <w:t>1682</w:t>
            </w:r>
          </w:p>
        </w:tc>
      </w:tr>
      <w:tr>
        <w:trPr>
          <w:cnfStyle w:evenHBand="true" w:oddHBand="false" w:firstRow="false"/>
        </w:trPr>
        <w:tc>
          <w:tcPr>
            <w:cnfStyle w:evenVBand="false" w:oddVBand="true" w:firstColumn="false"/>
            <w:tcW w:w="25.000000%" w:type="pct"/>
          </w:tcPr>
          <w:p>
            <w:pPr>
              <w:ind w:leftChars="0" w:left="0" w:right="0"/>
            </w:pPr>
            <w:r>
              <w:t>TEPF</w:t>
            </w:r>
          </w:p>
        </w:tc>
        <w:tc>
          <w:tcPr>
            <w:cnfStyle w:evenVBand="true" w:oddVBand="false" w:firstColumn="false"/>
            <w:tcW w:w="25.000000%" w:type="pct"/>
          </w:tcPr>
          <w:p>
            <w:pPr>
              <w:ind w:leftChars="0" w:left="0" w:right="0"/>
            </w:pPr>
            <w:r>
              <w:t>TEPF</w:t>
            </w:r>
          </w:p>
        </w:tc>
        <w:tc>
          <w:tcPr>
            <w:cnfStyle w:evenVBand="false" w:oddVBand="true" w:firstColumn="false"/>
            <w:tcW w:w="25.000000%" w:type="pct"/>
          </w:tcPr>
          <w:p>
            <w:pPr>
              <w:ind w:leftChars="0" w:left="0" w:right="0"/>
            </w:pPr>
            <w:r>
              <w:t>TULLETT PREBON EUROPE - OTF - PARIS - CORPORATE BONDS AND SECURITISED DEBT</w:t>
            </w:r>
          </w:p>
        </w:tc>
        <w:tc>
          <w:tcPr>
            <w:cnfStyle w:evenVBand="true" w:oddVBand="false" w:firstColumn="false"/>
            <w:tcW w:w="25.000000%" w:type="pct"/>
          </w:tcPr>
          <w:p>
            <w:pPr>
              <w:ind w:leftChars="0" w:left="0" w:right="0"/>
            </w:pPr>
            <w:r>
              <w:t>1683</w:t>
            </w:r>
          </w:p>
        </w:tc>
      </w:tr>
      <w:tr>
        <w:trPr>
          <w:cnfStyle w:evenHBand="false" w:oddHBand="true" w:firstRow="false"/>
        </w:trPr>
        <w:tc>
          <w:tcPr>
            <w:cnfStyle w:evenVBand="false" w:oddVBand="true" w:firstColumn="false"/>
            <w:tcW w:w="25.000000%" w:type="pct"/>
          </w:tcPr>
          <w:p>
            <w:pPr>
              <w:ind w:leftChars="0" w:left="0" w:right="0"/>
            </w:pPr>
            <w:r>
              <w:t>TEPG</w:t>
            </w:r>
          </w:p>
        </w:tc>
        <w:tc>
          <w:tcPr>
            <w:cnfStyle w:evenVBand="true" w:oddVBand="false" w:firstColumn="false"/>
            <w:tcW w:w="25.000000%" w:type="pct"/>
          </w:tcPr>
          <w:p>
            <w:pPr>
              <w:ind w:leftChars="0" w:left="0" w:right="0"/>
            </w:pPr>
            <w:r>
              <w:t>TEPG</w:t>
            </w:r>
          </w:p>
        </w:tc>
        <w:tc>
          <w:tcPr>
            <w:cnfStyle w:evenVBand="false" w:oddVBand="true" w:firstColumn="false"/>
            <w:tcW w:w="25.000000%" w:type="pct"/>
          </w:tcPr>
          <w:p>
            <w:pPr>
              <w:ind w:leftChars="0" w:left="0" w:right="0"/>
            </w:pPr>
            <w:r>
              <w:t>TULLETT PREBON EUROPE - OTF - PARIS - GOVERNMENT BONDS - EXCLUDING GILTS</w:t>
            </w:r>
          </w:p>
        </w:tc>
        <w:tc>
          <w:tcPr>
            <w:cnfStyle w:evenVBand="true" w:oddVBand="false" w:firstColumn="false"/>
            <w:tcW w:w="25.000000%" w:type="pct"/>
          </w:tcPr>
          <w:p>
            <w:pPr>
              <w:ind w:leftChars="0" w:left="0" w:right="0"/>
            </w:pPr>
            <w:r>
              <w:t>1684</w:t>
            </w:r>
          </w:p>
        </w:tc>
      </w:tr>
      <w:tr>
        <w:trPr>
          <w:cnfStyle w:evenHBand="true" w:oddHBand="false" w:firstRow="false"/>
        </w:trPr>
        <w:tc>
          <w:tcPr>
            <w:cnfStyle w:evenVBand="false" w:oddVBand="true" w:firstColumn="false"/>
            <w:tcW w:w="25.000000%" w:type="pct"/>
          </w:tcPr>
          <w:p>
            <w:pPr>
              <w:ind w:leftChars="0" w:left="0" w:right="0"/>
            </w:pPr>
            <w:r>
              <w:t>TEPI</w:t>
            </w:r>
          </w:p>
        </w:tc>
        <w:tc>
          <w:tcPr>
            <w:cnfStyle w:evenVBand="true" w:oddVBand="false" w:firstColumn="false"/>
            <w:tcW w:w="25.000000%" w:type="pct"/>
          </w:tcPr>
          <w:p>
            <w:pPr>
              <w:ind w:leftChars="0" w:left="0" w:right="0"/>
            </w:pPr>
            <w:r>
              <w:t>TEPI</w:t>
            </w:r>
          </w:p>
        </w:tc>
        <w:tc>
          <w:tcPr>
            <w:cnfStyle w:evenVBand="false" w:oddVBand="true" w:firstColumn="false"/>
            <w:tcW w:w="25.000000%" w:type="pct"/>
          </w:tcPr>
          <w:p>
            <w:pPr>
              <w:ind w:leftChars="0" w:left="0" w:right="0"/>
            </w:pPr>
            <w:r>
              <w:t>TULLETT PREBON EUROPE - OTF - PARIS - INTEREST RATE DERIVATIVES</w:t>
            </w:r>
          </w:p>
        </w:tc>
        <w:tc>
          <w:tcPr>
            <w:cnfStyle w:evenVBand="true" w:oddVBand="false" w:firstColumn="false"/>
            <w:tcW w:w="25.000000%" w:type="pct"/>
          </w:tcPr>
          <w:p>
            <w:pPr>
              <w:ind w:leftChars="0" w:left="0" w:right="0"/>
            </w:pPr>
            <w:r>
              <w:t>1685</w:t>
            </w:r>
          </w:p>
        </w:tc>
      </w:tr>
      <w:tr>
        <w:trPr>
          <w:cnfStyle w:evenHBand="false" w:oddHBand="true" w:firstRow="false"/>
        </w:trPr>
        <w:tc>
          <w:tcPr>
            <w:cnfStyle w:evenVBand="false" w:oddVBand="true" w:firstColumn="false"/>
            <w:tcW w:w="25.000000%" w:type="pct"/>
          </w:tcPr>
          <w:p>
            <w:pPr>
              <w:ind w:leftChars="0" w:left="0" w:right="0"/>
            </w:pPr>
            <w:r>
              <w:t>TEPM</w:t>
            </w:r>
          </w:p>
        </w:tc>
        <w:tc>
          <w:tcPr>
            <w:cnfStyle w:evenVBand="true" w:oddVBand="false" w:firstColumn="false"/>
            <w:tcW w:w="25.000000%" w:type="pct"/>
          </w:tcPr>
          <w:p>
            <w:pPr>
              <w:ind w:leftChars="0" w:left="0" w:right="0"/>
            </w:pPr>
            <w:r>
              <w:t>TEPM</w:t>
            </w:r>
          </w:p>
        </w:tc>
        <w:tc>
          <w:tcPr>
            <w:cnfStyle w:evenVBand="false" w:oddVBand="true" w:firstColumn="false"/>
            <w:tcW w:w="25.000000%" w:type="pct"/>
          </w:tcPr>
          <w:p>
            <w:pPr>
              <w:ind w:leftChars="0" w:left="0" w:right="0"/>
            </w:pPr>
            <w:r>
              <w:t>TULLETT PREBON EUROPE - OTF - PARIS - MONEY MARKET INSTRUMENTS</w:t>
            </w:r>
          </w:p>
        </w:tc>
        <w:tc>
          <w:tcPr>
            <w:cnfStyle w:evenVBand="true" w:oddVBand="false" w:firstColumn="false"/>
            <w:tcW w:w="25.000000%" w:type="pct"/>
          </w:tcPr>
          <w:p>
            <w:pPr>
              <w:ind w:leftChars="0" w:left="0" w:right="0"/>
            </w:pPr>
            <w:r>
              <w:t>1686</w:t>
            </w:r>
          </w:p>
        </w:tc>
      </w:tr>
      <w:tr>
        <w:trPr>
          <w:cnfStyle w:evenHBand="true" w:oddHBand="false" w:firstRow="false"/>
        </w:trPr>
        <w:tc>
          <w:tcPr>
            <w:cnfStyle w:evenVBand="false" w:oddVBand="true" w:firstColumn="false"/>
            <w:tcW w:w="25.000000%" w:type="pct"/>
          </w:tcPr>
          <w:p>
            <w:pPr>
              <w:ind w:leftChars="0" w:left="0" w:right="0"/>
            </w:pPr>
            <w:r>
              <w:t>TEPR</w:t>
            </w:r>
          </w:p>
        </w:tc>
        <w:tc>
          <w:tcPr>
            <w:cnfStyle w:evenVBand="true" w:oddVBand="false" w:firstColumn="false"/>
            <w:tcW w:w="25.000000%" w:type="pct"/>
          </w:tcPr>
          <w:p>
            <w:pPr>
              <w:ind w:leftChars="0" w:left="0" w:right="0"/>
            </w:pPr>
            <w:r>
              <w:t>TEPR</w:t>
            </w:r>
          </w:p>
        </w:tc>
        <w:tc>
          <w:tcPr>
            <w:cnfStyle w:evenVBand="false" w:oddVBand="true" w:firstColumn="false"/>
            <w:tcW w:w="25.000000%" w:type="pct"/>
          </w:tcPr>
          <w:p>
            <w:pPr>
              <w:ind w:leftChars="0" w:left="0" w:right="0"/>
            </w:pPr>
            <w:r>
              <w:t>TULLETT PREBON EUROPE - OTF - PARIS - REPOS</w:t>
            </w:r>
          </w:p>
        </w:tc>
        <w:tc>
          <w:tcPr>
            <w:cnfStyle w:evenVBand="true" w:oddVBand="false" w:firstColumn="false"/>
            <w:tcW w:w="25.000000%" w:type="pct"/>
          </w:tcPr>
          <w:p>
            <w:pPr>
              <w:ind w:leftChars="0" w:left="0" w:right="0"/>
            </w:pPr>
            <w:r>
              <w:t>1687</w:t>
            </w:r>
          </w:p>
        </w:tc>
      </w:tr>
      <w:tr>
        <w:trPr>
          <w:cnfStyle w:evenHBand="false" w:oddHBand="true" w:firstRow="false"/>
        </w:trPr>
        <w:tc>
          <w:tcPr>
            <w:cnfStyle w:evenVBand="false" w:oddVBand="true" w:firstColumn="false"/>
            <w:tcW w:w="25.000000%" w:type="pct"/>
          </w:tcPr>
          <w:p>
            <w:pPr>
              <w:ind w:leftChars="0" w:left="0" w:right="0"/>
            </w:pPr>
            <w:r>
              <w:t>TEPX</w:t>
            </w:r>
          </w:p>
        </w:tc>
        <w:tc>
          <w:tcPr>
            <w:cnfStyle w:evenVBand="true" w:oddVBand="false" w:firstColumn="false"/>
            <w:tcW w:w="25.000000%" w:type="pct"/>
          </w:tcPr>
          <w:p>
            <w:pPr>
              <w:ind w:leftChars="0" w:left="0" w:right="0"/>
            </w:pPr>
            <w:r>
              <w:t>TEPX</w:t>
            </w:r>
          </w:p>
        </w:tc>
        <w:tc>
          <w:tcPr>
            <w:cnfStyle w:evenVBand="false" w:oddVBand="true" w:firstColumn="false"/>
            <w:tcW w:w="25.000000%" w:type="pct"/>
          </w:tcPr>
          <w:p>
            <w:pPr>
              <w:ind w:leftChars="0" w:left="0" w:right="0"/>
            </w:pPr>
            <w:r>
              <w:t>TULLETT PREBON EUROPE - OTF - PARIS - FX DERIVATIVES</w:t>
            </w:r>
          </w:p>
        </w:tc>
        <w:tc>
          <w:tcPr>
            <w:cnfStyle w:evenVBand="true" w:oddVBand="false" w:firstColumn="false"/>
            <w:tcW w:w="25.000000%" w:type="pct"/>
          </w:tcPr>
          <w:p>
            <w:pPr>
              <w:ind w:leftChars="0" w:left="0" w:right="0"/>
            </w:pPr>
            <w:r>
              <w:t>1688</w:t>
            </w:r>
          </w:p>
        </w:tc>
      </w:tr>
      <w:tr>
        <w:trPr>
          <w:cnfStyle w:evenHBand="true" w:oddHBand="false" w:firstRow="false"/>
        </w:trPr>
        <w:tc>
          <w:tcPr>
            <w:cnfStyle w:evenVBand="false" w:oddVBand="true" w:firstColumn="false"/>
            <w:tcW w:w="25.000000%" w:type="pct"/>
          </w:tcPr>
          <w:p>
            <w:pPr>
              <w:ind w:leftChars="0" w:left="0" w:right="0"/>
            </w:pPr>
            <w:r>
              <w:t>TERA</w:t>
            </w:r>
          </w:p>
        </w:tc>
        <w:tc>
          <w:tcPr>
            <w:cnfStyle w:evenVBand="true" w:oddVBand="false" w:firstColumn="false"/>
            <w:tcW w:w="25.000000%" w:type="pct"/>
          </w:tcPr>
          <w:p>
            <w:pPr>
              <w:ind w:leftChars="0" w:left="0" w:right="0"/>
            </w:pPr>
            <w:r>
              <w:t>TERA</w:t>
            </w:r>
          </w:p>
        </w:tc>
        <w:tc>
          <w:tcPr>
            <w:cnfStyle w:evenVBand="false" w:oddVBand="true" w:firstColumn="false"/>
            <w:tcW w:w="25.000000%" w:type="pct"/>
          </w:tcPr>
          <w:p>
            <w:pPr>
              <w:ind w:leftChars="0" w:left="0" w:right="0"/>
            </w:pPr>
            <w:r>
              <w:t>TERAEXCHANGE</w:t>
            </w:r>
          </w:p>
        </w:tc>
        <w:tc>
          <w:tcPr>
            <w:cnfStyle w:evenVBand="true" w:oddVBand="false" w:firstColumn="false"/>
            <w:tcW w:w="25.000000%" w:type="pct"/>
          </w:tcPr>
          <w:p>
            <w:pPr>
              <w:ind w:leftChars="0" w:left="0" w:right="0"/>
            </w:pPr>
            <w:r>
              <w:t>1689</w:t>
            </w:r>
          </w:p>
        </w:tc>
      </w:tr>
      <w:tr>
        <w:trPr>
          <w:cnfStyle w:evenHBand="false" w:oddHBand="true" w:firstRow="false"/>
        </w:trPr>
        <w:tc>
          <w:tcPr>
            <w:cnfStyle w:evenVBand="false" w:oddVBand="true" w:firstColumn="false"/>
            <w:tcW w:w="25.000000%" w:type="pct"/>
          </w:tcPr>
          <w:p>
            <w:pPr>
              <w:ind w:leftChars="0" w:left="0" w:right="0"/>
            </w:pPr>
            <w:r>
              <w:t>TERE</w:t>
            </w:r>
          </w:p>
        </w:tc>
        <w:tc>
          <w:tcPr>
            <w:cnfStyle w:evenVBand="true" w:oddVBand="false" w:firstColumn="false"/>
            <w:tcW w:w="25.000000%" w:type="pct"/>
          </w:tcPr>
          <w:p>
            <w:pPr>
              <w:ind w:leftChars="0" w:left="0" w:right="0"/>
            </w:pPr>
            <w:r>
              <w:t>TERE</w:t>
            </w:r>
          </w:p>
        </w:tc>
        <w:tc>
          <w:tcPr>
            <w:cnfStyle w:evenVBand="false" w:oddVBand="true" w:firstColumn="false"/>
            <w:tcW w:w="25.000000%" w:type="pct"/>
          </w:tcPr>
          <w:p>
            <w:pPr>
              <w:ind w:leftChars="0" w:left="0" w:right="0"/>
            </w:pPr>
            <w:r>
              <w:t>TULLETT PREBON EUROPE - OTF - REPOS</w:t>
            </w:r>
          </w:p>
        </w:tc>
        <w:tc>
          <w:tcPr>
            <w:cnfStyle w:evenVBand="true" w:oddVBand="false" w:firstColumn="false"/>
            <w:tcW w:w="25.000000%" w:type="pct"/>
          </w:tcPr>
          <w:p>
            <w:pPr>
              <w:ind w:leftChars="0" w:left="0" w:right="0"/>
            </w:pPr>
            <w:r>
              <w:t>1690</w:t>
            </w:r>
          </w:p>
        </w:tc>
      </w:tr>
      <w:tr>
        <w:trPr>
          <w:cnfStyle w:evenHBand="true" w:oddHBand="false" w:firstRow="false"/>
        </w:trPr>
        <w:tc>
          <w:tcPr>
            <w:cnfStyle w:evenVBand="false" w:oddVBand="true" w:firstColumn="false"/>
            <w:tcW w:w="25.000000%" w:type="pct"/>
          </w:tcPr>
          <w:p>
            <w:pPr>
              <w:ind w:leftChars="0" w:left="0" w:right="0"/>
            </w:pPr>
            <w:r>
              <w:t>TERM</w:t>
            </w:r>
          </w:p>
        </w:tc>
        <w:tc>
          <w:tcPr>
            <w:cnfStyle w:evenVBand="true" w:oddVBand="false" w:firstColumn="false"/>
            <w:tcW w:w="25.000000%" w:type="pct"/>
          </w:tcPr>
          <w:p>
            <w:pPr>
              <w:ind w:leftChars="0" w:left="0" w:right="0"/>
            </w:pPr>
            <w:r>
              <w:t>TERM</w:t>
            </w:r>
          </w:p>
        </w:tc>
        <w:tc>
          <w:tcPr>
            <w:cnfStyle w:evenVBand="false" w:oddVBand="true" w:firstColumn="false"/>
            <w:tcW w:w="25.000000%" w:type="pct"/>
          </w:tcPr>
          <w:p>
            <w:pPr>
              <w:ind w:leftChars="0" w:left="0" w:right="0"/>
            </w:pPr>
            <w:r>
              <w:t>TP ICAP FX HUB</w:t>
            </w:r>
          </w:p>
        </w:tc>
        <w:tc>
          <w:tcPr>
            <w:cnfStyle w:evenVBand="true" w:oddVBand="false" w:firstColumn="false"/>
            <w:tcW w:w="25.000000%" w:type="pct"/>
          </w:tcPr>
          <w:p>
            <w:pPr>
              <w:ind w:leftChars="0" w:left="0" w:right="0"/>
            </w:pPr>
            <w:r>
              <w:t>1691</w:t>
            </w:r>
          </w:p>
        </w:tc>
      </w:tr>
      <w:tr>
        <w:trPr>
          <w:cnfStyle w:evenHBand="false" w:oddHBand="true" w:firstRow="false"/>
        </w:trPr>
        <w:tc>
          <w:tcPr>
            <w:cnfStyle w:evenVBand="false" w:oddVBand="true" w:firstColumn="false"/>
            <w:tcW w:w="25.000000%" w:type="pct"/>
          </w:tcPr>
          <w:p>
            <w:pPr>
              <w:ind w:leftChars="0" w:left="0" w:right="0"/>
            </w:pPr>
            <w:r>
              <w:t>TEUR</w:t>
            </w:r>
          </w:p>
        </w:tc>
        <w:tc>
          <w:tcPr>
            <w:cnfStyle w:evenVBand="true" w:oddVBand="false" w:firstColumn="false"/>
            <w:tcW w:w="25.000000%" w:type="pct"/>
          </w:tcPr>
          <w:p>
            <w:pPr>
              <w:ind w:leftChars="0" w:left="0" w:right="0"/>
            </w:pPr>
            <w:r>
              <w:t>TEUR</w:t>
            </w:r>
          </w:p>
        </w:tc>
        <w:tc>
          <w:tcPr>
            <w:cnfStyle w:evenVBand="false" w:oddVBand="true" w:firstColumn="false"/>
            <w:tcW w:w="25.000000%" w:type="pct"/>
          </w:tcPr>
          <w:p>
            <w:pPr>
              <w:ind w:leftChars="0" w:left="0" w:right="0"/>
            </w:pPr>
            <w:r>
              <w:t>TRADITION ESPANA OTF</w:t>
            </w:r>
          </w:p>
        </w:tc>
        <w:tc>
          <w:tcPr>
            <w:cnfStyle w:evenVBand="true" w:oddVBand="false" w:firstColumn="false"/>
            <w:tcW w:w="25.000000%" w:type="pct"/>
          </w:tcPr>
          <w:p>
            <w:pPr>
              <w:ind w:leftChars="0" w:left="0" w:right="0"/>
            </w:pPr>
            <w:r>
              <w:t>1692</w:t>
            </w:r>
          </w:p>
        </w:tc>
      </w:tr>
      <w:tr>
        <w:trPr>
          <w:cnfStyle w:evenHBand="true" w:oddHBand="false" w:firstRow="false"/>
        </w:trPr>
        <w:tc>
          <w:tcPr>
            <w:cnfStyle w:evenVBand="false" w:oddVBand="true" w:firstColumn="false"/>
            <w:tcW w:w="25.000000%" w:type="pct"/>
          </w:tcPr>
          <w:p>
            <w:pPr>
              <w:ind w:leftChars="0" w:left="0" w:right="0"/>
            </w:pPr>
            <w:r>
              <w:t>TFEX</w:t>
            </w:r>
          </w:p>
        </w:tc>
        <w:tc>
          <w:tcPr>
            <w:cnfStyle w:evenVBand="true" w:oddVBand="false" w:firstColumn="false"/>
            <w:tcW w:w="25.000000%" w:type="pct"/>
          </w:tcPr>
          <w:p>
            <w:pPr>
              <w:ind w:leftChars="0" w:left="0" w:right="0"/>
            </w:pPr>
            <w:r>
              <w:t>TFEX</w:t>
            </w:r>
          </w:p>
        </w:tc>
        <w:tc>
          <w:tcPr>
            <w:cnfStyle w:evenVBand="false" w:oddVBand="true" w:firstColumn="false"/>
            <w:tcW w:w="25.000000%" w:type="pct"/>
          </w:tcPr>
          <w:p>
            <w:pPr>
              <w:ind w:leftChars="0" w:left="0" w:right="0"/>
            </w:pPr>
            <w:r>
              <w:t>THAILAND FUTURES EXCHANGE</w:t>
            </w:r>
          </w:p>
        </w:tc>
        <w:tc>
          <w:tcPr>
            <w:cnfStyle w:evenVBand="true" w:oddVBand="false" w:firstColumn="false"/>
            <w:tcW w:w="25.000000%" w:type="pct"/>
          </w:tcPr>
          <w:p>
            <w:pPr>
              <w:ind w:leftChars="0" w:left="0" w:right="0"/>
            </w:pPr>
            <w:r>
              <w:t>1693</w:t>
            </w:r>
          </w:p>
        </w:tc>
      </w:tr>
      <w:tr>
        <w:trPr>
          <w:cnfStyle w:evenHBand="false" w:oddHBand="true" w:firstRow="false"/>
        </w:trPr>
        <w:tc>
          <w:tcPr>
            <w:cnfStyle w:evenVBand="false" w:oddVBand="true" w:firstColumn="false"/>
            <w:tcW w:w="25.000000%" w:type="pct"/>
          </w:tcPr>
          <w:p>
            <w:pPr>
              <w:ind w:leftChars="0" w:left="0" w:right="0"/>
            </w:pPr>
            <w:r>
              <w:t>TFSA</w:t>
            </w:r>
          </w:p>
        </w:tc>
        <w:tc>
          <w:tcPr>
            <w:cnfStyle w:evenVBand="true" w:oddVBand="false" w:firstColumn="false"/>
            <w:tcW w:w="25.000000%" w:type="pct"/>
          </w:tcPr>
          <w:p>
            <w:pPr>
              <w:ind w:leftChars="0" w:left="0" w:right="0"/>
            </w:pPr>
            <w:r>
              <w:t>TFSA</w:t>
            </w:r>
          </w:p>
        </w:tc>
        <w:tc>
          <w:tcPr>
            <w:cnfStyle w:evenVBand="false" w:oddVBand="true" w:firstColumn="false"/>
            <w:tcW w:w="25.000000%" w:type="pct"/>
          </w:tcPr>
          <w:p>
            <w:pPr>
              <w:ind w:leftChars="0" w:left="0" w:right="0"/>
            </w:pPr>
            <w:r>
              <w:t>TFS GREEN AUSTRALIAN GREEN MARKETS</w:t>
            </w:r>
          </w:p>
        </w:tc>
        <w:tc>
          <w:tcPr>
            <w:cnfStyle w:evenVBand="true" w:oddVBand="false" w:firstColumn="false"/>
            <w:tcW w:w="25.000000%" w:type="pct"/>
          </w:tcPr>
          <w:p>
            <w:pPr>
              <w:ind w:leftChars="0" w:left="0" w:right="0"/>
            </w:pPr>
            <w:r>
              <w:t>1694</w:t>
            </w:r>
          </w:p>
        </w:tc>
      </w:tr>
      <w:tr>
        <w:trPr>
          <w:cnfStyle w:evenHBand="true" w:oddHBand="false" w:firstRow="false"/>
        </w:trPr>
        <w:tc>
          <w:tcPr>
            <w:cnfStyle w:evenVBand="false" w:oddVBand="true" w:firstColumn="false"/>
            <w:tcW w:w="25.000000%" w:type="pct"/>
          </w:tcPr>
          <w:p>
            <w:pPr>
              <w:ind w:leftChars="0" w:left="0" w:right="0"/>
            </w:pPr>
            <w:r>
              <w:t>TFSC</w:t>
            </w:r>
          </w:p>
        </w:tc>
        <w:tc>
          <w:tcPr>
            <w:cnfStyle w:evenVBand="true" w:oddVBand="false" w:firstColumn="false"/>
            <w:tcW w:w="25.000000%" w:type="pct"/>
          </w:tcPr>
          <w:p>
            <w:pPr>
              <w:ind w:leftChars="0" w:left="0" w:right="0"/>
            </w:pPr>
            <w:r>
              <w:t>TFSC</w:t>
            </w:r>
          </w:p>
        </w:tc>
        <w:tc>
          <w:tcPr>
            <w:cnfStyle w:evenVBand="false" w:oddVBand="true" w:firstColumn="false"/>
            <w:tcW w:w="25.000000%" w:type="pct"/>
          </w:tcPr>
          <w:p>
            <w:pPr>
              <w:ind w:leftChars="0" w:left="0" w:right="0"/>
            </w:pPr>
            <w:r>
              <w:t>TFS GREEN CARBON CREDIT GLOBAL MARKETS</w:t>
            </w:r>
          </w:p>
        </w:tc>
        <w:tc>
          <w:tcPr>
            <w:cnfStyle w:evenVBand="true" w:oddVBand="false" w:firstColumn="false"/>
            <w:tcW w:w="25.000000%" w:type="pct"/>
          </w:tcPr>
          <w:p>
            <w:pPr>
              <w:ind w:leftChars="0" w:left="0" w:right="0"/>
            </w:pPr>
            <w:r>
              <w:t>1695</w:t>
            </w:r>
          </w:p>
        </w:tc>
      </w:tr>
      <w:tr>
        <w:trPr>
          <w:cnfStyle w:evenHBand="false" w:oddHBand="true" w:firstRow="false"/>
        </w:trPr>
        <w:tc>
          <w:tcPr>
            <w:cnfStyle w:evenVBand="false" w:oddVBand="true" w:firstColumn="false"/>
            <w:tcW w:w="25.000000%" w:type="pct"/>
          </w:tcPr>
          <w:p>
            <w:pPr>
              <w:ind w:leftChars="0" w:left="0" w:right="0"/>
            </w:pPr>
            <w:r>
              <w:t>TFSD</w:t>
            </w:r>
          </w:p>
        </w:tc>
        <w:tc>
          <w:tcPr>
            <w:cnfStyle w:evenVBand="true" w:oddVBand="false" w:firstColumn="false"/>
            <w:tcW w:w="25.000000%" w:type="pct"/>
          </w:tcPr>
          <w:p>
            <w:pPr>
              <w:ind w:leftChars="0" w:left="0" w:right="0"/>
            </w:pPr>
            <w:r>
              <w:t>TFSD</w:t>
            </w:r>
          </w:p>
        </w:tc>
        <w:tc>
          <w:tcPr>
            <w:cnfStyle w:evenVBand="false" w:oddVBand="true" w:firstColumn="false"/>
            <w:tcW w:w="25.000000%" w:type="pct"/>
          </w:tcPr>
          <w:p>
            <w:pPr>
              <w:ind w:leftChars="0" w:left="0" w:right="0"/>
            </w:pPr>
            <w:r>
              <w:t>T.F.S. DERIVATIVES HK LIMITED</w:t>
            </w:r>
          </w:p>
        </w:tc>
        <w:tc>
          <w:tcPr>
            <w:cnfStyle w:evenVBand="true" w:oddVBand="false" w:firstColumn="false"/>
            <w:tcW w:w="25.000000%" w:type="pct"/>
          </w:tcPr>
          <w:p>
            <w:pPr>
              <w:ind w:leftChars="0" w:left="0" w:right="0"/>
            </w:pPr>
            <w:r>
              <w:t>1696</w:t>
            </w:r>
          </w:p>
        </w:tc>
      </w:tr>
      <w:tr>
        <w:trPr>
          <w:cnfStyle w:evenHBand="true" w:oddHBand="false" w:firstRow="false"/>
        </w:trPr>
        <w:tc>
          <w:tcPr>
            <w:cnfStyle w:evenVBand="false" w:oddVBand="true" w:firstColumn="false"/>
            <w:tcW w:w="25.000000%" w:type="pct"/>
          </w:tcPr>
          <w:p>
            <w:pPr>
              <w:ind w:leftChars="0" w:left="0" w:right="0"/>
            </w:pPr>
            <w:r>
              <w:t>TFSE</w:t>
            </w:r>
          </w:p>
        </w:tc>
        <w:tc>
          <w:tcPr>
            <w:cnfStyle w:evenVBand="true" w:oddVBand="false" w:firstColumn="false"/>
            <w:tcW w:w="25.000000%" w:type="pct"/>
          </w:tcPr>
          <w:p>
            <w:pPr>
              <w:ind w:leftChars="0" w:left="0" w:right="0"/>
            </w:pPr>
            <w:r>
              <w:t>TFSE</w:t>
            </w:r>
          </w:p>
        </w:tc>
        <w:tc>
          <w:tcPr>
            <w:cnfStyle w:evenVBand="false" w:oddVBand="true" w:firstColumn="false"/>
            <w:tcW w:w="25.000000%" w:type="pct"/>
          </w:tcPr>
          <w:p>
            <w:pPr>
              <w:ind w:leftChars="0" w:left="0" w:right="0"/>
            </w:pPr>
            <w:r>
              <w:t>TFS GREEN EUROPEAN GREEN MARKETS</w:t>
            </w:r>
          </w:p>
        </w:tc>
        <w:tc>
          <w:tcPr>
            <w:cnfStyle w:evenVBand="true" w:oddVBand="false" w:firstColumn="false"/>
            <w:tcW w:w="25.000000%" w:type="pct"/>
          </w:tcPr>
          <w:p>
            <w:pPr>
              <w:ind w:leftChars="0" w:left="0" w:right="0"/>
            </w:pPr>
            <w:r>
              <w:t>1697</w:t>
            </w:r>
          </w:p>
        </w:tc>
      </w:tr>
      <w:tr>
        <w:trPr>
          <w:cnfStyle w:evenHBand="false" w:oddHBand="true" w:firstRow="false"/>
        </w:trPr>
        <w:tc>
          <w:tcPr>
            <w:cnfStyle w:evenVBand="false" w:oddVBand="true" w:firstColumn="false"/>
            <w:tcW w:w="25.000000%" w:type="pct"/>
          </w:tcPr>
          <w:p>
            <w:pPr>
              <w:ind w:leftChars="0" w:left="0" w:right="0"/>
            </w:pPr>
            <w:r>
              <w:t>TFSG</w:t>
            </w:r>
          </w:p>
        </w:tc>
        <w:tc>
          <w:tcPr>
            <w:cnfStyle w:evenVBand="true" w:oddVBand="false" w:firstColumn="false"/>
            <w:tcW w:w="25.000000%" w:type="pct"/>
          </w:tcPr>
          <w:p>
            <w:pPr>
              <w:ind w:leftChars="0" w:left="0" w:right="0"/>
            </w:pPr>
            <w:r>
              <w:t>TFSG</w:t>
            </w:r>
          </w:p>
        </w:tc>
        <w:tc>
          <w:tcPr>
            <w:cnfStyle w:evenVBand="false" w:oddVBand="true" w:firstColumn="false"/>
            <w:tcW w:w="25.000000%" w:type="pct"/>
          </w:tcPr>
          <w:p>
            <w:pPr>
              <w:ind w:leftChars="0" w:left="0" w:right="0"/>
            </w:pPr>
            <w:r>
              <w:t>TRADITION ENERGY</w:t>
            </w:r>
          </w:p>
        </w:tc>
        <w:tc>
          <w:tcPr>
            <w:cnfStyle w:evenVBand="true" w:oddVBand="false" w:firstColumn="false"/>
            <w:tcW w:w="25.000000%" w:type="pct"/>
          </w:tcPr>
          <w:p>
            <w:pPr>
              <w:ind w:leftChars="0" w:left="0" w:right="0"/>
            </w:pPr>
            <w:r>
              <w:t>1698</w:t>
            </w:r>
          </w:p>
        </w:tc>
      </w:tr>
      <w:tr>
        <w:trPr>
          <w:cnfStyle w:evenHBand="true" w:oddHBand="false" w:firstRow="false"/>
        </w:trPr>
        <w:tc>
          <w:tcPr>
            <w:cnfStyle w:evenVBand="false" w:oddVBand="true" w:firstColumn="false"/>
            <w:tcW w:w="25.000000%" w:type="pct"/>
          </w:tcPr>
          <w:p>
            <w:pPr>
              <w:ind w:leftChars="0" w:left="0" w:right="0"/>
            </w:pPr>
            <w:r>
              <w:t>TFSS</w:t>
            </w:r>
          </w:p>
        </w:tc>
        <w:tc>
          <w:tcPr>
            <w:cnfStyle w:evenVBand="true" w:oddVBand="false" w:firstColumn="false"/>
            <w:tcW w:w="25.000000%" w:type="pct"/>
          </w:tcPr>
          <w:p>
            <w:pPr>
              <w:ind w:leftChars="0" w:left="0" w:right="0"/>
            </w:pPr>
            <w:r>
              <w:t>TFSS</w:t>
            </w:r>
          </w:p>
        </w:tc>
        <w:tc>
          <w:tcPr>
            <w:cnfStyle w:evenVBand="false" w:oddVBand="true" w:firstColumn="false"/>
            <w:tcW w:w="25.000000%" w:type="pct"/>
          </w:tcPr>
          <w:p>
            <w:pPr>
              <w:ind w:leftChars="0" w:left="0" w:right="0"/>
            </w:pPr>
            <w:r>
              <w:t>TFS VARIANCE SWAPS SYSTEM</w:t>
            </w:r>
          </w:p>
        </w:tc>
        <w:tc>
          <w:tcPr>
            <w:cnfStyle w:evenVBand="true" w:oddVBand="false" w:firstColumn="false"/>
            <w:tcW w:w="25.000000%" w:type="pct"/>
          </w:tcPr>
          <w:p>
            <w:pPr>
              <w:ind w:leftChars="0" w:left="0" w:right="0"/>
            </w:pPr>
            <w:r>
              <w:t>1699</w:t>
            </w:r>
          </w:p>
        </w:tc>
      </w:tr>
      <w:tr>
        <w:trPr>
          <w:cnfStyle w:evenHBand="false" w:oddHBand="true" w:firstRow="false"/>
        </w:trPr>
        <w:tc>
          <w:tcPr>
            <w:cnfStyle w:evenVBand="false" w:oddVBand="true" w:firstColumn="false"/>
            <w:tcW w:w="25.000000%" w:type="pct"/>
          </w:tcPr>
          <w:p>
            <w:pPr>
              <w:ind w:leftChars="0" w:left="0" w:right="0"/>
            </w:pPr>
            <w:r>
              <w:t>TFSU</w:t>
            </w:r>
          </w:p>
        </w:tc>
        <w:tc>
          <w:tcPr>
            <w:cnfStyle w:evenVBand="true" w:oddVBand="false" w:firstColumn="false"/>
            <w:tcW w:w="25.000000%" w:type="pct"/>
          </w:tcPr>
          <w:p>
            <w:pPr>
              <w:ind w:leftChars="0" w:left="0" w:right="0"/>
            </w:pPr>
            <w:r>
              <w:t>TFSU</w:t>
            </w:r>
          </w:p>
        </w:tc>
        <w:tc>
          <w:tcPr>
            <w:cnfStyle w:evenVBand="false" w:oddVBand="true" w:firstColumn="false"/>
            <w:tcW w:w="25.000000%" w:type="pct"/>
          </w:tcPr>
          <w:p>
            <w:pPr>
              <w:ind w:leftChars="0" w:left="0" w:right="0"/>
            </w:pPr>
            <w:r>
              <w:t>TFS GREEN UNITED STATES GREEN MARKETS</w:t>
            </w:r>
          </w:p>
        </w:tc>
        <w:tc>
          <w:tcPr>
            <w:cnfStyle w:evenVBand="true" w:oddVBand="false" w:firstColumn="false"/>
            <w:tcW w:w="25.000000%" w:type="pct"/>
          </w:tcPr>
          <w:p>
            <w:pPr>
              <w:ind w:leftChars="0" w:left="0" w:right="0"/>
            </w:pPr>
            <w:r>
              <w:t>1700</w:t>
            </w:r>
          </w:p>
        </w:tc>
      </w:tr>
      <w:tr>
        <w:trPr>
          <w:cnfStyle w:evenHBand="true" w:oddHBand="false" w:firstRow="false"/>
        </w:trPr>
        <w:tc>
          <w:tcPr>
            <w:cnfStyle w:evenVBand="false" w:oddVBand="true" w:firstColumn="false"/>
            <w:tcW w:w="25.000000%" w:type="pct"/>
          </w:tcPr>
          <w:p>
            <w:pPr>
              <w:ind w:leftChars="0" w:left="0" w:right="0"/>
            </w:pPr>
            <w:r>
              <w:t>TFSV</w:t>
            </w:r>
          </w:p>
        </w:tc>
        <w:tc>
          <w:tcPr>
            <w:cnfStyle w:evenVBand="true" w:oddVBand="false" w:firstColumn="false"/>
            <w:tcW w:w="25.000000%" w:type="pct"/>
          </w:tcPr>
          <w:p>
            <w:pPr>
              <w:ind w:leftChars="0" w:left="0" w:right="0"/>
            </w:pPr>
            <w:r>
              <w:t>TFSV</w:t>
            </w:r>
          </w:p>
        </w:tc>
        <w:tc>
          <w:tcPr>
            <w:cnfStyle w:evenVBand="false" w:oddVBand="true" w:firstColumn="false"/>
            <w:tcW w:w="25.000000%" w:type="pct"/>
          </w:tcPr>
          <w:p>
            <w:pPr>
              <w:ind w:leftChars="0" w:left="0" w:right="0"/>
            </w:pPr>
            <w:r>
              <w:t>VOLBROKER</w:t>
            </w:r>
          </w:p>
        </w:tc>
        <w:tc>
          <w:tcPr>
            <w:cnfStyle w:evenVBand="true" w:oddVBand="false" w:firstColumn="false"/>
            <w:tcW w:w="25.000000%" w:type="pct"/>
          </w:tcPr>
          <w:p>
            <w:pPr>
              <w:ind w:leftChars="0" w:left="0" w:right="0"/>
            </w:pPr>
            <w:r>
              <w:t>1701</w:t>
            </w:r>
          </w:p>
        </w:tc>
      </w:tr>
      <w:tr>
        <w:trPr>
          <w:cnfStyle w:evenHBand="false" w:oddHBand="true" w:firstRow="false"/>
        </w:trPr>
        <w:tc>
          <w:tcPr>
            <w:cnfStyle w:evenVBand="false" w:oddVBand="true" w:firstColumn="false"/>
            <w:tcW w:w="25.000000%" w:type="pct"/>
          </w:tcPr>
          <w:p>
            <w:pPr>
              <w:ind w:leftChars="0" w:left="0" w:right="0"/>
            </w:pPr>
            <w:r>
              <w:t>TGAT</w:t>
            </w:r>
          </w:p>
        </w:tc>
        <w:tc>
          <w:tcPr>
            <w:cnfStyle w:evenVBand="true" w:oddVBand="false" w:firstColumn="false"/>
            <w:tcW w:w="25.000000%" w:type="pct"/>
          </w:tcPr>
          <w:p>
            <w:pPr>
              <w:ind w:leftChars="0" w:left="0" w:right="0"/>
            </w:pPr>
            <w:r>
              <w:t>TGAT</w:t>
            </w:r>
          </w:p>
        </w:tc>
        <w:tc>
          <w:tcPr>
            <w:cnfStyle w:evenVBand="false" w:oddVBand="true" w:firstColumn="false"/>
            <w:tcW w:w="25.000000%" w:type="pct"/>
          </w:tcPr>
          <w:p>
            <w:pPr>
              <w:ind w:leftChars="0" w:left="0" w:right="0"/>
            </w:pPr>
            <w:r>
              <w:t>TRADEGATE EXCHANGE</w:t>
            </w:r>
          </w:p>
        </w:tc>
        <w:tc>
          <w:tcPr>
            <w:cnfStyle w:evenVBand="true" w:oddVBand="false" w:firstColumn="false"/>
            <w:tcW w:w="25.000000%" w:type="pct"/>
          </w:tcPr>
          <w:p>
            <w:pPr>
              <w:ind w:leftChars="0" w:left="0" w:right="0"/>
            </w:pPr>
            <w:r>
              <w:t>1702</w:t>
            </w:r>
          </w:p>
        </w:tc>
      </w:tr>
      <w:tr>
        <w:trPr>
          <w:cnfStyle w:evenHBand="true" w:oddHBand="false" w:firstRow="false"/>
        </w:trPr>
        <w:tc>
          <w:tcPr>
            <w:cnfStyle w:evenVBand="false" w:oddVBand="true" w:firstColumn="false"/>
            <w:tcW w:w="25.000000%" w:type="pct"/>
          </w:tcPr>
          <w:p>
            <w:pPr>
              <w:ind w:leftChars="0" w:left="0" w:right="0"/>
            </w:pPr>
            <w:r>
              <w:t>TGSI</w:t>
            </w:r>
          </w:p>
        </w:tc>
        <w:tc>
          <w:tcPr>
            <w:cnfStyle w:evenVBand="true" w:oddVBand="false" w:firstColumn="false"/>
            <w:tcW w:w="25.000000%" w:type="pct"/>
          </w:tcPr>
          <w:p>
            <w:pPr>
              <w:ind w:leftChars="0" w:left="0" w:right="0"/>
            </w:pPr>
            <w:r>
              <w:t>TGSI</w:t>
            </w:r>
          </w:p>
        </w:tc>
        <w:tc>
          <w:tcPr>
            <w:cnfStyle w:evenVBand="false" w:oddVBand="true" w:firstColumn="false"/>
            <w:tcW w:w="25.000000%" w:type="pct"/>
          </w:tcPr>
          <w:p>
            <w:pPr>
              <w:ind w:leftChars="0" w:left="0" w:right="0"/>
            </w:pPr>
            <w:r>
              <w:t>TRADEGATE EXCHANGE - SYSTEMATIC INTERNALISER</w:t>
            </w:r>
          </w:p>
        </w:tc>
        <w:tc>
          <w:tcPr>
            <w:cnfStyle w:evenVBand="true" w:oddVBand="false" w:firstColumn="false"/>
            <w:tcW w:w="25.000000%" w:type="pct"/>
          </w:tcPr>
          <w:p>
            <w:pPr>
              <w:ind w:leftChars="0" w:left="0" w:right="0"/>
            </w:pPr>
            <w:r>
              <w:t>1703</w:t>
            </w:r>
          </w:p>
        </w:tc>
      </w:tr>
      <w:tr>
        <w:trPr>
          <w:cnfStyle w:evenHBand="false" w:oddHBand="true" w:firstRow="false"/>
        </w:trPr>
        <w:tc>
          <w:tcPr>
            <w:cnfStyle w:evenVBand="false" w:oddVBand="true" w:firstColumn="false"/>
            <w:tcW w:w="25.000000%" w:type="pct"/>
          </w:tcPr>
          <w:p>
            <w:pPr>
              <w:ind w:leftChars="0" w:left="0" w:right="0"/>
            </w:pPr>
            <w:r>
              <w:t>THEM</w:t>
            </w:r>
          </w:p>
        </w:tc>
        <w:tc>
          <w:tcPr>
            <w:cnfStyle w:evenVBand="true" w:oddVBand="false" w:firstColumn="false"/>
            <w:tcW w:w="25.000000%" w:type="pct"/>
          </w:tcPr>
          <w:p>
            <w:pPr>
              <w:ind w:leftChars="0" w:left="0" w:right="0"/>
            </w:pPr>
            <w:r>
              <w:t>THEM</w:t>
            </w:r>
          </w:p>
        </w:tc>
        <w:tc>
          <w:tcPr>
            <w:cnfStyle w:evenVBand="false" w:oddVBand="true" w:firstColumn="false"/>
            <w:tcW w:w="25.000000%" w:type="pct"/>
          </w:tcPr>
          <w:p>
            <w:pPr>
              <w:ind w:leftChars="0" w:left="0" w:right="0"/>
            </w:pPr>
            <w:r>
              <w:t>THEMIS TRADING LLC</w:t>
            </w:r>
          </w:p>
        </w:tc>
        <w:tc>
          <w:tcPr>
            <w:cnfStyle w:evenVBand="true" w:oddVBand="false" w:firstColumn="false"/>
            <w:tcW w:w="25.000000%" w:type="pct"/>
          </w:tcPr>
          <w:p>
            <w:pPr>
              <w:ind w:leftChars="0" w:left="0" w:right="0"/>
            </w:pPr>
            <w:r>
              <w:t>1704</w:t>
            </w:r>
          </w:p>
        </w:tc>
      </w:tr>
      <w:tr>
        <w:trPr>
          <w:cnfStyle w:evenHBand="true" w:oddHBand="false" w:firstRow="false"/>
        </w:trPr>
        <w:tc>
          <w:tcPr>
            <w:cnfStyle w:evenVBand="false" w:oddVBand="true" w:firstColumn="false"/>
            <w:tcW w:w="25.000000%" w:type="pct"/>
          </w:tcPr>
          <w:p>
            <w:pPr>
              <w:ind w:leftChars="0" w:left="0" w:right="0"/>
            </w:pPr>
            <w:r>
              <w:t>THRD</w:t>
            </w:r>
          </w:p>
        </w:tc>
        <w:tc>
          <w:tcPr>
            <w:cnfStyle w:evenVBand="true" w:oddVBand="false" w:firstColumn="false"/>
            <w:tcW w:w="25.000000%" w:type="pct"/>
          </w:tcPr>
          <w:p>
            <w:pPr>
              <w:ind w:leftChars="0" w:left="0" w:right="0"/>
            </w:pPr>
            <w:r>
              <w:t>THRD</w:t>
            </w:r>
          </w:p>
        </w:tc>
        <w:tc>
          <w:tcPr>
            <w:cnfStyle w:evenVBand="false" w:oddVBand="true" w:firstColumn="false"/>
            <w:tcW w:w="25.000000%" w:type="pct"/>
          </w:tcPr>
          <w:p>
            <w:pPr>
              <w:ind w:leftChars="0" w:left="0" w:right="0"/>
            </w:pPr>
            <w:r>
              <w:t>THIRD MARKET CORPORATION</w:t>
            </w:r>
          </w:p>
        </w:tc>
        <w:tc>
          <w:tcPr>
            <w:cnfStyle w:evenVBand="true" w:oddVBand="false" w:firstColumn="false"/>
            <w:tcW w:w="25.000000%" w:type="pct"/>
          </w:tcPr>
          <w:p>
            <w:pPr>
              <w:ind w:leftChars="0" w:left="0" w:right="0"/>
            </w:pPr>
            <w:r>
              <w:t>1705</w:t>
            </w:r>
          </w:p>
        </w:tc>
      </w:tr>
      <w:tr>
        <w:trPr>
          <w:cnfStyle w:evenHBand="false" w:oddHBand="true" w:firstRow="false"/>
        </w:trPr>
        <w:tc>
          <w:tcPr>
            <w:cnfStyle w:evenVBand="false" w:oddVBand="true" w:firstColumn="false"/>
            <w:tcW w:w="25.000000%" w:type="pct"/>
          </w:tcPr>
          <w:p>
            <w:pPr>
              <w:ind w:leftChars="0" w:left="0" w:right="0"/>
            </w:pPr>
            <w:r>
              <w:t>THRE</w:t>
            </w:r>
          </w:p>
        </w:tc>
        <w:tc>
          <w:tcPr>
            <w:cnfStyle w:evenVBand="true" w:oddVBand="false" w:firstColumn="false"/>
            <w:tcW w:w="25.000000%" w:type="pct"/>
          </w:tcPr>
          <w:p>
            <w:pPr>
              <w:ind w:leftChars="0" w:left="0" w:right="0"/>
            </w:pPr>
            <w:r>
              <w:t>THRE</w:t>
            </w:r>
          </w:p>
        </w:tc>
        <w:tc>
          <w:tcPr>
            <w:cnfStyle w:evenVBand="false" w:oddVBand="true" w:firstColumn="false"/>
            <w:tcW w:w="25.000000%" w:type="pct"/>
          </w:tcPr>
          <w:p>
            <w:pPr>
              <w:ind w:leftChars="0" w:left="0" w:right="0"/>
            </w:pPr>
            <w:r>
              <w:t>REFINITIV US SEF LLC</w:t>
            </w:r>
          </w:p>
        </w:tc>
        <w:tc>
          <w:tcPr>
            <w:cnfStyle w:evenVBand="true" w:oddVBand="false" w:firstColumn="false"/>
            <w:tcW w:w="25.000000%" w:type="pct"/>
          </w:tcPr>
          <w:p>
            <w:pPr>
              <w:ind w:leftChars="0" w:left="0" w:right="0"/>
            </w:pPr>
            <w:r>
              <w:t>1706</w:t>
            </w:r>
          </w:p>
        </w:tc>
      </w:tr>
      <w:tr>
        <w:trPr>
          <w:cnfStyle w:evenHBand="true" w:oddHBand="false" w:firstRow="false"/>
        </w:trPr>
        <w:tc>
          <w:tcPr>
            <w:cnfStyle w:evenVBand="false" w:oddVBand="true" w:firstColumn="false"/>
            <w:tcW w:w="25.000000%" w:type="pct"/>
          </w:tcPr>
          <w:p>
            <w:pPr>
              <w:ind w:leftChars="0" w:left="0" w:right="0"/>
            </w:pPr>
            <w:r>
              <w:t>TIRD</w:t>
            </w:r>
          </w:p>
        </w:tc>
        <w:tc>
          <w:tcPr>
            <w:cnfStyle w:evenVBand="true" w:oddVBand="false" w:firstColumn="false"/>
            <w:tcW w:w="25.000000%" w:type="pct"/>
          </w:tcPr>
          <w:p>
            <w:pPr>
              <w:ind w:leftChars="0" w:left="0" w:right="0"/>
            </w:pPr>
            <w:r>
              <w:t>TIRD</w:t>
            </w:r>
          </w:p>
        </w:tc>
        <w:tc>
          <w:tcPr>
            <w:cnfStyle w:evenVBand="false" w:oddVBand="true" w:firstColumn="false"/>
            <w:tcW w:w="25.000000%" w:type="pct"/>
          </w:tcPr>
          <w:p>
            <w:pPr>
              <w:ind w:leftChars="0" w:left="0" w:right="0"/>
            </w:pPr>
            <w:r>
              <w:t>TULLETT PREBON EUROPE - MTF - INTEREST RATE DERIVATIVES</w:t>
            </w:r>
          </w:p>
        </w:tc>
        <w:tc>
          <w:tcPr>
            <w:cnfStyle w:evenVBand="true" w:oddVBand="false" w:firstColumn="false"/>
            <w:tcW w:w="25.000000%" w:type="pct"/>
          </w:tcPr>
          <w:p>
            <w:pPr>
              <w:ind w:leftChars="0" w:left="0" w:right="0"/>
            </w:pPr>
            <w:r>
              <w:t>1707</w:t>
            </w:r>
          </w:p>
        </w:tc>
      </w:tr>
      <w:tr>
        <w:trPr>
          <w:cnfStyle w:evenHBand="false" w:oddHBand="true" w:firstRow="false"/>
        </w:trPr>
        <w:tc>
          <w:tcPr>
            <w:cnfStyle w:evenVBand="false" w:oddVBand="true" w:firstColumn="false"/>
            <w:tcW w:w="25.000000%" w:type="pct"/>
          </w:tcPr>
          <w:p>
            <w:pPr>
              <w:ind w:leftChars="0" w:left="0" w:right="0"/>
            </w:pPr>
            <w:r>
              <w:t>TLAB</w:t>
            </w:r>
          </w:p>
        </w:tc>
        <w:tc>
          <w:tcPr>
            <w:cnfStyle w:evenVBand="true" w:oddVBand="false" w:firstColumn="false"/>
            <w:tcW w:w="25.000000%" w:type="pct"/>
          </w:tcPr>
          <w:p>
            <w:pPr>
              <w:ind w:leftChars="0" w:left="0" w:right="0"/>
            </w:pPr>
            <w:r>
              <w:t>TLAB</w:t>
            </w:r>
          </w:p>
        </w:tc>
        <w:tc>
          <w:tcPr>
            <w:cnfStyle w:evenVBand="false" w:oddVBand="true" w:firstColumn="false"/>
            <w:tcW w:w="25.000000%" w:type="pct"/>
          </w:tcPr>
          <w:p>
            <w:pPr>
              <w:ind w:leftChars="0" w:left="0" w:right="0"/>
            </w:pPr>
            <w:r>
              <w:t>TRADINGLAB</w:t>
            </w:r>
          </w:p>
        </w:tc>
        <w:tc>
          <w:tcPr>
            <w:cnfStyle w:evenVBand="true" w:oddVBand="false" w:firstColumn="false"/>
            <w:tcW w:w="25.000000%" w:type="pct"/>
          </w:tcPr>
          <w:p>
            <w:pPr>
              <w:ind w:leftChars="0" w:left="0" w:right="0"/>
            </w:pPr>
            <w:r>
              <w:t>1708</w:t>
            </w:r>
          </w:p>
        </w:tc>
      </w:tr>
      <w:tr>
        <w:trPr>
          <w:cnfStyle w:evenHBand="true" w:oddHBand="false" w:firstRow="false"/>
        </w:trPr>
        <w:tc>
          <w:tcPr>
            <w:cnfStyle w:evenVBand="false" w:oddVBand="true" w:firstColumn="false"/>
            <w:tcW w:w="25.000000%" w:type="pct"/>
          </w:tcPr>
          <w:p>
            <w:pPr>
              <w:ind w:leftChars="0" w:left="0" w:right="0"/>
            </w:pPr>
            <w:r>
              <w:t>TLCM</w:t>
            </w:r>
          </w:p>
        </w:tc>
        <w:tc>
          <w:tcPr>
            <w:cnfStyle w:evenVBand="true" w:oddVBand="false" w:firstColumn="false"/>
            <w:tcW w:w="25.000000%" w:type="pct"/>
          </w:tcPr>
          <w:p>
            <w:pPr>
              <w:ind w:leftChars="0" w:left="0" w:right="0"/>
            </w:pPr>
            <w:r>
              <w:t>TLCM</w:t>
            </w:r>
          </w:p>
        </w:tc>
        <w:tc>
          <w:tcPr>
            <w:cnfStyle w:evenVBand="false" w:oddVBand="true" w:firstColumn="false"/>
            <w:tcW w:w="25.000000%" w:type="pct"/>
          </w:tcPr>
          <w:p>
            <w:pPr>
              <w:ind w:leftChars="0" w:left="0" w:right="0"/>
            </w:pPr>
            <w:r>
              <w:t>LOUIS CAPITAL MARKETS EU</w:t>
            </w:r>
          </w:p>
        </w:tc>
        <w:tc>
          <w:tcPr>
            <w:cnfStyle w:evenVBand="true" w:oddVBand="false" w:firstColumn="false"/>
            <w:tcW w:w="25.000000%" w:type="pct"/>
          </w:tcPr>
          <w:p>
            <w:pPr>
              <w:ind w:leftChars="0" w:left="0" w:right="0"/>
            </w:pPr>
            <w:r>
              <w:t>1709</w:t>
            </w:r>
          </w:p>
        </w:tc>
      </w:tr>
      <w:tr>
        <w:trPr>
          <w:cnfStyle w:evenHBand="false" w:oddHBand="true" w:firstRow="false"/>
        </w:trPr>
        <w:tc>
          <w:tcPr>
            <w:cnfStyle w:evenVBand="false" w:oddVBand="true" w:firstColumn="false"/>
            <w:tcW w:w="25.000000%" w:type="pct"/>
          </w:tcPr>
          <w:p>
            <w:pPr>
              <w:ind w:leftChars="0" w:left="0" w:right="0"/>
            </w:pPr>
            <w:r>
              <w:t>TMCC</w:t>
            </w:r>
          </w:p>
        </w:tc>
        <w:tc>
          <w:tcPr>
            <w:cnfStyle w:evenVBand="true" w:oddVBand="false" w:firstColumn="false"/>
            <w:tcW w:w="25.000000%" w:type="pct"/>
          </w:tcPr>
          <w:p>
            <w:pPr>
              <w:ind w:leftChars="0" w:left="0" w:right="0"/>
            </w:pPr>
            <w:r>
              <w:t>TMCC</w:t>
            </w:r>
          </w:p>
        </w:tc>
        <w:tc>
          <w:tcPr>
            <w:cnfStyle w:evenVBand="false" w:oddVBand="true" w:firstColumn="false"/>
            <w:tcW w:w="25.000000%" w:type="pct"/>
          </w:tcPr>
          <w:p>
            <w:pPr>
              <w:ind w:leftChars="0" w:left="0" w:right="0"/>
            </w:pPr>
            <w:r>
              <w:t>ICE TMC</w:t>
            </w:r>
          </w:p>
        </w:tc>
        <w:tc>
          <w:tcPr>
            <w:cnfStyle w:evenVBand="true" w:oddVBand="false" w:firstColumn="false"/>
            <w:tcW w:w="25.000000%" w:type="pct"/>
          </w:tcPr>
          <w:p>
            <w:pPr>
              <w:ind w:leftChars="0" w:left="0" w:right="0"/>
            </w:pPr>
            <w:r>
              <w:t>1710</w:t>
            </w:r>
          </w:p>
        </w:tc>
      </w:tr>
      <w:tr>
        <w:trPr>
          <w:cnfStyle w:evenHBand="true" w:oddHBand="false" w:firstRow="false"/>
        </w:trPr>
        <w:tc>
          <w:tcPr>
            <w:cnfStyle w:evenVBand="false" w:oddVBand="true" w:firstColumn="false"/>
            <w:tcW w:w="25.000000%" w:type="pct"/>
          </w:tcPr>
          <w:p>
            <w:pPr>
              <w:ind w:leftChars="0" w:left="0" w:right="0"/>
            </w:pPr>
            <w:r>
              <w:t>TMCY</w:t>
            </w:r>
          </w:p>
        </w:tc>
        <w:tc>
          <w:tcPr>
            <w:cnfStyle w:evenVBand="true" w:oddVBand="false" w:firstColumn="false"/>
            <w:tcW w:w="25.000000%" w:type="pct"/>
          </w:tcPr>
          <w:p>
            <w:pPr>
              <w:ind w:leftChars="0" w:left="0" w:right="0"/>
            </w:pPr>
            <w:r>
              <w:t>TMCY</w:t>
            </w:r>
          </w:p>
        </w:tc>
        <w:tc>
          <w:tcPr>
            <w:cnfStyle w:evenVBand="false" w:oddVBand="true" w:firstColumn="false"/>
            <w:tcW w:w="25.000000%" w:type="pct"/>
          </w:tcPr>
          <w:p>
            <w:pPr>
              <w:ind w:leftChars="0" w:left="0" w:right="0"/>
            </w:pPr>
            <w:r>
              <w:t>TRADING 212 MARKETS LIMITED - SYSTEMATIC INTERNALISER</w:t>
            </w:r>
          </w:p>
        </w:tc>
        <w:tc>
          <w:tcPr>
            <w:cnfStyle w:evenVBand="true" w:oddVBand="false" w:firstColumn="false"/>
            <w:tcW w:w="25.000000%" w:type="pct"/>
          </w:tcPr>
          <w:p>
            <w:pPr>
              <w:ind w:leftChars="0" w:left="0" w:right="0"/>
            </w:pPr>
            <w:r>
              <w:t>1711</w:t>
            </w:r>
          </w:p>
        </w:tc>
      </w:tr>
      <w:tr>
        <w:trPr>
          <w:cnfStyle w:evenHBand="false" w:oddHBand="true" w:firstRow="false"/>
        </w:trPr>
        <w:tc>
          <w:tcPr>
            <w:cnfStyle w:evenVBand="false" w:oddVBand="true" w:firstColumn="false"/>
            <w:tcW w:w="25.000000%" w:type="pct"/>
          </w:tcPr>
          <w:p>
            <w:pPr>
              <w:ind w:leftChars="0" w:left="0" w:right="0"/>
            </w:pPr>
            <w:r>
              <w:t>TMEX</w:t>
            </w:r>
          </w:p>
        </w:tc>
        <w:tc>
          <w:tcPr>
            <w:cnfStyle w:evenVBand="true" w:oddVBand="false" w:firstColumn="false"/>
            <w:tcW w:w="25.000000%" w:type="pct"/>
          </w:tcPr>
          <w:p>
            <w:pPr>
              <w:ind w:leftChars="0" w:left="0" w:right="0"/>
            </w:pPr>
            <w:r>
              <w:t>TMEX</w:t>
            </w:r>
          </w:p>
        </w:tc>
        <w:tc>
          <w:tcPr>
            <w:cnfStyle w:evenVBand="false" w:oddVBand="true" w:firstColumn="false"/>
            <w:tcW w:w="25.000000%" w:type="pct"/>
          </w:tcPr>
          <w:p>
            <w:pPr>
              <w:ind w:leftChars="0" w:left="0" w:right="0"/>
            </w:pPr>
            <w:r>
              <w:t>TURKISH MERCANTILE EXCHANGE</w:t>
            </w:r>
          </w:p>
        </w:tc>
        <w:tc>
          <w:tcPr>
            <w:cnfStyle w:evenVBand="true" w:oddVBand="false" w:firstColumn="false"/>
            <w:tcW w:w="25.000000%" w:type="pct"/>
          </w:tcPr>
          <w:p>
            <w:pPr>
              <w:ind w:leftChars="0" w:left="0" w:right="0"/>
            </w:pPr>
            <w:r>
              <w:t>1712</w:t>
            </w:r>
          </w:p>
        </w:tc>
      </w:tr>
      <w:tr>
        <w:trPr>
          <w:cnfStyle w:evenHBand="true" w:oddHBand="false" w:firstRow="false"/>
        </w:trPr>
        <w:tc>
          <w:tcPr>
            <w:cnfStyle w:evenVBand="false" w:oddVBand="true" w:firstColumn="false"/>
            <w:tcW w:w="25.000000%" w:type="pct"/>
          </w:tcPr>
          <w:p>
            <w:pPr>
              <w:ind w:leftChars="0" w:left="0" w:right="0"/>
            </w:pPr>
            <w:r>
              <w:t>TMID</w:t>
            </w:r>
          </w:p>
        </w:tc>
        <w:tc>
          <w:tcPr>
            <w:cnfStyle w:evenVBand="true" w:oddVBand="false" w:firstColumn="false"/>
            <w:tcW w:w="25.000000%" w:type="pct"/>
          </w:tcPr>
          <w:p>
            <w:pPr>
              <w:ind w:leftChars="0" w:left="0" w:right="0"/>
            </w:pPr>
            <w:r>
              <w:t>TMID</w:t>
            </w:r>
          </w:p>
        </w:tc>
        <w:tc>
          <w:tcPr>
            <w:cnfStyle w:evenVBand="false" w:oddVBand="true" w:firstColumn="false"/>
            <w:tcW w:w="25.000000%" w:type="pct"/>
          </w:tcPr>
          <w:p>
            <w:pPr>
              <w:ind w:leftChars="0" w:left="0" w:right="0"/>
            </w:pPr>
            <w:r>
              <w:t>TRUMID ATS</w:t>
            </w:r>
          </w:p>
        </w:tc>
        <w:tc>
          <w:tcPr>
            <w:cnfStyle w:evenVBand="true" w:oddVBand="false" w:firstColumn="false"/>
            <w:tcW w:w="25.000000%" w:type="pct"/>
          </w:tcPr>
          <w:p>
            <w:pPr>
              <w:ind w:leftChars="0" w:left="0" w:right="0"/>
            </w:pPr>
            <w:r>
              <w:t>1713</w:t>
            </w:r>
          </w:p>
        </w:tc>
      </w:tr>
      <w:tr>
        <w:trPr>
          <w:cnfStyle w:evenHBand="false" w:oddHBand="true" w:firstRow="false"/>
        </w:trPr>
        <w:tc>
          <w:tcPr>
            <w:cnfStyle w:evenVBand="false" w:oddVBand="true" w:firstColumn="false"/>
            <w:tcW w:w="25.000000%" w:type="pct"/>
          </w:tcPr>
          <w:p>
            <w:pPr>
              <w:ind w:leftChars="0" w:left="0" w:right="0"/>
            </w:pPr>
            <w:r>
              <w:t>TMTS</w:t>
            </w:r>
          </w:p>
        </w:tc>
        <w:tc>
          <w:tcPr>
            <w:cnfStyle w:evenVBand="true" w:oddVBand="false" w:firstColumn="false"/>
            <w:tcW w:w="25.000000%" w:type="pct"/>
          </w:tcPr>
          <w:p>
            <w:pPr>
              <w:ind w:leftChars="0" w:left="0" w:right="0"/>
            </w:pPr>
            <w:r>
              <w:t>TMTS</w:t>
            </w:r>
          </w:p>
        </w:tc>
        <w:tc>
          <w:tcPr>
            <w:cnfStyle w:evenVBand="false" w:oddVBand="true" w:firstColumn="false"/>
            <w:tcW w:w="25.000000%" w:type="pct"/>
          </w:tcPr>
          <w:p>
            <w:pPr>
              <w:ind w:leftChars="0" w:left="0" w:right="0"/>
            </w:pPr>
            <w:r>
              <w:t>EUROBENCHMARK TRES. BILLS</w:t>
            </w:r>
          </w:p>
        </w:tc>
        <w:tc>
          <w:tcPr>
            <w:cnfStyle w:evenVBand="true" w:oddVBand="false" w:firstColumn="false"/>
            <w:tcW w:w="25.000000%" w:type="pct"/>
          </w:tcPr>
          <w:p>
            <w:pPr>
              <w:ind w:leftChars="0" w:left="0" w:right="0"/>
            </w:pPr>
            <w:r>
              <w:t>1714</w:t>
            </w:r>
          </w:p>
        </w:tc>
      </w:tr>
      <w:tr>
        <w:trPr>
          <w:cnfStyle w:evenHBand="true" w:oddHBand="false" w:firstRow="false"/>
        </w:trPr>
        <w:tc>
          <w:tcPr>
            <w:cnfStyle w:evenVBand="false" w:oddVBand="true" w:firstColumn="false"/>
            <w:tcW w:w="25.000000%" w:type="pct"/>
          </w:tcPr>
          <w:p>
            <w:pPr>
              <w:ind w:leftChars="0" w:left="0" w:right="0"/>
            </w:pPr>
            <w:r>
              <w:t>TMUK</w:t>
            </w:r>
          </w:p>
        </w:tc>
        <w:tc>
          <w:tcPr>
            <w:cnfStyle w:evenVBand="true" w:oddVBand="false" w:firstColumn="false"/>
            <w:tcW w:w="25.000000%" w:type="pct"/>
          </w:tcPr>
          <w:p>
            <w:pPr>
              <w:ind w:leftChars="0" w:left="0" w:right="0"/>
            </w:pPr>
            <w:r>
              <w:t>TMUK</w:t>
            </w:r>
          </w:p>
        </w:tc>
        <w:tc>
          <w:tcPr>
            <w:cnfStyle w:evenVBand="false" w:oddVBand="true" w:firstColumn="false"/>
            <w:tcW w:w="25.000000%" w:type="pct"/>
          </w:tcPr>
          <w:p>
            <w:pPr>
              <w:ind w:leftChars="0" w:left="0" w:right="0"/>
            </w:pPr>
            <w:r>
              <w:t>TRUMID FINANCIAL UK LIMITED</w:t>
            </w:r>
          </w:p>
        </w:tc>
        <w:tc>
          <w:tcPr>
            <w:cnfStyle w:evenVBand="true" w:oddVBand="false" w:firstColumn="false"/>
            <w:tcW w:w="25.000000%" w:type="pct"/>
          </w:tcPr>
          <w:p>
            <w:pPr>
              <w:ind w:leftChars="0" w:left="0" w:right="0"/>
            </w:pPr>
            <w:r>
              <w:t>1715</w:t>
            </w:r>
          </w:p>
        </w:tc>
      </w:tr>
      <w:tr>
        <w:trPr>
          <w:cnfStyle w:evenHBand="false" w:oddHBand="true" w:firstRow="false"/>
        </w:trPr>
        <w:tc>
          <w:tcPr>
            <w:cnfStyle w:evenVBand="false" w:oddVBand="true" w:firstColumn="false"/>
            <w:tcW w:w="25.000000%" w:type="pct"/>
          </w:tcPr>
          <w:p>
            <w:pPr>
              <w:ind w:leftChars="0" w:left="0" w:right="0"/>
            </w:pPr>
            <w:r>
              <w:t>TMXS</w:t>
            </w:r>
          </w:p>
        </w:tc>
        <w:tc>
          <w:tcPr>
            <w:cnfStyle w:evenVBand="true" w:oddVBand="false" w:firstColumn="false"/>
            <w:tcW w:w="25.000000%" w:type="pct"/>
          </w:tcPr>
          <w:p>
            <w:pPr>
              <w:ind w:leftChars="0" w:left="0" w:right="0"/>
            </w:pPr>
            <w:r>
              <w:t>TMXS</w:t>
            </w:r>
          </w:p>
        </w:tc>
        <w:tc>
          <w:tcPr>
            <w:cnfStyle w:evenVBand="false" w:oddVBand="true" w:firstColumn="false"/>
            <w:tcW w:w="25.000000%" w:type="pct"/>
          </w:tcPr>
          <w:p>
            <w:pPr>
              <w:ind w:leftChars="0" w:left="0" w:right="0"/>
            </w:pPr>
            <w:r>
              <w:t>TMX SELECT</w:t>
            </w:r>
          </w:p>
        </w:tc>
        <w:tc>
          <w:tcPr>
            <w:cnfStyle w:evenVBand="true" w:oddVBand="false" w:firstColumn="false"/>
            <w:tcW w:w="25.000000%" w:type="pct"/>
          </w:tcPr>
          <w:p>
            <w:pPr>
              <w:ind w:leftChars="0" w:left="0" w:right="0"/>
            </w:pPr>
            <w:r>
              <w:t>1716</w:t>
            </w:r>
          </w:p>
        </w:tc>
      </w:tr>
      <w:tr>
        <w:trPr>
          <w:cnfStyle w:evenHBand="true" w:oddHBand="false" w:firstRow="false"/>
        </w:trPr>
        <w:tc>
          <w:tcPr>
            <w:cnfStyle w:evenVBand="false" w:oddVBand="true" w:firstColumn="false"/>
            <w:tcW w:w="25.000000%" w:type="pct"/>
          </w:tcPr>
          <w:p>
            <w:pPr>
              <w:ind w:leftChars="0" w:left="0" w:right="0"/>
            </w:pPr>
            <w:r>
              <w:t>TNLA</w:t>
            </w:r>
          </w:p>
        </w:tc>
        <w:tc>
          <w:tcPr>
            <w:cnfStyle w:evenVBand="true" w:oddVBand="false" w:firstColumn="false"/>
            <w:tcW w:w="25.000000%" w:type="pct"/>
          </w:tcPr>
          <w:p>
            <w:pPr>
              <w:ind w:leftChars="0" w:left="0" w:right="0"/>
            </w:pPr>
            <w:r>
              <w:t>TNLA</w:t>
            </w:r>
          </w:p>
        </w:tc>
        <w:tc>
          <w:tcPr>
            <w:cnfStyle w:evenVBand="false" w:oddVBand="true" w:firstColumn="false"/>
            <w:tcW w:w="25.000000%" w:type="pct"/>
          </w:tcPr>
          <w:p>
            <w:pPr>
              <w:ind w:leftChars="0" w:left="0" w:right="0"/>
            </w:pPr>
            <w:r>
              <w:t>EURONEXT - TRADED BUT NOT LISTED AMSTERDAM</w:t>
            </w:r>
          </w:p>
        </w:tc>
        <w:tc>
          <w:tcPr>
            <w:cnfStyle w:evenVBand="true" w:oddVBand="false" w:firstColumn="false"/>
            <w:tcW w:w="25.000000%" w:type="pct"/>
          </w:tcPr>
          <w:p>
            <w:pPr>
              <w:ind w:leftChars="0" w:left="0" w:right="0"/>
            </w:pPr>
            <w:r>
              <w:t>1717</w:t>
            </w:r>
          </w:p>
        </w:tc>
      </w:tr>
      <w:tr>
        <w:trPr>
          <w:cnfStyle w:evenHBand="false" w:oddHBand="true" w:firstRow="false"/>
        </w:trPr>
        <w:tc>
          <w:tcPr>
            <w:cnfStyle w:evenVBand="false" w:oddVBand="true" w:firstColumn="false"/>
            <w:tcW w:w="25.000000%" w:type="pct"/>
          </w:tcPr>
          <w:p>
            <w:pPr>
              <w:ind w:leftChars="0" w:left="0" w:right="0"/>
            </w:pPr>
            <w:r>
              <w:t>TNLB</w:t>
            </w:r>
          </w:p>
        </w:tc>
        <w:tc>
          <w:tcPr>
            <w:cnfStyle w:evenVBand="true" w:oddVBand="false" w:firstColumn="false"/>
            <w:tcW w:w="25.000000%" w:type="pct"/>
          </w:tcPr>
          <w:p>
            <w:pPr>
              <w:ind w:leftChars="0" w:left="0" w:right="0"/>
            </w:pPr>
            <w:r>
              <w:t>TNLB</w:t>
            </w:r>
          </w:p>
        </w:tc>
        <w:tc>
          <w:tcPr>
            <w:cnfStyle w:evenVBand="false" w:oddVBand="true" w:firstColumn="false"/>
            <w:tcW w:w="25.000000%" w:type="pct"/>
          </w:tcPr>
          <w:p>
            <w:pPr>
              <w:ind w:leftChars="0" w:left="0" w:right="0"/>
            </w:pPr>
            <w:r>
              <w:t>EURONEXT - TRADING FACILITY BRUSSELS</w:t>
            </w:r>
          </w:p>
        </w:tc>
        <w:tc>
          <w:tcPr>
            <w:cnfStyle w:evenVBand="true" w:oddVBand="false" w:firstColumn="false"/>
            <w:tcW w:w="25.000000%" w:type="pct"/>
          </w:tcPr>
          <w:p>
            <w:pPr>
              <w:ind w:leftChars="0" w:left="0" w:right="0"/>
            </w:pPr>
            <w:r>
              <w:t>1718</w:t>
            </w:r>
          </w:p>
        </w:tc>
      </w:tr>
      <w:tr>
        <w:trPr>
          <w:cnfStyle w:evenHBand="true" w:oddHBand="false" w:firstRow="false"/>
        </w:trPr>
        <w:tc>
          <w:tcPr>
            <w:cnfStyle w:evenVBand="false" w:oddVBand="true" w:firstColumn="false"/>
            <w:tcW w:w="25.000000%" w:type="pct"/>
          </w:tcPr>
          <w:p>
            <w:pPr>
              <w:ind w:leftChars="0" w:left="0" w:right="0"/>
            </w:pPr>
            <w:r>
              <w:t>TNLK</w:t>
            </w:r>
          </w:p>
        </w:tc>
        <w:tc>
          <w:tcPr>
            <w:cnfStyle w:evenVBand="true" w:oddVBand="false" w:firstColumn="false"/>
            <w:tcW w:w="25.000000%" w:type="pct"/>
          </w:tcPr>
          <w:p>
            <w:pPr>
              <w:ind w:leftChars="0" w:left="0" w:right="0"/>
            </w:pPr>
            <w:r>
              <w:t>TNLK</w:t>
            </w:r>
          </w:p>
        </w:tc>
        <w:tc>
          <w:tcPr>
            <w:cnfStyle w:evenVBand="false" w:oddVBand="true" w:firstColumn="false"/>
            <w:tcW w:w="25.000000%" w:type="pct"/>
          </w:tcPr>
          <w:p>
            <w:pPr>
              <w:ind w:leftChars="0" w:left="0" w:right="0"/>
            </w:pPr>
            <w:r>
              <w:t>EURONEXT BLOCKS</w:t>
            </w:r>
          </w:p>
        </w:tc>
        <w:tc>
          <w:tcPr>
            <w:cnfStyle w:evenVBand="true" w:oddVBand="false" w:firstColumn="false"/>
            <w:tcW w:w="25.000000%" w:type="pct"/>
          </w:tcPr>
          <w:p>
            <w:pPr>
              <w:ind w:leftChars="0" w:left="0" w:right="0"/>
            </w:pPr>
            <w:r>
              <w:t>1719</w:t>
            </w:r>
          </w:p>
        </w:tc>
      </w:tr>
      <w:tr>
        <w:trPr>
          <w:cnfStyle w:evenHBand="false" w:oddHBand="true" w:firstRow="false"/>
        </w:trPr>
        <w:tc>
          <w:tcPr>
            <w:cnfStyle w:evenVBand="false" w:oddVBand="true" w:firstColumn="false"/>
            <w:tcW w:w="25.000000%" w:type="pct"/>
          </w:tcPr>
          <w:p>
            <w:pPr>
              <w:ind w:leftChars="0" w:left="0" w:right="0"/>
            </w:pPr>
            <w:r>
              <w:t>TNLL</w:t>
            </w:r>
          </w:p>
        </w:tc>
        <w:tc>
          <w:tcPr>
            <w:cnfStyle w:evenVBand="true" w:oddVBand="false" w:firstColumn="false"/>
            <w:tcW w:w="25.000000%" w:type="pct"/>
          </w:tcPr>
          <w:p>
            <w:pPr>
              <w:ind w:leftChars="0" w:left="0" w:right="0"/>
            </w:pPr>
            <w:r>
              <w:t>TNLL</w:t>
            </w:r>
          </w:p>
        </w:tc>
        <w:tc>
          <w:tcPr>
            <w:cnfStyle w:evenVBand="false" w:oddVBand="true" w:firstColumn="false"/>
            <w:tcW w:w="25.000000%" w:type="pct"/>
          </w:tcPr>
          <w:p>
            <w:pPr>
              <w:ind w:leftChars="0" w:left="0" w:right="0"/>
            </w:pPr>
            <w:r>
              <w:t>EURONEXT - TRADING FACILITY LONDON</w:t>
            </w:r>
          </w:p>
        </w:tc>
        <w:tc>
          <w:tcPr>
            <w:cnfStyle w:evenVBand="true" w:oddVBand="false" w:firstColumn="false"/>
            <w:tcW w:w="25.000000%" w:type="pct"/>
          </w:tcPr>
          <w:p>
            <w:pPr>
              <w:ind w:leftChars="0" w:left="0" w:right="0"/>
            </w:pPr>
            <w:r>
              <w:t>1720</w:t>
            </w:r>
          </w:p>
        </w:tc>
      </w:tr>
      <w:tr>
        <w:trPr>
          <w:cnfStyle w:evenHBand="true" w:oddHBand="false" w:firstRow="false"/>
        </w:trPr>
        <w:tc>
          <w:tcPr>
            <w:cnfStyle w:evenVBand="false" w:oddVBand="true" w:firstColumn="false"/>
            <w:tcW w:w="25.000000%" w:type="pct"/>
          </w:tcPr>
          <w:p>
            <w:pPr>
              <w:ind w:leftChars="0" w:left="0" w:right="0"/>
            </w:pPr>
            <w:r>
              <w:t>TOCP</w:t>
            </w:r>
          </w:p>
        </w:tc>
        <w:tc>
          <w:tcPr>
            <w:cnfStyle w:evenVBand="true" w:oddVBand="false" w:firstColumn="false"/>
            <w:tcW w:w="25.000000%" w:type="pct"/>
          </w:tcPr>
          <w:p>
            <w:pPr>
              <w:ind w:leftChars="0" w:left="0" w:right="0"/>
            </w:pPr>
            <w:r>
              <w:t>TOCP</w:t>
            </w:r>
          </w:p>
        </w:tc>
        <w:tc>
          <w:tcPr>
            <w:cnfStyle w:evenVBand="false" w:oddVBand="true" w:firstColumn="false"/>
            <w:tcW w:w="25.000000%" w:type="pct"/>
          </w:tcPr>
          <w:p>
            <w:pPr>
              <w:ind w:leftChars="0" w:left="0" w:right="0"/>
            </w:pPr>
            <w:r>
              <w:t>TORA CROSSPOINT</w:t>
            </w:r>
          </w:p>
        </w:tc>
        <w:tc>
          <w:tcPr>
            <w:cnfStyle w:evenVBand="true" w:oddVBand="false" w:firstColumn="false"/>
            <w:tcW w:w="25.000000%" w:type="pct"/>
          </w:tcPr>
          <w:p>
            <w:pPr>
              <w:ind w:leftChars="0" w:left="0" w:right="0"/>
            </w:pPr>
            <w:r>
              <w:t>1721</w:t>
            </w:r>
          </w:p>
        </w:tc>
      </w:tr>
      <w:tr>
        <w:trPr>
          <w:cnfStyle w:evenHBand="false" w:oddHBand="true" w:firstRow="false"/>
        </w:trPr>
        <w:tc>
          <w:tcPr>
            <w:cnfStyle w:evenVBand="false" w:oddVBand="true" w:firstColumn="false"/>
            <w:tcW w:w="25.000000%" w:type="pct"/>
          </w:tcPr>
          <w:p>
            <w:pPr>
              <w:ind w:leftChars="0" w:left="0" w:right="0"/>
            </w:pPr>
            <w:r>
              <w:t>TOMD</w:t>
            </w:r>
          </w:p>
        </w:tc>
        <w:tc>
          <w:tcPr>
            <w:cnfStyle w:evenVBand="true" w:oddVBand="false" w:firstColumn="false"/>
            <w:tcW w:w="25.000000%" w:type="pct"/>
          </w:tcPr>
          <w:p>
            <w:pPr>
              <w:ind w:leftChars="0" w:left="0" w:right="0"/>
            </w:pPr>
            <w:r>
              <w:t>TOMD</w:t>
            </w:r>
          </w:p>
        </w:tc>
        <w:tc>
          <w:tcPr>
            <w:cnfStyle w:evenVBand="false" w:oddVBand="true" w:firstColumn="false"/>
            <w:tcW w:w="25.000000%" w:type="pct"/>
          </w:tcPr>
          <w:p>
            <w:pPr>
              <w:ind w:leftChars="0" w:left="0" w:right="0"/>
            </w:pPr>
            <w:r>
              <w:t>TOM MTF DERIVATIVES MARKET</w:t>
            </w:r>
          </w:p>
        </w:tc>
        <w:tc>
          <w:tcPr>
            <w:cnfStyle w:evenVBand="true" w:oddVBand="false" w:firstColumn="false"/>
            <w:tcW w:w="25.000000%" w:type="pct"/>
          </w:tcPr>
          <w:p>
            <w:pPr>
              <w:ind w:leftChars="0" w:left="0" w:right="0"/>
            </w:pPr>
            <w:r>
              <w:t>1722</w:t>
            </w:r>
          </w:p>
        </w:tc>
      </w:tr>
      <w:tr>
        <w:trPr>
          <w:cnfStyle w:evenHBand="true" w:oddHBand="false" w:firstRow="false"/>
        </w:trPr>
        <w:tc>
          <w:tcPr>
            <w:cnfStyle w:evenVBand="false" w:oddVBand="true" w:firstColumn="false"/>
            <w:tcW w:w="25.000000%" w:type="pct"/>
          </w:tcPr>
          <w:p>
            <w:pPr>
              <w:ind w:leftChars="0" w:left="0" w:right="0"/>
            </w:pPr>
            <w:r>
              <w:t>TOMF</w:t>
            </w:r>
          </w:p>
        </w:tc>
        <w:tc>
          <w:tcPr>
            <w:cnfStyle w:evenVBand="true" w:oddVBand="false" w:firstColumn="false"/>
            <w:tcW w:w="25.000000%" w:type="pct"/>
          </w:tcPr>
          <w:p>
            <w:pPr>
              <w:ind w:leftChars="0" w:left="0" w:right="0"/>
            </w:pPr>
            <w:r>
              <w:t>TOMF</w:t>
            </w:r>
          </w:p>
        </w:tc>
        <w:tc>
          <w:tcPr>
            <w:cnfStyle w:evenVBand="false" w:oddVBand="true" w:firstColumn="false"/>
            <w:tcW w:w="25.000000%" w:type="pct"/>
          </w:tcPr>
          <w:p>
            <w:pPr>
              <w:ind w:leftChars="0" w:left="0" w:right="0"/>
            </w:pPr>
            <w:r>
              <w:t>TULLETT PREBON EUROPE - OTF - MADRID - CORPORATE BONDS AND SECURITISED DEBT</w:t>
            </w:r>
          </w:p>
        </w:tc>
        <w:tc>
          <w:tcPr>
            <w:cnfStyle w:evenVBand="true" w:oddVBand="false" w:firstColumn="false"/>
            <w:tcW w:w="25.000000%" w:type="pct"/>
          </w:tcPr>
          <w:p>
            <w:pPr>
              <w:ind w:leftChars="0" w:left="0" w:right="0"/>
            </w:pPr>
            <w:r>
              <w:t>1723</w:t>
            </w:r>
          </w:p>
        </w:tc>
      </w:tr>
      <w:tr>
        <w:trPr>
          <w:cnfStyle w:evenHBand="false" w:oddHBand="true" w:firstRow="false"/>
        </w:trPr>
        <w:tc>
          <w:tcPr>
            <w:cnfStyle w:evenVBand="false" w:oddVBand="true" w:firstColumn="false"/>
            <w:tcW w:w="25.000000%" w:type="pct"/>
          </w:tcPr>
          <w:p>
            <w:pPr>
              <w:ind w:leftChars="0" w:left="0" w:right="0"/>
            </w:pPr>
            <w:r>
              <w:t>TOMG</w:t>
            </w:r>
          </w:p>
        </w:tc>
        <w:tc>
          <w:tcPr>
            <w:cnfStyle w:evenVBand="true" w:oddVBand="false" w:firstColumn="false"/>
            <w:tcW w:w="25.000000%" w:type="pct"/>
          </w:tcPr>
          <w:p>
            <w:pPr>
              <w:ind w:leftChars="0" w:left="0" w:right="0"/>
            </w:pPr>
            <w:r>
              <w:t>TOMG</w:t>
            </w:r>
          </w:p>
        </w:tc>
        <w:tc>
          <w:tcPr>
            <w:cnfStyle w:evenVBand="false" w:oddVBand="true" w:firstColumn="false"/>
            <w:tcW w:w="25.000000%" w:type="pct"/>
          </w:tcPr>
          <w:p>
            <w:pPr>
              <w:ind w:leftChars="0" w:left="0" w:right="0"/>
            </w:pPr>
            <w:r>
              <w:t>TULLETT PREBON EUROPE - OTF - MADRID - GOVERNMENT BONDS - EXCLUDING GILTS</w:t>
            </w:r>
          </w:p>
        </w:tc>
        <w:tc>
          <w:tcPr>
            <w:cnfStyle w:evenVBand="true" w:oddVBand="false" w:firstColumn="false"/>
            <w:tcW w:w="25.000000%" w:type="pct"/>
          </w:tcPr>
          <w:p>
            <w:pPr>
              <w:ind w:leftChars="0" w:left="0" w:right="0"/>
            </w:pPr>
            <w:r>
              <w:t>1724</w:t>
            </w:r>
          </w:p>
        </w:tc>
      </w:tr>
      <w:tr>
        <w:trPr>
          <w:cnfStyle w:evenHBand="true" w:oddHBand="false" w:firstRow="false"/>
        </w:trPr>
        <w:tc>
          <w:tcPr>
            <w:cnfStyle w:evenVBand="false" w:oddVBand="true" w:firstColumn="false"/>
            <w:tcW w:w="25.000000%" w:type="pct"/>
          </w:tcPr>
          <w:p>
            <w:pPr>
              <w:ind w:leftChars="0" w:left="0" w:right="0"/>
            </w:pPr>
            <w:r>
              <w:t>TOMX</w:t>
            </w:r>
          </w:p>
        </w:tc>
        <w:tc>
          <w:tcPr>
            <w:cnfStyle w:evenVBand="true" w:oddVBand="false" w:firstColumn="false"/>
            <w:tcW w:w="25.000000%" w:type="pct"/>
          </w:tcPr>
          <w:p>
            <w:pPr>
              <w:ind w:leftChars="0" w:left="0" w:right="0"/>
            </w:pPr>
            <w:r>
              <w:t>TOMX</w:t>
            </w:r>
          </w:p>
        </w:tc>
        <w:tc>
          <w:tcPr>
            <w:cnfStyle w:evenVBand="false" w:oddVBand="true" w:firstColumn="false"/>
            <w:tcW w:w="25.000000%" w:type="pct"/>
          </w:tcPr>
          <w:p>
            <w:pPr>
              <w:ind w:leftChars="0" w:left="0" w:right="0"/>
            </w:pPr>
            <w:r>
              <w:t>TOM MTF CASH MARKETS</w:t>
            </w:r>
          </w:p>
        </w:tc>
        <w:tc>
          <w:tcPr>
            <w:cnfStyle w:evenVBand="true" w:oddVBand="false" w:firstColumn="false"/>
            <w:tcW w:w="25.000000%" w:type="pct"/>
          </w:tcPr>
          <w:p>
            <w:pPr>
              <w:ind w:leftChars="0" w:left="0" w:right="0"/>
            </w:pPr>
            <w:r>
              <w:t>1725</w:t>
            </w:r>
          </w:p>
        </w:tc>
      </w:tr>
      <w:tr>
        <w:trPr>
          <w:cnfStyle w:evenHBand="false" w:oddHBand="true" w:firstRow="false"/>
        </w:trPr>
        <w:tc>
          <w:tcPr>
            <w:cnfStyle w:evenVBand="false" w:oddVBand="true" w:firstColumn="false"/>
            <w:tcW w:w="25.000000%" w:type="pct"/>
          </w:tcPr>
          <w:p>
            <w:pPr>
              <w:ind w:leftChars="0" w:left="0" w:right="0"/>
            </w:pPr>
            <w:r>
              <w:t>TOWR</w:t>
            </w:r>
          </w:p>
        </w:tc>
        <w:tc>
          <w:tcPr>
            <w:cnfStyle w:evenVBand="true" w:oddVBand="false" w:firstColumn="false"/>
            <w:tcW w:w="25.000000%" w:type="pct"/>
          </w:tcPr>
          <w:p>
            <w:pPr>
              <w:ind w:leftChars="0" w:left="0" w:right="0"/>
            </w:pPr>
            <w:r>
              <w:t>TOWR</w:t>
            </w:r>
          </w:p>
        </w:tc>
        <w:tc>
          <w:tcPr>
            <w:cnfStyle w:evenVBand="false" w:oddVBand="true" w:firstColumn="false"/>
            <w:tcW w:w="25.000000%" w:type="pct"/>
          </w:tcPr>
          <w:p>
            <w:pPr>
              <w:ind w:leftChars="0" w:left="0" w:right="0"/>
            </w:pPr>
            <w:r>
              <w:t>TOWER RESEARCH CAPITAL EUROPE - SYSTEMATIC INTERNALISER</w:t>
            </w:r>
          </w:p>
        </w:tc>
        <w:tc>
          <w:tcPr>
            <w:cnfStyle w:evenVBand="true" w:oddVBand="false" w:firstColumn="false"/>
            <w:tcW w:w="25.000000%" w:type="pct"/>
          </w:tcPr>
          <w:p>
            <w:pPr>
              <w:ind w:leftChars="0" w:left="0" w:right="0"/>
            </w:pPr>
            <w:r>
              <w:t>1726</w:t>
            </w:r>
          </w:p>
        </w:tc>
      </w:tr>
      <w:tr>
        <w:trPr>
          <w:cnfStyle w:evenHBand="true" w:oddHBand="false" w:firstRow="false"/>
        </w:trPr>
        <w:tc>
          <w:tcPr>
            <w:cnfStyle w:evenVBand="false" w:oddVBand="true" w:firstColumn="false"/>
            <w:tcW w:w="25.000000%" w:type="pct"/>
          </w:tcPr>
          <w:p>
            <w:pPr>
              <w:ind w:leftChars="0" w:left="0" w:right="0"/>
            </w:pPr>
            <w:r>
              <w:t>TPCD</w:t>
            </w:r>
          </w:p>
        </w:tc>
        <w:tc>
          <w:tcPr>
            <w:cnfStyle w:evenVBand="true" w:oddVBand="false" w:firstColumn="false"/>
            <w:tcW w:w="25.000000%" w:type="pct"/>
          </w:tcPr>
          <w:p>
            <w:pPr>
              <w:ind w:leftChars="0" w:left="0" w:right="0"/>
            </w:pPr>
            <w:r>
              <w:t>TPCD</w:t>
            </w:r>
          </w:p>
        </w:tc>
        <w:tc>
          <w:tcPr>
            <w:cnfStyle w:evenVBand="false" w:oddVBand="true" w:firstColumn="false"/>
            <w:tcW w:w="25.000000%" w:type="pct"/>
          </w:tcPr>
          <w:p>
            <w:pPr>
              <w:ind w:leftChars="0" w:left="0" w:right="0"/>
            </w:pPr>
            <w:r>
              <w:t>TULLETT PREBON PLC - TP CREDITDEAL</w:t>
            </w:r>
          </w:p>
        </w:tc>
        <w:tc>
          <w:tcPr>
            <w:cnfStyle w:evenVBand="true" w:oddVBand="false" w:firstColumn="false"/>
            <w:tcW w:w="25.000000%" w:type="pct"/>
          </w:tcPr>
          <w:p>
            <w:pPr>
              <w:ind w:leftChars="0" w:left="0" w:right="0"/>
            </w:pPr>
            <w:r>
              <w:t>1727</w:t>
            </w:r>
          </w:p>
        </w:tc>
      </w:tr>
      <w:tr>
        <w:trPr>
          <w:cnfStyle w:evenHBand="false" w:oddHBand="true" w:firstRow="false"/>
        </w:trPr>
        <w:tc>
          <w:tcPr>
            <w:cnfStyle w:evenVBand="false" w:oddVBand="true" w:firstColumn="false"/>
            <w:tcW w:w="25.000000%" w:type="pct"/>
          </w:tcPr>
          <w:p>
            <w:pPr>
              <w:ind w:leftChars="0" w:left="0" w:right="0"/>
            </w:pPr>
            <w:r>
              <w:t>TPDE</w:t>
            </w:r>
          </w:p>
        </w:tc>
        <w:tc>
          <w:tcPr>
            <w:cnfStyle w:evenVBand="true" w:oddVBand="false" w:firstColumn="false"/>
            <w:tcW w:w="25.000000%" w:type="pct"/>
          </w:tcPr>
          <w:p>
            <w:pPr>
              <w:ind w:leftChars="0" w:left="0" w:right="0"/>
            </w:pPr>
            <w:r>
              <w:t>TPDE</w:t>
            </w:r>
          </w:p>
        </w:tc>
        <w:tc>
          <w:tcPr>
            <w:cnfStyle w:evenVBand="false" w:oddVBand="true" w:firstColumn="false"/>
            <w:tcW w:w="25.000000%" w:type="pct"/>
          </w:tcPr>
          <w:p>
            <w:pPr>
              <w:ind w:leftChars="0" w:left="0" w:right="0"/>
            </w:pPr>
            <w:r>
              <w:t>TULLETT PREBON SECURITIES - FRANKFURT - OTF</w:t>
            </w:r>
          </w:p>
        </w:tc>
        <w:tc>
          <w:tcPr>
            <w:cnfStyle w:evenVBand="true" w:oddVBand="false" w:firstColumn="false"/>
            <w:tcW w:w="25.000000%" w:type="pct"/>
          </w:tcPr>
          <w:p>
            <w:pPr>
              <w:ind w:leftChars="0" w:left="0" w:right="0"/>
            </w:pPr>
            <w:r>
              <w:t>1728</w:t>
            </w:r>
          </w:p>
        </w:tc>
      </w:tr>
      <w:tr>
        <w:trPr>
          <w:cnfStyle w:evenHBand="true" w:oddHBand="false" w:firstRow="false"/>
        </w:trPr>
        <w:tc>
          <w:tcPr>
            <w:cnfStyle w:evenVBand="false" w:oddVBand="true" w:firstColumn="false"/>
            <w:tcW w:w="25.000000%" w:type="pct"/>
          </w:tcPr>
          <w:p>
            <w:pPr>
              <w:ind w:leftChars="0" w:left="0" w:right="0"/>
            </w:pPr>
            <w:r>
              <w:t>TPEE</w:t>
            </w:r>
          </w:p>
        </w:tc>
        <w:tc>
          <w:tcPr>
            <w:cnfStyle w:evenVBand="true" w:oddVBand="false" w:firstColumn="false"/>
            <w:tcW w:w="25.000000%" w:type="pct"/>
          </w:tcPr>
          <w:p>
            <w:pPr>
              <w:ind w:leftChars="0" w:left="0" w:right="0"/>
            </w:pPr>
            <w:r>
              <w:t>TPEE</w:t>
            </w:r>
          </w:p>
        </w:tc>
        <w:tc>
          <w:tcPr>
            <w:cnfStyle w:evenVBand="false" w:oddVBand="true" w:firstColumn="false"/>
            <w:tcW w:w="25.000000%" w:type="pct"/>
          </w:tcPr>
          <w:p>
            <w:pPr>
              <w:ind w:leftChars="0" w:left="0" w:right="0"/>
            </w:pPr>
            <w:r>
              <w:t>TP ICAP EU - MTF - EQUITY AND ETF</w:t>
            </w:r>
          </w:p>
        </w:tc>
        <w:tc>
          <w:tcPr>
            <w:cnfStyle w:evenVBand="true" w:oddVBand="false" w:firstColumn="false"/>
            <w:tcW w:w="25.000000%" w:type="pct"/>
          </w:tcPr>
          <w:p>
            <w:pPr>
              <w:ind w:leftChars="0" w:left="0" w:right="0"/>
            </w:pPr>
            <w:r>
              <w:t>1729</w:t>
            </w:r>
          </w:p>
        </w:tc>
      </w:tr>
      <w:tr>
        <w:trPr>
          <w:cnfStyle w:evenHBand="false" w:oddHBand="true" w:firstRow="false"/>
        </w:trPr>
        <w:tc>
          <w:tcPr>
            <w:cnfStyle w:evenVBand="false" w:oddVBand="true" w:firstColumn="false"/>
            <w:tcW w:w="25.000000%" w:type="pct"/>
          </w:tcPr>
          <w:p>
            <w:pPr>
              <w:ind w:leftChars="0" w:left="0" w:right="0"/>
            </w:pPr>
            <w:r>
              <w:t>TPEL</w:t>
            </w:r>
          </w:p>
        </w:tc>
        <w:tc>
          <w:tcPr>
            <w:cnfStyle w:evenVBand="true" w:oddVBand="false" w:firstColumn="false"/>
            <w:tcW w:w="25.000000%" w:type="pct"/>
          </w:tcPr>
          <w:p>
            <w:pPr>
              <w:ind w:leftChars="0" w:left="0" w:right="0"/>
            </w:pPr>
            <w:r>
              <w:t>TPEL</w:t>
            </w:r>
          </w:p>
        </w:tc>
        <w:tc>
          <w:tcPr>
            <w:cnfStyle w:evenVBand="false" w:oddVBand="true" w:firstColumn="false"/>
            <w:tcW w:w="25.000000%" w:type="pct"/>
          </w:tcPr>
          <w:p>
            <w:pPr>
              <w:ind w:leftChars="0" w:left="0" w:right="0"/>
            </w:pPr>
            <w:r>
              <w:t>TULLETT PREBON (EUROPE) LIMITED</w:t>
            </w:r>
          </w:p>
        </w:tc>
        <w:tc>
          <w:tcPr>
            <w:cnfStyle w:evenVBand="true" w:oddVBand="false" w:firstColumn="false"/>
            <w:tcW w:w="25.000000%" w:type="pct"/>
          </w:tcPr>
          <w:p>
            <w:pPr>
              <w:ind w:leftChars="0" w:left="0" w:right="0"/>
            </w:pPr>
            <w:r>
              <w:t>1730</w:t>
            </w:r>
          </w:p>
        </w:tc>
      </w:tr>
      <w:tr>
        <w:trPr>
          <w:cnfStyle w:evenHBand="true" w:oddHBand="false" w:firstRow="false"/>
        </w:trPr>
        <w:tc>
          <w:tcPr>
            <w:cnfStyle w:evenVBand="false" w:oddVBand="true" w:firstColumn="false"/>
            <w:tcW w:w="25.000000%" w:type="pct"/>
          </w:tcPr>
          <w:p>
            <w:pPr>
              <w:ind w:leftChars="0" w:left="0" w:right="0"/>
            </w:pPr>
            <w:r>
              <w:t>TPEO</w:t>
            </w:r>
          </w:p>
        </w:tc>
        <w:tc>
          <w:tcPr>
            <w:cnfStyle w:evenVBand="true" w:oddVBand="false" w:firstColumn="false"/>
            <w:tcW w:w="25.000000%" w:type="pct"/>
          </w:tcPr>
          <w:p>
            <w:pPr>
              <w:ind w:leftChars="0" w:left="0" w:right="0"/>
            </w:pPr>
            <w:r>
              <w:t>TPEO</w:t>
            </w:r>
          </w:p>
        </w:tc>
        <w:tc>
          <w:tcPr>
            <w:cnfStyle w:evenVBand="false" w:oddVBand="true" w:firstColumn="false"/>
            <w:tcW w:w="25.000000%" w:type="pct"/>
          </w:tcPr>
          <w:p>
            <w:pPr>
              <w:ind w:leftChars="0" w:left="0" w:right="0"/>
            </w:pPr>
            <w:r>
              <w:t>TULLETT PREBON EUROPE - OTF</w:t>
            </w:r>
          </w:p>
        </w:tc>
        <w:tc>
          <w:tcPr>
            <w:cnfStyle w:evenVBand="true" w:oddVBand="false" w:firstColumn="false"/>
            <w:tcW w:w="25.000000%" w:type="pct"/>
          </w:tcPr>
          <w:p>
            <w:pPr>
              <w:ind w:leftChars="0" w:left="0" w:right="0"/>
            </w:pPr>
            <w:r>
              <w:t>1731</w:t>
            </w:r>
          </w:p>
        </w:tc>
      </w:tr>
      <w:tr>
        <w:trPr>
          <w:cnfStyle w:evenHBand="false" w:oddHBand="true" w:firstRow="false"/>
        </w:trPr>
        <w:tc>
          <w:tcPr>
            <w:cnfStyle w:evenVBand="false" w:oddVBand="true" w:firstColumn="false"/>
            <w:tcW w:w="25.000000%" w:type="pct"/>
          </w:tcPr>
          <w:p>
            <w:pPr>
              <w:ind w:leftChars="0" w:left="0" w:right="0"/>
            </w:pPr>
            <w:r>
              <w:t>TPEQ</w:t>
            </w:r>
          </w:p>
        </w:tc>
        <w:tc>
          <w:tcPr>
            <w:cnfStyle w:evenVBand="true" w:oddVBand="false" w:firstColumn="false"/>
            <w:tcW w:w="25.000000%" w:type="pct"/>
          </w:tcPr>
          <w:p>
            <w:pPr>
              <w:ind w:leftChars="0" w:left="0" w:right="0"/>
            </w:pPr>
            <w:r>
              <w:t>TPEQ</w:t>
            </w:r>
          </w:p>
        </w:tc>
        <w:tc>
          <w:tcPr>
            <w:cnfStyle w:evenVBand="false" w:oddVBand="true" w:firstColumn="false"/>
            <w:tcW w:w="25.000000%" w:type="pct"/>
          </w:tcPr>
          <w:p>
            <w:pPr>
              <w:ind w:leftChars="0" w:left="0" w:right="0"/>
            </w:pPr>
            <w:r>
              <w:t>TULLETT PREBON PLC - TP EQUITYTRADE</w:t>
            </w:r>
          </w:p>
        </w:tc>
        <w:tc>
          <w:tcPr>
            <w:cnfStyle w:evenVBand="true" w:oddVBand="false" w:firstColumn="false"/>
            <w:tcW w:w="25.000000%" w:type="pct"/>
          </w:tcPr>
          <w:p>
            <w:pPr>
              <w:ind w:leftChars="0" w:left="0" w:right="0"/>
            </w:pPr>
            <w:r>
              <w:t>1732</w:t>
            </w:r>
          </w:p>
        </w:tc>
      </w:tr>
      <w:tr>
        <w:trPr>
          <w:cnfStyle w:evenHBand="true" w:oddHBand="false" w:firstRow="false"/>
        </w:trPr>
        <w:tc>
          <w:tcPr>
            <w:cnfStyle w:evenVBand="false" w:oddVBand="true" w:firstColumn="false"/>
            <w:tcW w:w="25.000000%" w:type="pct"/>
          </w:tcPr>
          <w:p>
            <w:pPr>
              <w:ind w:leftChars="0" w:left="0" w:right="0"/>
            </w:pPr>
            <w:r>
              <w:t>TPER</w:t>
            </w:r>
          </w:p>
        </w:tc>
        <w:tc>
          <w:tcPr>
            <w:cnfStyle w:evenVBand="true" w:oddVBand="false" w:firstColumn="false"/>
            <w:tcW w:w="25.000000%" w:type="pct"/>
          </w:tcPr>
          <w:p>
            <w:pPr>
              <w:ind w:leftChars="0" w:left="0" w:right="0"/>
            </w:pPr>
            <w:r>
              <w:t>TPER</w:t>
            </w:r>
          </w:p>
        </w:tc>
        <w:tc>
          <w:tcPr>
            <w:cnfStyle w:evenVBand="false" w:oddVBand="true" w:firstColumn="false"/>
            <w:tcW w:w="25.000000%" w:type="pct"/>
          </w:tcPr>
          <w:p>
            <w:pPr>
              <w:ind w:leftChars="0" w:left="0" w:right="0"/>
            </w:pPr>
            <w:r>
              <w:t>TULLETT PREBON EU OTF - REGISTRATION</w:t>
            </w:r>
          </w:p>
        </w:tc>
        <w:tc>
          <w:tcPr>
            <w:cnfStyle w:evenVBand="true" w:oddVBand="false" w:firstColumn="false"/>
            <w:tcW w:w="25.000000%" w:type="pct"/>
          </w:tcPr>
          <w:p>
            <w:pPr>
              <w:ind w:leftChars="0" w:left="0" w:right="0"/>
            </w:pPr>
            <w:r>
              <w:t>1733</w:t>
            </w:r>
          </w:p>
        </w:tc>
      </w:tr>
      <w:tr>
        <w:trPr>
          <w:cnfStyle w:evenHBand="false" w:oddHBand="true" w:firstRow="false"/>
        </w:trPr>
        <w:tc>
          <w:tcPr>
            <w:cnfStyle w:evenVBand="false" w:oddVBand="true" w:firstColumn="false"/>
            <w:tcW w:w="25.000000%" w:type="pct"/>
          </w:tcPr>
          <w:p>
            <w:pPr>
              <w:ind w:leftChars="0" w:left="0" w:right="0"/>
            </w:pPr>
            <w:r>
              <w:t>TPES</w:t>
            </w:r>
          </w:p>
        </w:tc>
        <w:tc>
          <w:tcPr>
            <w:cnfStyle w:evenVBand="true" w:oddVBand="false" w:firstColumn="false"/>
            <w:tcW w:w="25.000000%" w:type="pct"/>
          </w:tcPr>
          <w:p>
            <w:pPr>
              <w:ind w:leftChars="0" w:left="0" w:right="0"/>
            </w:pPr>
            <w:r>
              <w:t>TPES</w:t>
            </w:r>
          </w:p>
        </w:tc>
        <w:tc>
          <w:tcPr>
            <w:cnfStyle w:evenVBand="false" w:oddVBand="true" w:firstColumn="false"/>
            <w:tcW w:w="25.000000%" w:type="pct"/>
          </w:tcPr>
          <w:p>
            <w:pPr>
              <w:ind w:leftChars="0" w:left="0" w:right="0"/>
            </w:pPr>
            <w:r>
              <w:t>TULLETT PREBON EUROPE - OTF - MADRID</w:t>
            </w:r>
          </w:p>
        </w:tc>
        <w:tc>
          <w:tcPr>
            <w:cnfStyle w:evenVBand="true" w:oddVBand="false" w:firstColumn="false"/>
            <w:tcW w:w="25.000000%" w:type="pct"/>
          </w:tcPr>
          <w:p>
            <w:pPr>
              <w:ind w:leftChars="0" w:left="0" w:right="0"/>
            </w:pPr>
            <w:r>
              <w:t>1734</w:t>
            </w:r>
          </w:p>
        </w:tc>
      </w:tr>
      <w:tr>
        <w:trPr>
          <w:cnfStyle w:evenHBand="true" w:oddHBand="false" w:firstRow="false"/>
        </w:trPr>
        <w:tc>
          <w:tcPr>
            <w:cnfStyle w:evenVBand="false" w:oddVBand="true" w:firstColumn="false"/>
            <w:tcW w:w="25.000000%" w:type="pct"/>
          </w:tcPr>
          <w:p>
            <w:pPr>
              <w:ind w:leftChars="0" w:left="0" w:right="0"/>
            </w:pPr>
            <w:r>
              <w:t>TPEU</w:t>
            </w:r>
          </w:p>
        </w:tc>
        <w:tc>
          <w:tcPr>
            <w:cnfStyle w:evenVBand="true" w:oddVBand="false" w:firstColumn="false"/>
            <w:tcW w:w="25.000000%" w:type="pct"/>
          </w:tcPr>
          <w:p>
            <w:pPr>
              <w:ind w:leftChars="0" w:left="0" w:right="0"/>
            </w:pPr>
            <w:r>
              <w:t>TPEU</w:t>
            </w:r>
          </w:p>
        </w:tc>
        <w:tc>
          <w:tcPr>
            <w:cnfStyle w:evenVBand="false" w:oddVBand="true" w:firstColumn="false"/>
            <w:tcW w:w="25.000000%" w:type="pct"/>
          </w:tcPr>
          <w:p>
            <w:pPr>
              <w:ind w:leftChars="0" w:left="0" w:right="0"/>
            </w:pPr>
            <w:r>
              <w:t>TULLETT PREBON EU OTF</w:t>
            </w:r>
          </w:p>
        </w:tc>
        <w:tc>
          <w:tcPr>
            <w:cnfStyle w:evenVBand="true" w:oddVBand="false" w:firstColumn="false"/>
            <w:tcW w:w="25.000000%" w:type="pct"/>
          </w:tcPr>
          <w:p>
            <w:pPr>
              <w:ind w:leftChars="0" w:left="0" w:right="0"/>
            </w:pPr>
            <w:r>
              <w:t>1735</w:t>
            </w:r>
          </w:p>
        </w:tc>
      </w:tr>
      <w:tr>
        <w:trPr>
          <w:cnfStyle w:evenHBand="false" w:oddHBand="true" w:firstRow="false"/>
        </w:trPr>
        <w:tc>
          <w:tcPr>
            <w:cnfStyle w:evenVBand="false" w:oddVBand="true" w:firstColumn="false"/>
            <w:tcW w:w="25.000000%" w:type="pct"/>
          </w:tcPr>
          <w:p>
            <w:pPr>
              <w:ind w:leftChars="0" w:left="0" w:right="0"/>
            </w:pPr>
            <w:r>
              <w:t>TPFD</w:t>
            </w:r>
          </w:p>
        </w:tc>
        <w:tc>
          <w:tcPr>
            <w:cnfStyle w:evenVBand="true" w:oddVBand="false" w:firstColumn="false"/>
            <w:tcW w:w="25.000000%" w:type="pct"/>
          </w:tcPr>
          <w:p>
            <w:pPr>
              <w:ind w:leftChars="0" w:left="0" w:right="0"/>
            </w:pPr>
            <w:r>
              <w:t>TPFD</w:t>
            </w:r>
          </w:p>
        </w:tc>
        <w:tc>
          <w:tcPr>
            <w:cnfStyle w:evenVBand="false" w:oddVBand="true" w:firstColumn="false"/>
            <w:tcW w:w="25.000000%" w:type="pct"/>
          </w:tcPr>
          <w:p>
            <w:pPr>
              <w:ind w:leftChars="0" w:left="0" w:right="0"/>
            </w:pPr>
            <w:r>
              <w:t>TULLETT PREBON PLC - TP FORWARDDEAL</w:t>
            </w:r>
          </w:p>
        </w:tc>
        <w:tc>
          <w:tcPr>
            <w:cnfStyle w:evenVBand="true" w:oddVBand="false" w:firstColumn="false"/>
            <w:tcW w:w="25.000000%" w:type="pct"/>
          </w:tcPr>
          <w:p>
            <w:pPr>
              <w:ind w:leftChars="0" w:left="0" w:right="0"/>
            </w:pPr>
            <w:r>
              <w:t>1736</w:t>
            </w:r>
          </w:p>
        </w:tc>
      </w:tr>
      <w:tr>
        <w:trPr>
          <w:cnfStyle w:evenHBand="true" w:oddHBand="false" w:firstRow="false"/>
        </w:trPr>
        <w:tc>
          <w:tcPr>
            <w:cnfStyle w:evenVBand="false" w:oddVBand="true" w:firstColumn="false"/>
            <w:tcW w:w="25.000000%" w:type="pct"/>
          </w:tcPr>
          <w:p>
            <w:pPr>
              <w:ind w:leftChars="0" w:left="0" w:right="0"/>
            </w:pPr>
            <w:r>
              <w:t>TPFR</w:t>
            </w:r>
          </w:p>
        </w:tc>
        <w:tc>
          <w:tcPr>
            <w:cnfStyle w:evenVBand="true" w:oddVBand="false" w:firstColumn="false"/>
            <w:tcW w:w="25.000000%" w:type="pct"/>
          </w:tcPr>
          <w:p>
            <w:pPr>
              <w:ind w:leftChars="0" w:left="0" w:right="0"/>
            </w:pPr>
            <w:r>
              <w:t>TPFR</w:t>
            </w:r>
          </w:p>
        </w:tc>
        <w:tc>
          <w:tcPr>
            <w:cnfStyle w:evenVBand="false" w:oddVBand="true" w:firstColumn="false"/>
            <w:tcW w:w="25.000000%" w:type="pct"/>
          </w:tcPr>
          <w:p>
            <w:pPr>
              <w:ind w:leftChars="0" w:left="0" w:right="0"/>
            </w:pPr>
            <w:r>
              <w:t>TULLETT PREBON EUROPE - OTF - PARIS</w:t>
            </w:r>
          </w:p>
        </w:tc>
        <w:tc>
          <w:tcPr>
            <w:cnfStyle w:evenVBand="true" w:oddVBand="false" w:firstColumn="false"/>
            <w:tcW w:w="25.000000%" w:type="pct"/>
          </w:tcPr>
          <w:p>
            <w:pPr>
              <w:ind w:leftChars="0" w:left="0" w:right="0"/>
            </w:pPr>
            <w:r>
              <w:t>1737</w:t>
            </w:r>
          </w:p>
        </w:tc>
      </w:tr>
      <w:tr>
        <w:trPr>
          <w:cnfStyle w:evenHBand="false" w:oddHBand="true" w:firstRow="false"/>
        </w:trPr>
        <w:tc>
          <w:tcPr>
            <w:cnfStyle w:evenVBand="false" w:oddVBand="true" w:firstColumn="false"/>
            <w:tcW w:w="25.000000%" w:type="pct"/>
          </w:tcPr>
          <w:p>
            <w:pPr>
              <w:ind w:leftChars="0" w:left="0" w:right="0"/>
            </w:pPr>
            <w:r>
              <w:t>TPIC</w:t>
            </w:r>
          </w:p>
        </w:tc>
        <w:tc>
          <w:tcPr>
            <w:cnfStyle w:evenVBand="true" w:oddVBand="false" w:firstColumn="false"/>
            <w:tcW w:w="25.000000%" w:type="pct"/>
          </w:tcPr>
          <w:p>
            <w:pPr>
              <w:ind w:leftChars="0" w:left="0" w:right="0"/>
            </w:pPr>
            <w:r>
              <w:t>TPIC</w:t>
            </w:r>
          </w:p>
        </w:tc>
        <w:tc>
          <w:tcPr>
            <w:cnfStyle w:evenVBand="false" w:oddVBand="true" w:firstColumn="false"/>
            <w:tcW w:w="25.000000%" w:type="pct"/>
          </w:tcPr>
          <w:p>
            <w:pPr>
              <w:ind w:leftChars="0" w:left="0" w:right="0"/>
            </w:pPr>
            <w:r>
              <w:t>TP ICAP EU - MTF</w:t>
            </w:r>
          </w:p>
        </w:tc>
        <w:tc>
          <w:tcPr>
            <w:cnfStyle w:evenVBand="true" w:oddVBand="false" w:firstColumn="false"/>
            <w:tcW w:w="25.000000%" w:type="pct"/>
          </w:tcPr>
          <w:p>
            <w:pPr>
              <w:ind w:leftChars="0" w:left="0" w:right="0"/>
            </w:pPr>
            <w:r>
              <w:t>1738</w:t>
            </w:r>
          </w:p>
        </w:tc>
      </w:tr>
      <w:tr>
        <w:trPr>
          <w:cnfStyle w:evenHBand="true" w:oddHBand="false" w:firstRow="false"/>
        </w:trPr>
        <w:tc>
          <w:tcPr>
            <w:cnfStyle w:evenVBand="false" w:oddVBand="true" w:firstColumn="false"/>
            <w:tcW w:w="25.000000%" w:type="pct"/>
          </w:tcPr>
          <w:p>
            <w:pPr>
              <w:ind w:leftChars="0" w:left="0" w:right="0"/>
            </w:pPr>
            <w:r>
              <w:t>TPID</w:t>
            </w:r>
          </w:p>
        </w:tc>
        <w:tc>
          <w:tcPr>
            <w:cnfStyle w:evenVBand="true" w:oddVBand="false" w:firstColumn="false"/>
            <w:tcW w:w="25.000000%" w:type="pct"/>
          </w:tcPr>
          <w:p>
            <w:pPr>
              <w:ind w:leftChars="0" w:left="0" w:right="0"/>
            </w:pPr>
            <w:r>
              <w:t>TPID</w:t>
            </w:r>
          </w:p>
        </w:tc>
        <w:tc>
          <w:tcPr>
            <w:cnfStyle w:evenVBand="false" w:oddVBand="true" w:firstColumn="false"/>
            <w:tcW w:w="25.000000%" w:type="pct"/>
          </w:tcPr>
          <w:p>
            <w:pPr>
              <w:ind w:leftChars="0" w:left="0" w:right="0"/>
            </w:pPr>
            <w:r>
              <w:t>TP ICAP - UK - DIGITAL ASSETS</w:t>
            </w:r>
          </w:p>
        </w:tc>
        <w:tc>
          <w:tcPr>
            <w:cnfStyle w:evenVBand="true" w:oddVBand="false" w:firstColumn="false"/>
            <w:tcW w:w="25.000000%" w:type="pct"/>
          </w:tcPr>
          <w:p>
            <w:pPr>
              <w:ind w:leftChars="0" w:left="0" w:right="0"/>
            </w:pPr>
            <w:r>
              <w:t>1739</w:t>
            </w:r>
          </w:p>
        </w:tc>
      </w:tr>
      <w:tr>
        <w:trPr>
          <w:cnfStyle w:evenHBand="false" w:oddHBand="true" w:firstRow="false"/>
        </w:trPr>
        <w:tc>
          <w:tcPr>
            <w:cnfStyle w:evenVBand="false" w:oddVBand="true" w:firstColumn="false"/>
            <w:tcW w:w="25.000000%" w:type="pct"/>
          </w:tcPr>
          <w:p>
            <w:pPr>
              <w:ind w:leftChars="0" w:left="0" w:right="0"/>
            </w:pPr>
            <w:r>
              <w:t>TPIE</w:t>
            </w:r>
          </w:p>
        </w:tc>
        <w:tc>
          <w:tcPr>
            <w:cnfStyle w:evenVBand="true" w:oddVBand="false" w:firstColumn="false"/>
            <w:tcW w:w="25.000000%" w:type="pct"/>
          </w:tcPr>
          <w:p>
            <w:pPr>
              <w:ind w:leftChars="0" w:left="0" w:right="0"/>
            </w:pPr>
            <w:r>
              <w:t>TPIE</w:t>
            </w:r>
          </w:p>
        </w:tc>
        <w:tc>
          <w:tcPr>
            <w:cnfStyle w:evenVBand="false" w:oddVBand="true" w:firstColumn="false"/>
            <w:tcW w:w="25.000000%" w:type="pct"/>
          </w:tcPr>
          <w:p>
            <w:pPr>
              <w:ind w:leftChars="0" w:left="0" w:right="0"/>
            </w:pPr>
            <w:r>
              <w:t>THE PROPERTY INVESTMENT EXCHANGE</w:t>
            </w:r>
          </w:p>
        </w:tc>
        <w:tc>
          <w:tcPr>
            <w:cnfStyle w:evenVBand="true" w:oddVBand="false" w:firstColumn="false"/>
            <w:tcW w:w="25.000000%" w:type="pct"/>
          </w:tcPr>
          <w:p>
            <w:pPr>
              <w:ind w:leftChars="0" w:left="0" w:right="0"/>
            </w:pPr>
            <w:r>
              <w:t>1740</w:t>
            </w:r>
          </w:p>
        </w:tc>
      </w:tr>
      <w:tr>
        <w:trPr>
          <w:cnfStyle w:evenHBand="true" w:oddHBand="false" w:firstRow="false"/>
        </w:trPr>
        <w:tc>
          <w:tcPr>
            <w:cnfStyle w:evenVBand="false" w:oddVBand="true" w:firstColumn="false"/>
            <w:tcW w:w="25.000000%" w:type="pct"/>
          </w:tcPr>
          <w:p>
            <w:pPr>
              <w:ind w:leftChars="0" w:left="0" w:right="0"/>
            </w:pPr>
            <w:r>
              <w:t>TPIM</w:t>
            </w:r>
          </w:p>
        </w:tc>
        <w:tc>
          <w:tcPr>
            <w:cnfStyle w:evenVBand="true" w:oddVBand="false" w:firstColumn="false"/>
            <w:tcW w:w="25.000000%" w:type="pct"/>
          </w:tcPr>
          <w:p>
            <w:pPr>
              <w:ind w:leftChars="0" w:left="0" w:right="0"/>
            </w:pPr>
            <w:r>
              <w:t>TPIM</w:t>
            </w:r>
          </w:p>
        </w:tc>
        <w:tc>
          <w:tcPr>
            <w:cnfStyle w:evenVBand="false" w:oddVBand="true" w:firstColumn="false"/>
            <w:tcW w:w="25.000000%" w:type="pct"/>
          </w:tcPr>
          <w:p>
            <w:pPr>
              <w:ind w:leftChars="0" w:left="0" w:right="0"/>
            </w:pPr>
            <w:r>
              <w:t>THE PROPERTY INVESTMENT MARKET</w:t>
            </w:r>
          </w:p>
        </w:tc>
        <w:tc>
          <w:tcPr>
            <w:cnfStyle w:evenVBand="true" w:oddVBand="false" w:firstColumn="false"/>
            <w:tcW w:w="25.000000%" w:type="pct"/>
          </w:tcPr>
          <w:p>
            <w:pPr>
              <w:ind w:leftChars="0" w:left="0" w:right="0"/>
            </w:pPr>
            <w:r>
              <w:t>1741</w:t>
            </w:r>
          </w:p>
        </w:tc>
      </w:tr>
      <w:tr>
        <w:trPr>
          <w:cnfStyle w:evenHBand="false" w:oddHBand="true" w:firstRow="false"/>
        </w:trPr>
        <w:tc>
          <w:tcPr>
            <w:cnfStyle w:evenVBand="false" w:oddVBand="true" w:firstColumn="false"/>
            <w:tcW w:w="25.000000%" w:type="pct"/>
          </w:tcPr>
          <w:p>
            <w:pPr>
              <w:ind w:leftChars="0" w:left="0" w:right="0"/>
            </w:pPr>
            <w:r>
              <w:t>TPIO</w:t>
            </w:r>
          </w:p>
        </w:tc>
        <w:tc>
          <w:tcPr>
            <w:cnfStyle w:evenVBand="true" w:oddVBand="false" w:firstColumn="false"/>
            <w:tcW w:w="25.000000%" w:type="pct"/>
          </w:tcPr>
          <w:p>
            <w:pPr>
              <w:ind w:leftChars="0" w:left="0" w:right="0"/>
            </w:pPr>
            <w:r>
              <w:t>TPIO</w:t>
            </w:r>
          </w:p>
        </w:tc>
        <w:tc>
          <w:tcPr>
            <w:cnfStyle w:evenVBand="false" w:oddVBand="true" w:firstColumn="false"/>
            <w:tcW w:w="25.000000%" w:type="pct"/>
          </w:tcPr>
          <w:p>
            <w:pPr>
              <w:ind w:leftChars="0" w:left="0" w:right="0"/>
            </w:pPr>
            <w:r>
              <w:t>TP ICAP EU - MTF - ORDERBOOK</w:t>
            </w:r>
          </w:p>
        </w:tc>
        <w:tc>
          <w:tcPr>
            <w:cnfStyle w:evenVBand="true" w:oddVBand="false" w:firstColumn="false"/>
            <w:tcW w:w="25.000000%" w:type="pct"/>
          </w:tcPr>
          <w:p>
            <w:pPr>
              <w:ind w:leftChars="0" w:left="0" w:right="0"/>
            </w:pPr>
            <w:r>
              <w:t>1742</w:t>
            </w:r>
          </w:p>
        </w:tc>
      </w:tr>
      <w:tr>
        <w:trPr>
          <w:cnfStyle w:evenHBand="true" w:oddHBand="false" w:firstRow="false"/>
        </w:trPr>
        <w:tc>
          <w:tcPr>
            <w:cnfStyle w:evenVBand="false" w:oddVBand="true" w:firstColumn="false"/>
            <w:tcW w:w="25.000000%" w:type="pct"/>
          </w:tcPr>
          <w:p>
            <w:pPr>
              <w:ind w:leftChars="0" w:left="0" w:right="0"/>
            </w:pPr>
            <w:r>
              <w:t>TPIR</w:t>
            </w:r>
          </w:p>
        </w:tc>
        <w:tc>
          <w:tcPr>
            <w:cnfStyle w:evenVBand="true" w:oddVBand="false" w:firstColumn="false"/>
            <w:tcW w:w="25.000000%" w:type="pct"/>
          </w:tcPr>
          <w:p>
            <w:pPr>
              <w:ind w:leftChars="0" w:left="0" w:right="0"/>
            </w:pPr>
            <w:r>
              <w:t>TPIR</w:t>
            </w:r>
          </w:p>
        </w:tc>
        <w:tc>
          <w:tcPr>
            <w:cnfStyle w:evenVBand="false" w:oddVBand="true" w:firstColumn="false"/>
            <w:tcW w:w="25.000000%" w:type="pct"/>
          </w:tcPr>
          <w:p>
            <w:pPr>
              <w:ind w:leftChars="0" w:left="0" w:right="0"/>
            </w:pPr>
            <w:r>
              <w:t>TP ICAP EU - MTF - REGISTRATION</w:t>
            </w:r>
          </w:p>
        </w:tc>
        <w:tc>
          <w:tcPr>
            <w:cnfStyle w:evenVBand="true" w:oddVBand="false" w:firstColumn="false"/>
            <w:tcW w:w="25.000000%" w:type="pct"/>
          </w:tcPr>
          <w:p>
            <w:pPr>
              <w:ind w:leftChars="0" w:left="0" w:right="0"/>
            </w:pPr>
            <w:r>
              <w:t>1743</w:t>
            </w:r>
          </w:p>
        </w:tc>
      </w:tr>
      <w:tr>
        <w:trPr>
          <w:cnfStyle w:evenHBand="false" w:oddHBand="true" w:firstRow="false"/>
        </w:trPr>
        <w:tc>
          <w:tcPr>
            <w:cnfStyle w:evenVBand="false" w:oddVBand="true" w:firstColumn="false"/>
            <w:tcW w:w="25.000000%" w:type="pct"/>
          </w:tcPr>
          <w:p>
            <w:pPr>
              <w:ind w:leftChars="0" w:left="0" w:right="0"/>
            </w:pPr>
            <w:r>
              <w:t>TPIS</w:t>
            </w:r>
          </w:p>
        </w:tc>
        <w:tc>
          <w:tcPr>
            <w:cnfStyle w:evenVBand="true" w:oddVBand="false" w:firstColumn="false"/>
            <w:tcW w:w="25.000000%" w:type="pct"/>
          </w:tcPr>
          <w:p>
            <w:pPr>
              <w:ind w:leftChars="0" w:left="0" w:right="0"/>
            </w:pPr>
            <w:r>
              <w:t>TPIS</w:t>
            </w:r>
          </w:p>
        </w:tc>
        <w:tc>
          <w:tcPr>
            <w:cnfStyle w:evenVBand="false" w:oddVBand="true" w:firstColumn="false"/>
            <w:tcW w:w="25.000000%" w:type="pct"/>
          </w:tcPr>
          <w:p>
            <w:pPr>
              <w:ind w:leftChars="0" w:left="0" w:right="0"/>
            </w:pPr>
            <w:r>
              <w:t>TULLETT PREBON - INSTITUTIONAL SERVICES - OTF</w:t>
            </w:r>
          </w:p>
        </w:tc>
        <w:tc>
          <w:tcPr>
            <w:cnfStyle w:evenVBand="true" w:oddVBand="false" w:firstColumn="false"/>
            <w:tcW w:w="25.000000%" w:type="pct"/>
          </w:tcPr>
          <w:p>
            <w:pPr>
              <w:ind w:leftChars="0" w:left="0" w:right="0"/>
            </w:pPr>
            <w:r>
              <w:t>1744</w:t>
            </w:r>
          </w:p>
        </w:tc>
      </w:tr>
      <w:tr>
        <w:trPr>
          <w:cnfStyle w:evenHBand="true" w:oddHBand="false" w:firstRow="false"/>
        </w:trPr>
        <w:tc>
          <w:tcPr>
            <w:cnfStyle w:evenVBand="false" w:oddVBand="true" w:firstColumn="false"/>
            <w:tcW w:w="25.000000%" w:type="pct"/>
          </w:tcPr>
          <w:p>
            <w:pPr>
              <w:ind w:leftChars="0" w:left="0" w:right="0"/>
            </w:pPr>
            <w:r>
              <w:t>TPLF</w:t>
            </w:r>
          </w:p>
        </w:tc>
        <w:tc>
          <w:tcPr>
            <w:cnfStyle w:evenVBand="true" w:oddVBand="false" w:firstColumn="false"/>
            <w:tcW w:w="25.000000%" w:type="pct"/>
          </w:tcPr>
          <w:p>
            <w:pPr>
              <w:ind w:leftChars="0" w:left="0" w:right="0"/>
            </w:pPr>
            <w:r>
              <w:t>TPLF</w:t>
            </w:r>
          </w:p>
        </w:tc>
        <w:tc>
          <w:tcPr>
            <w:cnfStyle w:evenVBand="false" w:oddVBand="true" w:firstColumn="false"/>
            <w:tcW w:w="25.000000%" w:type="pct"/>
          </w:tcPr>
          <w:p>
            <w:pPr>
              <w:ind w:leftChars="0" w:left="0" w:right="0"/>
            </w:pPr>
            <w:r>
              <w:t>TULLETT PREBON - INSTITUTIONAL SERVICES - LIQUIDITY CHAIN - OTF - CORPORATE BONDS AND SECURITISED DEBT</w:t>
            </w:r>
          </w:p>
        </w:tc>
        <w:tc>
          <w:tcPr>
            <w:cnfStyle w:evenVBand="true" w:oddVBand="false" w:firstColumn="false"/>
            <w:tcW w:w="25.000000%" w:type="pct"/>
          </w:tcPr>
          <w:p>
            <w:pPr>
              <w:ind w:leftChars="0" w:left="0" w:right="0"/>
            </w:pPr>
            <w:r>
              <w:t>1745</w:t>
            </w:r>
          </w:p>
        </w:tc>
      </w:tr>
      <w:tr>
        <w:trPr>
          <w:cnfStyle w:evenHBand="false" w:oddHBand="true" w:firstRow="false"/>
        </w:trPr>
        <w:tc>
          <w:tcPr>
            <w:cnfStyle w:evenVBand="false" w:oddVBand="true" w:firstColumn="false"/>
            <w:tcW w:w="25.000000%" w:type="pct"/>
          </w:tcPr>
          <w:p>
            <w:pPr>
              <w:ind w:leftChars="0" w:left="0" w:right="0"/>
            </w:pPr>
            <w:r>
              <w:t>TPMF</w:t>
            </w:r>
          </w:p>
        </w:tc>
        <w:tc>
          <w:tcPr>
            <w:cnfStyle w:evenVBand="true" w:oddVBand="false" w:firstColumn="false"/>
            <w:tcW w:w="25.000000%" w:type="pct"/>
          </w:tcPr>
          <w:p>
            <w:pPr>
              <w:ind w:leftChars="0" w:left="0" w:right="0"/>
            </w:pPr>
            <w:r>
              <w:t>TPMF</w:t>
            </w:r>
          </w:p>
        </w:tc>
        <w:tc>
          <w:tcPr>
            <w:cnfStyle w:evenVBand="false" w:oddVBand="true" w:firstColumn="false"/>
            <w:tcW w:w="25.000000%" w:type="pct"/>
          </w:tcPr>
          <w:p>
            <w:pPr>
              <w:ind w:leftChars="0" w:left="0" w:right="0"/>
            </w:pPr>
            <w:r>
              <w:t>TULLETT PREBON - INSTITUTIONAL SERVICES - MIREXA - OTF - CORPORATE BONDS AND SECURITISED DEBT</w:t>
            </w:r>
          </w:p>
        </w:tc>
        <w:tc>
          <w:tcPr>
            <w:cnfStyle w:evenVBand="true" w:oddVBand="false" w:firstColumn="false"/>
            <w:tcW w:w="25.000000%" w:type="pct"/>
          </w:tcPr>
          <w:p>
            <w:pPr>
              <w:ind w:leftChars="0" w:left="0" w:right="0"/>
            </w:pPr>
            <w:r>
              <w:t>1746</w:t>
            </w:r>
          </w:p>
        </w:tc>
      </w:tr>
      <w:tr>
        <w:trPr>
          <w:cnfStyle w:evenHBand="true" w:oddHBand="false" w:firstRow="false"/>
        </w:trPr>
        <w:tc>
          <w:tcPr>
            <w:cnfStyle w:evenVBand="false" w:oddVBand="true" w:firstColumn="false"/>
            <w:tcW w:w="25.000000%" w:type="pct"/>
          </w:tcPr>
          <w:p>
            <w:pPr>
              <w:ind w:leftChars="0" w:left="0" w:right="0"/>
            </w:pPr>
            <w:r>
              <w:t>TPMG</w:t>
            </w:r>
          </w:p>
        </w:tc>
        <w:tc>
          <w:tcPr>
            <w:cnfStyle w:evenVBand="true" w:oddVBand="false" w:firstColumn="false"/>
            <w:tcW w:w="25.000000%" w:type="pct"/>
          </w:tcPr>
          <w:p>
            <w:pPr>
              <w:ind w:leftChars="0" w:left="0" w:right="0"/>
            </w:pPr>
            <w:r>
              <w:t>TPMG</w:t>
            </w:r>
          </w:p>
        </w:tc>
        <w:tc>
          <w:tcPr>
            <w:cnfStyle w:evenVBand="false" w:oddVBand="true" w:firstColumn="false"/>
            <w:tcW w:w="25.000000%" w:type="pct"/>
          </w:tcPr>
          <w:p>
            <w:pPr>
              <w:ind w:leftChars="0" w:left="0" w:right="0"/>
            </w:pPr>
            <w:r>
              <w:t>TULLETT PREBON - INSTITUTIONAL SERVICES - MIREXA - OTF - GOVERNMENT BONDS</w:t>
            </w:r>
          </w:p>
        </w:tc>
        <w:tc>
          <w:tcPr>
            <w:cnfStyle w:evenVBand="true" w:oddVBand="false" w:firstColumn="false"/>
            <w:tcW w:w="25.000000%" w:type="pct"/>
          </w:tcPr>
          <w:p>
            <w:pPr>
              <w:ind w:leftChars="0" w:left="0" w:right="0"/>
            </w:pPr>
            <w:r>
              <w:t>1747</w:t>
            </w:r>
          </w:p>
        </w:tc>
      </w:tr>
      <w:tr>
        <w:trPr>
          <w:cnfStyle w:evenHBand="false" w:oddHBand="true" w:firstRow="false"/>
        </w:trPr>
        <w:tc>
          <w:tcPr>
            <w:cnfStyle w:evenVBand="false" w:oddVBand="true" w:firstColumn="false"/>
            <w:tcW w:w="25.000000%" w:type="pct"/>
          </w:tcPr>
          <w:p>
            <w:pPr>
              <w:ind w:leftChars="0" w:left="0" w:right="0"/>
            </w:pPr>
            <w:r>
              <w:t>TPRE</w:t>
            </w:r>
          </w:p>
        </w:tc>
        <w:tc>
          <w:tcPr>
            <w:cnfStyle w:evenVBand="true" w:oddVBand="false" w:firstColumn="false"/>
            <w:tcW w:w="25.000000%" w:type="pct"/>
          </w:tcPr>
          <w:p>
            <w:pPr>
              <w:ind w:leftChars="0" w:left="0" w:right="0"/>
            </w:pPr>
            <w:r>
              <w:t>TPRE</w:t>
            </w:r>
          </w:p>
        </w:tc>
        <w:tc>
          <w:tcPr>
            <w:cnfStyle w:evenVBand="false" w:oddVBand="true" w:firstColumn="false"/>
            <w:tcW w:w="25.000000%" w:type="pct"/>
          </w:tcPr>
          <w:p>
            <w:pPr>
              <w:ind w:leftChars="0" w:left="0" w:right="0"/>
            </w:pPr>
            <w:r>
              <w:t>TULLETT PREBON PLC - TP REPO</w:t>
            </w:r>
          </w:p>
        </w:tc>
        <w:tc>
          <w:tcPr>
            <w:cnfStyle w:evenVBand="true" w:oddVBand="false" w:firstColumn="false"/>
            <w:tcW w:w="25.000000%" w:type="pct"/>
          </w:tcPr>
          <w:p>
            <w:pPr>
              <w:ind w:leftChars="0" w:left="0" w:right="0"/>
            </w:pPr>
            <w:r>
              <w:t>1748</w:t>
            </w:r>
          </w:p>
        </w:tc>
      </w:tr>
      <w:tr>
        <w:trPr>
          <w:cnfStyle w:evenHBand="true" w:oddHBand="false" w:firstRow="false"/>
        </w:trPr>
        <w:tc>
          <w:tcPr>
            <w:cnfStyle w:evenVBand="false" w:oddVBand="true" w:firstColumn="false"/>
            <w:tcW w:w="25.000000%" w:type="pct"/>
          </w:tcPr>
          <w:p>
            <w:pPr>
              <w:ind w:leftChars="0" w:left="0" w:right="0"/>
            </w:pPr>
            <w:r>
              <w:t>TPSD</w:t>
            </w:r>
          </w:p>
        </w:tc>
        <w:tc>
          <w:tcPr>
            <w:cnfStyle w:evenVBand="true" w:oddVBand="false" w:firstColumn="false"/>
            <w:tcW w:w="25.000000%" w:type="pct"/>
          </w:tcPr>
          <w:p>
            <w:pPr>
              <w:ind w:leftChars="0" w:left="0" w:right="0"/>
            </w:pPr>
            <w:r>
              <w:t>TPSD</w:t>
            </w:r>
          </w:p>
        </w:tc>
        <w:tc>
          <w:tcPr>
            <w:cnfStyle w:evenVBand="false" w:oddVBand="true" w:firstColumn="false"/>
            <w:tcW w:w="25.000000%" w:type="pct"/>
          </w:tcPr>
          <w:p>
            <w:pPr>
              <w:ind w:leftChars="0" w:left="0" w:right="0"/>
            </w:pPr>
            <w:r>
              <w:t>TULLETT PREBON PLC - TP SWAPDEAL</w:t>
            </w:r>
          </w:p>
        </w:tc>
        <w:tc>
          <w:tcPr>
            <w:cnfStyle w:evenVBand="true" w:oddVBand="false" w:firstColumn="false"/>
            <w:tcW w:w="25.000000%" w:type="pct"/>
          </w:tcPr>
          <w:p>
            <w:pPr>
              <w:ind w:leftChars="0" w:left="0" w:right="0"/>
            </w:pPr>
            <w:r>
              <w:t>1749</w:t>
            </w:r>
          </w:p>
        </w:tc>
      </w:tr>
      <w:tr>
        <w:trPr>
          <w:cnfStyle w:evenHBand="false" w:oddHBand="true" w:firstRow="false"/>
        </w:trPr>
        <w:tc>
          <w:tcPr>
            <w:cnfStyle w:evenVBand="false" w:oddVBand="true" w:firstColumn="false"/>
            <w:tcW w:w="25.000000%" w:type="pct"/>
          </w:tcPr>
          <w:p>
            <w:pPr>
              <w:ind w:leftChars="0" w:left="0" w:right="0"/>
            </w:pPr>
            <w:r>
              <w:t>TPSE</w:t>
            </w:r>
          </w:p>
        </w:tc>
        <w:tc>
          <w:tcPr>
            <w:cnfStyle w:evenVBand="true" w:oddVBand="false" w:firstColumn="false"/>
            <w:tcW w:w="25.000000%" w:type="pct"/>
          </w:tcPr>
          <w:p>
            <w:pPr>
              <w:ind w:leftChars="0" w:left="0" w:right="0"/>
            </w:pPr>
            <w:r>
              <w:t>TPSE</w:t>
            </w:r>
          </w:p>
        </w:tc>
        <w:tc>
          <w:tcPr>
            <w:cnfStyle w:evenVBand="false" w:oddVBand="true" w:firstColumn="false"/>
            <w:tcW w:w="25.000000%" w:type="pct"/>
          </w:tcPr>
          <w:p>
            <w:pPr>
              <w:ind w:leftChars="0" w:left="0" w:right="0"/>
            </w:pPr>
            <w:r>
              <w:t>TP SEF, INC.</w:t>
            </w:r>
          </w:p>
        </w:tc>
        <w:tc>
          <w:tcPr>
            <w:cnfStyle w:evenVBand="true" w:oddVBand="false" w:firstColumn="false"/>
            <w:tcW w:w="25.000000%" w:type="pct"/>
          </w:tcPr>
          <w:p>
            <w:pPr>
              <w:ind w:leftChars="0" w:left="0" w:right="0"/>
            </w:pPr>
            <w:r>
              <w:t>1750</w:t>
            </w:r>
          </w:p>
        </w:tc>
      </w:tr>
      <w:tr>
        <w:trPr>
          <w:cnfStyle w:evenHBand="true" w:oddHBand="false" w:firstRow="false"/>
        </w:trPr>
        <w:tc>
          <w:tcPr>
            <w:cnfStyle w:evenVBand="false" w:oddVBand="true" w:firstColumn="false"/>
            <w:tcW w:w="25.000000%" w:type="pct"/>
          </w:tcPr>
          <w:p>
            <w:pPr>
              <w:ind w:leftChars="0" w:left="0" w:right="0"/>
            </w:pPr>
            <w:r>
              <w:t>TPSL</w:t>
            </w:r>
          </w:p>
        </w:tc>
        <w:tc>
          <w:tcPr>
            <w:cnfStyle w:evenVBand="true" w:oddVBand="false" w:firstColumn="false"/>
            <w:tcW w:w="25.000000%" w:type="pct"/>
          </w:tcPr>
          <w:p>
            <w:pPr>
              <w:ind w:leftChars="0" w:left="0" w:right="0"/>
            </w:pPr>
            <w:r>
              <w:t>TPSL</w:t>
            </w:r>
          </w:p>
        </w:tc>
        <w:tc>
          <w:tcPr>
            <w:cnfStyle w:evenVBand="false" w:oddVBand="true" w:firstColumn="false"/>
            <w:tcW w:w="25.000000%" w:type="pct"/>
          </w:tcPr>
          <w:p>
            <w:pPr>
              <w:ind w:leftChars="0" w:left="0" w:right="0"/>
            </w:pPr>
            <w:r>
              <w:t>TULLETT PREBON SECURITIES - MTF</w:t>
            </w:r>
          </w:p>
        </w:tc>
        <w:tc>
          <w:tcPr>
            <w:cnfStyle w:evenVBand="true" w:oddVBand="false" w:firstColumn="false"/>
            <w:tcW w:w="25.000000%" w:type="pct"/>
          </w:tcPr>
          <w:p>
            <w:pPr>
              <w:ind w:leftChars="0" w:left="0" w:right="0"/>
            </w:pPr>
            <w:r>
              <w:t>1751</w:t>
            </w:r>
          </w:p>
        </w:tc>
      </w:tr>
      <w:tr>
        <w:trPr>
          <w:cnfStyle w:evenHBand="false" w:oddHBand="true" w:firstRow="false"/>
        </w:trPr>
        <w:tc>
          <w:tcPr>
            <w:cnfStyle w:evenVBand="false" w:oddVBand="true" w:firstColumn="false"/>
            <w:tcW w:w="25.000000%" w:type="pct"/>
          </w:tcPr>
          <w:p>
            <w:pPr>
              <w:ind w:leftChars="0" w:left="0" w:right="0"/>
            </w:pPr>
            <w:r>
              <w:t>TPSO</w:t>
            </w:r>
          </w:p>
        </w:tc>
        <w:tc>
          <w:tcPr>
            <w:cnfStyle w:evenVBand="true" w:oddVBand="false" w:firstColumn="false"/>
            <w:tcW w:w="25.000000%" w:type="pct"/>
          </w:tcPr>
          <w:p>
            <w:pPr>
              <w:ind w:leftChars="0" w:left="0" w:right="0"/>
            </w:pPr>
            <w:r>
              <w:t>TPSO</w:t>
            </w:r>
          </w:p>
        </w:tc>
        <w:tc>
          <w:tcPr>
            <w:cnfStyle w:evenVBand="false" w:oddVBand="true" w:firstColumn="false"/>
            <w:tcW w:w="25.000000%" w:type="pct"/>
          </w:tcPr>
          <w:p>
            <w:pPr>
              <w:ind w:leftChars="0" w:left="0" w:right="0"/>
            </w:pPr>
            <w:r>
              <w:t>TP UK OTF</w:t>
            </w:r>
          </w:p>
        </w:tc>
        <w:tc>
          <w:tcPr>
            <w:cnfStyle w:evenVBand="true" w:oddVBand="false" w:firstColumn="false"/>
            <w:tcW w:w="25.000000%" w:type="pct"/>
          </w:tcPr>
          <w:p>
            <w:pPr>
              <w:ind w:leftChars="0" w:left="0" w:right="0"/>
            </w:pPr>
            <w:r>
              <w:t>1752</w:t>
            </w:r>
          </w:p>
        </w:tc>
      </w:tr>
      <w:tr>
        <w:trPr>
          <w:cnfStyle w:evenHBand="true" w:oddHBand="false" w:firstRow="false"/>
        </w:trPr>
        <w:tc>
          <w:tcPr>
            <w:cnfStyle w:evenVBand="false" w:oddVBand="true" w:firstColumn="false"/>
            <w:tcW w:w="25.000000%" w:type="pct"/>
          </w:tcPr>
          <w:p>
            <w:pPr>
              <w:ind w:leftChars="0" w:left="0" w:right="0"/>
            </w:pPr>
            <w:r>
              <w:t>TPSP</w:t>
            </w:r>
          </w:p>
        </w:tc>
        <w:tc>
          <w:tcPr>
            <w:cnfStyle w:evenVBand="true" w:oddVBand="false" w:firstColumn="false"/>
            <w:tcW w:w="25.000000%" w:type="pct"/>
          </w:tcPr>
          <w:p>
            <w:pPr>
              <w:ind w:leftChars="0" w:left="0" w:right="0"/>
            </w:pPr>
            <w:r>
              <w:t>TPSP</w:t>
            </w:r>
          </w:p>
        </w:tc>
        <w:tc>
          <w:tcPr>
            <w:cnfStyle w:evenVBand="false" w:oddVBand="true" w:firstColumn="false"/>
            <w:tcW w:w="25.000000%" w:type="pct"/>
          </w:tcPr>
          <w:p>
            <w:pPr>
              <w:ind w:leftChars="0" w:left="0" w:right="0"/>
            </w:pPr>
            <w:r>
              <w:t>TULLETT PREBON PLC - TP SPOTDEAL</w:t>
            </w:r>
          </w:p>
        </w:tc>
        <w:tc>
          <w:tcPr>
            <w:cnfStyle w:evenVBand="true" w:oddVBand="false" w:firstColumn="false"/>
            <w:tcW w:w="25.000000%" w:type="pct"/>
          </w:tcPr>
          <w:p>
            <w:pPr>
              <w:ind w:leftChars="0" w:left="0" w:right="0"/>
            </w:pPr>
            <w:r>
              <w:t>1753</w:t>
            </w:r>
          </w:p>
        </w:tc>
      </w:tr>
      <w:tr>
        <w:trPr>
          <w:cnfStyle w:evenHBand="false" w:oddHBand="true" w:firstRow="false"/>
        </w:trPr>
        <w:tc>
          <w:tcPr>
            <w:cnfStyle w:evenVBand="false" w:oddVBand="true" w:firstColumn="false"/>
            <w:tcW w:w="25.000000%" w:type="pct"/>
          </w:tcPr>
          <w:p>
            <w:pPr>
              <w:ind w:leftChars="0" w:left="0" w:right="0"/>
            </w:pPr>
            <w:r>
              <w:t>TPSV</w:t>
            </w:r>
          </w:p>
        </w:tc>
        <w:tc>
          <w:tcPr>
            <w:cnfStyle w:evenVBand="true" w:oddVBand="false" w:firstColumn="false"/>
            <w:tcW w:w="25.000000%" w:type="pct"/>
          </w:tcPr>
          <w:p>
            <w:pPr>
              <w:ind w:leftChars="0" w:left="0" w:right="0"/>
            </w:pPr>
            <w:r>
              <w:t>TPSV</w:t>
            </w:r>
          </w:p>
        </w:tc>
        <w:tc>
          <w:tcPr>
            <w:cnfStyle w:evenVBand="false" w:oddVBand="true" w:firstColumn="false"/>
            <w:tcW w:w="25.000000%" w:type="pct"/>
          </w:tcPr>
          <w:p>
            <w:pPr>
              <w:ind w:leftChars="0" w:left="0" w:right="0"/>
            </w:pPr>
            <w:r>
              <w:t>TPSEF, INC - VOICE</w:t>
            </w:r>
          </w:p>
        </w:tc>
        <w:tc>
          <w:tcPr>
            <w:cnfStyle w:evenVBand="true" w:oddVBand="false" w:firstColumn="false"/>
            <w:tcW w:w="25.000000%" w:type="pct"/>
          </w:tcPr>
          <w:p>
            <w:pPr>
              <w:ind w:leftChars="0" w:left="0" w:right="0"/>
            </w:pPr>
            <w:r>
              <w:t>1754</w:t>
            </w:r>
          </w:p>
        </w:tc>
      </w:tr>
      <w:tr>
        <w:trPr>
          <w:cnfStyle w:evenHBand="true" w:oddHBand="false" w:firstRow="false"/>
        </w:trPr>
        <w:tc>
          <w:tcPr>
            <w:cnfStyle w:evenVBand="false" w:oddVBand="true" w:firstColumn="false"/>
            <w:tcW w:w="25.000000%" w:type="pct"/>
          </w:tcPr>
          <w:p>
            <w:pPr>
              <w:ind w:leftChars="0" w:left="0" w:right="0"/>
            </w:pPr>
            <w:r>
              <w:t>TPSY</w:t>
            </w:r>
          </w:p>
        </w:tc>
        <w:tc>
          <w:tcPr>
            <w:cnfStyle w:evenVBand="true" w:oddVBand="false" w:firstColumn="false"/>
            <w:tcW w:w="25.000000%" w:type="pct"/>
          </w:tcPr>
          <w:p>
            <w:pPr>
              <w:ind w:leftChars="0" w:left="0" w:right="0"/>
            </w:pPr>
            <w:r>
              <w:t>TPSY</w:t>
            </w:r>
          </w:p>
        </w:tc>
        <w:tc>
          <w:tcPr>
            <w:cnfStyle w:evenVBand="false" w:oddVBand="true" w:firstColumn="false"/>
            <w:tcW w:w="25.000000%" w:type="pct"/>
          </w:tcPr>
          <w:p>
            <w:pPr>
              <w:ind w:leftChars="0" w:left="0" w:right="0"/>
            </w:pPr>
            <w:r>
              <w:t>TULLETT PREBON - INSTITUTIONAL SERVICES - TPSYNREX - OTF - CORPORATE BONDS AND SECURITISED DEBT</w:t>
            </w:r>
          </w:p>
        </w:tc>
        <w:tc>
          <w:tcPr>
            <w:cnfStyle w:evenVBand="true" w:oddVBand="false" w:firstColumn="false"/>
            <w:tcW w:w="25.000000%" w:type="pct"/>
          </w:tcPr>
          <w:p>
            <w:pPr>
              <w:ind w:leftChars="0" w:left="0" w:right="0"/>
            </w:pPr>
            <w:r>
              <w:t>1755</w:t>
            </w:r>
          </w:p>
        </w:tc>
      </w:tr>
      <w:tr>
        <w:trPr>
          <w:cnfStyle w:evenHBand="false" w:oddHBand="true" w:firstRow="false"/>
        </w:trPr>
        <w:tc>
          <w:tcPr>
            <w:cnfStyle w:evenVBand="false" w:oddVBand="true" w:firstColumn="false"/>
            <w:tcW w:w="25.000000%" w:type="pct"/>
          </w:tcPr>
          <w:p>
            <w:pPr>
              <w:ind w:leftChars="0" w:left="0" w:right="0"/>
            </w:pPr>
            <w:r>
              <w:t>TQEA</w:t>
            </w:r>
          </w:p>
        </w:tc>
        <w:tc>
          <w:tcPr>
            <w:cnfStyle w:evenVBand="true" w:oddVBand="false" w:firstColumn="false"/>
            <w:tcW w:w="25.000000%" w:type="pct"/>
          </w:tcPr>
          <w:p>
            <w:pPr>
              <w:ind w:leftChars="0" w:left="0" w:right="0"/>
            </w:pPr>
            <w:r>
              <w:t>TQEA</w:t>
            </w:r>
          </w:p>
        </w:tc>
        <w:tc>
          <w:tcPr>
            <w:cnfStyle w:evenVBand="false" w:oddVBand="true" w:firstColumn="false"/>
            <w:tcW w:w="25.000000%" w:type="pct"/>
          </w:tcPr>
          <w:p>
            <w:pPr>
              <w:ind w:leftChars="0" w:left="0" w:right="0"/>
            </w:pPr>
            <w:r>
              <w:t>TURQUOISE EUROPE - LIT AUCTIONS</w:t>
            </w:r>
          </w:p>
        </w:tc>
        <w:tc>
          <w:tcPr>
            <w:cnfStyle w:evenVBand="true" w:oddVBand="false" w:firstColumn="false"/>
            <w:tcW w:w="25.000000%" w:type="pct"/>
          </w:tcPr>
          <w:p>
            <w:pPr>
              <w:ind w:leftChars="0" w:left="0" w:right="0"/>
            </w:pPr>
            <w:r>
              <w:t>1756</w:t>
            </w:r>
          </w:p>
        </w:tc>
      </w:tr>
      <w:tr>
        <w:trPr>
          <w:cnfStyle w:evenHBand="true" w:oddHBand="false" w:firstRow="false"/>
        </w:trPr>
        <w:tc>
          <w:tcPr>
            <w:cnfStyle w:evenVBand="false" w:oddVBand="true" w:firstColumn="false"/>
            <w:tcW w:w="25.000000%" w:type="pct"/>
          </w:tcPr>
          <w:p>
            <w:pPr>
              <w:ind w:leftChars="0" w:left="0" w:right="0"/>
            </w:pPr>
            <w:r>
              <w:t>TQEB</w:t>
            </w:r>
          </w:p>
        </w:tc>
        <w:tc>
          <w:tcPr>
            <w:cnfStyle w:evenVBand="true" w:oddVBand="false" w:firstColumn="false"/>
            <w:tcW w:w="25.000000%" w:type="pct"/>
          </w:tcPr>
          <w:p>
            <w:pPr>
              <w:ind w:leftChars="0" w:left="0" w:right="0"/>
            </w:pPr>
            <w:r>
              <w:t>TQEB</w:t>
            </w:r>
          </w:p>
        </w:tc>
        <w:tc>
          <w:tcPr>
            <w:cnfStyle w:evenVBand="false" w:oddVBand="true" w:firstColumn="false"/>
            <w:tcW w:w="25.000000%" w:type="pct"/>
          </w:tcPr>
          <w:p>
            <w:pPr>
              <w:ind w:leftChars="0" w:left="0" w:right="0"/>
            </w:pPr>
            <w:r>
              <w:t>TURQUOISE EUROPE - NYLON CASH ORDER BOOK</w:t>
            </w:r>
          </w:p>
        </w:tc>
        <w:tc>
          <w:tcPr>
            <w:cnfStyle w:evenVBand="true" w:oddVBand="false" w:firstColumn="false"/>
            <w:tcW w:w="25.000000%" w:type="pct"/>
          </w:tcPr>
          <w:p>
            <w:pPr>
              <w:ind w:leftChars="0" w:left="0" w:right="0"/>
            </w:pPr>
            <w:r>
              <w:t>1757</w:t>
            </w:r>
          </w:p>
        </w:tc>
      </w:tr>
      <w:tr>
        <w:trPr>
          <w:cnfStyle w:evenHBand="false" w:oddHBand="true" w:firstRow="false"/>
        </w:trPr>
        <w:tc>
          <w:tcPr>
            <w:cnfStyle w:evenVBand="false" w:oddVBand="true" w:firstColumn="false"/>
            <w:tcW w:w="25.000000%" w:type="pct"/>
          </w:tcPr>
          <w:p>
            <w:pPr>
              <w:ind w:leftChars="0" w:left="0" w:right="0"/>
            </w:pPr>
            <w:r>
              <w:t>TQEM</w:t>
            </w:r>
          </w:p>
        </w:tc>
        <w:tc>
          <w:tcPr>
            <w:cnfStyle w:evenVBand="true" w:oddVBand="false" w:firstColumn="false"/>
            <w:tcW w:w="25.000000%" w:type="pct"/>
          </w:tcPr>
          <w:p>
            <w:pPr>
              <w:ind w:leftChars="0" w:left="0" w:right="0"/>
            </w:pPr>
            <w:r>
              <w:t>TQEM</w:t>
            </w:r>
          </w:p>
        </w:tc>
        <w:tc>
          <w:tcPr>
            <w:cnfStyle w:evenVBand="false" w:oddVBand="true" w:firstColumn="false"/>
            <w:tcW w:w="25.000000%" w:type="pct"/>
          </w:tcPr>
          <w:p>
            <w:pPr>
              <w:ind w:leftChars="0" w:left="0" w:right="0"/>
            </w:pPr>
            <w:r>
              <w:t>TURQUOISE EUROPE - DARK</w:t>
            </w:r>
          </w:p>
        </w:tc>
        <w:tc>
          <w:tcPr>
            <w:cnfStyle w:evenVBand="true" w:oddVBand="false" w:firstColumn="false"/>
            <w:tcW w:w="25.000000%" w:type="pct"/>
          </w:tcPr>
          <w:p>
            <w:pPr>
              <w:ind w:leftChars="0" w:left="0" w:right="0"/>
            </w:pPr>
            <w:r>
              <w:t>1758</w:t>
            </w:r>
          </w:p>
        </w:tc>
      </w:tr>
      <w:tr>
        <w:trPr>
          <w:cnfStyle w:evenHBand="true" w:oddHBand="false" w:firstRow="false"/>
        </w:trPr>
        <w:tc>
          <w:tcPr>
            <w:cnfStyle w:evenVBand="false" w:oddVBand="true" w:firstColumn="false"/>
            <w:tcW w:w="25.000000%" w:type="pct"/>
          </w:tcPr>
          <w:p>
            <w:pPr>
              <w:ind w:leftChars="0" w:left="0" w:right="0"/>
            </w:pPr>
            <w:r>
              <w:t>TQEX</w:t>
            </w:r>
          </w:p>
        </w:tc>
        <w:tc>
          <w:tcPr>
            <w:cnfStyle w:evenVBand="true" w:oddVBand="false" w:firstColumn="false"/>
            <w:tcW w:w="25.000000%" w:type="pct"/>
          </w:tcPr>
          <w:p>
            <w:pPr>
              <w:ind w:leftChars="0" w:left="0" w:right="0"/>
            </w:pPr>
            <w:r>
              <w:t>TQEX</w:t>
            </w:r>
          </w:p>
        </w:tc>
        <w:tc>
          <w:tcPr>
            <w:cnfStyle w:evenVBand="false" w:oddVBand="true" w:firstColumn="false"/>
            <w:tcW w:w="25.000000%" w:type="pct"/>
          </w:tcPr>
          <w:p>
            <w:pPr>
              <w:ind w:leftChars="0" w:left="0" w:right="0"/>
            </w:pPr>
            <w:r>
              <w:t>TURQUOISE EUROPE</w:t>
            </w:r>
          </w:p>
        </w:tc>
        <w:tc>
          <w:tcPr>
            <w:cnfStyle w:evenVBand="true" w:oddVBand="false" w:firstColumn="false"/>
            <w:tcW w:w="25.000000%" w:type="pct"/>
          </w:tcPr>
          <w:p>
            <w:pPr>
              <w:ind w:leftChars="0" w:left="0" w:right="0"/>
            </w:pPr>
            <w:r>
              <w:t>1759</w:t>
            </w:r>
          </w:p>
        </w:tc>
      </w:tr>
      <w:tr>
        <w:trPr>
          <w:cnfStyle w:evenHBand="false" w:oddHBand="true" w:firstRow="false"/>
        </w:trPr>
        <w:tc>
          <w:tcPr>
            <w:cnfStyle w:evenVBand="false" w:oddVBand="true" w:firstColumn="false"/>
            <w:tcW w:w="25.000000%" w:type="pct"/>
          </w:tcPr>
          <w:p>
            <w:pPr>
              <w:ind w:leftChars="0" w:left="0" w:right="0"/>
            </w:pPr>
            <w:r>
              <w:t>TRAI</w:t>
            </w:r>
          </w:p>
        </w:tc>
        <w:tc>
          <w:tcPr>
            <w:cnfStyle w:evenVBand="true" w:oddVBand="false" w:firstColumn="false"/>
            <w:tcW w:w="25.000000%" w:type="pct"/>
          </w:tcPr>
          <w:p>
            <w:pPr>
              <w:ind w:leftChars="0" w:left="0" w:right="0"/>
            </w:pPr>
            <w:r>
              <w:t>TRAI</w:t>
            </w:r>
          </w:p>
        </w:tc>
        <w:tc>
          <w:tcPr>
            <w:cnfStyle w:evenVBand="false" w:oddVBand="true" w:firstColumn="false"/>
            <w:tcW w:w="25.000000%" w:type="pct"/>
          </w:tcPr>
          <w:p>
            <w:pPr>
              <w:ind w:leftChars="0" w:left="0" w:right="0"/>
            </w:pPr>
            <w:r>
              <w:t>TRAIANA INC</w:t>
            </w:r>
          </w:p>
        </w:tc>
        <w:tc>
          <w:tcPr>
            <w:cnfStyle w:evenVBand="true" w:oddVBand="false" w:firstColumn="false"/>
            <w:tcW w:w="25.000000%" w:type="pct"/>
          </w:tcPr>
          <w:p>
            <w:pPr>
              <w:ind w:leftChars="0" w:left="0" w:right="0"/>
            </w:pPr>
            <w:r>
              <w:t>1760</w:t>
            </w:r>
          </w:p>
        </w:tc>
      </w:tr>
      <w:tr>
        <w:trPr>
          <w:cnfStyle w:evenHBand="true" w:oddHBand="false" w:firstRow="false"/>
        </w:trPr>
        <w:tc>
          <w:tcPr>
            <w:cnfStyle w:evenVBand="false" w:oddVBand="true" w:firstColumn="false"/>
            <w:tcW w:w="25.000000%" w:type="pct"/>
          </w:tcPr>
          <w:p>
            <w:pPr>
              <w:ind w:leftChars="0" w:left="0" w:right="0"/>
            </w:pPr>
            <w:r>
              <w:t>TRAL</w:t>
            </w:r>
          </w:p>
        </w:tc>
        <w:tc>
          <w:tcPr>
            <w:cnfStyle w:evenVBand="true" w:oddVBand="false" w:firstColumn="false"/>
            <w:tcW w:w="25.000000%" w:type="pct"/>
          </w:tcPr>
          <w:p>
            <w:pPr>
              <w:ind w:leftChars="0" w:left="0" w:right="0"/>
            </w:pPr>
            <w:r>
              <w:t>TRAL</w:t>
            </w:r>
          </w:p>
        </w:tc>
        <w:tc>
          <w:tcPr>
            <w:cnfStyle w:evenVBand="false" w:oddVBand="true" w:firstColumn="false"/>
            <w:tcW w:w="25.000000%" w:type="pct"/>
          </w:tcPr>
          <w:p>
            <w:pPr>
              <w:ind w:leftChars="0" w:left="0" w:right="0"/>
            </w:pPr>
            <w:r>
              <w:t>REFINITIV TRANSACTIONS SERVICES LIMITED - FXALL RFQ</w:t>
            </w:r>
          </w:p>
        </w:tc>
        <w:tc>
          <w:tcPr>
            <w:cnfStyle w:evenVBand="true" w:oddVBand="false" w:firstColumn="false"/>
            <w:tcW w:w="25.000000%" w:type="pct"/>
          </w:tcPr>
          <w:p>
            <w:pPr>
              <w:ind w:leftChars="0" w:left="0" w:right="0"/>
            </w:pPr>
            <w:r>
              <w:t>1761</w:t>
            </w:r>
          </w:p>
        </w:tc>
      </w:tr>
      <w:tr>
        <w:trPr>
          <w:cnfStyle w:evenHBand="false" w:oddHBand="true" w:firstRow="false"/>
        </w:trPr>
        <w:tc>
          <w:tcPr>
            <w:cnfStyle w:evenVBand="false" w:oddVBand="true" w:firstColumn="false"/>
            <w:tcW w:w="25.000000%" w:type="pct"/>
          </w:tcPr>
          <w:p>
            <w:pPr>
              <w:ind w:leftChars="0" w:left="0" w:right="0"/>
            </w:pPr>
            <w:r>
              <w:t>TRAS</w:t>
            </w:r>
          </w:p>
        </w:tc>
        <w:tc>
          <w:tcPr>
            <w:cnfStyle w:evenVBand="true" w:oddVBand="false" w:firstColumn="false"/>
            <w:tcW w:w="25.000000%" w:type="pct"/>
          </w:tcPr>
          <w:p>
            <w:pPr>
              <w:ind w:leftChars="0" w:left="0" w:right="0"/>
            </w:pPr>
            <w:r>
              <w:t>TRAS</w:t>
            </w:r>
          </w:p>
        </w:tc>
        <w:tc>
          <w:tcPr>
            <w:cnfStyle w:evenVBand="false" w:oddVBand="true" w:firstColumn="false"/>
            <w:tcW w:w="25.000000%" w:type="pct"/>
          </w:tcPr>
          <w:p>
            <w:pPr>
              <w:ind w:leftChars="0" w:left="0" w:right="0"/>
            </w:pPr>
            <w:r>
              <w:t>TRADITION ASIA LIMITED</w:t>
            </w:r>
          </w:p>
        </w:tc>
        <w:tc>
          <w:tcPr>
            <w:cnfStyle w:evenVBand="true" w:oddVBand="false" w:firstColumn="false"/>
            <w:tcW w:w="25.000000%" w:type="pct"/>
          </w:tcPr>
          <w:p>
            <w:pPr>
              <w:ind w:leftChars="0" w:left="0" w:right="0"/>
            </w:pPr>
            <w:r>
              <w:t>1762</w:t>
            </w:r>
          </w:p>
        </w:tc>
      </w:tr>
      <w:tr>
        <w:trPr>
          <w:cnfStyle w:evenHBand="true" w:oddHBand="false" w:firstRow="false"/>
        </w:trPr>
        <w:tc>
          <w:tcPr>
            <w:cnfStyle w:evenVBand="false" w:oddVBand="true" w:firstColumn="false"/>
            <w:tcW w:w="25.000000%" w:type="pct"/>
          </w:tcPr>
          <w:p>
            <w:pPr>
              <w:ind w:leftChars="0" w:left="0" w:right="0"/>
            </w:pPr>
            <w:r>
              <w:t>TRAX</w:t>
            </w:r>
          </w:p>
        </w:tc>
        <w:tc>
          <w:tcPr>
            <w:cnfStyle w:evenVBand="true" w:oddVBand="false" w:firstColumn="false"/>
            <w:tcW w:w="25.000000%" w:type="pct"/>
          </w:tcPr>
          <w:p>
            <w:pPr>
              <w:ind w:leftChars="0" w:left="0" w:right="0"/>
            </w:pPr>
            <w:r>
              <w:t>TRAX</w:t>
            </w:r>
          </w:p>
        </w:tc>
        <w:tc>
          <w:tcPr>
            <w:cnfStyle w:evenVBand="false" w:oddVBand="true" w:firstColumn="false"/>
            <w:tcW w:w="25.000000%" w:type="pct"/>
          </w:tcPr>
          <w:p>
            <w:pPr>
              <w:ind w:leftChars="0" w:left="0" w:right="0"/>
            </w:pPr>
            <w:r>
              <w:t>MARKETAXESS POST-TRADE LIMITED - APA</w:t>
            </w:r>
          </w:p>
        </w:tc>
        <w:tc>
          <w:tcPr>
            <w:cnfStyle w:evenVBand="true" w:oddVBand="false" w:firstColumn="false"/>
            <w:tcW w:w="25.000000%" w:type="pct"/>
          </w:tcPr>
          <w:p>
            <w:pPr>
              <w:ind w:leftChars="0" w:left="0" w:right="0"/>
            </w:pPr>
            <w:r>
              <w:t>1763</w:t>
            </w:r>
          </w:p>
        </w:tc>
      </w:tr>
      <w:tr>
        <w:trPr>
          <w:cnfStyle w:evenHBand="false" w:oddHBand="true" w:firstRow="false"/>
        </w:trPr>
        <w:tc>
          <w:tcPr>
            <w:cnfStyle w:evenVBand="false" w:oddVBand="true" w:firstColumn="false"/>
            <w:tcW w:w="25.000000%" w:type="pct"/>
          </w:tcPr>
          <w:p>
            <w:pPr>
              <w:ind w:leftChars="0" w:left="0" w:right="0"/>
            </w:pPr>
            <w:r>
              <w:t>TRCK</w:t>
            </w:r>
          </w:p>
        </w:tc>
        <w:tc>
          <w:tcPr>
            <w:cnfStyle w:evenVBand="true" w:oddVBand="false" w:firstColumn="false"/>
            <w:tcW w:w="25.000000%" w:type="pct"/>
          </w:tcPr>
          <w:p>
            <w:pPr>
              <w:ind w:leftChars="0" w:left="0" w:right="0"/>
            </w:pPr>
            <w:r>
              <w:t>TRCK</w:t>
            </w:r>
          </w:p>
        </w:tc>
        <w:tc>
          <w:tcPr>
            <w:cnfStyle w:evenVBand="false" w:oddVBand="true" w:firstColumn="false"/>
            <w:tcW w:w="25.000000%" w:type="pct"/>
          </w:tcPr>
          <w:p>
            <w:pPr>
              <w:ind w:leftChars="0" w:left="0" w:right="0"/>
            </w:pPr>
            <w:r>
              <w:t>TRACK ECN</w:t>
            </w:r>
          </w:p>
        </w:tc>
        <w:tc>
          <w:tcPr>
            <w:cnfStyle w:evenVBand="true" w:oddVBand="false" w:firstColumn="false"/>
            <w:tcW w:w="25.000000%" w:type="pct"/>
          </w:tcPr>
          <w:p>
            <w:pPr>
              <w:ind w:leftChars="0" w:left="0" w:right="0"/>
            </w:pPr>
            <w:r>
              <w:t>1764</w:t>
            </w:r>
          </w:p>
        </w:tc>
      </w:tr>
      <w:tr>
        <w:trPr>
          <w:cnfStyle w:evenHBand="true" w:oddHBand="false" w:firstRow="false"/>
        </w:trPr>
        <w:tc>
          <w:tcPr>
            <w:cnfStyle w:evenVBand="false" w:oddVBand="true" w:firstColumn="false"/>
            <w:tcW w:w="25.000000%" w:type="pct"/>
          </w:tcPr>
          <w:p>
            <w:pPr>
              <w:ind w:leftChars="0" w:left="0" w:right="0"/>
            </w:pPr>
            <w:r>
              <w:t>TRCX</w:t>
            </w:r>
          </w:p>
        </w:tc>
        <w:tc>
          <w:tcPr>
            <w:cnfStyle w:evenVBand="true" w:oddVBand="false" w:firstColumn="false"/>
            <w:tcW w:w="25.000000%" w:type="pct"/>
          </w:tcPr>
          <w:p>
            <w:pPr>
              <w:ind w:leftChars="0" w:left="0" w:right="0"/>
            </w:pPr>
            <w:r>
              <w:t>TRCX</w:t>
            </w:r>
          </w:p>
        </w:tc>
        <w:tc>
          <w:tcPr>
            <w:cnfStyle w:evenVBand="false" w:oddVBand="true" w:firstColumn="false"/>
            <w:tcW w:w="25.000000%" w:type="pct"/>
          </w:tcPr>
          <w:p>
            <w:pPr>
              <w:ind w:leftChars="0" w:left="0" w:right="0"/>
            </w:pPr>
            <w:r>
              <w:t>TOWER RESEARCH CAPITAL TRCX</w:t>
            </w:r>
          </w:p>
        </w:tc>
        <w:tc>
          <w:tcPr>
            <w:cnfStyle w:evenVBand="true" w:oddVBand="false" w:firstColumn="false"/>
            <w:tcW w:w="25.000000%" w:type="pct"/>
          </w:tcPr>
          <w:p>
            <w:pPr>
              <w:ind w:leftChars="0" w:left="0" w:right="0"/>
            </w:pPr>
            <w:r>
              <w:t>1765</w:t>
            </w:r>
          </w:p>
        </w:tc>
      </w:tr>
      <w:tr>
        <w:trPr>
          <w:cnfStyle w:evenHBand="false" w:oddHBand="true" w:firstRow="false"/>
        </w:trPr>
        <w:tc>
          <w:tcPr>
            <w:cnfStyle w:evenVBand="false" w:oddVBand="true" w:firstColumn="false"/>
            <w:tcW w:w="25.000000%" w:type="pct"/>
          </w:tcPr>
          <w:p>
            <w:pPr>
              <w:ind w:leftChars="0" w:left="0" w:right="0"/>
            </w:pPr>
            <w:r>
              <w:t>TRDC</w:t>
            </w:r>
          </w:p>
        </w:tc>
        <w:tc>
          <w:tcPr>
            <w:cnfStyle w:evenVBand="true" w:oddVBand="false" w:firstColumn="false"/>
            <w:tcW w:w="25.000000%" w:type="pct"/>
          </w:tcPr>
          <w:p>
            <w:pPr>
              <w:ind w:leftChars="0" w:left="0" w:right="0"/>
            </w:pPr>
            <w:r>
              <w:t>TRDC</w:t>
            </w:r>
          </w:p>
        </w:tc>
        <w:tc>
          <w:tcPr>
            <w:cnfStyle w:evenVBand="false" w:oddVBand="true" w:firstColumn="false"/>
            <w:tcW w:w="25.000000%" w:type="pct"/>
          </w:tcPr>
          <w:p>
            <w:pPr>
              <w:ind w:leftChars="0" w:left="0" w:right="0"/>
            </w:pPr>
            <w:r>
              <w:t>TFS CURRENCIES PTE LTD</w:t>
            </w:r>
          </w:p>
        </w:tc>
        <w:tc>
          <w:tcPr>
            <w:cnfStyle w:evenVBand="true" w:oddVBand="false" w:firstColumn="false"/>
            <w:tcW w:w="25.000000%" w:type="pct"/>
          </w:tcPr>
          <w:p>
            <w:pPr>
              <w:ind w:leftChars="0" w:left="0" w:right="0"/>
            </w:pPr>
            <w:r>
              <w:t>1766</w:t>
            </w:r>
          </w:p>
        </w:tc>
      </w:tr>
      <w:tr>
        <w:trPr>
          <w:cnfStyle w:evenHBand="true" w:oddHBand="false" w:firstRow="false"/>
        </w:trPr>
        <w:tc>
          <w:tcPr>
            <w:cnfStyle w:evenVBand="false" w:oddVBand="true" w:firstColumn="false"/>
            <w:tcW w:w="25.000000%" w:type="pct"/>
          </w:tcPr>
          <w:p>
            <w:pPr>
              <w:ind w:leftChars="0" w:left="0" w:right="0"/>
            </w:pPr>
            <w:r>
              <w:t>TRDE</w:t>
            </w:r>
          </w:p>
        </w:tc>
        <w:tc>
          <w:tcPr>
            <w:cnfStyle w:evenVBand="true" w:oddVBand="false" w:firstColumn="false"/>
            <w:tcW w:w="25.000000%" w:type="pct"/>
          </w:tcPr>
          <w:p>
            <w:pPr>
              <w:ind w:leftChars="0" w:left="0" w:right="0"/>
            </w:pPr>
            <w:r>
              <w:t>TRDE</w:t>
            </w:r>
          </w:p>
        </w:tc>
        <w:tc>
          <w:tcPr>
            <w:cnfStyle w:evenVBand="false" w:oddVBand="true" w:firstColumn="false"/>
            <w:tcW w:w="25.000000%" w:type="pct"/>
          </w:tcPr>
          <w:p>
            <w:pPr>
              <w:ind w:leftChars="0" w:left="0" w:right="0"/>
            </w:pPr>
            <w:r>
              <w:t>TRADITION</w:t>
            </w:r>
          </w:p>
        </w:tc>
        <w:tc>
          <w:tcPr>
            <w:cnfStyle w:evenVBand="true" w:oddVBand="false" w:firstColumn="false"/>
            <w:tcW w:w="25.000000%" w:type="pct"/>
          </w:tcPr>
          <w:p>
            <w:pPr>
              <w:ind w:leftChars="0" w:left="0" w:right="0"/>
            </w:pPr>
            <w:r>
              <w:t>1767</w:t>
            </w:r>
          </w:p>
        </w:tc>
      </w:tr>
      <w:tr>
        <w:trPr>
          <w:cnfStyle w:evenHBand="false" w:oddHBand="true" w:firstRow="false"/>
        </w:trPr>
        <w:tc>
          <w:tcPr>
            <w:cnfStyle w:evenVBand="false" w:oddVBand="true" w:firstColumn="false"/>
            <w:tcW w:w="25.000000%" w:type="pct"/>
          </w:tcPr>
          <w:p>
            <w:pPr>
              <w:ind w:leftChars="0" w:left="0" w:right="0"/>
            </w:pPr>
            <w:r>
              <w:t>TRDX</w:t>
            </w:r>
          </w:p>
        </w:tc>
        <w:tc>
          <w:tcPr>
            <w:cnfStyle w:evenVBand="true" w:oddVBand="false" w:firstColumn="false"/>
            <w:tcW w:w="25.000000%" w:type="pct"/>
          </w:tcPr>
          <w:p>
            <w:pPr>
              <w:ind w:leftChars="0" w:left="0" w:right="0"/>
            </w:pPr>
            <w:r>
              <w:t>TRDX</w:t>
            </w:r>
          </w:p>
        </w:tc>
        <w:tc>
          <w:tcPr>
            <w:cnfStyle w:evenVBand="false" w:oddVBand="true" w:firstColumn="false"/>
            <w:tcW w:w="25.000000%" w:type="pct"/>
          </w:tcPr>
          <w:p>
            <w:pPr>
              <w:ind w:leftChars="0" w:left="0" w:right="0"/>
            </w:pPr>
            <w:r>
              <w:t>TRAD-X</w:t>
            </w:r>
          </w:p>
        </w:tc>
        <w:tc>
          <w:tcPr>
            <w:cnfStyle w:evenVBand="true" w:oddVBand="false" w:firstColumn="false"/>
            <w:tcW w:w="25.000000%" w:type="pct"/>
          </w:tcPr>
          <w:p>
            <w:pPr>
              <w:ind w:leftChars="0" w:left="0" w:right="0"/>
            </w:pPr>
            <w:r>
              <w:t>1768</w:t>
            </w:r>
          </w:p>
        </w:tc>
      </w:tr>
      <w:tr>
        <w:trPr>
          <w:cnfStyle w:evenHBand="true" w:oddHBand="false" w:firstRow="false"/>
        </w:trPr>
        <w:tc>
          <w:tcPr>
            <w:cnfStyle w:evenVBand="false" w:oddVBand="true" w:firstColumn="false"/>
            <w:tcW w:w="25.000000%" w:type="pct"/>
          </w:tcPr>
          <w:p>
            <w:pPr>
              <w:ind w:leftChars="0" w:left="0" w:right="0"/>
            </w:pPr>
            <w:r>
              <w:t>TREA</w:t>
            </w:r>
          </w:p>
        </w:tc>
        <w:tc>
          <w:tcPr>
            <w:cnfStyle w:evenVBand="true" w:oddVBand="false" w:firstColumn="false"/>
            <w:tcW w:w="25.000000%" w:type="pct"/>
          </w:tcPr>
          <w:p>
            <w:pPr>
              <w:ind w:leftChars="0" w:left="0" w:right="0"/>
            </w:pPr>
            <w:r>
              <w:t>TREA</w:t>
            </w:r>
          </w:p>
        </w:tc>
        <w:tc>
          <w:tcPr>
            <w:cnfStyle w:evenVBand="false" w:oddVBand="true" w:firstColumn="false"/>
            <w:tcW w:w="25.000000%" w:type="pct"/>
          </w:tcPr>
          <w:p>
            <w:pPr>
              <w:ind w:leftChars="0" w:left="0" w:right="0"/>
            </w:pPr>
            <w:r>
              <w:t>TRADEWEB EUROPE LIMITED - APA</w:t>
            </w:r>
          </w:p>
        </w:tc>
        <w:tc>
          <w:tcPr>
            <w:cnfStyle w:evenVBand="true" w:oddVBand="false" w:firstColumn="false"/>
            <w:tcW w:w="25.000000%" w:type="pct"/>
          </w:tcPr>
          <w:p>
            <w:pPr>
              <w:ind w:leftChars="0" w:left="0" w:right="0"/>
            </w:pPr>
            <w:r>
              <w:t>1769</w:t>
            </w:r>
          </w:p>
        </w:tc>
      </w:tr>
      <w:tr>
        <w:trPr>
          <w:cnfStyle w:evenHBand="false" w:oddHBand="true" w:firstRow="false"/>
        </w:trPr>
        <w:tc>
          <w:tcPr>
            <w:cnfStyle w:evenVBand="false" w:oddVBand="true" w:firstColumn="false"/>
            <w:tcW w:w="25.000000%" w:type="pct"/>
          </w:tcPr>
          <w:p>
            <w:pPr>
              <w:ind w:leftChars="0" w:left="0" w:right="0"/>
            </w:pPr>
            <w:r>
              <w:t>TREO</w:t>
            </w:r>
          </w:p>
        </w:tc>
        <w:tc>
          <w:tcPr>
            <w:cnfStyle w:evenVBand="true" w:oddVBand="false" w:firstColumn="false"/>
            <w:tcW w:w="25.000000%" w:type="pct"/>
          </w:tcPr>
          <w:p>
            <w:pPr>
              <w:ind w:leftChars="0" w:left="0" w:right="0"/>
            </w:pPr>
            <w:r>
              <w:t>TREO</w:t>
            </w:r>
          </w:p>
        </w:tc>
        <w:tc>
          <w:tcPr>
            <w:cnfStyle w:evenVBand="false" w:oddVBand="true" w:firstColumn="false"/>
            <w:tcW w:w="25.000000%" w:type="pct"/>
          </w:tcPr>
          <w:p>
            <w:pPr>
              <w:ind w:leftChars="0" w:left="0" w:right="0"/>
            </w:pPr>
            <w:r>
              <w:t>TRADEWEB EUROPE LIMITED - OTF</w:t>
            </w:r>
          </w:p>
        </w:tc>
        <w:tc>
          <w:tcPr>
            <w:cnfStyle w:evenVBand="true" w:oddVBand="false" w:firstColumn="false"/>
            <w:tcW w:w="25.000000%" w:type="pct"/>
          </w:tcPr>
          <w:p>
            <w:pPr>
              <w:ind w:leftChars="0" w:left="0" w:right="0"/>
            </w:pPr>
            <w:r>
              <w:t>1770</w:t>
            </w:r>
          </w:p>
        </w:tc>
      </w:tr>
      <w:tr>
        <w:trPr>
          <w:cnfStyle w:evenHBand="true" w:oddHBand="false" w:firstRow="false"/>
        </w:trPr>
        <w:tc>
          <w:tcPr>
            <w:cnfStyle w:evenVBand="false" w:oddVBand="true" w:firstColumn="false"/>
            <w:tcW w:w="25.000000%" w:type="pct"/>
          </w:tcPr>
          <w:p>
            <w:pPr>
              <w:ind w:leftChars="0" w:left="0" w:right="0"/>
            </w:pPr>
            <w:r>
              <w:t>TREU</w:t>
            </w:r>
          </w:p>
        </w:tc>
        <w:tc>
          <w:tcPr>
            <w:cnfStyle w:evenVBand="true" w:oddVBand="false" w:firstColumn="false"/>
            <w:tcW w:w="25.000000%" w:type="pct"/>
          </w:tcPr>
          <w:p>
            <w:pPr>
              <w:ind w:leftChars="0" w:left="0" w:right="0"/>
            </w:pPr>
            <w:r>
              <w:t>TREU</w:t>
            </w:r>
          </w:p>
        </w:tc>
        <w:tc>
          <w:tcPr>
            <w:cnfStyle w:evenVBand="false" w:oddVBand="true" w:firstColumn="false"/>
            <w:tcW w:w="25.000000%" w:type="pct"/>
          </w:tcPr>
          <w:p>
            <w:pPr>
              <w:ind w:leftChars="0" w:left="0" w:right="0"/>
            </w:pPr>
            <w:r>
              <w:t>TRADEWEB EUROPE LIMITED</w:t>
            </w:r>
          </w:p>
        </w:tc>
        <w:tc>
          <w:tcPr>
            <w:cnfStyle w:evenVBand="true" w:oddVBand="false" w:firstColumn="false"/>
            <w:tcW w:w="25.000000%" w:type="pct"/>
          </w:tcPr>
          <w:p>
            <w:pPr>
              <w:ind w:leftChars="0" w:left="0" w:right="0"/>
            </w:pPr>
            <w:r>
              <w:t>1771</w:t>
            </w:r>
          </w:p>
        </w:tc>
      </w:tr>
      <w:tr>
        <w:trPr>
          <w:cnfStyle w:evenHBand="false" w:oddHBand="true" w:firstRow="false"/>
        </w:trPr>
        <w:tc>
          <w:tcPr>
            <w:cnfStyle w:evenVBand="false" w:oddVBand="true" w:firstColumn="false"/>
            <w:tcW w:w="25.000000%" w:type="pct"/>
          </w:tcPr>
          <w:p>
            <w:pPr>
              <w:ind w:leftChars="0" w:left="0" w:right="0"/>
            </w:pPr>
            <w:r>
              <w:t>TRFW</w:t>
            </w:r>
          </w:p>
        </w:tc>
        <w:tc>
          <w:tcPr>
            <w:cnfStyle w:evenVBand="true" w:oddVBand="false" w:firstColumn="false"/>
            <w:tcW w:w="25.000000%" w:type="pct"/>
          </w:tcPr>
          <w:p>
            <w:pPr>
              <w:ind w:leftChars="0" w:left="0" w:right="0"/>
            </w:pPr>
            <w:r>
              <w:t>TRFW</w:t>
            </w:r>
          </w:p>
        </w:tc>
        <w:tc>
          <w:tcPr>
            <w:cnfStyle w:evenVBand="false" w:oddVBand="true" w:firstColumn="false"/>
            <w:tcW w:w="25.000000%" w:type="pct"/>
          </w:tcPr>
          <w:p>
            <w:pPr>
              <w:ind w:leftChars="0" w:left="0" w:right="0"/>
            </w:pPr>
            <w:r>
              <w:t>REFINITIV TRANSACTION SERVICES LIMITED - FORWARDS MATCHING</w:t>
            </w:r>
          </w:p>
        </w:tc>
        <w:tc>
          <w:tcPr>
            <w:cnfStyle w:evenVBand="true" w:oddVBand="false" w:firstColumn="false"/>
            <w:tcW w:w="25.000000%" w:type="pct"/>
          </w:tcPr>
          <w:p>
            <w:pPr>
              <w:ind w:leftChars="0" w:left="0" w:right="0"/>
            </w:pPr>
            <w:r>
              <w:t>1772</w:t>
            </w:r>
          </w:p>
        </w:tc>
      </w:tr>
      <w:tr>
        <w:trPr>
          <w:cnfStyle w:evenHBand="true" w:oddHBand="false" w:firstRow="false"/>
        </w:trPr>
        <w:tc>
          <w:tcPr>
            <w:cnfStyle w:evenVBand="false" w:oddVBand="true" w:firstColumn="false"/>
            <w:tcW w:w="25.000000%" w:type="pct"/>
          </w:tcPr>
          <w:p>
            <w:pPr>
              <w:ind w:leftChars="0" w:left="0" w:right="0"/>
            </w:pPr>
            <w:r>
              <w:t>TRFX</w:t>
            </w:r>
          </w:p>
        </w:tc>
        <w:tc>
          <w:tcPr>
            <w:cnfStyle w:evenVBand="true" w:oddVBand="false" w:firstColumn="false"/>
            <w:tcW w:w="25.000000%" w:type="pct"/>
          </w:tcPr>
          <w:p>
            <w:pPr>
              <w:ind w:leftChars="0" w:left="0" w:right="0"/>
            </w:pPr>
            <w:r>
              <w:t>TRFX</w:t>
            </w:r>
          </w:p>
        </w:tc>
        <w:tc>
          <w:tcPr>
            <w:cnfStyle w:evenVBand="false" w:oddVBand="true" w:firstColumn="false"/>
            <w:tcW w:w="25.000000%" w:type="pct"/>
          </w:tcPr>
          <w:p>
            <w:pPr>
              <w:ind w:leftChars="0" w:left="0" w:right="0"/>
            </w:pPr>
            <w:r>
              <w:t>TRADEWEB FX OPTIONS</w:t>
            </w:r>
          </w:p>
        </w:tc>
        <w:tc>
          <w:tcPr>
            <w:cnfStyle w:evenVBand="true" w:oddVBand="false" w:firstColumn="false"/>
            <w:tcW w:w="25.000000%" w:type="pct"/>
          </w:tcPr>
          <w:p>
            <w:pPr>
              <w:ind w:leftChars="0" w:left="0" w:right="0"/>
            </w:pPr>
            <w:r>
              <w:t>1773</w:t>
            </w:r>
          </w:p>
        </w:tc>
      </w:tr>
      <w:tr>
        <w:trPr>
          <w:cnfStyle w:evenHBand="false" w:oddHBand="true" w:firstRow="false"/>
        </w:trPr>
        <w:tc>
          <w:tcPr>
            <w:cnfStyle w:evenVBand="false" w:oddVBand="true" w:firstColumn="false"/>
            <w:tcW w:w="25.000000%" w:type="pct"/>
          </w:tcPr>
          <w:p>
            <w:pPr>
              <w:ind w:leftChars="0" w:left="0" w:right="0"/>
            </w:pPr>
            <w:r>
              <w:t>TRNL</w:t>
            </w:r>
          </w:p>
        </w:tc>
        <w:tc>
          <w:tcPr>
            <w:cnfStyle w:evenVBand="true" w:oddVBand="false" w:firstColumn="false"/>
            <w:tcW w:w="25.000000%" w:type="pct"/>
          </w:tcPr>
          <w:p>
            <w:pPr>
              <w:ind w:leftChars="0" w:left="0" w:right="0"/>
            </w:pPr>
            <w:r>
              <w:t>TRNL</w:t>
            </w:r>
          </w:p>
        </w:tc>
        <w:tc>
          <w:tcPr>
            <w:cnfStyle w:evenVBand="false" w:oddVBand="true" w:firstColumn="false"/>
            <w:tcW w:w="25.000000%" w:type="pct"/>
          </w:tcPr>
          <w:p>
            <w:pPr>
              <w:ind w:leftChars="0" w:left="0" w:right="0"/>
            </w:pPr>
            <w:r>
              <w:t>MARKETAXESS POST-TRADE B.V. - APA</w:t>
            </w:r>
          </w:p>
        </w:tc>
        <w:tc>
          <w:tcPr>
            <w:cnfStyle w:evenVBand="true" w:oddVBand="false" w:firstColumn="false"/>
            <w:tcW w:w="25.000000%" w:type="pct"/>
          </w:tcPr>
          <w:p>
            <w:pPr>
              <w:ind w:leftChars="0" w:left="0" w:right="0"/>
            </w:pPr>
            <w:r>
              <w:t>1774</w:t>
            </w:r>
          </w:p>
        </w:tc>
      </w:tr>
      <w:tr>
        <w:trPr>
          <w:cnfStyle w:evenHBand="true" w:oddHBand="false" w:firstRow="false"/>
        </w:trPr>
        <w:tc>
          <w:tcPr>
            <w:cnfStyle w:evenVBand="false" w:oddVBand="true" w:firstColumn="false"/>
            <w:tcW w:w="25.000000%" w:type="pct"/>
          </w:tcPr>
          <w:p>
            <w:pPr>
              <w:ind w:leftChars="0" w:left="0" w:right="0"/>
            </w:pPr>
            <w:r>
              <w:t>TRPX</w:t>
            </w:r>
          </w:p>
        </w:tc>
        <w:tc>
          <w:tcPr>
            <w:cnfStyle w:evenVBand="true" w:oddVBand="false" w:firstColumn="false"/>
            <w:tcW w:w="25.000000%" w:type="pct"/>
          </w:tcPr>
          <w:p>
            <w:pPr>
              <w:ind w:leftChars="0" w:left="0" w:right="0"/>
            </w:pPr>
            <w:r>
              <w:t>TRPX</w:t>
            </w:r>
          </w:p>
        </w:tc>
        <w:tc>
          <w:tcPr>
            <w:cnfStyle w:evenVBand="false" w:oddVBand="true" w:firstColumn="false"/>
            <w:tcW w:w="25.000000%" w:type="pct"/>
          </w:tcPr>
          <w:p>
            <w:pPr>
              <w:ind w:leftChars="0" w:left="0" w:right="0"/>
            </w:pPr>
            <w:r>
              <w:t>MERJ EXCHANGE LIMITED</w:t>
            </w:r>
          </w:p>
        </w:tc>
        <w:tc>
          <w:tcPr>
            <w:cnfStyle w:evenVBand="true" w:oddVBand="false" w:firstColumn="false"/>
            <w:tcW w:w="25.000000%" w:type="pct"/>
          </w:tcPr>
          <w:p>
            <w:pPr>
              <w:ind w:leftChars="0" w:left="0" w:right="0"/>
            </w:pPr>
            <w:r>
              <w:t>1775</w:t>
            </w:r>
          </w:p>
        </w:tc>
      </w:tr>
      <w:tr>
        <w:trPr>
          <w:cnfStyle w:evenHBand="false" w:oddHBand="true" w:firstRow="false"/>
        </w:trPr>
        <w:tc>
          <w:tcPr>
            <w:cnfStyle w:evenVBand="false" w:oddVBand="true" w:firstColumn="false"/>
            <w:tcW w:w="25.000000%" w:type="pct"/>
          </w:tcPr>
          <w:p>
            <w:pPr>
              <w:ind w:leftChars="0" w:left="0" w:right="0"/>
            </w:pPr>
            <w:r>
              <w:t>TRQA</w:t>
            </w:r>
          </w:p>
        </w:tc>
        <w:tc>
          <w:tcPr>
            <w:cnfStyle w:evenVBand="true" w:oddVBand="false" w:firstColumn="false"/>
            <w:tcW w:w="25.000000%" w:type="pct"/>
          </w:tcPr>
          <w:p>
            <w:pPr>
              <w:ind w:leftChars="0" w:left="0" w:right="0"/>
            </w:pPr>
            <w:r>
              <w:t>TRQA</w:t>
            </w:r>
          </w:p>
        </w:tc>
        <w:tc>
          <w:tcPr>
            <w:cnfStyle w:evenVBand="false" w:oddVBand="true" w:firstColumn="false"/>
            <w:tcW w:w="25.000000%" w:type="pct"/>
          </w:tcPr>
          <w:p>
            <w:pPr>
              <w:ind w:leftChars="0" w:left="0" w:right="0"/>
            </w:pPr>
            <w:r>
              <w:t>TURQUOISE LIT AUCTIONS</w:t>
            </w:r>
          </w:p>
        </w:tc>
        <w:tc>
          <w:tcPr>
            <w:cnfStyle w:evenVBand="true" w:oddVBand="false" w:firstColumn="false"/>
            <w:tcW w:w="25.000000%" w:type="pct"/>
          </w:tcPr>
          <w:p>
            <w:pPr>
              <w:ind w:leftChars="0" w:left="0" w:right="0"/>
            </w:pPr>
            <w:r>
              <w:t>1776</w:t>
            </w:r>
          </w:p>
        </w:tc>
      </w:tr>
      <w:tr>
        <w:trPr>
          <w:cnfStyle w:evenHBand="true" w:oddHBand="false" w:firstRow="false"/>
        </w:trPr>
        <w:tc>
          <w:tcPr>
            <w:cnfStyle w:evenVBand="false" w:oddVBand="true" w:firstColumn="false"/>
            <w:tcW w:w="25.000000%" w:type="pct"/>
          </w:tcPr>
          <w:p>
            <w:pPr>
              <w:ind w:leftChars="0" w:left="0" w:right="0"/>
            </w:pPr>
            <w:r>
              <w:t>TRQB</w:t>
            </w:r>
          </w:p>
        </w:tc>
        <w:tc>
          <w:tcPr>
            <w:cnfStyle w:evenVBand="true" w:oddVBand="false" w:firstColumn="false"/>
            <w:tcW w:w="25.000000%" w:type="pct"/>
          </w:tcPr>
          <w:p>
            <w:pPr>
              <w:ind w:leftChars="0" w:left="0" w:right="0"/>
            </w:pPr>
            <w:r>
              <w:t>TRQB</w:t>
            </w:r>
          </w:p>
        </w:tc>
        <w:tc>
          <w:tcPr>
            <w:cnfStyle w:evenVBand="false" w:oddVBand="true" w:firstColumn="false"/>
            <w:tcW w:w="25.000000%" w:type="pct"/>
          </w:tcPr>
          <w:p>
            <w:pPr>
              <w:ind w:leftChars="0" w:left="0" w:right="0"/>
            </w:pPr>
            <w:r>
              <w:t>TURQUOISE NYLON CASH ORDER BOOK</w:t>
            </w:r>
          </w:p>
        </w:tc>
        <w:tc>
          <w:tcPr>
            <w:cnfStyle w:evenVBand="true" w:oddVBand="false" w:firstColumn="false"/>
            <w:tcW w:w="25.000000%" w:type="pct"/>
          </w:tcPr>
          <w:p>
            <w:pPr>
              <w:ind w:leftChars="0" w:left="0" w:right="0"/>
            </w:pPr>
            <w:r>
              <w:t>1777</w:t>
            </w:r>
          </w:p>
        </w:tc>
      </w:tr>
      <w:tr>
        <w:trPr>
          <w:cnfStyle w:evenHBand="false" w:oddHBand="true" w:firstRow="false"/>
        </w:trPr>
        <w:tc>
          <w:tcPr>
            <w:cnfStyle w:evenVBand="false" w:oddVBand="true" w:firstColumn="false"/>
            <w:tcW w:w="25.000000%" w:type="pct"/>
          </w:tcPr>
          <w:p>
            <w:pPr>
              <w:ind w:leftChars="0" w:left="0" w:right="0"/>
            </w:pPr>
            <w:r>
              <w:t>TRQC</w:t>
            </w:r>
          </w:p>
        </w:tc>
        <w:tc>
          <w:tcPr>
            <w:cnfStyle w:evenVBand="true" w:oddVBand="false" w:firstColumn="false"/>
            <w:tcW w:w="25.000000%" w:type="pct"/>
          </w:tcPr>
          <w:p>
            <w:pPr>
              <w:ind w:leftChars="0" w:left="0" w:right="0"/>
            </w:pPr>
            <w:r>
              <w:t>TRQC</w:t>
            </w:r>
          </w:p>
        </w:tc>
        <w:tc>
          <w:tcPr>
            <w:cnfStyle w:evenVBand="false" w:oddVBand="true" w:firstColumn="false"/>
            <w:tcW w:w="25.000000%" w:type="pct"/>
          </w:tcPr>
          <w:p>
            <w:pPr>
              <w:ind w:leftChars="0" w:left="0" w:right="0"/>
            </w:pPr>
            <w:r>
              <w:t>TURQUOISE NYLON CLEARED CONTRACT</w:t>
            </w:r>
          </w:p>
        </w:tc>
        <w:tc>
          <w:tcPr>
            <w:cnfStyle w:evenVBand="true" w:oddVBand="false" w:firstColumn="false"/>
            <w:tcW w:w="25.000000%" w:type="pct"/>
          </w:tcPr>
          <w:p>
            <w:pPr>
              <w:ind w:leftChars="0" w:left="0" w:right="0"/>
            </w:pPr>
            <w:r>
              <w:t>1778</w:t>
            </w:r>
          </w:p>
        </w:tc>
      </w:tr>
      <w:tr>
        <w:trPr>
          <w:cnfStyle w:evenHBand="true" w:oddHBand="false" w:firstRow="false"/>
        </w:trPr>
        <w:tc>
          <w:tcPr>
            <w:cnfStyle w:evenVBand="false" w:oddVBand="true" w:firstColumn="false"/>
            <w:tcW w:w="25.000000%" w:type="pct"/>
          </w:tcPr>
          <w:p>
            <w:pPr>
              <w:ind w:leftChars="0" w:left="0" w:right="0"/>
            </w:pPr>
            <w:r>
              <w:t>TRQD</w:t>
            </w:r>
          </w:p>
        </w:tc>
        <w:tc>
          <w:tcPr>
            <w:cnfStyle w:evenVBand="true" w:oddVBand="false" w:firstColumn="false"/>
            <w:tcW w:w="25.000000%" w:type="pct"/>
          </w:tcPr>
          <w:p>
            <w:pPr>
              <w:ind w:leftChars="0" w:left="0" w:right="0"/>
            </w:pPr>
            <w:r>
              <w:t>TRQD</w:t>
            </w:r>
          </w:p>
        </w:tc>
        <w:tc>
          <w:tcPr>
            <w:cnfStyle w:evenVBand="false" w:oddVBand="true" w:firstColumn="false"/>
            <w:tcW w:w="25.000000%" w:type="pct"/>
          </w:tcPr>
          <w:p>
            <w:pPr>
              <w:ind w:leftChars="0" w:left="0" w:right="0"/>
            </w:pPr>
            <w:r>
              <w:t>TURQUOISE DERIVATIVES MARKET</w:t>
            </w:r>
          </w:p>
        </w:tc>
        <w:tc>
          <w:tcPr>
            <w:cnfStyle w:evenVBand="true" w:oddVBand="false" w:firstColumn="false"/>
            <w:tcW w:w="25.000000%" w:type="pct"/>
          </w:tcPr>
          <w:p>
            <w:pPr>
              <w:ind w:leftChars="0" w:left="0" w:right="0"/>
            </w:pPr>
            <w:r>
              <w:t>1779</w:t>
            </w:r>
          </w:p>
        </w:tc>
      </w:tr>
      <w:tr>
        <w:trPr>
          <w:cnfStyle w:evenHBand="false" w:oddHBand="true" w:firstRow="false"/>
        </w:trPr>
        <w:tc>
          <w:tcPr>
            <w:cnfStyle w:evenVBand="false" w:oddVBand="true" w:firstColumn="false"/>
            <w:tcW w:w="25.000000%" w:type="pct"/>
          </w:tcPr>
          <w:p>
            <w:pPr>
              <w:ind w:leftChars="0" w:left="0" w:right="0"/>
            </w:pPr>
            <w:r>
              <w:t>TRQM</w:t>
            </w:r>
          </w:p>
        </w:tc>
        <w:tc>
          <w:tcPr>
            <w:cnfStyle w:evenVBand="true" w:oddVBand="false" w:firstColumn="false"/>
            <w:tcW w:w="25.000000%" w:type="pct"/>
          </w:tcPr>
          <w:p>
            <w:pPr>
              <w:ind w:leftChars="0" w:left="0" w:right="0"/>
            </w:pPr>
            <w:r>
              <w:t>TRQM</w:t>
            </w:r>
          </w:p>
        </w:tc>
        <w:tc>
          <w:tcPr>
            <w:cnfStyle w:evenVBand="false" w:oddVBand="true" w:firstColumn="false"/>
            <w:tcW w:w="25.000000%" w:type="pct"/>
          </w:tcPr>
          <w:p>
            <w:pPr>
              <w:ind w:leftChars="0" w:left="0" w:right="0"/>
            </w:pPr>
            <w:r>
              <w:t>TURQUOISE PLATO</w:t>
            </w:r>
          </w:p>
        </w:tc>
        <w:tc>
          <w:tcPr>
            <w:cnfStyle w:evenVBand="true" w:oddVBand="false" w:firstColumn="false"/>
            <w:tcW w:w="25.000000%" w:type="pct"/>
          </w:tcPr>
          <w:p>
            <w:pPr>
              <w:ind w:leftChars="0" w:left="0" w:right="0"/>
            </w:pPr>
            <w:r>
              <w:t>1780</w:t>
            </w:r>
          </w:p>
        </w:tc>
      </w:tr>
      <w:tr>
        <w:trPr>
          <w:cnfStyle w:evenHBand="true" w:oddHBand="false" w:firstRow="false"/>
        </w:trPr>
        <w:tc>
          <w:tcPr>
            <w:cnfStyle w:evenVBand="false" w:oddVBand="true" w:firstColumn="false"/>
            <w:tcW w:w="25.000000%" w:type="pct"/>
          </w:tcPr>
          <w:p>
            <w:pPr>
              <w:ind w:leftChars="0" w:left="0" w:right="0"/>
            </w:pPr>
            <w:r>
              <w:t>TRQS</w:t>
            </w:r>
          </w:p>
        </w:tc>
        <w:tc>
          <w:tcPr>
            <w:cnfStyle w:evenVBand="true" w:oddVBand="false" w:firstColumn="false"/>
            <w:tcW w:w="25.000000%" w:type="pct"/>
          </w:tcPr>
          <w:p>
            <w:pPr>
              <w:ind w:leftChars="0" w:left="0" w:right="0"/>
            </w:pPr>
            <w:r>
              <w:t>TRQS</w:t>
            </w:r>
          </w:p>
        </w:tc>
        <w:tc>
          <w:tcPr>
            <w:cnfStyle w:evenVBand="false" w:oddVBand="true" w:firstColumn="false"/>
            <w:tcW w:w="25.000000%" w:type="pct"/>
          </w:tcPr>
          <w:p>
            <w:pPr>
              <w:ind w:leftChars="0" w:left="0" w:right="0"/>
            </w:pPr>
            <w:r>
              <w:t>TURQUOISE SWAPMATCH</w:t>
            </w:r>
          </w:p>
        </w:tc>
        <w:tc>
          <w:tcPr>
            <w:cnfStyle w:evenVBand="true" w:oddVBand="false" w:firstColumn="false"/>
            <w:tcW w:w="25.000000%" w:type="pct"/>
          </w:tcPr>
          <w:p>
            <w:pPr>
              <w:ind w:leftChars="0" w:left="0" w:right="0"/>
            </w:pPr>
            <w:r>
              <w:t>1781</w:t>
            </w:r>
          </w:p>
        </w:tc>
      </w:tr>
      <w:tr>
        <w:trPr>
          <w:cnfStyle w:evenHBand="false" w:oddHBand="true" w:firstRow="false"/>
        </w:trPr>
        <w:tc>
          <w:tcPr>
            <w:cnfStyle w:evenVBand="false" w:oddVBand="true" w:firstColumn="false"/>
            <w:tcW w:w="25.000000%" w:type="pct"/>
          </w:tcPr>
          <w:p>
            <w:pPr>
              <w:ind w:leftChars="0" w:left="0" w:right="0"/>
            </w:pPr>
            <w:r>
              <w:t>TRQX</w:t>
            </w:r>
          </w:p>
        </w:tc>
        <w:tc>
          <w:tcPr>
            <w:cnfStyle w:evenVBand="true" w:oddVBand="false" w:firstColumn="false"/>
            <w:tcW w:w="25.000000%" w:type="pct"/>
          </w:tcPr>
          <w:p>
            <w:pPr>
              <w:ind w:leftChars="0" w:left="0" w:right="0"/>
            </w:pPr>
            <w:r>
              <w:t>TRQX</w:t>
            </w:r>
          </w:p>
        </w:tc>
        <w:tc>
          <w:tcPr>
            <w:cnfStyle w:evenVBand="false" w:oddVBand="true" w:firstColumn="false"/>
            <w:tcW w:w="25.000000%" w:type="pct"/>
          </w:tcPr>
          <w:p>
            <w:pPr>
              <w:ind w:leftChars="0" w:left="0" w:right="0"/>
            </w:pPr>
            <w:r>
              <w:t>TURQUOISE</w:t>
            </w:r>
          </w:p>
        </w:tc>
        <w:tc>
          <w:tcPr>
            <w:cnfStyle w:evenVBand="true" w:oddVBand="false" w:firstColumn="false"/>
            <w:tcW w:w="25.000000%" w:type="pct"/>
          </w:tcPr>
          <w:p>
            <w:pPr>
              <w:ind w:leftChars="0" w:left="0" w:right="0"/>
            </w:pPr>
            <w:r>
              <w:t>1782</w:t>
            </w:r>
          </w:p>
        </w:tc>
      </w:tr>
      <w:tr>
        <w:trPr>
          <w:cnfStyle w:evenHBand="true" w:oddHBand="false" w:firstRow="false"/>
        </w:trPr>
        <w:tc>
          <w:tcPr>
            <w:cnfStyle w:evenVBand="false" w:oddVBand="true" w:firstColumn="false"/>
            <w:tcW w:w="25.000000%" w:type="pct"/>
          </w:tcPr>
          <w:p>
            <w:pPr>
              <w:ind w:leftChars="0" w:left="0" w:right="0"/>
            </w:pPr>
            <w:r>
              <w:t>TRSI</w:t>
            </w:r>
          </w:p>
        </w:tc>
        <w:tc>
          <w:tcPr>
            <w:cnfStyle w:evenVBand="true" w:oddVBand="false" w:firstColumn="false"/>
            <w:tcW w:w="25.000000%" w:type="pct"/>
          </w:tcPr>
          <w:p>
            <w:pPr>
              <w:ind w:leftChars="0" w:left="0" w:right="0"/>
            </w:pPr>
            <w:r>
              <w:t>TRSI</w:t>
            </w:r>
          </w:p>
        </w:tc>
        <w:tc>
          <w:tcPr>
            <w:cnfStyle w:evenVBand="false" w:oddVBand="true" w:firstColumn="false"/>
            <w:tcW w:w="25.000000%" w:type="pct"/>
          </w:tcPr>
          <w:p>
            <w:pPr>
              <w:ind w:leftChars="0" w:left="0" w:right="0"/>
            </w:pPr>
            <w:r>
              <w:t>TOWER RESEARCH CAPITAL EUROPE LTD</w:t>
            </w:r>
          </w:p>
        </w:tc>
        <w:tc>
          <w:tcPr>
            <w:cnfStyle w:evenVBand="true" w:oddVBand="false" w:firstColumn="false"/>
            <w:tcW w:w="25.000000%" w:type="pct"/>
          </w:tcPr>
          <w:p>
            <w:pPr>
              <w:ind w:leftChars="0" w:left="0" w:right="0"/>
            </w:pPr>
            <w:r>
              <w:t>1783</w:t>
            </w:r>
          </w:p>
        </w:tc>
      </w:tr>
      <w:tr>
        <w:trPr>
          <w:cnfStyle w:evenHBand="false" w:oddHBand="true" w:firstRow="false"/>
        </w:trPr>
        <w:tc>
          <w:tcPr>
            <w:cnfStyle w:evenVBand="false" w:oddVBand="true" w:firstColumn="false"/>
            <w:tcW w:w="25.000000%" w:type="pct"/>
          </w:tcPr>
          <w:p>
            <w:pPr>
              <w:ind w:leftChars="0" w:left="0" w:right="0"/>
            </w:pPr>
            <w:r>
              <w:t>TRU1</w:t>
            </w:r>
          </w:p>
        </w:tc>
        <w:tc>
          <w:tcPr>
            <w:cnfStyle w:evenVBand="true" w:oddVBand="false" w:firstColumn="false"/>
            <w:tcW w:w="25.000000%" w:type="pct"/>
          </w:tcPr>
          <w:p>
            <w:pPr>
              <w:ind w:leftChars="0" w:left="0" w:right="0"/>
            </w:pPr>
            <w:r>
              <w:t>TRU1</w:t>
            </w:r>
          </w:p>
        </w:tc>
        <w:tc>
          <w:tcPr>
            <w:cnfStyle w:evenVBand="false" w:oddVBand="true" w:firstColumn="false"/>
            <w:tcW w:w="25.000000%" w:type="pct"/>
          </w:tcPr>
          <w:p>
            <w:pPr>
              <w:ind w:leftChars="0" w:left="0" w:right="0"/>
            </w:pPr>
            <w:r>
              <w:t>TRUEEX LLC - DESIGNATED CONTRACT MARKET (DMC)</w:t>
            </w:r>
          </w:p>
        </w:tc>
        <w:tc>
          <w:tcPr>
            <w:cnfStyle w:evenVBand="true" w:oddVBand="false" w:firstColumn="false"/>
            <w:tcW w:w="25.000000%" w:type="pct"/>
          </w:tcPr>
          <w:p>
            <w:pPr>
              <w:ind w:leftChars="0" w:left="0" w:right="0"/>
            </w:pPr>
            <w:r>
              <w:t>1784</w:t>
            </w:r>
          </w:p>
        </w:tc>
      </w:tr>
      <w:tr>
        <w:trPr>
          <w:cnfStyle w:evenHBand="true" w:oddHBand="false" w:firstRow="false"/>
        </w:trPr>
        <w:tc>
          <w:tcPr>
            <w:cnfStyle w:evenVBand="false" w:oddVBand="true" w:firstColumn="false"/>
            <w:tcW w:w="25.000000%" w:type="pct"/>
          </w:tcPr>
          <w:p>
            <w:pPr>
              <w:ind w:leftChars="0" w:left="0" w:right="0"/>
            </w:pPr>
            <w:r>
              <w:t>TRU2</w:t>
            </w:r>
          </w:p>
        </w:tc>
        <w:tc>
          <w:tcPr>
            <w:cnfStyle w:evenVBand="true" w:oddVBand="false" w:firstColumn="false"/>
            <w:tcW w:w="25.000000%" w:type="pct"/>
          </w:tcPr>
          <w:p>
            <w:pPr>
              <w:ind w:leftChars="0" w:left="0" w:right="0"/>
            </w:pPr>
            <w:r>
              <w:t>TRU2</w:t>
            </w:r>
          </w:p>
        </w:tc>
        <w:tc>
          <w:tcPr>
            <w:cnfStyle w:evenVBand="false" w:oddVBand="true" w:firstColumn="false"/>
            <w:tcW w:w="25.000000%" w:type="pct"/>
          </w:tcPr>
          <w:p>
            <w:pPr>
              <w:ind w:leftChars="0" w:left="0" w:right="0"/>
            </w:pPr>
            <w:r>
              <w:t>TRUEEX LLC - SEF (SWAP EXECUTION FACILITY)</w:t>
            </w:r>
          </w:p>
        </w:tc>
        <w:tc>
          <w:tcPr>
            <w:cnfStyle w:evenVBand="true" w:oddVBand="false" w:firstColumn="false"/>
            <w:tcW w:w="25.000000%" w:type="pct"/>
          </w:tcPr>
          <w:p>
            <w:pPr>
              <w:ind w:leftChars="0" w:left="0" w:right="0"/>
            </w:pPr>
            <w:r>
              <w:t>1785</w:t>
            </w:r>
          </w:p>
        </w:tc>
      </w:tr>
      <w:tr>
        <w:trPr>
          <w:cnfStyle w:evenHBand="false" w:oddHBand="true" w:firstRow="false"/>
        </w:trPr>
        <w:tc>
          <w:tcPr>
            <w:cnfStyle w:evenVBand="false" w:oddVBand="true" w:firstColumn="false"/>
            <w:tcW w:w="25.000000%" w:type="pct"/>
          </w:tcPr>
          <w:p>
            <w:pPr>
              <w:ind w:leftChars="0" w:left="0" w:right="0"/>
            </w:pPr>
            <w:r>
              <w:t>TRUK</w:t>
            </w:r>
          </w:p>
        </w:tc>
        <w:tc>
          <w:tcPr>
            <w:cnfStyle w:evenVBand="true" w:oddVBand="false" w:firstColumn="false"/>
            <w:tcW w:w="25.000000%" w:type="pct"/>
          </w:tcPr>
          <w:p>
            <w:pPr>
              <w:ind w:leftChars="0" w:left="0" w:right="0"/>
            </w:pPr>
            <w:r>
              <w:t>TRUK</w:t>
            </w:r>
          </w:p>
        </w:tc>
        <w:tc>
          <w:tcPr>
            <w:cnfStyle w:evenVBand="false" w:oddVBand="true" w:firstColumn="false"/>
            <w:tcW w:w="25.000000%" w:type="pct"/>
          </w:tcPr>
          <w:p>
            <w:pPr>
              <w:ind w:leftChars="0" w:left="0" w:right="0"/>
            </w:pPr>
            <w:r>
              <w:t>TRADING 212 UK LIMITED</w:t>
            </w:r>
          </w:p>
        </w:tc>
        <w:tc>
          <w:tcPr>
            <w:cnfStyle w:evenVBand="true" w:oddVBand="false" w:firstColumn="false"/>
            <w:tcW w:w="25.000000%" w:type="pct"/>
          </w:tcPr>
          <w:p>
            <w:pPr>
              <w:ind w:leftChars="0" w:left="0" w:right="0"/>
            </w:pPr>
            <w:r>
              <w:t>1786</w:t>
            </w:r>
          </w:p>
        </w:tc>
      </w:tr>
      <w:tr>
        <w:trPr>
          <w:cnfStyle w:evenHBand="true" w:oddHBand="false" w:firstRow="false"/>
        </w:trPr>
        <w:tc>
          <w:tcPr>
            <w:cnfStyle w:evenVBand="false" w:oddVBand="true" w:firstColumn="false"/>
            <w:tcW w:w="25.000000%" w:type="pct"/>
          </w:tcPr>
          <w:p>
            <w:pPr>
              <w:ind w:leftChars="0" w:left="0" w:right="0"/>
            </w:pPr>
            <w:r>
              <w:t>TRUX</w:t>
            </w:r>
          </w:p>
        </w:tc>
        <w:tc>
          <w:tcPr>
            <w:cnfStyle w:evenVBand="true" w:oddVBand="false" w:firstColumn="false"/>
            <w:tcW w:w="25.000000%" w:type="pct"/>
          </w:tcPr>
          <w:p>
            <w:pPr>
              <w:ind w:leftChars="0" w:left="0" w:right="0"/>
            </w:pPr>
            <w:r>
              <w:t>TRUX</w:t>
            </w:r>
          </w:p>
        </w:tc>
        <w:tc>
          <w:tcPr>
            <w:cnfStyle w:evenVBand="false" w:oddVBand="true" w:firstColumn="false"/>
            <w:tcW w:w="25.000000%" w:type="pct"/>
          </w:tcPr>
          <w:p>
            <w:pPr>
              <w:ind w:leftChars="0" w:left="0" w:right="0"/>
            </w:pPr>
            <w:r>
              <w:t>TRUEEX LLC</w:t>
            </w:r>
          </w:p>
        </w:tc>
        <w:tc>
          <w:tcPr>
            <w:cnfStyle w:evenVBand="true" w:oddVBand="false" w:firstColumn="false"/>
            <w:tcW w:w="25.000000%" w:type="pct"/>
          </w:tcPr>
          <w:p>
            <w:pPr>
              <w:ind w:leftChars="0" w:left="0" w:right="0"/>
            </w:pPr>
            <w:r>
              <w:t>1787</w:t>
            </w:r>
          </w:p>
        </w:tc>
      </w:tr>
      <w:tr>
        <w:trPr>
          <w:cnfStyle w:evenHBand="false" w:oddHBand="true" w:firstRow="false"/>
        </w:trPr>
        <w:tc>
          <w:tcPr>
            <w:cnfStyle w:evenVBand="false" w:oddVBand="true" w:firstColumn="false"/>
            <w:tcW w:w="25.000000%" w:type="pct"/>
          </w:tcPr>
          <w:p>
            <w:pPr>
              <w:ind w:leftChars="0" w:left="0" w:right="0"/>
            </w:pPr>
            <w:r>
              <w:t>TRWB</w:t>
            </w:r>
          </w:p>
        </w:tc>
        <w:tc>
          <w:tcPr>
            <w:cnfStyle w:evenVBand="true" w:oddVBand="false" w:firstColumn="false"/>
            <w:tcW w:w="25.000000%" w:type="pct"/>
          </w:tcPr>
          <w:p>
            <w:pPr>
              <w:ind w:leftChars="0" w:left="0" w:right="0"/>
            </w:pPr>
            <w:r>
              <w:t>TRWB</w:t>
            </w:r>
          </w:p>
        </w:tc>
        <w:tc>
          <w:tcPr>
            <w:cnfStyle w:evenVBand="false" w:oddVBand="true" w:firstColumn="false"/>
            <w:tcW w:w="25.000000%" w:type="pct"/>
          </w:tcPr>
          <w:p>
            <w:pPr>
              <w:ind w:leftChars="0" w:left="0" w:right="0"/>
            </w:pPr>
            <w:r>
              <w:t>TRADEWEB LLC</w:t>
            </w:r>
          </w:p>
        </w:tc>
        <w:tc>
          <w:tcPr>
            <w:cnfStyle w:evenVBand="true" w:oddVBand="false" w:firstColumn="false"/>
            <w:tcW w:w="25.000000%" w:type="pct"/>
          </w:tcPr>
          <w:p>
            <w:pPr>
              <w:ind w:leftChars="0" w:left="0" w:right="0"/>
            </w:pPr>
            <w:r>
              <w:t>1788</w:t>
            </w:r>
          </w:p>
        </w:tc>
      </w:tr>
      <w:tr>
        <w:trPr>
          <w:cnfStyle w:evenHBand="true" w:oddHBand="false" w:firstRow="false"/>
        </w:trPr>
        <w:tc>
          <w:tcPr>
            <w:cnfStyle w:evenVBand="false" w:oddVBand="true" w:firstColumn="false"/>
            <w:tcW w:w="25.000000%" w:type="pct"/>
          </w:tcPr>
          <w:p>
            <w:pPr>
              <w:ind w:leftChars="0" w:left="0" w:right="0"/>
            </w:pPr>
            <w:r>
              <w:t>TRXE</w:t>
            </w:r>
          </w:p>
        </w:tc>
        <w:tc>
          <w:tcPr>
            <w:cnfStyle w:evenVBand="true" w:oddVBand="false" w:firstColumn="false"/>
            <w:tcW w:w="25.000000%" w:type="pct"/>
          </w:tcPr>
          <w:p>
            <w:pPr>
              <w:ind w:leftChars="0" w:left="0" w:right="0"/>
            </w:pPr>
            <w:r>
              <w:t>TRXE</w:t>
            </w:r>
          </w:p>
        </w:tc>
        <w:tc>
          <w:tcPr>
            <w:cnfStyle w:evenVBand="false" w:oddVBand="true" w:firstColumn="false"/>
            <w:tcW w:w="25.000000%" w:type="pct"/>
          </w:tcPr>
          <w:p>
            <w:pPr>
              <w:ind w:leftChars="0" w:left="0" w:right="0"/>
            </w:pPr>
            <w:r>
              <w:t>TRAD-X EUROPE</w:t>
            </w:r>
          </w:p>
        </w:tc>
        <w:tc>
          <w:tcPr>
            <w:cnfStyle w:evenVBand="true" w:oddVBand="false" w:firstColumn="false"/>
            <w:tcW w:w="25.000000%" w:type="pct"/>
          </w:tcPr>
          <w:p>
            <w:pPr>
              <w:ind w:leftChars="0" w:left="0" w:right="0"/>
            </w:pPr>
            <w:r>
              <w:t>1789</w:t>
            </w:r>
          </w:p>
        </w:tc>
      </w:tr>
      <w:tr>
        <w:trPr>
          <w:cnfStyle w:evenHBand="false" w:oddHBand="true" w:firstRow="false"/>
        </w:trPr>
        <w:tc>
          <w:tcPr>
            <w:cnfStyle w:evenVBand="false" w:oddVBand="true" w:firstColumn="false"/>
            <w:tcW w:w="25.000000%" w:type="pct"/>
          </w:tcPr>
          <w:p>
            <w:pPr>
              <w:ind w:leftChars="0" w:left="0" w:right="0"/>
            </w:pPr>
            <w:r>
              <w:t>TSAD</w:t>
            </w:r>
          </w:p>
        </w:tc>
        <w:tc>
          <w:tcPr>
            <w:cnfStyle w:evenVBand="true" w:oddVBand="false" w:firstColumn="false"/>
            <w:tcW w:w="25.000000%" w:type="pct"/>
          </w:tcPr>
          <w:p>
            <w:pPr>
              <w:ind w:leftChars="0" w:left="0" w:right="0"/>
            </w:pPr>
            <w:r>
              <w:t>TSAD</w:t>
            </w:r>
          </w:p>
        </w:tc>
        <w:tc>
          <w:tcPr>
            <w:cnfStyle w:evenVBand="false" w:oddVBand="true" w:firstColumn="false"/>
            <w:tcW w:w="25.000000%" w:type="pct"/>
          </w:tcPr>
          <w:p>
            <w:pPr>
              <w:ind w:leftChars="0" w:left="0" w:right="0"/>
            </w:pPr>
            <w:r>
              <w:t>TRADITION SECURITIES AND DERIVATIVES INC.</w:t>
            </w:r>
          </w:p>
        </w:tc>
        <w:tc>
          <w:tcPr>
            <w:cnfStyle w:evenVBand="true" w:oddVBand="false" w:firstColumn="false"/>
            <w:tcW w:w="25.000000%" w:type="pct"/>
          </w:tcPr>
          <w:p>
            <w:pPr>
              <w:ind w:leftChars="0" w:left="0" w:right="0"/>
            </w:pPr>
            <w:r>
              <w:t>1790</w:t>
            </w:r>
          </w:p>
        </w:tc>
      </w:tr>
      <w:tr>
        <w:trPr>
          <w:cnfStyle w:evenHBand="true" w:oddHBand="false" w:firstRow="false"/>
        </w:trPr>
        <w:tc>
          <w:tcPr>
            <w:cnfStyle w:evenVBand="false" w:oddVBand="true" w:firstColumn="false"/>
            <w:tcW w:w="25.000000%" w:type="pct"/>
          </w:tcPr>
          <w:p>
            <w:pPr>
              <w:ind w:leftChars="0" w:left="0" w:right="0"/>
            </w:pPr>
            <w:r>
              <w:t>TSAF</w:t>
            </w:r>
          </w:p>
        </w:tc>
        <w:tc>
          <w:tcPr>
            <w:cnfStyle w:evenVBand="true" w:oddVBand="false" w:firstColumn="false"/>
            <w:tcW w:w="25.000000%" w:type="pct"/>
          </w:tcPr>
          <w:p>
            <w:pPr>
              <w:ind w:leftChars="0" w:left="0" w:right="0"/>
            </w:pPr>
            <w:r>
              <w:t>TSAF</w:t>
            </w:r>
          </w:p>
        </w:tc>
        <w:tc>
          <w:tcPr>
            <w:cnfStyle w:evenVBand="false" w:oddVBand="true" w:firstColumn="false"/>
            <w:tcW w:w="25.000000%" w:type="pct"/>
          </w:tcPr>
          <w:p>
            <w:pPr>
              <w:ind w:leftChars="0" w:left="0" w:right="0"/>
            </w:pPr>
            <w:r>
              <w:t>TSAF OTC - OTF</w:t>
            </w:r>
          </w:p>
        </w:tc>
        <w:tc>
          <w:tcPr>
            <w:cnfStyle w:evenVBand="true" w:oddVBand="false" w:firstColumn="false"/>
            <w:tcW w:w="25.000000%" w:type="pct"/>
          </w:tcPr>
          <w:p>
            <w:pPr>
              <w:ind w:leftChars="0" w:left="0" w:right="0"/>
            </w:pPr>
            <w:r>
              <w:t>1791</w:t>
            </w:r>
          </w:p>
        </w:tc>
      </w:tr>
      <w:tr>
        <w:trPr>
          <w:cnfStyle w:evenHBand="false" w:oddHBand="true" w:firstRow="false"/>
        </w:trPr>
        <w:tc>
          <w:tcPr>
            <w:cnfStyle w:evenVBand="false" w:oddVBand="true" w:firstColumn="false"/>
            <w:tcW w:w="25.000000%" w:type="pct"/>
          </w:tcPr>
          <w:p>
            <w:pPr>
              <w:ind w:leftChars="0" w:left="0" w:right="0"/>
            </w:pPr>
            <w:r>
              <w:t>TSBX</w:t>
            </w:r>
          </w:p>
        </w:tc>
        <w:tc>
          <w:tcPr>
            <w:cnfStyle w:evenVBand="true" w:oddVBand="false" w:firstColumn="false"/>
            <w:tcW w:w="25.000000%" w:type="pct"/>
          </w:tcPr>
          <w:p>
            <w:pPr>
              <w:ind w:leftChars="0" w:left="0" w:right="0"/>
            </w:pPr>
            <w:r>
              <w:t>TSBX</w:t>
            </w:r>
          </w:p>
        </w:tc>
        <w:tc>
          <w:tcPr>
            <w:cnfStyle w:evenVBand="false" w:oddVBand="true" w:firstColumn="false"/>
            <w:tcW w:w="25.000000%" w:type="pct"/>
          </w:tcPr>
          <w:p>
            <w:pPr>
              <w:ind w:leftChars="0" w:left="0" w:right="0"/>
            </w:pPr>
            <w:r>
              <w:t>DBOT ATS, LLC</w:t>
            </w:r>
          </w:p>
        </w:tc>
        <w:tc>
          <w:tcPr>
            <w:cnfStyle w:evenVBand="true" w:oddVBand="false" w:firstColumn="false"/>
            <w:tcW w:w="25.000000%" w:type="pct"/>
          </w:tcPr>
          <w:p>
            <w:pPr>
              <w:ind w:leftChars="0" w:left="0" w:right="0"/>
            </w:pPr>
            <w:r>
              <w:t>1792</w:t>
            </w:r>
          </w:p>
        </w:tc>
      </w:tr>
      <w:tr>
        <w:trPr>
          <w:cnfStyle w:evenHBand="true" w:oddHBand="false" w:firstRow="false"/>
        </w:trPr>
        <w:tc>
          <w:tcPr>
            <w:cnfStyle w:evenVBand="false" w:oddVBand="true" w:firstColumn="false"/>
            <w:tcW w:w="25.000000%" w:type="pct"/>
          </w:tcPr>
          <w:p>
            <w:pPr>
              <w:ind w:leftChars="0" w:left="0" w:right="0"/>
            </w:pPr>
            <w:r>
              <w:t>TSCB</w:t>
            </w:r>
          </w:p>
        </w:tc>
        <w:tc>
          <w:tcPr>
            <w:cnfStyle w:evenVBand="true" w:oddVBand="false" w:firstColumn="false"/>
            <w:tcW w:w="25.000000%" w:type="pct"/>
          </w:tcPr>
          <w:p>
            <w:pPr>
              <w:ind w:leftChars="0" w:left="0" w:right="0"/>
            </w:pPr>
            <w:r>
              <w:t>TSCB</w:t>
            </w:r>
          </w:p>
        </w:tc>
        <w:tc>
          <w:tcPr>
            <w:cnfStyle w:evenVBand="false" w:oddVBand="true" w:firstColumn="false"/>
            <w:tcW w:w="25.000000%" w:type="pct"/>
          </w:tcPr>
          <w:p>
            <w:pPr>
              <w:ind w:leftChars="0" w:left="0" w:right="0"/>
            </w:pPr>
            <w:r>
              <w:t>TP UK OTF - CORPORATE BONDS</w:t>
            </w:r>
          </w:p>
        </w:tc>
        <w:tc>
          <w:tcPr>
            <w:cnfStyle w:evenVBand="true" w:oddVBand="false" w:firstColumn="false"/>
            <w:tcW w:w="25.000000%" w:type="pct"/>
          </w:tcPr>
          <w:p>
            <w:pPr>
              <w:ind w:leftChars="0" w:left="0" w:right="0"/>
            </w:pPr>
            <w:r>
              <w:t>1793</w:t>
            </w:r>
          </w:p>
        </w:tc>
      </w:tr>
      <w:tr>
        <w:trPr>
          <w:cnfStyle w:evenHBand="false" w:oddHBand="true" w:firstRow="false"/>
        </w:trPr>
        <w:tc>
          <w:tcPr>
            <w:cnfStyle w:evenVBand="false" w:oddVBand="true" w:firstColumn="false"/>
            <w:tcW w:w="25.000000%" w:type="pct"/>
          </w:tcPr>
          <w:p>
            <w:pPr>
              <w:ind w:leftChars="0" w:left="0" w:right="0"/>
            </w:pPr>
            <w:r>
              <w:t>TSCD</w:t>
            </w:r>
          </w:p>
        </w:tc>
        <w:tc>
          <w:tcPr>
            <w:cnfStyle w:evenVBand="true" w:oddVBand="false" w:firstColumn="false"/>
            <w:tcW w:w="25.000000%" w:type="pct"/>
          </w:tcPr>
          <w:p>
            <w:pPr>
              <w:ind w:leftChars="0" w:left="0" w:right="0"/>
            </w:pPr>
            <w:r>
              <w:t>TSCD</w:t>
            </w:r>
          </w:p>
        </w:tc>
        <w:tc>
          <w:tcPr>
            <w:cnfStyle w:evenVBand="false" w:oddVBand="true" w:firstColumn="false"/>
            <w:tcW w:w="25.000000%" w:type="pct"/>
          </w:tcPr>
          <w:p>
            <w:pPr>
              <w:ind w:leftChars="0" w:left="0" w:right="0"/>
            </w:pPr>
            <w:r>
              <w:t>TP UK OTF - CREDIT DERIVATIVES</w:t>
            </w:r>
          </w:p>
        </w:tc>
        <w:tc>
          <w:tcPr>
            <w:cnfStyle w:evenVBand="true" w:oddVBand="false" w:firstColumn="false"/>
            <w:tcW w:w="25.000000%" w:type="pct"/>
          </w:tcPr>
          <w:p>
            <w:pPr>
              <w:ind w:leftChars="0" w:left="0" w:right="0"/>
            </w:pPr>
            <w:r>
              <w:t>1794</w:t>
            </w:r>
          </w:p>
        </w:tc>
      </w:tr>
      <w:tr>
        <w:trPr>
          <w:cnfStyle w:evenHBand="true" w:oddHBand="false" w:firstRow="false"/>
        </w:trPr>
        <w:tc>
          <w:tcPr>
            <w:cnfStyle w:evenVBand="false" w:oddVBand="true" w:firstColumn="false"/>
            <w:tcW w:w="25.000000%" w:type="pct"/>
          </w:tcPr>
          <w:p>
            <w:pPr>
              <w:ind w:leftChars="0" w:left="0" w:right="0"/>
            </w:pPr>
            <w:r>
              <w:t>TSED</w:t>
            </w:r>
          </w:p>
        </w:tc>
        <w:tc>
          <w:tcPr>
            <w:cnfStyle w:evenVBand="true" w:oddVBand="false" w:firstColumn="false"/>
            <w:tcW w:w="25.000000%" w:type="pct"/>
          </w:tcPr>
          <w:p>
            <w:pPr>
              <w:ind w:leftChars="0" w:left="0" w:right="0"/>
            </w:pPr>
            <w:r>
              <w:t>TSED</w:t>
            </w:r>
          </w:p>
        </w:tc>
        <w:tc>
          <w:tcPr>
            <w:cnfStyle w:evenVBand="false" w:oddVBand="true" w:firstColumn="false"/>
            <w:tcW w:w="25.000000%" w:type="pct"/>
          </w:tcPr>
          <w:p>
            <w:pPr>
              <w:ind w:leftChars="0" w:left="0" w:right="0"/>
            </w:pPr>
            <w:r>
              <w:t>TP UK OTF - EQUITY DERIVATIVES</w:t>
            </w:r>
          </w:p>
        </w:tc>
        <w:tc>
          <w:tcPr>
            <w:cnfStyle w:evenVBand="true" w:oddVBand="false" w:firstColumn="false"/>
            <w:tcW w:w="25.000000%" w:type="pct"/>
          </w:tcPr>
          <w:p>
            <w:pPr>
              <w:ind w:leftChars="0" w:left="0" w:right="0"/>
            </w:pPr>
            <w:r>
              <w:t>1795</w:t>
            </w:r>
          </w:p>
        </w:tc>
      </w:tr>
      <w:tr>
        <w:trPr>
          <w:cnfStyle w:evenHBand="false" w:oddHBand="true" w:firstRow="false"/>
        </w:trPr>
        <w:tc>
          <w:tcPr>
            <w:cnfStyle w:evenVBand="false" w:oddVBand="true" w:firstColumn="false"/>
            <w:tcW w:w="25.000000%" w:type="pct"/>
          </w:tcPr>
          <w:p>
            <w:pPr>
              <w:ind w:leftChars="0" w:left="0" w:right="0"/>
            </w:pPr>
            <w:r>
              <w:t>TSEF</w:t>
            </w:r>
          </w:p>
        </w:tc>
        <w:tc>
          <w:tcPr>
            <w:cnfStyle w:evenVBand="true" w:oddVBand="false" w:firstColumn="false"/>
            <w:tcW w:w="25.000000%" w:type="pct"/>
          </w:tcPr>
          <w:p>
            <w:pPr>
              <w:ind w:leftChars="0" w:left="0" w:right="0"/>
            </w:pPr>
            <w:r>
              <w:t>TSEF</w:t>
            </w:r>
          </w:p>
        </w:tc>
        <w:tc>
          <w:tcPr>
            <w:cnfStyle w:evenVBand="false" w:oddVBand="true" w:firstColumn="false"/>
            <w:tcW w:w="25.000000%" w:type="pct"/>
          </w:tcPr>
          <w:p>
            <w:pPr>
              <w:ind w:leftChars="0" w:left="0" w:right="0"/>
            </w:pPr>
            <w:r>
              <w:t>TRADITION SEF</w:t>
            </w:r>
          </w:p>
        </w:tc>
        <w:tc>
          <w:tcPr>
            <w:cnfStyle w:evenVBand="true" w:oddVBand="false" w:firstColumn="false"/>
            <w:tcW w:w="25.000000%" w:type="pct"/>
          </w:tcPr>
          <w:p>
            <w:pPr>
              <w:ind w:leftChars="0" w:left="0" w:right="0"/>
            </w:pPr>
            <w:r>
              <w:t>1796</w:t>
            </w:r>
          </w:p>
        </w:tc>
      </w:tr>
      <w:tr>
        <w:trPr>
          <w:cnfStyle w:evenHBand="true" w:oddHBand="false" w:firstRow="false"/>
        </w:trPr>
        <w:tc>
          <w:tcPr>
            <w:cnfStyle w:evenVBand="false" w:oddVBand="true" w:firstColumn="false"/>
            <w:tcW w:w="25.000000%" w:type="pct"/>
          </w:tcPr>
          <w:p>
            <w:pPr>
              <w:ind w:leftChars="0" w:left="0" w:right="0"/>
            </w:pPr>
            <w:r>
              <w:t>TSFF</w:t>
            </w:r>
          </w:p>
        </w:tc>
        <w:tc>
          <w:tcPr>
            <w:cnfStyle w:evenVBand="true" w:oddVBand="false" w:firstColumn="false"/>
            <w:tcW w:w="25.000000%" w:type="pct"/>
          </w:tcPr>
          <w:p>
            <w:pPr>
              <w:ind w:leftChars="0" w:left="0" w:right="0"/>
            </w:pPr>
            <w:r>
              <w:t>TSFF</w:t>
            </w:r>
          </w:p>
        </w:tc>
        <w:tc>
          <w:tcPr>
            <w:cnfStyle w:evenVBand="false" w:oddVBand="true" w:firstColumn="false"/>
            <w:tcW w:w="25.000000%" w:type="pct"/>
          </w:tcPr>
          <w:p>
            <w:pPr>
              <w:ind w:leftChars="0" w:left="0" w:right="0"/>
            </w:pPr>
            <w:r>
              <w:t>TULLETT PREBON SECURITIES - FRANKFURT - OTF - CORPORATE BONDS AND SECURITISED DEBT</w:t>
            </w:r>
          </w:p>
        </w:tc>
        <w:tc>
          <w:tcPr>
            <w:cnfStyle w:evenVBand="true" w:oddVBand="false" w:firstColumn="false"/>
            <w:tcW w:w="25.000000%" w:type="pct"/>
          </w:tcPr>
          <w:p>
            <w:pPr>
              <w:ind w:leftChars="0" w:left="0" w:right="0"/>
            </w:pPr>
            <w:r>
              <w:t>1797</w:t>
            </w:r>
          </w:p>
        </w:tc>
      </w:tr>
      <w:tr>
        <w:trPr>
          <w:cnfStyle w:evenHBand="false" w:oddHBand="true" w:firstRow="false"/>
        </w:trPr>
        <w:tc>
          <w:tcPr>
            <w:cnfStyle w:evenVBand="false" w:oddVBand="true" w:firstColumn="false"/>
            <w:tcW w:w="25.000000%" w:type="pct"/>
          </w:tcPr>
          <w:p>
            <w:pPr>
              <w:ind w:leftChars="0" w:left="0" w:right="0"/>
            </w:pPr>
            <w:r>
              <w:t>TSFG</w:t>
            </w:r>
          </w:p>
        </w:tc>
        <w:tc>
          <w:tcPr>
            <w:cnfStyle w:evenVBand="true" w:oddVBand="false" w:firstColumn="false"/>
            <w:tcW w:w="25.000000%" w:type="pct"/>
          </w:tcPr>
          <w:p>
            <w:pPr>
              <w:ind w:leftChars="0" w:left="0" w:right="0"/>
            </w:pPr>
            <w:r>
              <w:t>TSFG</w:t>
            </w:r>
          </w:p>
        </w:tc>
        <w:tc>
          <w:tcPr>
            <w:cnfStyle w:evenVBand="false" w:oddVBand="true" w:firstColumn="false"/>
            <w:tcW w:w="25.000000%" w:type="pct"/>
          </w:tcPr>
          <w:p>
            <w:pPr>
              <w:ind w:leftChars="0" w:left="0" w:right="0"/>
            </w:pPr>
            <w:r>
              <w:t>TULLETT PREBON SECURITIES - FRANKFURT - OTF - GOVERNMENT BONDS - EX GILTS</w:t>
            </w:r>
          </w:p>
        </w:tc>
        <w:tc>
          <w:tcPr>
            <w:cnfStyle w:evenVBand="true" w:oddVBand="false" w:firstColumn="false"/>
            <w:tcW w:w="25.000000%" w:type="pct"/>
          </w:tcPr>
          <w:p>
            <w:pPr>
              <w:ind w:leftChars="0" w:left="0" w:right="0"/>
            </w:pPr>
            <w:r>
              <w:t>1798</w:t>
            </w:r>
          </w:p>
        </w:tc>
      </w:tr>
      <w:tr>
        <w:trPr>
          <w:cnfStyle w:evenHBand="true" w:oddHBand="false" w:firstRow="false"/>
        </w:trPr>
        <w:tc>
          <w:tcPr>
            <w:cnfStyle w:evenVBand="false" w:oddVBand="true" w:firstColumn="false"/>
            <w:tcW w:w="25.000000%" w:type="pct"/>
          </w:tcPr>
          <w:p>
            <w:pPr>
              <w:ind w:leftChars="0" w:left="0" w:right="0"/>
            </w:pPr>
            <w:r>
              <w:t>TSFI</w:t>
            </w:r>
          </w:p>
        </w:tc>
        <w:tc>
          <w:tcPr>
            <w:cnfStyle w:evenVBand="true" w:oddVBand="false" w:firstColumn="false"/>
            <w:tcW w:w="25.000000%" w:type="pct"/>
          </w:tcPr>
          <w:p>
            <w:pPr>
              <w:ind w:leftChars="0" w:left="0" w:right="0"/>
            </w:pPr>
            <w:r>
              <w:t>TSFI</w:t>
            </w:r>
          </w:p>
        </w:tc>
        <w:tc>
          <w:tcPr>
            <w:cnfStyle w:evenVBand="false" w:oddVBand="true" w:firstColumn="false"/>
            <w:tcW w:w="25.000000%" w:type="pct"/>
          </w:tcPr>
          <w:p>
            <w:pPr>
              <w:ind w:leftChars="0" w:left="0" w:right="0"/>
            </w:pPr>
            <w:r>
              <w:t>TP UK OTF - CORPORATE BONDS AND SECURITISED DEBT</w:t>
            </w:r>
          </w:p>
        </w:tc>
        <w:tc>
          <w:tcPr>
            <w:cnfStyle w:evenVBand="true" w:oddVBand="false" w:firstColumn="false"/>
            <w:tcW w:w="25.000000%" w:type="pct"/>
          </w:tcPr>
          <w:p>
            <w:pPr>
              <w:ind w:leftChars="0" w:left="0" w:right="0"/>
            </w:pPr>
            <w:r>
              <w:t>1799</w:t>
            </w:r>
          </w:p>
        </w:tc>
      </w:tr>
      <w:tr>
        <w:trPr>
          <w:cnfStyle w:evenHBand="false" w:oddHBand="true" w:firstRow="false"/>
        </w:trPr>
        <w:tc>
          <w:tcPr>
            <w:cnfStyle w:evenVBand="false" w:oddVBand="true" w:firstColumn="false"/>
            <w:tcW w:w="25.000000%" w:type="pct"/>
          </w:tcPr>
          <w:p>
            <w:pPr>
              <w:ind w:leftChars="0" w:left="0" w:right="0"/>
            </w:pPr>
            <w:r>
              <w:t>TSFX</w:t>
            </w:r>
          </w:p>
        </w:tc>
        <w:tc>
          <w:tcPr>
            <w:cnfStyle w:evenVBand="true" w:oddVBand="false" w:firstColumn="false"/>
            <w:tcW w:w="25.000000%" w:type="pct"/>
          </w:tcPr>
          <w:p>
            <w:pPr>
              <w:ind w:leftChars="0" w:left="0" w:right="0"/>
            </w:pPr>
            <w:r>
              <w:t>TSFX</w:t>
            </w:r>
          </w:p>
        </w:tc>
        <w:tc>
          <w:tcPr>
            <w:cnfStyle w:evenVBand="false" w:oddVBand="true" w:firstColumn="false"/>
            <w:tcW w:w="25.000000%" w:type="pct"/>
          </w:tcPr>
          <w:p>
            <w:pPr>
              <w:ind w:leftChars="0" w:left="0" w:right="0"/>
            </w:pPr>
            <w:r>
              <w:t>TP UK OTF - FX DERIVATIVES</w:t>
            </w:r>
          </w:p>
        </w:tc>
        <w:tc>
          <w:tcPr>
            <w:cnfStyle w:evenVBand="true" w:oddVBand="false" w:firstColumn="false"/>
            <w:tcW w:w="25.000000%" w:type="pct"/>
          </w:tcPr>
          <w:p>
            <w:pPr>
              <w:ind w:leftChars="0" w:left="0" w:right="0"/>
            </w:pPr>
            <w:r>
              <w:t>1800</w:t>
            </w:r>
          </w:p>
        </w:tc>
      </w:tr>
      <w:tr>
        <w:trPr>
          <w:cnfStyle w:evenHBand="true" w:oddHBand="false" w:firstRow="false"/>
        </w:trPr>
        <w:tc>
          <w:tcPr>
            <w:cnfStyle w:evenVBand="false" w:oddVBand="true" w:firstColumn="false"/>
            <w:tcW w:w="25.000000%" w:type="pct"/>
          </w:tcPr>
          <w:p>
            <w:pPr>
              <w:ind w:leftChars="0" w:left="0" w:right="0"/>
            </w:pPr>
            <w:r>
              <w:t>TSGB</w:t>
            </w:r>
          </w:p>
        </w:tc>
        <w:tc>
          <w:tcPr>
            <w:cnfStyle w:evenVBand="true" w:oddVBand="false" w:firstColumn="false"/>
            <w:tcW w:w="25.000000%" w:type="pct"/>
          </w:tcPr>
          <w:p>
            <w:pPr>
              <w:ind w:leftChars="0" w:left="0" w:right="0"/>
            </w:pPr>
            <w:r>
              <w:t>TSGB</w:t>
            </w:r>
          </w:p>
        </w:tc>
        <w:tc>
          <w:tcPr>
            <w:cnfStyle w:evenVBand="false" w:oddVBand="true" w:firstColumn="false"/>
            <w:tcW w:w="25.000000%" w:type="pct"/>
          </w:tcPr>
          <w:p>
            <w:pPr>
              <w:ind w:leftChars="0" w:left="0" w:right="0"/>
            </w:pPr>
            <w:r>
              <w:t>TP UK OTF - GOVERNMENT BONDS EXCLUDING UK GILTS</w:t>
            </w:r>
          </w:p>
        </w:tc>
        <w:tc>
          <w:tcPr>
            <w:cnfStyle w:evenVBand="true" w:oddVBand="false" w:firstColumn="false"/>
            <w:tcW w:w="25.000000%" w:type="pct"/>
          </w:tcPr>
          <w:p>
            <w:pPr>
              <w:ind w:leftChars="0" w:left="0" w:right="0"/>
            </w:pPr>
            <w:r>
              <w:t>1801</w:t>
            </w:r>
          </w:p>
        </w:tc>
      </w:tr>
      <w:tr>
        <w:trPr>
          <w:cnfStyle w:evenHBand="false" w:oddHBand="true" w:firstRow="false"/>
        </w:trPr>
        <w:tc>
          <w:tcPr>
            <w:cnfStyle w:evenVBand="false" w:oddVBand="true" w:firstColumn="false"/>
            <w:tcW w:w="25.000000%" w:type="pct"/>
          </w:tcPr>
          <w:p>
            <w:pPr>
              <w:ind w:leftChars="0" w:left="0" w:right="0"/>
            </w:pPr>
            <w:r>
              <w:t>TSGI</w:t>
            </w:r>
          </w:p>
        </w:tc>
        <w:tc>
          <w:tcPr>
            <w:cnfStyle w:evenVBand="true" w:oddVBand="false" w:firstColumn="false"/>
            <w:tcW w:w="25.000000%" w:type="pct"/>
          </w:tcPr>
          <w:p>
            <w:pPr>
              <w:ind w:leftChars="0" w:left="0" w:right="0"/>
            </w:pPr>
            <w:r>
              <w:t>TSGI</w:t>
            </w:r>
          </w:p>
        </w:tc>
        <w:tc>
          <w:tcPr>
            <w:cnfStyle w:evenVBand="false" w:oddVBand="true" w:firstColumn="false"/>
            <w:tcW w:w="25.000000%" w:type="pct"/>
          </w:tcPr>
          <w:p>
            <w:pPr>
              <w:ind w:leftChars="0" w:left="0" w:right="0"/>
            </w:pPr>
            <w:r>
              <w:t>TP UK OTF - GOVERNMENT BONDS - UK GILTS</w:t>
            </w:r>
          </w:p>
        </w:tc>
        <w:tc>
          <w:tcPr>
            <w:cnfStyle w:evenVBand="true" w:oddVBand="false" w:firstColumn="false"/>
            <w:tcW w:w="25.000000%" w:type="pct"/>
          </w:tcPr>
          <w:p>
            <w:pPr>
              <w:ind w:leftChars="0" w:left="0" w:right="0"/>
            </w:pPr>
            <w:r>
              <w:t>1802</w:t>
            </w:r>
          </w:p>
        </w:tc>
      </w:tr>
      <w:tr>
        <w:trPr>
          <w:cnfStyle w:evenHBand="true" w:oddHBand="false" w:firstRow="false"/>
        </w:trPr>
        <w:tc>
          <w:tcPr>
            <w:cnfStyle w:evenVBand="false" w:oddVBand="true" w:firstColumn="false"/>
            <w:tcW w:w="25.000000%" w:type="pct"/>
          </w:tcPr>
          <w:p>
            <w:pPr>
              <w:ind w:leftChars="0" w:left="0" w:right="0"/>
            </w:pPr>
            <w:r>
              <w:t>TSIG</w:t>
            </w:r>
          </w:p>
        </w:tc>
        <w:tc>
          <w:tcPr>
            <w:cnfStyle w:evenVBand="true" w:oddVBand="false" w:firstColumn="false"/>
            <w:tcW w:w="25.000000%" w:type="pct"/>
          </w:tcPr>
          <w:p>
            <w:pPr>
              <w:ind w:leftChars="0" w:left="0" w:right="0"/>
            </w:pPr>
            <w:r>
              <w:t>TSIG</w:t>
            </w:r>
          </w:p>
        </w:tc>
        <w:tc>
          <w:tcPr>
            <w:cnfStyle w:evenVBand="false" w:oddVBand="true" w:firstColumn="false"/>
            <w:tcW w:w="25.000000%" w:type="pct"/>
          </w:tcPr>
          <w:p>
            <w:pPr>
              <w:ind w:leftChars="0" w:left="0" w:right="0"/>
            </w:pPr>
            <w:r>
              <w:t>TRADITION SINGAPORE PTE. LTD.</w:t>
            </w:r>
          </w:p>
        </w:tc>
        <w:tc>
          <w:tcPr>
            <w:cnfStyle w:evenVBand="true" w:oddVBand="false" w:firstColumn="false"/>
            <w:tcW w:w="25.000000%" w:type="pct"/>
          </w:tcPr>
          <w:p>
            <w:pPr>
              <w:ind w:leftChars="0" w:left="0" w:right="0"/>
            </w:pPr>
            <w:r>
              <w:t>1803</w:t>
            </w:r>
          </w:p>
        </w:tc>
      </w:tr>
      <w:tr>
        <w:trPr>
          <w:cnfStyle w:evenHBand="false" w:oddHBand="true" w:firstRow="false"/>
        </w:trPr>
        <w:tc>
          <w:tcPr>
            <w:cnfStyle w:evenVBand="false" w:oddVBand="true" w:firstColumn="false"/>
            <w:tcW w:w="25.000000%" w:type="pct"/>
          </w:tcPr>
          <w:p>
            <w:pPr>
              <w:ind w:leftChars="0" w:left="0" w:right="0"/>
            </w:pPr>
            <w:r>
              <w:t>TSIR</w:t>
            </w:r>
          </w:p>
        </w:tc>
        <w:tc>
          <w:tcPr>
            <w:cnfStyle w:evenVBand="true" w:oddVBand="false" w:firstColumn="false"/>
            <w:tcW w:w="25.000000%" w:type="pct"/>
          </w:tcPr>
          <w:p>
            <w:pPr>
              <w:ind w:leftChars="0" w:left="0" w:right="0"/>
            </w:pPr>
            <w:r>
              <w:t>TSIR</w:t>
            </w:r>
          </w:p>
        </w:tc>
        <w:tc>
          <w:tcPr>
            <w:cnfStyle w:evenVBand="false" w:oddVBand="true" w:firstColumn="false"/>
            <w:tcW w:w="25.000000%" w:type="pct"/>
          </w:tcPr>
          <w:p>
            <w:pPr>
              <w:ind w:leftChars="0" w:left="0" w:right="0"/>
            </w:pPr>
            <w:r>
              <w:t>TP UK OTF - INTEREST RATE DERIVATIVES</w:t>
            </w:r>
          </w:p>
        </w:tc>
        <w:tc>
          <w:tcPr>
            <w:cnfStyle w:evenVBand="true" w:oddVBand="false" w:firstColumn="false"/>
            <w:tcW w:w="25.000000%" w:type="pct"/>
          </w:tcPr>
          <w:p>
            <w:pPr>
              <w:ind w:leftChars="0" w:left="0" w:right="0"/>
            </w:pPr>
            <w:r>
              <w:t>1804</w:t>
            </w:r>
          </w:p>
        </w:tc>
      </w:tr>
      <w:tr>
        <w:trPr>
          <w:cnfStyle w:evenHBand="true" w:oddHBand="false" w:firstRow="false"/>
        </w:trPr>
        <w:tc>
          <w:tcPr>
            <w:cnfStyle w:evenVBand="false" w:oddVBand="true" w:firstColumn="false"/>
            <w:tcW w:w="25.000000%" w:type="pct"/>
          </w:tcPr>
          <w:p>
            <w:pPr>
              <w:ind w:leftChars="0" w:left="0" w:right="0"/>
            </w:pPr>
            <w:r>
              <w:t>TSMB</w:t>
            </w:r>
          </w:p>
        </w:tc>
        <w:tc>
          <w:tcPr>
            <w:cnfStyle w:evenVBand="true" w:oddVBand="false" w:firstColumn="false"/>
            <w:tcW w:w="25.000000%" w:type="pct"/>
          </w:tcPr>
          <w:p>
            <w:pPr>
              <w:ind w:leftChars="0" w:left="0" w:right="0"/>
            </w:pPr>
            <w:r>
              <w:t>TSMB</w:t>
            </w:r>
          </w:p>
        </w:tc>
        <w:tc>
          <w:tcPr>
            <w:cnfStyle w:evenVBand="false" w:oddVBand="true" w:firstColumn="false"/>
            <w:tcW w:w="25.000000%" w:type="pct"/>
          </w:tcPr>
          <w:p>
            <w:pPr>
              <w:ind w:leftChars="0" w:left="0" w:right="0"/>
            </w:pPr>
            <w:r>
              <w:t>TULLETT PREBON SECURITIES - MTF - CORPORATE BONDS AND SECURITISED DEBT</w:t>
            </w:r>
          </w:p>
        </w:tc>
        <w:tc>
          <w:tcPr>
            <w:cnfStyle w:evenVBand="true" w:oddVBand="false" w:firstColumn="false"/>
            <w:tcW w:w="25.000000%" w:type="pct"/>
          </w:tcPr>
          <w:p>
            <w:pPr>
              <w:ind w:leftChars="0" w:left="0" w:right="0"/>
            </w:pPr>
            <w:r>
              <w:t>1805</w:t>
            </w:r>
          </w:p>
        </w:tc>
      </w:tr>
      <w:tr>
        <w:trPr>
          <w:cnfStyle w:evenHBand="false" w:oddHBand="true" w:firstRow="false"/>
        </w:trPr>
        <w:tc>
          <w:tcPr>
            <w:cnfStyle w:evenVBand="false" w:oddVBand="true" w:firstColumn="false"/>
            <w:tcW w:w="25.000000%" w:type="pct"/>
          </w:tcPr>
          <w:p>
            <w:pPr>
              <w:ind w:leftChars="0" w:left="0" w:right="0"/>
            </w:pPr>
            <w:r>
              <w:t>TSMC</w:t>
            </w:r>
          </w:p>
        </w:tc>
        <w:tc>
          <w:tcPr>
            <w:cnfStyle w:evenVBand="true" w:oddVBand="false" w:firstColumn="false"/>
            <w:tcW w:w="25.000000%" w:type="pct"/>
          </w:tcPr>
          <w:p>
            <w:pPr>
              <w:ind w:leftChars="0" w:left="0" w:right="0"/>
            </w:pPr>
            <w:r>
              <w:t>TSMC</w:t>
            </w:r>
          </w:p>
        </w:tc>
        <w:tc>
          <w:tcPr>
            <w:cnfStyle w:evenVBand="false" w:oddVBand="true" w:firstColumn="false"/>
            <w:tcW w:w="25.000000%" w:type="pct"/>
          </w:tcPr>
          <w:p>
            <w:pPr>
              <w:ind w:leftChars="0" w:left="0" w:right="0"/>
            </w:pPr>
            <w:r>
              <w:t>TULLETT PREBON SECURITIES - MTF - CREDIT DERIVATIVES</w:t>
            </w:r>
          </w:p>
        </w:tc>
        <w:tc>
          <w:tcPr>
            <w:cnfStyle w:evenVBand="true" w:oddVBand="false" w:firstColumn="false"/>
            <w:tcW w:w="25.000000%" w:type="pct"/>
          </w:tcPr>
          <w:p>
            <w:pPr>
              <w:ind w:leftChars="0" w:left="0" w:right="0"/>
            </w:pPr>
            <w:r>
              <w:t>1806</w:t>
            </w:r>
          </w:p>
        </w:tc>
      </w:tr>
      <w:tr>
        <w:trPr>
          <w:cnfStyle w:evenHBand="true" w:oddHBand="false" w:firstRow="false"/>
        </w:trPr>
        <w:tc>
          <w:tcPr>
            <w:cnfStyle w:evenVBand="false" w:oddVBand="true" w:firstColumn="false"/>
            <w:tcW w:w="25.000000%" w:type="pct"/>
          </w:tcPr>
          <w:p>
            <w:pPr>
              <w:ind w:leftChars="0" w:left="0" w:right="0"/>
            </w:pPr>
            <w:r>
              <w:t>TSMG</w:t>
            </w:r>
          </w:p>
        </w:tc>
        <w:tc>
          <w:tcPr>
            <w:cnfStyle w:evenVBand="true" w:oddVBand="false" w:firstColumn="false"/>
            <w:tcW w:w="25.000000%" w:type="pct"/>
          </w:tcPr>
          <w:p>
            <w:pPr>
              <w:ind w:leftChars="0" w:left="0" w:right="0"/>
            </w:pPr>
            <w:r>
              <w:t>TSMG</w:t>
            </w:r>
          </w:p>
        </w:tc>
        <w:tc>
          <w:tcPr>
            <w:cnfStyle w:evenVBand="false" w:oddVBand="true" w:firstColumn="false"/>
            <w:tcW w:w="25.000000%" w:type="pct"/>
          </w:tcPr>
          <w:p>
            <w:pPr>
              <w:ind w:leftChars="0" w:left="0" w:right="0"/>
            </w:pPr>
            <w:r>
              <w:t>TULLETT PREBON SECURITIES - MTF - GOVERNMENT BONDS EXCLUDING UK GILTS</w:t>
            </w:r>
          </w:p>
        </w:tc>
        <w:tc>
          <w:tcPr>
            <w:cnfStyle w:evenVBand="true" w:oddVBand="false" w:firstColumn="false"/>
            <w:tcW w:w="25.000000%" w:type="pct"/>
          </w:tcPr>
          <w:p>
            <w:pPr>
              <w:ind w:leftChars="0" w:left="0" w:right="0"/>
            </w:pPr>
            <w:r>
              <w:t>1807</w:t>
            </w:r>
          </w:p>
        </w:tc>
      </w:tr>
      <w:tr>
        <w:trPr>
          <w:cnfStyle w:evenHBand="false" w:oddHBand="true" w:firstRow="false"/>
        </w:trPr>
        <w:tc>
          <w:tcPr>
            <w:cnfStyle w:evenVBand="false" w:oddVBand="true" w:firstColumn="false"/>
            <w:tcW w:w="25.000000%" w:type="pct"/>
          </w:tcPr>
          <w:p>
            <w:pPr>
              <w:ind w:leftChars="0" w:left="0" w:right="0"/>
            </w:pPr>
            <w:r>
              <w:t>TSMI</w:t>
            </w:r>
          </w:p>
        </w:tc>
        <w:tc>
          <w:tcPr>
            <w:cnfStyle w:evenVBand="true" w:oddVBand="false" w:firstColumn="false"/>
            <w:tcW w:w="25.000000%" w:type="pct"/>
          </w:tcPr>
          <w:p>
            <w:pPr>
              <w:ind w:leftChars="0" w:left="0" w:right="0"/>
            </w:pPr>
            <w:r>
              <w:t>TSMI</w:t>
            </w:r>
          </w:p>
        </w:tc>
        <w:tc>
          <w:tcPr>
            <w:cnfStyle w:evenVBand="false" w:oddVBand="true" w:firstColumn="false"/>
            <w:tcW w:w="25.000000%" w:type="pct"/>
          </w:tcPr>
          <w:p>
            <w:pPr>
              <w:ind w:leftChars="0" w:left="0" w:right="0"/>
            </w:pPr>
            <w:r>
              <w:t>TULLETT PREBON SECURITIES - MTF - MONEY MARKET INSTRUMENTS</w:t>
            </w:r>
          </w:p>
        </w:tc>
        <w:tc>
          <w:tcPr>
            <w:cnfStyle w:evenVBand="true" w:oddVBand="false" w:firstColumn="false"/>
            <w:tcW w:w="25.000000%" w:type="pct"/>
          </w:tcPr>
          <w:p>
            <w:pPr>
              <w:ind w:leftChars="0" w:left="0" w:right="0"/>
            </w:pPr>
            <w:r>
              <w:t>1808</w:t>
            </w:r>
          </w:p>
        </w:tc>
      </w:tr>
      <w:tr>
        <w:trPr>
          <w:cnfStyle w:evenHBand="true" w:oddHBand="false" w:firstRow="false"/>
        </w:trPr>
        <w:tc>
          <w:tcPr>
            <w:cnfStyle w:evenVBand="false" w:oddVBand="true" w:firstColumn="false"/>
            <w:tcW w:w="25.000000%" w:type="pct"/>
          </w:tcPr>
          <w:p>
            <w:pPr>
              <w:ind w:leftChars="0" w:left="0" w:right="0"/>
            </w:pPr>
            <w:r>
              <w:t>TSMM</w:t>
            </w:r>
          </w:p>
        </w:tc>
        <w:tc>
          <w:tcPr>
            <w:cnfStyle w:evenVBand="true" w:oddVBand="false" w:firstColumn="false"/>
            <w:tcW w:w="25.000000%" w:type="pct"/>
          </w:tcPr>
          <w:p>
            <w:pPr>
              <w:ind w:leftChars="0" w:left="0" w:right="0"/>
            </w:pPr>
            <w:r>
              <w:t>TSMM</w:t>
            </w:r>
          </w:p>
        </w:tc>
        <w:tc>
          <w:tcPr>
            <w:cnfStyle w:evenVBand="false" w:oddVBand="true" w:firstColumn="false"/>
            <w:tcW w:w="25.000000%" w:type="pct"/>
          </w:tcPr>
          <w:p>
            <w:pPr>
              <w:ind w:leftChars="0" w:left="0" w:right="0"/>
            </w:pPr>
            <w:r>
              <w:t>TP UK OTF - MONEY MARKET INSTRUMENTS</w:t>
            </w:r>
          </w:p>
        </w:tc>
        <w:tc>
          <w:tcPr>
            <w:cnfStyle w:evenVBand="true" w:oddVBand="false" w:firstColumn="false"/>
            <w:tcW w:w="25.000000%" w:type="pct"/>
          </w:tcPr>
          <w:p>
            <w:pPr>
              <w:ind w:leftChars="0" w:left="0" w:right="0"/>
            </w:pPr>
            <w:r>
              <w:t>1809</w:t>
            </w:r>
          </w:p>
        </w:tc>
      </w:tr>
      <w:tr>
        <w:trPr>
          <w:cnfStyle w:evenHBand="false" w:oddHBand="true" w:firstRow="false"/>
        </w:trPr>
        <w:tc>
          <w:tcPr>
            <w:cnfStyle w:evenVBand="false" w:oddVBand="true" w:firstColumn="false"/>
            <w:tcW w:w="25.000000%" w:type="pct"/>
          </w:tcPr>
          <w:p>
            <w:pPr>
              <w:ind w:leftChars="0" w:left="0" w:right="0"/>
            </w:pPr>
            <w:r>
              <w:t>TSMR</w:t>
            </w:r>
          </w:p>
        </w:tc>
        <w:tc>
          <w:tcPr>
            <w:cnfStyle w:evenVBand="true" w:oddVBand="false" w:firstColumn="false"/>
            <w:tcW w:w="25.000000%" w:type="pct"/>
          </w:tcPr>
          <w:p>
            <w:pPr>
              <w:ind w:leftChars="0" w:left="0" w:right="0"/>
            </w:pPr>
            <w:r>
              <w:t>TSMR</w:t>
            </w:r>
          </w:p>
        </w:tc>
        <w:tc>
          <w:tcPr>
            <w:cnfStyle w:evenVBand="false" w:oddVBand="true" w:firstColumn="false"/>
            <w:tcW w:w="25.000000%" w:type="pct"/>
          </w:tcPr>
          <w:p>
            <w:pPr>
              <w:ind w:leftChars="0" w:left="0" w:right="0"/>
            </w:pPr>
            <w:r>
              <w:t>TULLETT PREBON SECURITIES - MTF - REPOS</w:t>
            </w:r>
          </w:p>
        </w:tc>
        <w:tc>
          <w:tcPr>
            <w:cnfStyle w:evenVBand="true" w:oddVBand="false" w:firstColumn="false"/>
            <w:tcW w:w="25.000000%" w:type="pct"/>
          </w:tcPr>
          <w:p>
            <w:pPr>
              <w:ind w:leftChars="0" w:left="0" w:right="0"/>
            </w:pPr>
            <w:r>
              <w:t>1810</w:t>
            </w:r>
          </w:p>
        </w:tc>
      </w:tr>
      <w:tr>
        <w:trPr>
          <w:cnfStyle w:evenHBand="true" w:oddHBand="false" w:firstRow="false"/>
        </w:trPr>
        <w:tc>
          <w:tcPr>
            <w:cnfStyle w:evenVBand="false" w:oddVBand="true" w:firstColumn="false"/>
            <w:tcW w:w="25.000000%" w:type="pct"/>
          </w:tcPr>
          <w:p>
            <w:pPr>
              <w:ind w:leftChars="0" w:left="0" w:right="0"/>
            </w:pPr>
            <w:r>
              <w:t>TSRE</w:t>
            </w:r>
          </w:p>
        </w:tc>
        <w:tc>
          <w:tcPr>
            <w:cnfStyle w:evenVBand="true" w:oddVBand="false" w:firstColumn="false"/>
            <w:tcW w:w="25.000000%" w:type="pct"/>
          </w:tcPr>
          <w:p>
            <w:pPr>
              <w:ind w:leftChars="0" w:left="0" w:right="0"/>
            </w:pPr>
            <w:r>
              <w:t>TSRE</w:t>
            </w:r>
          </w:p>
        </w:tc>
        <w:tc>
          <w:tcPr>
            <w:cnfStyle w:evenVBand="false" w:oddVBand="true" w:firstColumn="false"/>
            <w:tcW w:w="25.000000%" w:type="pct"/>
          </w:tcPr>
          <w:p>
            <w:pPr>
              <w:ind w:leftChars="0" w:left="0" w:right="0"/>
            </w:pPr>
            <w:r>
              <w:t>TP UK OTF - REPOS</w:t>
            </w:r>
          </w:p>
        </w:tc>
        <w:tc>
          <w:tcPr>
            <w:cnfStyle w:evenVBand="true" w:oddVBand="false" w:firstColumn="false"/>
            <w:tcW w:w="25.000000%" w:type="pct"/>
          </w:tcPr>
          <w:p>
            <w:pPr>
              <w:ind w:leftChars="0" w:left="0" w:right="0"/>
            </w:pPr>
            <w:r>
              <w:t>1811</w:t>
            </w:r>
          </w:p>
        </w:tc>
      </w:tr>
      <w:tr>
        <w:trPr>
          <w:cnfStyle w:evenHBand="false" w:oddHBand="true" w:firstRow="false"/>
        </w:trPr>
        <w:tc>
          <w:tcPr>
            <w:cnfStyle w:evenVBand="false" w:oddVBand="true" w:firstColumn="false"/>
            <w:tcW w:w="25.000000%" w:type="pct"/>
          </w:tcPr>
          <w:p>
            <w:pPr>
              <w:ind w:leftChars="0" w:left="0" w:right="0"/>
            </w:pPr>
            <w:r>
              <w:t>TSUK</w:t>
            </w:r>
          </w:p>
        </w:tc>
        <w:tc>
          <w:tcPr>
            <w:cnfStyle w:evenVBand="true" w:oddVBand="false" w:firstColumn="false"/>
            <w:tcW w:w="25.000000%" w:type="pct"/>
          </w:tcPr>
          <w:p>
            <w:pPr>
              <w:ind w:leftChars="0" w:left="0" w:right="0"/>
            </w:pPr>
            <w:r>
              <w:t>TSUK</w:t>
            </w:r>
          </w:p>
        </w:tc>
        <w:tc>
          <w:tcPr>
            <w:cnfStyle w:evenVBand="false" w:oddVBand="true" w:firstColumn="false"/>
            <w:tcW w:w="25.000000%" w:type="pct"/>
          </w:tcPr>
          <w:p>
            <w:pPr>
              <w:ind w:leftChars="0" w:left="0" w:right="0"/>
            </w:pPr>
            <w:r>
              <w:t>TULLETT PREBON SECURITIES - MTF - GOVERNMENT BONDS - UK GILTS</w:t>
            </w:r>
          </w:p>
        </w:tc>
        <w:tc>
          <w:tcPr>
            <w:cnfStyle w:evenVBand="true" w:oddVBand="false" w:firstColumn="false"/>
            <w:tcW w:w="25.000000%" w:type="pct"/>
          </w:tcPr>
          <w:p>
            <w:pPr>
              <w:ind w:leftChars="0" w:left="0" w:right="0"/>
            </w:pPr>
            <w:r>
              <w:t>1812</w:t>
            </w:r>
          </w:p>
        </w:tc>
      </w:tr>
      <w:tr>
        <w:trPr>
          <w:cnfStyle w:evenHBand="true" w:oddHBand="false" w:firstRow="false"/>
        </w:trPr>
        <w:tc>
          <w:tcPr>
            <w:cnfStyle w:evenVBand="false" w:oddVBand="true" w:firstColumn="false"/>
            <w:tcW w:w="25.000000%" w:type="pct"/>
          </w:tcPr>
          <w:p>
            <w:pPr>
              <w:ind w:leftChars="0" w:left="0" w:right="0"/>
            </w:pPr>
            <w:r>
              <w:t>TUOB</w:t>
            </w:r>
          </w:p>
        </w:tc>
        <w:tc>
          <w:tcPr>
            <w:cnfStyle w:evenVBand="true" w:oddVBand="false" w:firstColumn="false"/>
            <w:tcW w:w="25.000000%" w:type="pct"/>
          </w:tcPr>
          <w:p>
            <w:pPr>
              <w:ind w:leftChars="0" w:left="0" w:right="0"/>
            </w:pPr>
            <w:r>
              <w:t>TUOB</w:t>
            </w:r>
          </w:p>
        </w:tc>
        <w:tc>
          <w:tcPr>
            <w:cnfStyle w:evenVBand="false" w:oddVBand="true" w:firstColumn="false"/>
            <w:tcW w:w="25.000000%" w:type="pct"/>
          </w:tcPr>
          <w:p>
            <w:pPr>
              <w:ind w:leftChars="0" w:left="0" w:right="0"/>
            </w:pPr>
            <w:r>
              <w:t>TP UK OTF - ORDERBOOK</w:t>
            </w:r>
          </w:p>
        </w:tc>
        <w:tc>
          <w:tcPr>
            <w:cnfStyle w:evenVBand="true" w:oddVBand="false" w:firstColumn="false"/>
            <w:tcW w:w="25.000000%" w:type="pct"/>
          </w:tcPr>
          <w:p>
            <w:pPr>
              <w:ind w:leftChars="0" w:left="0" w:right="0"/>
            </w:pPr>
            <w:r>
              <w:t>1813</w:t>
            </w:r>
          </w:p>
        </w:tc>
      </w:tr>
      <w:tr>
        <w:trPr>
          <w:cnfStyle w:evenHBand="false" w:oddHBand="true" w:firstRow="false"/>
        </w:trPr>
        <w:tc>
          <w:tcPr>
            <w:cnfStyle w:evenVBand="false" w:oddVBand="true" w:firstColumn="false"/>
            <w:tcW w:w="25.000000%" w:type="pct"/>
          </w:tcPr>
          <w:p>
            <w:pPr>
              <w:ind w:leftChars="0" w:left="0" w:right="0"/>
            </w:pPr>
            <w:r>
              <w:t>TWEA</w:t>
            </w:r>
          </w:p>
        </w:tc>
        <w:tc>
          <w:tcPr>
            <w:cnfStyle w:evenVBand="true" w:oddVBand="false" w:firstColumn="false"/>
            <w:tcW w:w="25.000000%" w:type="pct"/>
          </w:tcPr>
          <w:p>
            <w:pPr>
              <w:ind w:leftChars="0" w:left="0" w:right="0"/>
            </w:pPr>
            <w:r>
              <w:t>TWEA</w:t>
            </w:r>
          </w:p>
        </w:tc>
        <w:tc>
          <w:tcPr>
            <w:cnfStyle w:evenVBand="false" w:oddVBand="true" w:firstColumn="false"/>
            <w:tcW w:w="25.000000%" w:type="pct"/>
          </w:tcPr>
          <w:p>
            <w:pPr>
              <w:ind w:leftChars="0" w:left="0" w:right="0"/>
            </w:pPr>
            <w:r>
              <w:t>TRADEWEB EU BV - APA</w:t>
            </w:r>
          </w:p>
        </w:tc>
        <w:tc>
          <w:tcPr>
            <w:cnfStyle w:evenVBand="true" w:oddVBand="false" w:firstColumn="false"/>
            <w:tcW w:w="25.000000%" w:type="pct"/>
          </w:tcPr>
          <w:p>
            <w:pPr>
              <w:ind w:leftChars="0" w:left="0" w:right="0"/>
            </w:pPr>
            <w:r>
              <w:t>1814</w:t>
            </w:r>
          </w:p>
        </w:tc>
      </w:tr>
      <w:tr>
        <w:trPr>
          <w:cnfStyle w:evenHBand="true" w:oddHBand="false" w:firstRow="false"/>
        </w:trPr>
        <w:tc>
          <w:tcPr>
            <w:cnfStyle w:evenVBand="false" w:oddVBand="true" w:firstColumn="false"/>
            <w:tcW w:w="25.000000%" w:type="pct"/>
          </w:tcPr>
          <w:p>
            <w:pPr>
              <w:ind w:leftChars="0" w:left="0" w:right="0"/>
            </w:pPr>
            <w:r>
              <w:t>TWEM</w:t>
            </w:r>
          </w:p>
        </w:tc>
        <w:tc>
          <w:tcPr>
            <w:cnfStyle w:evenVBand="true" w:oddVBand="false" w:firstColumn="false"/>
            <w:tcW w:w="25.000000%" w:type="pct"/>
          </w:tcPr>
          <w:p>
            <w:pPr>
              <w:ind w:leftChars="0" w:left="0" w:right="0"/>
            </w:pPr>
            <w:r>
              <w:t>TWEM</w:t>
            </w:r>
          </w:p>
        </w:tc>
        <w:tc>
          <w:tcPr>
            <w:cnfStyle w:evenVBand="false" w:oddVBand="true" w:firstColumn="false"/>
            <w:tcW w:w="25.000000%" w:type="pct"/>
          </w:tcPr>
          <w:p>
            <w:pPr>
              <w:ind w:leftChars="0" w:left="0" w:right="0"/>
            </w:pPr>
            <w:r>
              <w:t>TRADEWEB EU BV - MTF</w:t>
            </w:r>
          </w:p>
        </w:tc>
        <w:tc>
          <w:tcPr>
            <w:cnfStyle w:evenVBand="true" w:oddVBand="false" w:firstColumn="false"/>
            <w:tcW w:w="25.000000%" w:type="pct"/>
          </w:tcPr>
          <w:p>
            <w:pPr>
              <w:ind w:leftChars="0" w:left="0" w:right="0"/>
            </w:pPr>
            <w:r>
              <w:t>1815</w:t>
            </w:r>
          </w:p>
        </w:tc>
      </w:tr>
      <w:tr>
        <w:trPr>
          <w:cnfStyle w:evenHBand="false" w:oddHBand="true" w:firstRow="false"/>
        </w:trPr>
        <w:tc>
          <w:tcPr>
            <w:cnfStyle w:evenVBand="false" w:oddVBand="true" w:firstColumn="false"/>
            <w:tcW w:w="25.000000%" w:type="pct"/>
          </w:tcPr>
          <w:p>
            <w:pPr>
              <w:ind w:leftChars="0" w:left="0" w:right="0"/>
            </w:pPr>
            <w:r>
              <w:t>TWEO</w:t>
            </w:r>
          </w:p>
        </w:tc>
        <w:tc>
          <w:tcPr>
            <w:cnfStyle w:evenVBand="true" w:oddVBand="false" w:firstColumn="false"/>
            <w:tcW w:w="25.000000%" w:type="pct"/>
          </w:tcPr>
          <w:p>
            <w:pPr>
              <w:ind w:leftChars="0" w:left="0" w:right="0"/>
            </w:pPr>
            <w:r>
              <w:t>TWEO</w:t>
            </w:r>
          </w:p>
        </w:tc>
        <w:tc>
          <w:tcPr>
            <w:cnfStyle w:evenVBand="false" w:oddVBand="true" w:firstColumn="false"/>
            <w:tcW w:w="25.000000%" w:type="pct"/>
          </w:tcPr>
          <w:p>
            <w:pPr>
              <w:ind w:leftChars="0" w:left="0" w:right="0"/>
            </w:pPr>
            <w:r>
              <w:t>TRADEWEB EU BV - OTF</w:t>
            </w:r>
          </w:p>
        </w:tc>
        <w:tc>
          <w:tcPr>
            <w:cnfStyle w:evenVBand="true" w:oddVBand="false" w:firstColumn="false"/>
            <w:tcW w:w="25.000000%" w:type="pct"/>
          </w:tcPr>
          <w:p>
            <w:pPr>
              <w:ind w:leftChars="0" w:left="0" w:right="0"/>
            </w:pPr>
            <w:r>
              <w:t>1816</w:t>
            </w:r>
          </w:p>
        </w:tc>
      </w:tr>
      <w:tr>
        <w:trPr>
          <w:cnfStyle w:evenHBand="true" w:oddHBand="false" w:firstRow="false"/>
        </w:trPr>
        <w:tc>
          <w:tcPr>
            <w:cnfStyle w:evenVBand="false" w:oddVBand="true" w:firstColumn="false"/>
            <w:tcW w:w="25.000000%" w:type="pct"/>
          </w:tcPr>
          <w:p>
            <w:pPr>
              <w:ind w:leftChars="0" w:left="0" w:right="0"/>
            </w:pPr>
            <w:r>
              <w:t>TWEU</w:t>
            </w:r>
          </w:p>
        </w:tc>
        <w:tc>
          <w:tcPr>
            <w:cnfStyle w:evenVBand="true" w:oddVBand="false" w:firstColumn="false"/>
            <w:tcW w:w="25.000000%" w:type="pct"/>
          </w:tcPr>
          <w:p>
            <w:pPr>
              <w:ind w:leftChars="0" w:left="0" w:right="0"/>
            </w:pPr>
            <w:r>
              <w:t>TWEU</w:t>
            </w:r>
          </w:p>
        </w:tc>
        <w:tc>
          <w:tcPr>
            <w:cnfStyle w:evenVBand="false" w:oddVBand="true" w:firstColumn="false"/>
            <w:tcW w:w="25.000000%" w:type="pct"/>
          </w:tcPr>
          <w:p>
            <w:pPr>
              <w:ind w:leftChars="0" w:left="0" w:right="0"/>
            </w:pPr>
            <w:r>
              <w:t>TRADEWEB EU BV</w:t>
            </w:r>
          </w:p>
        </w:tc>
        <w:tc>
          <w:tcPr>
            <w:cnfStyle w:evenVBand="true" w:oddVBand="false" w:firstColumn="false"/>
            <w:tcW w:w="25.000000%" w:type="pct"/>
          </w:tcPr>
          <w:p>
            <w:pPr>
              <w:ind w:leftChars="0" w:left="0" w:right="0"/>
            </w:pPr>
            <w:r>
              <w:t>1817</w:t>
            </w:r>
          </w:p>
        </w:tc>
      </w:tr>
      <w:tr>
        <w:trPr>
          <w:cnfStyle w:evenHBand="false" w:oddHBand="true" w:firstRow="false"/>
        </w:trPr>
        <w:tc>
          <w:tcPr>
            <w:cnfStyle w:evenVBand="false" w:oddVBand="true" w:firstColumn="false"/>
            <w:tcW w:w="25.000000%" w:type="pct"/>
          </w:tcPr>
          <w:p>
            <w:pPr>
              <w:ind w:leftChars="0" w:left="0" w:right="0"/>
            </w:pPr>
            <w:r>
              <w:t>TWGP</w:t>
            </w:r>
          </w:p>
        </w:tc>
        <w:tc>
          <w:tcPr>
            <w:cnfStyle w:evenVBand="true" w:oddVBand="false" w:firstColumn="false"/>
            <w:tcW w:w="25.000000%" w:type="pct"/>
          </w:tcPr>
          <w:p>
            <w:pPr>
              <w:ind w:leftChars="0" w:left="0" w:right="0"/>
            </w:pPr>
            <w:r>
              <w:t>TWGP</w:t>
            </w:r>
          </w:p>
        </w:tc>
        <w:tc>
          <w:tcPr>
            <w:cnfStyle w:evenVBand="false" w:oddVBand="true" w:firstColumn="false"/>
            <w:tcW w:w="25.000000%" w:type="pct"/>
          </w:tcPr>
          <w:p>
            <w:pPr>
              <w:ind w:leftChars="0" w:left="0" w:right="0"/>
            </w:pPr>
            <w:r>
              <w:t>TRADEWEB EUROPE LIMITED - GLOBAL TRADING PLATFORM</w:t>
            </w:r>
          </w:p>
        </w:tc>
        <w:tc>
          <w:tcPr>
            <w:cnfStyle w:evenVBand="true" w:oddVBand="false" w:firstColumn="false"/>
            <w:tcW w:w="25.000000%" w:type="pct"/>
          </w:tcPr>
          <w:p>
            <w:pPr>
              <w:ind w:leftChars="0" w:left="0" w:right="0"/>
            </w:pPr>
            <w:r>
              <w:t>1818</w:t>
            </w:r>
          </w:p>
        </w:tc>
      </w:tr>
      <w:tr>
        <w:trPr>
          <w:cnfStyle w:evenHBand="true" w:oddHBand="false" w:firstRow="false"/>
        </w:trPr>
        <w:tc>
          <w:tcPr>
            <w:cnfStyle w:evenVBand="false" w:oddVBand="true" w:firstColumn="false"/>
            <w:tcW w:w="25.000000%" w:type="pct"/>
          </w:tcPr>
          <w:p>
            <w:pPr>
              <w:ind w:leftChars="0" w:left="0" w:right="0"/>
            </w:pPr>
            <w:r>
              <w:t>TWHK</w:t>
            </w:r>
          </w:p>
        </w:tc>
        <w:tc>
          <w:tcPr>
            <w:cnfStyle w:evenVBand="true" w:oddVBand="false" w:firstColumn="false"/>
            <w:tcW w:w="25.000000%" w:type="pct"/>
          </w:tcPr>
          <w:p>
            <w:pPr>
              <w:ind w:leftChars="0" w:left="0" w:right="0"/>
            </w:pPr>
            <w:r>
              <w:t>TWHK</w:t>
            </w:r>
          </w:p>
        </w:tc>
        <w:tc>
          <w:tcPr>
            <w:cnfStyle w:evenVBand="false" w:oddVBand="true" w:firstColumn="false"/>
            <w:tcW w:w="25.000000%" w:type="pct"/>
          </w:tcPr>
          <w:p>
            <w:pPr>
              <w:ind w:leftChars="0" w:left="0" w:right="0"/>
            </w:pPr>
            <w:r>
              <w:t>TRADEWEB EUROPE LIMITED - HONG KONG</w:t>
            </w:r>
          </w:p>
        </w:tc>
        <w:tc>
          <w:tcPr>
            <w:cnfStyle w:evenVBand="true" w:oddVBand="false" w:firstColumn="false"/>
            <w:tcW w:w="25.000000%" w:type="pct"/>
          </w:tcPr>
          <w:p>
            <w:pPr>
              <w:ind w:leftChars="0" w:left="0" w:right="0"/>
            </w:pPr>
            <w:r>
              <w:t>1819</w:t>
            </w:r>
          </w:p>
        </w:tc>
      </w:tr>
      <w:tr>
        <w:trPr>
          <w:cnfStyle w:evenHBand="false" w:oddHBand="true" w:firstRow="false"/>
        </w:trPr>
        <w:tc>
          <w:tcPr>
            <w:cnfStyle w:evenVBand="false" w:oddVBand="true" w:firstColumn="false"/>
            <w:tcW w:w="25.000000%" w:type="pct"/>
          </w:tcPr>
          <w:p>
            <w:pPr>
              <w:ind w:leftChars="0" w:left="0" w:right="0"/>
            </w:pPr>
            <w:r>
              <w:t>TWJP</w:t>
            </w:r>
          </w:p>
        </w:tc>
        <w:tc>
          <w:tcPr>
            <w:cnfStyle w:evenVBand="true" w:oddVBand="false" w:firstColumn="false"/>
            <w:tcW w:w="25.000000%" w:type="pct"/>
          </w:tcPr>
          <w:p>
            <w:pPr>
              <w:ind w:leftChars="0" w:left="0" w:right="0"/>
            </w:pPr>
            <w:r>
              <w:t>TWJP</w:t>
            </w:r>
          </w:p>
        </w:tc>
        <w:tc>
          <w:tcPr>
            <w:cnfStyle w:evenVBand="false" w:oddVBand="true" w:firstColumn="false"/>
            <w:tcW w:w="25.000000%" w:type="pct"/>
          </w:tcPr>
          <w:p>
            <w:pPr>
              <w:ind w:leftChars="0" w:left="0" w:right="0"/>
            </w:pPr>
            <w:r>
              <w:t>TRADEWEB JAPAN KK - PTS</w:t>
            </w:r>
          </w:p>
        </w:tc>
        <w:tc>
          <w:tcPr>
            <w:cnfStyle w:evenVBand="true" w:oddVBand="false" w:firstColumn="false"/>
            <w:tcW w:w="25.000000%" w:type="pct"/>
          </w:tcPr>
          <w:p>
            <w:pPr>
              <w:ind w:leftChars="0" w:left="0" w:right="0"/>
            </w:pPr>
            <w:r>
              <w:t>1820</w:t>
            </w:r>
          </w:p>
        </w:tc>
      </w:tr>
      <w:tr>
        <w:trPr>
          <w:cnfStyle w:evenHBand="true" w:oddHBand="false" w:firstRow="false"/>
        </w:trPr>
        <w:tc>
          <w:tcPr>
            <w:cnfStyle w:evenVBand="false" w:oddVBand="true" w:firstColumn="false"/>
            <w:tcW w:w="25.000000%" w:type="pct"/>
          </w:tcPr>
          <w:p>
            <w:pPr>
              <w:ind w:leftChars="0" w:left="0" w:right="0"/>
            </w:pPr>
            <w:r>
              <w:t>TWJT</w:t>
            </w:r>
          </w:p>
        </w:tc>
        <w:tc>
          <w:tcPr>
            <w:cnfStyle w:evenVBand="true" w:oddVBand="false" w:firstColumn="false"/>
            <w:tcW w:w="25.000000%" w:type="pct"/>
          </w:tcPr>
          <w:p>
            <w:pPr>
              <w:ind w:leftChars="0" w:left="0" w:right="0"/>
            </w:pPr>
            <w:r>
              <w:t>TWJT</w:t>
            </w:r>
          </w:p>
        </w:tc>
        <w:tc>
          <w:tcPr>
            <w:cnfStyle w:evenVBand="false" w:oddVBand="true" w:firstColumn="false"/>
            <w:tcW w:w="25.000000%" w:type="pct"/>
          </w:tcPr>
          <w:p>
            <w:pPr>
              <w:ind w:leftChars="0" w:left="0" w:right="0"/>
            </w:pPr>
            <w:r>
              <w:t>TRADEWEB JAPAN KK - ETP</w:t>
            </w:r>
          </w:p>
        </w:tc>
        <w:tc>
          <w:tcPr>
            <w:cnfStyle w:evenVBand="true" w:oddVBand="false" w:firstColumn="false"/>
            <w:tcW w:w="25.000000%" w:type="pct"/>
          </w:tcPr>
          <w:p>
            <w:pPr>
              <w:ind w:leftChars="0" w:left="0" w:right="0"/>
            </w:pPr>
            <w:r>
              <w:t>1821</w:t>
            </w:r>
          </w:p>
        </w:tc>
      </w:tr>
      <w:tr>
        <w:trPr>
          <w:cnfStyle w:evenHBand="false" w:oddHBand="true" w:firstRow="false"/>
        </w:trPr>
        <w:tc>
          <w:tcPr>
            <w:cnfStyle w:evenVBand="false" w:oddVBand="true" w:firstColumn="false"/>
            <w:tcW w:w="25.000000%" w:type="pct"/>
          </w:tcPr>
          <w:p>
            <w:pPr>
              <w:ind w:leftChars="0" w:left="0" w:right="0"/>
            </w:pPr>
            <w:r>
              <w:t>TWSF</w:t>
            </w:r>
          </w:p>
        </w:tc>
        <w:tc>
          <w:tcPr>
            <w:cnfStyle w:evenVBand="true" w:oddVBand="false" w:firstColumn="false"/>
            <w:tcW w:w="25.000000%" w:type="pct"/>
          </w:tcPr>
          <w:p>
            <w:pPr>
              <w:ind w:leftChars="0" w:left="0" w:right="0"/>
            </w:pPr>
            <w:r>
              <w:t>TWSF</w:t>
            </w:r>
          </w:p>
        </w:tc>
        <w:tc>
          <w:tcPr>
            <w:cnfStyle w:evenVBand="false" w:oddVBand="true" w:firstColumn="false"/>
            <w:tcW w:w="25.000000%" w:type="pct"/>
          </w:tcPr>
          <w:p>
            <w:pPr>
              <w:ind w:leftChars="0" w:left="0" w:right="0"/>
            </w:pPr>
            <w:r>
              <w:t>TW SEF LLC</w:t>
            </w:r>
          </w:p>
        </w:tc>
        <w:tc>
          <w:tcPr>
            <w:cnfStyle w:evenVBand="true" w:oddVBand="false" w:firstColumn="false"/>
            <w:tcW w:w="25.000000%" w:type="pct"/>
          </w:tcPr>
          <w:p>
            <w:pPr>
              <w:ind w:leftChars="0" w:left="0" w:right="0"/>
            </w:pPr>
            <w:r>
              <w:t>1822</w:t>
            </w:r>
          </w:p>
        </w:tc>
      </w:tr>
      <w:tr>
        <w:trPr>
          <w:cnfStyle w:evenHBand="true" w:oddHBand="false" w:firstRow="false"/>
        </w:trPr>
        <w:tc>
          <w:tcPr>
            <w:cnfStyle w:evenVBand="false" w:oddVBand="true" w:firstColumn="false"/>
            <w:tcW w:w="25.000000%" w:type="pct"/>
          </w:tcPr>
          <w:p>
            <w:pPr>
              <w:ind w:leftChars="0" w:left="0" w:right="0"/>
            </w:pPr>
            <w:r>
              <w:t>TWSG</w:t>
            </w:r>
          </w:p>
        </w:tc>
        <w:tc>
          <w:tcPr>
            <w:cnfStyle w:evenVBand="true" w:oddVBand="false" w:firstColumn="false"/>
            <w:tcW w:w="25.000000%" w:type="pct"/>
          </w:tcPr>
          <w:p>
            <w:pPr>
              <w:ind w:leftChars="0" w:left="0" w:right="0"/>
            </w:pPr>
            <w:r>
              <w:t>TWSG</w:t>
            </w:r>
          </w:p>
        </w:tc>
        <w:tc>
          <w:tcPr>
            <w:cnfStyle w:evenVBand="false" w:oddVBand="true" w:firstColumn="false"/>
            <w:tcW w:w="25.000000%" w:type="pct"/>
          </w:tcPr>
          <w:p>
            <w:pPr>
              <w:ind w:leftChars="0" w:left="0" w:right="0"/>
            </w:pPr>
            <w:r>
              <w:t>TRADEWEB EUROPE LIMITED - SINGAPORE</w:t>
            </w:r>
          </w:p>
        </w:tc>
        <w:tc>
          <w:tcPr>
            <w:cnfStyle w:evenVBand="true" w:oddVBand="false" w:firstColumn="false"/>
            <w:tcW w:w="25.000000%" w:type="pct"/>
          </w:tcPr>
          <w:p>
            <w:pPr>
              <w:ind w:leftChars="0" w:left="0" w:right="0"/>
            </w:pPr>
            <w:r>
              <w:t>1823</w:t>
            </w:r>
          </w:p>
        </w:tc>
      </w:tr>
      <w:tr>
        <w:trPr>
          <w:cnfStyle w:evenHBand="false" w:oddHBand="true" w:firstRow="false"/>
        </w:trPr>
        <w:tc>
          <w:tcPr>
            <w:cnfStyle w:evenVBand="false" w:oddVBand="true" w:firstColumn="false"/>
            <w:tcW w:w="25.000000%" w:type="pct"/>
          </w:tcPr>
          <w:p>
            <w:pPr>
              <w:ind w:leftChars="0" w:left="0" w:right="0"/>
            </w:pPr>
            <w:r>
              <w:t>UBCZ</w:t>
            </w:r>
          </w:p>
        </w:tc>
        <w:tc>
          <w:tcPr>
            <w:cnfStyle w:evenVBand="true" w:oddVBand="false" w:firstColumn="false"/>
            <w:tcW w:w="25.000000%" w:type="pct"/>
          </w:tcPr>
          <w:p>
            <w:pPr>
              <w:ind w:leftChars="0" w:left="0" w:right="0"/>
            </w:pPr>
            <w:r>
              <w:t>UBCZ</w:t>
            </w:r>
          </w:p>
        </w:tc>
        <w:tc>
          <w:tcPr>
            <w:cnfStyle w:evenVBand="false" w:oddVBand="true" w:firstColumn="false"/>
            <w:tcW w:w="25.000000%" w:type="pct"/>
          </w:tcPr>
          <w:p>
            <w:pPr>
              <w:ind w:leftChars="0" w:left="0" w:right="0"/>
            </w:pPr>
            <w:r>
              <w:t>UNICREDIT BANK CZECH REPUBLIC AND SLOVAKIA, A.S.</w:t>
            </w:r>
          </w:p>
        </w:tc>
        <w:tc>
          <w:tcPr>
            <w:cnfStyle w:evenVBand="true" w:oddVBand="false" w:firstColumn="false"/>
            <w:tcW w:w="25.000000%" w:type="pct"/>
          </w:tcPr>
          <w:p>
            <w:pPr>
              <w:ind w:leftChars="0" w:left="0" w:right="0"/>
            </w:pPr>
            <w:r>
              <w:t>1824</w:t>
            </w:r>
          </w:p>
        </w:tc>
      </w:tr>
      <w:tr>
        <w:trPr>
          <w:cnfStyle w:evenHBand="true" w:oddHBand="false" w:firstRow="false"/>
        </w:trPr>
        <w:tc>
          <w:tcPr>
            <w:cnfStyle w:evenVBand="false" w:oddVBand="true" w:firstColumn="false"/>
            <w:tcW w:w="25.000000%" w:type="pct"/>
          </w:tcPr>
          <w:p>
            <w:pPr>
              <w:ind w:leftChars="0" w:left="0" w:right="0"/>
            </w:pPr>
            <w:r>
              <w:t>UBEC</w:t>
            </w:r>
          </w:p>
        </w:tc>
        <w:tc>
          <w:tcPr>
            <w:cnfStyle w:evenVBand="true" w:oddVBand="false" w:firstColumn="false"/>
            <w:tcW w:w="25.000000%" w:type="pct"/>
          </w:tcPr>
          <w:p>
            <w:pPr>
              <w:ind w:leftChars="0" w:left="0" w:right="0"/>
            </w:pPr>
            <w:r>
              <w:t>UBEC</w:t>
            </w:r>
          </w:p>
        </w:tc>
        <w:tc>
          <w:tcPr>
            <w:cnfStyle w:evenVBand="false" w:oddVBand="true" w:firstColumn="false"/>
            <w:tcW w:w="25.000000%" w:type="pct"/>
          </w:tcPr>
          <w:p>
            <w:pPr>
              <w:ind w:leftChars="0" w:left="0" w:right="0"/>
            </w:pPr>
            <w:r>
              <w:t>UNIVERSAL BARTER EXCHANGE CREDIT UNION</w:t>
            </w:r>
          </w:p>
        </w:tc>
        <w:tc>
          <w:tcPr>
            <w:cnfStyle w:evenVBand="true" w:oddVBand="false" w:firstColumn="false"/>
            <w:tcW w:w="25.000000%" w:type="pct"/>
          </w:tcPr>
          <w:p>
            <w:pPr>
              <w:ind w:leftChars="0" w:left="0" w:right="0"/>
            </w:pPr>
            <w:r>
              <w:t>1825</w:t>
            </w:r>
          </w:p>
        </w:tc>
      </w:tr>
      <w:tr>
        <w:trPr>
          <w:cnfStyle w:evenHBand="false" w:oddHBand="true" w:firstRow="false"/>
        </w:trPr>
        <w:tc>
          <w:tcPr>
            <w:cnfStyle w:evenVBand="false" w:oddVBand="true" w:firstColumn="false"/>
            <w:tcW w:w="25.000000%" w:type="pct"/>
          </w:tcPr>
          <w:p>
            <w:pPr>
              <w:ind w:leftChars="0" w:left="0" w:right="0"/>
            </w:pPr>
            <w:r>
              <w:t>UBIM</w:t>
            </w:r>
          </w:p>
        </w:tc>
        <w:tc>
          <w:tcPr>
            <w:cnfStyle w:evenVBand="true" w:oddVBand="false" w:firstColumn="false"/>
            <w:tcW w:w="25.000000%" w:type="pct"/>
          </w:tcPr>
          <w:p>
            <w:pPr>
              <w:ind w:leftChars="0" w:left="0" w:right="0"/>
            </w:pPr>
            <w:r>
              <w:t>UBIM</w:t>
            </w:r>
          </w:p>
        </w:tc>
        <w:tc>
          <w:tcPr>
            <w:cnfStyle w:evenVBand="false" w:oddVBand="true" w:firstColumn="false"/>
            <w:tcW w:w="25.000000%" w:type="pct"/>
          </w:tcPr>
          <w:p>
            <w:pPr>
              <w:ind w:leftChars="0" w:left="0" w:right="0"/>
            </w:pPr>
            <w:r>
              <w:t>UBI BANCA - SYSTEMATIC INTERNALISER</w:t>
            </w:r>
          </w:p>
        </w:tc>
        <w:tc>
          <w:tcPr>
            <w:cnfStyle w:evenVBand="true" w:oddVBand="false" w:firstColumn="false"/>
            <w:tcW w:w="25.000000%" w:type="pct"/>
          </w:tcPr>
          <w:p>
            <w:pPr>
              <w:ind w:leftChars="0" w:left="0" w:right="0"/>
            </w:pPr>
            <w:r>
              <w:t>1826</w:t>
            </w:r>
          </w:p>
        </w:tc>
      </w:tr>
      <w:tr>
        <w:trPr>
          <w:cnfStyle w:evenHBand="true" w:oddHBand="false" w:firstRow="false"/>
        </w:trPr>
        <w:tc>
          <w:tcPr>
            <w:cnfStyle w:evenVBand="false" w:oddVBand="true" w:firstColumn="false"/>
            <w:tcW w:w="25.000000%" w:type="pct"/>
          </w:tcPr>
          <w:p>
            <w:pPr>
              <w:ind w:leftChars="0" w:left="0" w:right="0"/>
            </w:pPr>
            <w:r>
              <w:t>UBIN</w:t>
            </w:r>
          </w:p>
        </w:tc>
        <w:tc>
          <w:tcPr>
            <w:cnfStyle w:evenVBand="true" w:oddVBand="false" w:firstColumn="false"/>
            <w:tcW w:w="25.000000%" w:type="pct"/>
          </w:tcPr>
          <w:p>
            <w:pPr>
              <w:ind w:leftChars="0" w:left="0" w:right="0"/>
            </w:pPr>
            <w:r>
              <w:t>UBIN</w:t>
            </w:r>
          </w:p>
        </w:tc>
        <w:tc>
          <w:tcPr>
            <w:cnfStyle w:evenVBand="false" w:oddVBand="true" w:firstColumn="false"/>
            <w:tcW w:w="25.000000%" w:type="pct"/>
          </w:tcPr>
          <w:p>
            <w:pPr>
              <w:ind w:leftChars="0" w:left="0" w:right="0"/>
            </w:pPr>
            <w:r>
              <w:t>UNION BANK OF INDIA UK LTD</w:t>
            </w:r>
          </w:p>
        </w:tc>
        <w:tc>
          <w:tcPr>
            <w:cnfStyle w:evenVBand="true" w:oddVBand="false" w:firstColumn="false"/>
            <w:tcW w:w="25.000000%" w:type="pct"/>
          </w:tcPr>
          <w:p>
            <w:pPr>
              <w:ind w:leftChars="0" w:left="0" w:right="0"/>
            </w:pPr>
            <w:r>
              <w:t>1827</w:t>
            </w:r>
          </w:p>
        </w:tc>
      </w:tr>
      <w:tr>
        <w:trPr>
          <w:cnfStyle w:evenHBand="false" w:oddHBand="true" w:firstRow="false"/>
        </w:trPr>
        <w:tc>
          <w:tcPr>
            <w:cnfStyle w:evenVBand="false" w:oddVBand="true" w:firstColumn="false"/>
            <w:tcW w:w="25.000000%" w:type="pct"/>
          </w:tcPr>
          <w:p>
            <w:pPr>
              <w:ind w:leftChars="0" w:left="0" w:right="0"/>
            </w:pPr>
            <w:r>
              <w:t>UBIS</w:t>
            </w:r>
          </w:p>
        </w:tc>
        <w:tc>
          <w:tcPr>
            <w:cnfStyle w:evenVBand="true" w:oddVBand="false" w:firstColumn="false"/>
            <w:tcW w:w="25.000000%" w:type="pct"/>
          </w:tcPr>
          <w:p>
            <w:pPr>
              <w:ind w:leftChars="0" w:left="0" w:right="0"/>
            </w:pPr>
            <w:r>
              <w:t>UBIS</w:t>
            </w:r>
          </w:p>
        </w:tc>
        <w:tc>
          <w:tcPr>
            <w:cnfStyle w:evenVBand="false" w:oddVBand="true" w:firstColumn="false"/>
            <w:tcW w:w="25.000000%" w:type="pct"/>
          </w:tcPr>
          <w:p>
            <w:pPr>
              <w:ind w:leftChars="0" w:left="0" w:right="0"/>
            </w:pPr>
            <w:r>
              <w:t>UNIPOL BANCA S.P.A.</w:t>
            </w:r>
          </w:p>
        </w:tc>
        <w:tc>
          <w:tcPr>
            <w:cnfStyle w:evenVBand="true" w:oddVBand="false" w:firstColumn="false"/>
            <w:tcW w:w="25.000000%" w:type="pct"/>
          </w:tcPr>
          <w:p>
            <w:pPr>
              <w:ind w:leftChars="0" w:left="0" w:right="0"/>
            </w:pPr>
            <w:r>
              <w:t>1828</w:t>
            </w:r>
          </w:p>
        </w:tc>
      </w:tr>
      <w:tr>
        <w:trPr>
          <w:cnfStyle w:evenHBand="true" w:oddHBand="false" w:firstRow="false"/>
        </w:trPr>
        <w:tc>
          <w:tcPr>
            <w:cnfStyle w:evenVBand="false" w:oddVBand="true" w:firstColumn="false"/>
            <w:tcW w:w="25.000000%" w:type="pct"/>
          </w:tcPr>
          <w:p>
            <w:pPr>
              <w:ind w:leftChars="0" w:left="0" w:right="0"/>
            </w:pPr>
            <w:r>
              <w:t>UBSA</w:t>
            </w:r>
          </w:p>
        </w:tc>
        <w:tc>
          <w:tcPr>
            <w:cnfStyle w:evenVBand="true" w:oddVBand="false" w:firstColumn="false"/>
            <w:tcW w:w="25.000000%" w:type="pct"/>
          </w:tcPr>
          <w:p>
            <w:pPr>
              <w:ind w:leftChars="0" w:left="0" w:right="0"/>
            </w:pPr>
            <w:r>
              <w:t>UBSA</w:t>
            </w:r>
          </w:p>
        </w:tc>
        <w:tc>
          <w:tcPr>
            <w:cnfStyle w:evenVBand="false" w:oddVBand="true" w:firstColumn="false"/>
            <w:tcW w:w="25.000000%" w:type="pct"/>
          </w:tcPr>
          <w:p>
            <w:pPr>
              <w:ind w:leftChars="0" w:left="0" w:right="0"/>
            </w:pPr>
            <w:r>
              <w:t>UBS ATS</w:t>
            </w:r>
          </w:p>
        </w:tc>
        <w:tc>
          <w:tcPr>
            <w:cnfStyle w:evenVBand="true" w:oddVBand="false" w:firstColumn="false"/>
            <w:tcW w:w="25.000000%" w:type="pct"/>
          </w:tcPr>
          <w:p>
            <w:pPr>
              <w:ind w:leftChars="0" w:left="0" w:right="0"/>
            </w:pPr>
            <w:r>
              <w:t>1829</w:t>
            </w:r>
          </w:p>
        </w:tc>
      </w:tr>
      <w:tr>
        <w:trPr>
          <w:cnfStyle w:evenHBand="false" w:oddHBand="true" w:firstRow="false"/>
        </w:trPr>
        <w:tc>
          <w:tcPr>
            <w:cnfStyle w:evenVBand="false" w:oddVBand="true" w:firstColumn="false"/>
            <w:tcW w:w="25.000000%" w:type="pct"/>
          </w:tcPr>
          <w:p>
            <w:pPr>
              <w:ind w:leftChars="0" w:left="0" w:right="0"/>
            </w:pPr>
            <w:r>
              <w:t>UBSB</w:t>
            </w:r>
          </w:p>
        </w:tc>
        <w:tc>
          <w:tcPr>
            <w:cnfStyle w:evenVBand="true" w:oddVBand="false" w:firstColumn="false"/>
            <w:tcW w:w="25.000000%" w:type="pct"/>
          </w:tcPr>
          <w:p>
            <w:pPr>
              <w:ind w:leftChars="0" w:left="0" w:right="0"/>
            </w:pPr>
            <w:r>
              <w:t>UBSB</w:t>
            </w:r>
          </w:p>
        </w:tc>
        <w:tc>
          <w:tcPr>
            <w:cnfStyle w:evenVBand="false" w:oddVBand="true" w:firstColumn="false"/>
            <w:tcW w:w="25.000000%" w:type="pct"/>
          </w:tcPr>
          <w:p>
            <w:pPr>
              <w:ind w:leftChars="0" w:left="0" w:right="0"/>
            </w:pPr>
            <w:r>
              <w:t>UBS AG LONDON BRANCH - TRADING</w:t>
            </w:r>
          </w:p>
        </w:tc>
        <w:tc>
          <w:tcPr>
            <w:cnfStyle w:evenVBand="true" w:oddVBand="false" w:firstColumn="false"/>
            <w:tcW w:w="25.000000%" w:type="pct"/>
          </w:tcPr>
          <w:p>
            <w:pPr>
              <w:ind w:leftChars="0" w:left="0" w:right="0"/>
            </w:pPr>
            <w:r>
              <w:t>1830</w:t>
            </w:r>
          </w:p>
        </w:tc>
      </w:tr>
      <w:tr>
        <w:trPr>
          <w:cnfStyle w:evenHBand="true" w:oddHBand="false" w:firstRow="false"/>
        </w:trPr>
        <w:tc>
          <w:tcPr>
            <w:cnfStyle w:evenVBand="false" w:oddVBand="true" w:firstColumn="false"/>
            <w:tcW w:w="25.000000%" w:type="pct"/>
          </w:tcPr>
          <w:p>
            <w:pPr>
              <w:ind w:leftChars="0" w:left="0" w:right="0"/>
            </w:pPr>
            <w:r>
              <w:t>UBSC</w:t>
            </w:r>
          </w:p>
        </w:tc>
        <w:tc>
          <w:tcPr>
            <w:cnfStyle w:evenVBand="true" w:oddVBand="false" w:firstColumn="false"/>
            <w:tcW w:w="25.000000%" w:type="pct"/>
          </w:tcPr>
          <w:p>
            <w:pPr>
              <w:ind w:leftChars="0" w:left="0" w:right="0"/>
            </w:pPr>
            <w:r>
              <w:t>UBSC</w:t>
            </w:r>
          </w:p>
        </w:tc>
        <w:tc>
          <w:tcPr>
            <w:cnfStyle w:evenVBand="false" w:oddVBand="true" w:firstColumn="false"/>
            <w:tcW w:w="25.000000%" w:type="pct"/>
          </w:tcPr>
          <w:p>
            <w:pPr>
              <w:ind w:leftChars="0" w:left="0" w:right="0"/>
            </w:pPr>
            <w:r>
              <w:t>UBS PIN-FX</w:t>
            </w:r>
          </w:p>
        </w:tc>
        <w:tc>
          <w:tcPr>
            <w:cnfStyle w:evenVBand="true" w:oddVBand="false" w:firstColumn="false"/>
            <w:tcW w:w="25.000000%" w:type="pct"/>
          </w:tcPr>
          <w:p>
            <w:pPr>
              <w:ind w:leftChars="0" w:left="0" w:right="0"/>
            </w:pPr>
            <w:r>
              <w:t>1831</w:t>
            </w:r>
          </w:p>
        </w:tc>
      </w:tr>
      <w:tr>
        <w:trPr>
          <w:cnfStyle w:evenHBand="false" w:oddHBand="true" w:firstRow="false"/>
        </w:trPr>
        <w:tc>
          <w:tcPr>
            <w:cnfStyle w:evenVBand="false" w:oddVBand="true" w:firstColumn="false"/>
            <w:tcW w:w="25.000000%" w:type="pct"/>
          </w:tcPr>
          <w:p>
            <w:pPr>
              <w:ind w:leftChars="0" w:left="0" w:right="0"/>
            </w:pPr>
            <w:r>
              <w:t>UBSD</w:t>
            </w:r>
          </w:p>
        </w:tc>
        <w:tc>
          <w:tcPr>
            <w:cnfStyle w:evenVBand="true" w:oddVBand="false" w:firstColumn="false"/>
            <w:tcW w:w="25.000000%" w:type="pct"/>
          </w:tcPr>
          <w:p>
            <w:pPr>
              <w:ind w:leftChars="0" w:left="0" w:right="0"/>
            </w:pPr>
            <w:r>
              <w:t>UBSD</w:t>
            </w:r>
          </w:p>
        </w:tc>
        <w:tc>
          <w:tcPr>
            <w:cnfStyle w:evenVBand="false" w:oddVBand="true" w:firstColumn="false"/>
            <w:tcW w:w="25.000000%" w:type="pct"/>
          </w:tcPr>
          <w:p>
            <w:pPr>
              <w:ind w:leftChars="0" w:left="0" w:right="0"/>
            </w:pPr>
            <w:r>
              <w:t>UBS EUROPE SE</w:t>
            </w:r>
          </w:p>
        </w:tc>
        <w:tc>
          <w:tcPr>
            <w:cnfStyle w:evenVBand="true" w:oddVBand="false" w:firstColumn="false"/>
            <w:tcW w:w="25.000000%" w:type="pct"/>
          </w:tcPr>
          <w:p>
            <w:pPr>
              <w:ind w:leftChars="0" w:left="0" w:right="0"/>
            </w:pPr>
            <w:r>
              <w:t>1832</w:t>
            </w:r>
          </w:p>
        </w:tc>
      </w:tr>
      <w:tr>
        <w:trPr>
          <w:cnfStyle w:evenHBand="true" w:oddHBand="false" w:firstRow="false"/>
        </w:trPr>
        <w:tc>
          <w:tcPr>
            <w:cnfStyle w:evenVBand="false" w:oddVBand="true" w:firstColumn="false"/>
            <w:tcW w:w="25.000000%" w:type="pct"/>
          </w:tcPr>
          <w:p>
            <w:pPr>
              <w:ind w:leftChars="0" w:left="0" w:right="0"/>
            </w:pPr>
            <w:r>
              <w:t>UBSE</w:t>
            </w:r>
          </w:p>
        </w:tc>
        <w:tc>
          <w:tcPr>
            <w:cnfStyle w:evenVBand="true" w:oddVBand="false" w:firstColumn="false"/>
            <w:tcW w:w="25.000000%" w:type="pct"/>
          </w:tcPr>
          <w:p>
            <w:pPr>
              <w:ind w:leftChars="0" w:left="0" w:right="0"/>
            </w:pPr>
            <w:r>
              <w:t>UBSE</w:t>
            </w:r>
          </w:p>
        </w:tc>
        <w:tc>
          <w:tcPr>
            <w:cnfStyle w:evenVBand="false" w:oddVBand="true" w:firstColumn="false"/>
            <w:tcW w:w="25.000000%" w:type="pct"/>
          </w:tcPr>
          <w:p>
            <w:pPr>
              <w:ind w:leftChars="0" w:left="0" w:right="0"/>
            </w:pPr>
            <w:r>
              <w:t>UBS PIN (EMEA)</w:t>
            </w:r>
          </w:p>
        </w:tc>
        <w:tc>
          <w:tcPr>
            <w:cnfStyle w:evenVBand="true" w:oddVBand="false" w:firstColumn="false"/>
            <w:tcW w:w="25.000000%" w:type="pct"/>
          </w:tcPr>
          <w:p>
            <w:pPr>
              <w:ind w:leftChars="0" w:left="0" w:right="0"/>
            </w:pPr>
            <w:r>
              <w:t>1833</w:t>
            </w:r>
          </w:p>
        </w:tc>
      </w:tr>
      <w:tr>
        <w:trPr>
          <w:cnfStyle w:evenHBand="false" w:oddHBand="true" w:firstRow="false"/>
        </w:trPr>
        <w:tc>
          <w:tcPr>
            <w:cnfStyle w:evenVBand="false" w:oddVBand="true" w:firstColumn="false"/>
            <w:tcW w:w="25.000000%" w:type="pct"/>
          </w:tcPr>
          <w:p>
            <w:pPr>
              <w:ind w:leftChars="0" w:left="0" w:right="0"/>
            </w:pPr>
            <w:r>
              <w:t>UBSF</w:t>
            </w:r>
          </w:p>
        </w:tc>
        <w:tc>
          <w:tcPr>
            <w:cnfStyle w:evenVBand="true" w:oddVBand="false" w:firstColumn="false"/>
            <w:tcW w:w="25.000000%" w:type="pct"/>
          </w:tcPr>
          <w:p>
            <w:pPr>
              <w:ind w:leftChars="0" w:left="0" w:right="0"/>
            </w:pPr>
            <w:r>
              <w:t>UBSF</w:t>
            </w:r>
          </w:p>
        </w:tc>
        <w:tc>
          <w:tcPr>
            <w:cnfStyle w:evenVBand="false" w:oddVBand="true" w:firstColumn="false"/>
            <w:tcW w:w="25.000000%" w:type="pct"/>
          </w:tcPr>
          <w:p>
            <w:pPr>
              <w:ind w:leftChars="0" w:left="0" w:right="0"/>
            </w:pPr>
            <w:r>
              <w:t>UBS FX</w:t>
            </w:r>
          </w:p>
        </w:tc>
        <w:tc>
          <w:tcPr>
            <w:cnfStyle w:evenVBand="true" w:oddVBand="false" w:firstColumn="false"/>
            <w:tcW w:w="25.000000%" w:type="pct"/>
          </w:tcPr>
          <w:p>
            <w:pPr>
              <w:ind w:leftChars="0" w:left="0" w:right="0"/>
            </w:pPr>
            <w:r>
              <w:t>1834</w:t>
            </w:r>
          </w:p>
        </w:tc>
      </w:tr>
      <w:tr>
        <w:trPr>
          <w:cnfStyle w:evenHBand="true" w:oddHBand="false" w:firstRow="false"/>
        </w:trPr>
        <w:tc>
          <w:tcPr>
            <w:cnfStyle w:evenVBand="false" w:oddVBand="true" w:firstColumn="false"/>
            <w:tcW w:w="25.000000%" w:type="pct"/>
          </w:tcPr>
          <w:p>
            <w:pPr>
              <w:ind w:leftChars="0" w:left="0" w:right="0"/>
            </w:pPr>
            <w:r>
              <w:t>UBSG</w:t>
            </w:r>
          </w:p>
        </w:tc>
        <w:tc>
          <w:tcPr>
            <w:cnfStyle w:evenVBand="true" w:oddVBand="false" w:firstColumn="false"/>
            <w:tcW w:w="25.000000%" w:type="pct"/>
          </w:tcPr>
          <w:p>
            <w:pPr>
              <w:ind w:leftChars="0" w:left="0" w:right="0"/>
            </w:pPr>
            <w:r>
              <w:t>UBSG</w:t>
            </w:r>
          </w:p>
        </w:tc>
        <w:tc>
          <w:tcPr>
            <w:cnfStyle w:evenVBand="false" w:oddVBand="true" w:firstColumn="false"/>
            <w:tcW w:w="25.000000%" w:type="pct"/>
          </w:tcPr>
          <w:p>
            <w:pPr>
              <w:ind w:leftChars="0" w:left="0" w:right="0"/>
            </w:pPr>
            <w:r>
              <w:t>UBS TRADING</w:t>
            </w:r>
          </w:p>
        </w:tc>
        <w:tc>
          <w:tcPr>
            <w:cnfStyle w:evenVBand="true" w:oddVBand="false" w:firstColumn="false"/>
            <w:tcW w:w="25.000000%" w:type="pct"/>
          </w:tcPr>
          <w:p>
            <w:pPr>
              <w:ind w:leftChars="0" w:left="0" w:right="0"/>
            </w:pPr>
            <w:r>
              <w:t>1835</w:t>
            </w:r>
          </w:p>
        </w:tc>
      </w:tr>
      <w:tr>
        <w:trPr>
          <w:cnfStyle w:evenHBand="false" w:oddHBand="true" w:firstRow="false"/>
        </w:trPr>
        <w:tc>
          <w:tcPr>
            <w:cnfStyle w:evenVBand="false" w:oddVBand="true" w:firstColumn="false"/>
            <w:tcW w:w="25.000000%" w:type="pct"/>
          </w:tcPr>
          <w:p>
            <w:pPr>
              <w:ind w:leftChars="0" w:left="0" w:right="0"/>
            </w:pPr>
            <w:r>
              <w:t>UBSI</w:t>
            </w:r>
          </w:p>
        </w:tc>
        <w:tc>
          <w:tcPr>
            <w:cnfStyle w:evenVBand="true" w:oddVBand="false" w:firstColumn="false"/>
            <w:tcW w:w="25.000000%" w:type="pct"/>
          </w:tcPr>
          <w:p>
            <w:pPr>
              <w:ind w:leftChars="0" w:left="0" w:right="0"/>
            </w:pPr>
            <w:r>
              <w:t>UBSI</w:t>
            </w:r>
          </w:p>
        </w:tc>
        <w:tc>
          <w:tcPr>
            <w:cnfStyle w:evenVBand="false" w:oddVBand="true" w:firstColumn="false"/>
            <w:tcW w:w="25.000000%" w:type="pct"/>
          </w:tcPr>
          <w:p>
            <w:pPr>
              <w:ind w:leftChars="0" w:left="0" w:right="0"/>
            </w:pPr>
            <w:r>
              <w:t>UBS EUROPE SE - SYSTEMATIC INTERNALISER</w:t>
            </w:r>
          </w:p>
        </w:tc>
        <w:tc>
          <w:tcPr>
            <w:cnfStyle w:evenVBand="true" w:oddVBand="false" w:firstColumn="false"/>
            <w:tcW w:w="25.000000%" w:type="pct"/>
          </w:tcPr>
          <w:p>
            <w:pPr>
              <w:ind w:leftChars="0" w:left="0" w:right="0"/>
            </w:pPr>
            <w:r>
              <w:t>1836</w:t>
            </w:r>
          </w:p>
        </w:tc>
      </w:tr>
      <w:tr>
        <w:trPr>
          <w:cnfStyle w:evenHBand="true" w:oddHBand="false" w:firstRow="false"/>
        </w:trPr>
        <w:tc>
          <w:tcPr>
            <w:cnfStyle w:evenVBand="false" w:oddVBand="true" w:firstColumn="false"/>
            <w:tcW w:w="25.000000%" w:type="pct"/>
          </w:tcPr>
          <w:p>
            <w:pPr>
              <w:ind w:leftChars="0" w:left="0" w:right="0"/>
            </w:pPr>
            <w:r>
              <w:t>UBSL</w:t>
            </w:r>
          </w:p>
        </w:tc>
        <w:tc>
          <w:tcPr>
            <w:cnfStyle w:evenVBand="true" w:oddVBand="false" w:firstColumn="false"/>
            <w:tcW w:w="25.000000%" w:type="pct"/>
          </w:tcPr>
          <w:p>
            <w:pPr>
              <w:ind w:leftChars="0" w:left="0" w:right="0"/>
            </w:pPr>
            <w:r>
              <w:t>UBSL</w:t>
            </w:r>
          </w:p>
        </w:tc>
        <w:tc>
          <w:tcPr>
            <w:cnfStyle w:evenVBand="false" w:oddVBand="true" w:firstColumn="false"/>
            <w:tcW w:w="25.000000%" w:type="pct"/>
          </w:tcPr>
          <w:p>
            <w:pPr>
              <w:ind w:leftChars="0" w:left="0" w:right="0"/>
            </w:pPr>
            <w:r>
              <w:t>UBS EUROPE SE - TRADING</w:t>
            </w:r>
          </w:p>
        </w:tc>
        <w:tc>
          <w:tcPr>
            <w:cnfStyle w:evenVBand="true" w:oddVBand="false" w:firstColumn="false"/>
            <w:tcW w:w="25.000000%" w:type="pct"/>
          </w:tcPr>
          <w:p>
            <w:pPr>
              <w:ind w:leftChars="0" w:left="0" w:right="0"/>
            </w:pPr>
            <w:r>
              <w:t>1837</w:t>
            </w:r>
          </w:p>
        </w:tc>
      </w:tr>
      <w:tr>
        <w:trPr>
          <w:cnfStyle w:evenHBand="false" w:oddHBand="true" w:firstRow="false"/>
        </w:trPr>
        <w:tc>
          <w:tcPr>
            <w:cnfStyle w:evenVBand="false" w:oddVBand="true" w:firstColumn="false"/>
            <w:tcW w:w="25.000000%" w:type="pct"/>
          </w:tcPr>
          <w:p>
            <w:pPr>
              <w:ind w:leftChars="0" w:left="0" w:right="0"/>
            </w:pPr>
            <w:r>
              <w:t>UBSP</w:t>
            </w:r>
          </w:p>
        </w:tc>
        <w:tc>
          <w:tcPr>
            <w:cnfStyle w:evenVBand="true" w:oddVBand="false" w:firstColumn="false"/>
            <w:tcW w:w="25.000000%" w:type="pct"/>
          </w:tcPr>
          <w:p>
            <w:pPr>
              <w:ind w:leftChars="0" w:left="0" w:right="0"/>
            </w:pPr>
            <w:r>
              <w:t>UBSP</w:t>
            </w:r>
          </w:p>
        </w:tc>
        <w:tc>
          <w:tcPr>
            <w:cnfStyle w:evenVBand="false" w:oddVBand="true" w:firstColumn="false"/>
            <w:tcW w:w="25.000000%" w:type="pct"/>
          </w:tcPr>
          <w:p>
            <w:pPr>
              <w:ind w:leftChars="0" w:left="0" w:right="0"/>
            </w:pPr>
            <w:r>
              <w:t>UBS PIN (UBS PRICE IMPROVEMENT NETWORK)</w:t>
            </w:r>
          </w:p>
        </w:tc>
        <w:tc>
          <w:tcPr>
            <w:cnfStyle w:evenVBand="true" w:oddVBand="false" w:firstColumn="false"/>
            <w:tcW w:w="25.000000%" w:type="pct"/>
          </w:tcPr>
          <w:p>
            <w:pPr>
              <w:ind w:leftChars="0" w:left="0" w:right="0"/>
            </w:pPr>
            <w:r>
              <w:t>1838</w:t>
            </w:r>
          </w:p>
        </w:tc>
      </w:tr>
      <w:tr>
        <w:trPr>
          <w:cnfStyle w:evenHBand="true" w:oddHBand="false" w:firstRow="false"/>
        </w:trPr>
        <w:tc>
          <w:tcPr>
            <w:cnfStyle w:evenVBand="false" w:oddVBand="true" w:firstColumn="false"/>
            <w:tcW w:w="25.000000%" w:type="pct"/>
          </w:tcPr>
          <w:p>
            <w:pPr>
              <w:ind w:leftChars="0" w:left="0" w:right="0"/>
            </w:pPr>
            <w:r>
              <w:t>UBSS</w:t>
            </w:r>
          </w:p>
        </w:tc>
        <w:tc>
          <w:tcPr>
            <w:cnfStyle w:evenVBand="true" w:oddVBand="false" w:firstColumn="false"/>
            <w:tcW w:w="25.000000%" w:type="pct"/>
          </w:tcPr>
          <w:p>
            <w:pPr>
              <w:ind w:leftChars="0" w:left="0" w:right="0"/>
            </w:pPr>
            <w:r>
              <w:t>UBSS</w:t>
            </w:r>
          </w:p>
        </w:tc>
        <w:tc>
          <w:tcPr>
            <w:cnfStyle w:evenVBand="false" w:oddVBand="true" w:firstColumn="false"/>
            <w:tcW w:w="25.000000%" w:type="pct"/>
          </w:tcPr>
          <w:p>
            <w:pPr>
              <w:ind w:leftChars="0" w:left="0" w:right="0"/>
            </w:pPr>
            <w:r>
              <w:t>UBS SECURITIES LLC</w:t>
            </w:r>
          </w:p>
        </w:tc>
        <w:tc>
          <w:tcPr>
            <w:cnfStyle w:evenVBand="true" w:oddVBand="false" w:firstColumn="false"/>
            <w:tcW w:w="25.000000%" w:type="pct"/>
          </w:tcPr>
          <w:p>
            <w:pPr>
              <w:ind w:leftChars="0" w:left="0" w:right="0"/>
            </w:pPr>
            <w:r>
              <w:t>1839</w:t>
            </w:r>
          </w:p>
        </w:tc>
      </w:tr>
      <w:tr>
        <w:trPr>
          <w:cnfStyle w:evenHBand="false" w:oddHBand="true" w:firstRow="false"/>
        </w:trPr>
        <w:tc>
          <w:tcPr>
            <w:cnfStyle w:evenVBand="false" w:oddVBand="true" w:firstColumn="false"/>
            <w:tcW w:w="25.000000%" w:type="pct"/>
          </w:tcPr>
          <w:p>
            <w:pPr>
              <w:ind w:leftChars="0" w:left="0" w:right="0"/>
            </w:pPr>
            <w:r>
              <w:t>UBST</w:t>
            </w:r>
          </w:p>
        </w:tc>
        <w:tc>
          <w:tcPr>
            <w:cnfStyle w:evenVBand="true" w:oddVBand="false" w:firstColumn="false"/>
            <w:tcW w:w="25.000000%" w:type="pct"/>
          </w:tcPr>
          <w:p>
            <w:pPr>
              <w:ind w:leftChars="0" w:left="0" w:right="0"/>
            </w:pPr>
            <w:r>
              <w:t>UBST</w:t>
            </w:r>
          </w:p>
        </w:tc>
        <w:tc>
          <w:tcPr>
            <w:cnfStyle w:evenVBand="false" w:oddVBand="true" w:firstColumn="false"/>
            <w:tcW w:w="25.000000%" w:type="pct"/>
          </w:tcPr>
          <w:p>
            <w:pPr>
              <w:ind w:leftChars="0" w:left="0" w:right="0"/>
            </w:pPr>
            <w:r>
              <w:t>UBS TRADING</w:t>
            </w:r>
          </w:p>
        </w:tc>
        <w:tc>
          <w:tcPr>
            <w:cnfStyle w:evenVBand="true" w:oddVBand="false" w:firstColumn="false"/>
            <w:tcW w:w="25.000000%" w:type="pct"/>
          </w:tcPr>
          <w:p>
            <w:pPr>
              <w:ind w:leftChars="0" w:left="0" w:right="0"/>
            </w:pPr>
            <w:r>
              <w:t>1840</w:t>
            </w:r>
          </w:p>
        </w:tc>
      </w:tr>
      <w:tr>
        <w:trPr>
          <w:cnfStyle w:evenHBand="true" w:oddHBand="false" w:firstRow="false"/>
        </w:trPr>
        <w:tc>
          <w:tcPr>
            <w:cnfStyle w:evenVBand="false" w:oddVBand="true" w:firstColumn="false"/>
            <w:tcW w:w="25.000000%" w:type="pct"/>
          </w:tcPr>
          <w:p>
            <w:pPr>
              <w:ind w:leftChars="0" w:left="0" w:right="0"/>
            </w:pPr>
            <w:r>
              <w:t>UBSX</w:t>
            </w:r>
          </w:p>
        </w:tc>
        <w:tc>
          <w:tcPr>
            <w:cnfStyle w:evenVBand="true" w:oddVBand="false" w:firstColumn="false"/>
            <w:tcW w:w="25.000000%" w:type="pct"/>
          </w:tcPr>
          <w:p>
            <w:pPr>
              <w:ind w:leftChars="0" w:left="0" w:right="0"/>
            </w:pPr>
            <w:r>
              <w:t>UBSX</w:t>
            </w:r>
          </w:p>
        </w:tc>
        <w:tc>
          <w:tcPr>
            <w:cnfStyle w:evenVBand="false" w:oddVBand="true" w:firstColumn="false"/>
            <w:tcW w:w="25.000000%" w:type="pct"/>
          </w:tcPr>
          <w:p>
            <w:pPr>
              <w:ind w:leftChars="0" w:left="0" w:right="0"/>
            </w:pPr>
            <w:r>
              <w:t>UBS CROSS</w:t>
            </w:r>
          </w:p>
        </w:tc>
        <w:tc>
          <w:tcPr>
            <w:cnfStyle w:evenVBand="true" w:oddVBand="false" w:firstColumn="false"/>
            <w:tcW w:w="25.000000%" w:type="pct"/>
          </w:tcPr>
          <w:p>
            <w:pPr>
              <w:ind w:leftChars="0" w:left="0" w:right="0"/>
            </w:pPr>
            <w:r>
              <w:t>1841</w:t>
            </w:r>
          </w:p>
        </w:tc>
      </w:tr>
      <w:tr>
        <w:trPr>
          <w:cnfStyle w:evenHBand="false" w:oddHBand="true" w:firstRow="false"/>
        </w:trPr>
        <w:tc>
          <w:tcPr>
            <w:cnfStyle w:evenVBand="false" w:oddVBand="true" w:firstColumn="false"/>
            <w:tcW w:w="25.000000%" w:type="pct"/>
          </w:tcPr>
          <w:p>
            <w:pPr>
              <w:ind w:leftChars="0" w:left="0" w:right="0"/>
            </w:pPr>
            <w:r>
              <w:t>UBSY</w:t>
            </w:r>
          </w:p>
        </w:tc>
        <w:tc>
          <w:tcPr>
            <w:cnfStyle w:evenVBand="true" w:oddVBand="false" w:firstColumn="false"/>
            <w:tcW w:w="25.000000%" w:type="pct"/>
          </w:tcPr>
          <w:p>
            <w:pPr>
              <w:ind w:leftChars="0" w:left="0" w:right="0"/>
            </w:pPr>
            <w:r>
              <w:t>UBSY</w:t>
            </w:r>
          </w:p>
        </w:tc>
        <w:tc>
          <w:tcPr>
            <w:cnfStyle w:evenVBand="false" w:oddVBand="true" w:firstColumn="false"/>
            <w:tcW w:w="25.000000%" w:type="pct"/>
          </w:tcPr>
          <w:p>
            <w:pPr>
              <w:ind w:leftChars="0" w:left="0" w:right="0"/>
            </w:pPr>
            <w:r>
              <w:t>UBS AG LONDON BRANCH - SYSTEMATIC INTERNALISER</w:t>
            </w:r>
          </w:p>
        </w:tc>
        <w:tc>
          <w:tcPr>
            <w:cnfStyle w:evenVBand="true" w:oddVBand="false" w:firstColumn="false"/>
            <w:tcW w:w="25.000000%" w:type="pct"/>
          </w:tcPr>
          <w:p>
            <w:pPr>
              <w:ind w:leftChars="0" w:left="0" w:right="0"/>
            </w:pPr>
            <w:r>
              <w:t>1842</w:t>
            </w:r>
          </w:p>
        </w:tc>
      </w:tr>
      <w:tr>
        <w:trPr>
          <w:cnfStyle w:evenHBand="true" w:oddHBand="false" w:firstRow="false"/>
        </w:trPr>
        <w:tc>
          <w:tcPr>
            <w:cnfStyle w:evenVBand="false" w:oddVBand="true" w:firstColumn="false"/>
            <w:tcW w:w="25.000000%" w:type="pct"/>
          </w:tcPr>
          <w:p>
            <w:pPr>
              <w:ind w:leftChars="0" w:left="0" w:right="0"/>
            </w:pPr>
            <w:r>
              <w:t>UCBA</w:t>
            </w:r>
          </w:p>
        </w:tc>
        <w:tc>
          <w:tcPr>
            <w:cnfStyle w:evenVBand="true" w:oddVBand="false" w:firstColumn="false"/>
            <w:tcW w:w="25.000000%" w:type="pct"/>
          </w:tcPr>
          <w:p>
            <w:pPr>
              <w:ind w:leftChars="0" w:left="0" w:right="0"/>
            </w:pPr>
            <w:r>
              <w:t>UCBA</w:t>
            </w:r>
          </w:p>
        </w:tc>
        <w:tc>
          <w:tcPr>
            <w:cnfStyle w:evenVBand="false" w:oddVBand="true" w:firstColumn="false"/>
            <w:tcW w:w="25.000000%" w:type="pct"/>
          </w:tcPr>
          <w:p>
            <w:pPr>
              <w:ind w:leftChars="0" w:left="0" w:right="0"/>
            </w:pPr>
            <w:r>
              <w:t>UNICREDIT BANK AUSTRIA AG</w:t>
            </w:r>
          </w:p>
        </w:tc>
        <w:tc>
          <w:tcPr>
            <w:cnfStyle w:evenVBand="true" w:oddVBand="false" w:firstColumn="false"/>
            <w:tcW w:w="25.000000%" w:type="pct"/>
          </w:tcPr>
          <w:p>
            <w:pPr>
              <w:ind w:leftChars="0" w:left="0" w:right="0"/>
            </w:pPr>
            <w:r>
              <w:t>1843</w:t>
            </w:r>
          </w:p>
        </w:tc>
      </w:tr>
      <w:tr>
        <w:trPr>
          <w:cnfStyle w:evenHBand="false" w:oddHBand="true" w:firstRow="false"/>
        </w:trPr>
        <w:tc>
          <w:tcPr>
            <w:cnfStyle w:evenVBand="false" w:oddVBand="true" w:firstColumn="false"/>
            <w:tcW w:w="25.000000%" w:type="pct"/>
          </w:tcPr>
          <w:p>
            <w:pPr>
              <w:ind w:leftChars="0" w:left="0" w:right="0"/>
            </w:pPr>
            <w:r>
              <w:t>UCBG</w:t>
            </w:r>
          </w:p>
        </w:tc>
        <w:tc>
          <w:tcPr>
            <w:cnfStyle w:evenVBand="true" w:oddVBand="false" w:firstColumn="false"/>
            <w:tcW w:w="25.000000%" w:type="pct"/>
          </w:tcPr>
          <w:p>
            <w:pPr>
              <w:ind w:leftChars="0" w:left="0" w:right="0"/>
            </w:pPr>
            <w:r>
              <w:t>UCBG</w:t>
            </w:r>
          </w:p>
        </w:tc>
        <w:tc>
          <w:tcPr>
            <w:cnfStyle w:evenVBand="false" w:oddVBand="true" w:firstColumn="false"/>
            <w:tcW w:w="25.000000%" w:type="pct"/>
          </w:tcPr>
          <w:p>
            <w:pPr>
              <w:ind w:leftChars="0" w:left="0" w:right="0"/>
            </w:pPr>
            <w:r>
              <w:t>UNICREDIT BULBANK AD - SYSTEMATIC INTERNALISER</w:t>
            </w:r>
          </w:p>
        </w:tc>
        <w:tc>
          <w:tcPr>
            <w:cnfStyle w:evenVBand="true" w:oddVBand="false" w:firstColumn="false"/>
            <w:tcW w:w="25.000000%" w:type="pct"/>
          </w:tcPr>
          <w:p>
            <w:pPr>
              <w:ind w:leftChars="0" w:left="0" w:right="0"/>
            </w:pPr>
            <w:r>
              <w:t>1844</w:t>
            </w:r>
          </w:p>
        </w:tc>
      </w:tr>
      <w:tr>
        <w:trPr>
          <w:cnfStyle w:evenHBand="true" w:oddHBand="false" w:firstRow="false"/>
        </w:trPr>
        <w:tc>
          <w:tcPr>
            <w:cnfStyle w:evenVBand="false" w:oddVBand="true" w:firstColumn="false"/>
            <w:tcW w:w="25.000000%" w:type="pct"/>
          </w:tcPr>
          <w:p>
            <w:pPr>
              <w:ind w:leftChars="0" w:left="0" w:right="0"/>
            </w:pPr>
            <w:r>
              <w:t>UCDE</w:t>
            </w:r>
          </w:p>
        </w:tc>
        <w:tc>
          <w:tcPr>
            <w:cnfStyle w:evenVBand="true" w:oddVBand="false" w:firstColumn="false"/>
            <w:tcW w:w="25.000000%" w:type="pct"/>
          </w:tcPr>
          <w:p>
            <w:pPr>
              <w:ind w:leftChars="0" w:left="0" w:right="0"/>
            </w:pPr>
            <w:r>
              <w:t>UCDE</w:t>
            </w:r>
          </w:p>
        </w:tc>
        <w:tc>
          <w:tcPr>
            <w:cnfStyle w:evenVBand="false" w:oddVBand="true" w:firstColumn="false"/>
            <w:tcW w:w="25.000000%" w:type="pct"/>
          </w:tcPr>
          <w:p>
            <w:pPr>
              <w:ind w:leftChars="0" w:left="0" w:right="0"/>
            </w:pPr>
            <w:r>
              <w:t>UNICREDIT BANK AG - SYSTEMATIC INTERNALISER</w:t>
            </w:r>
          </w:p>
        </w:tc>
        <w:tc>
          <w:tcPr>
            <w:cnfStyle w:evenVBand="true" w:oddVBand="false" w:firstColumn="false"/>
            <w:tcW w:w="25.000000%" w:type="pct"/>
          </w:tcPr>
          <w:p>
            <w:pPr>
              <w:ind w:leftChars="0" w:left="0" w:right="0"/>
            </w:pPr>
            <w:r>
              <w:t>1845</w:t>
            </w:r>
          </w:p>
        </w:tc>
      </w:tr>
      <w:tr>
        <w:trPr>
          <w:cnfStyle w:evenHBand="false" w:oddHBand="true" w:firstRow="false"/>
        </w:trPr>
        <w:tc>
          <w:tcPr>
            <w:cnfStyle w:evenVBand="false" w:oddVBand="true" w:firstColumn="false"/>
            <w:tcW w:w="25.000000%" w:type="pct"/>
          </w:tcPr>
          <w:p>
            <w:pPr>
              <w:ind w:leftChars="0" w:left="0" w:right="0"/>
            </w:pPr>
            <w:r>
              <w:t>UCHU</w:t>
            </w:r>
          </w:p>
        </w:tc>
        <w:tc>
          <w:tcPr>
            <w:cnfStyle w:evenVBand="true" w:oddVBand="false" w:firstColumn="false"/>
            <w:tcW w:w="25.000000%" w:type="pct"/>
          </w:tcPr>
          <w:p>
            <w:pPr>
              <w:ind w:leftChars="0" w:left="0" w:right="0"/>
            </w:pPr>
            <w:r>
              <w:t>UCHU</w:t>
            </w:r>
          </w:p>
        </w:tc>
        <w:tc>
          <w:tcPr>
            <w:cnfStyle w:evenVBand="false" w:oddVBand="true" w:firstColumn="false"/>
            <w:tcW w:w="25.000000%" w:type="pct"/>
          </w:tcPr>
          <w:p>
            <w:pPr>
              <w:ind w:leftChars="0" w:left="0" w:right="0"/>
            </w:pPr>
            <w:r>
              <w:t>UNICREDIT BANK HUNGARY ZRT. - SYSTEMATIC INTERNALISER</w:t>
            </w:r>
          </w:p>
        </w:tc>
        <w:tc>
          <w:tcPr>
            <w:cnfStyle w:evenVBand="true" w:oddVBand="false" w:firstColumn="false"/>
            <w:tcW w:w="25.000000%" w:type="pct"/>
          </w:tcPr>
          <w:p>
            <w:pPr>
              <w:ind w:leftChars="0" w:left="0" w:right="0"/>
            </w:pPr>
            <w:r>
              <w:t>1846</w:t>
            </w:r>
          </w:p>
        </w:tc>
      </w:tr>
      <w:tr>
        <w:trPr>
          <w:cnfStyle w:evenHBand="true" w:oddHBand="false" w:firstRow="false"/>
        </w:trPr>
        <w:tc>
          <w:tcPr>
            <w:cnfStyle w:evenVBand="false" w:oddVBand="true" w:firstColumn="false"/>
            <w:tcW w:w="25.000000%" w:type="pct"/>
          </w:tcPr>
          <w:p>
            <w:pPr>
              <w:ind w:leftChars="0" w:left="0" w:right="0"/>
            </w:pPr>
            <w:r>
              <w:t>UCIT</w:t>
            </w:r>
          </w:p>
        </w:tc>
        <w:tc>
          <w:tcPr>
            <w:cnfStyle w:evenVBand="true" w:oddVBand="false" w:firstColumn="false"/>
            <w:tcW w:w="25.000000%" w:type="pct"/>
          </w:tcPr>
          <w:p>
            <w:pPr>
              <w:ind w:leftChars="0" w:left="0" w:right="0"/>
            </w:pPr>
            <w:r>
              <w:t>UCIT</w:t>
            </w:r>
          </w:p>
        </w:tc>
        <w:tc>
          <w:tcPr>
            <w:cnfStyle w:evenVBand="false" w:oddVBand="true" w:firstColumn="false"/>
            <w:tcW w:w="25.000000%" w:type="pct"/>
          </w:tcPr>
          <w:p>
            <w:pPr>
              <w:ind w:leftChars="0" w:left="0" w:right="0"/>
            </w:pPr>
            <w:r>
              <w:t>UNICREDIT SPA - SYSTEMATIC INTERNALISER</w:t>
            </w:r>
          </w:p>
        </w:tc>
        <w:tc>
          <w:tcPr>
            <w:cnfStyle w:evenVBand="true" w:oddVBand="false" w:firstColumn="false"/>
            <w:tcW w:w="25.000000%" w:type="pct"/>
          </w:tcPr>
          <w:p>
            <w:pPr>
              <w:ind w:leftChars="0" w:left="0" w:right="0"/>
            </w:pPr>
            <w:r>
              <w:t>1847</w:t>
            </w:r>
          </w:p>
        </w:tc>
      </w:tr>
      <w:tr>
        <w:trPr>
          <w:cnfStyle w:evenHBand="false" w:oddHBand="true" w:firstRow="false"/>
        </w:trPr>
        <w:tc>
          <w:tcPr>
            <w:cnfStyle w:evenVBand="false" w:oddVBand="true" w:firstColumn="false"/>
            <w:tcW w:w="25.000000%" w:type="pct"/>
          </w:tcPr>
          <w:p>
            <w:pPr>
              <w:ind w:leftChars="0" w:left="0" w:right="0"/>
            </w:pPr>
            <w:r>
              <w:t>UFEX</w:t>
            </w:r>
          </w:p>
        </w:tc>
        <w:tc>
          <w:tcPr>
            <w:cnfStyle w:evenVBand="true" w:oddVBand="false" w:firstColumn="false"/>
            <w:tcW w:w="25.000000%" w:type="pct"/>
          </w:tcPr>
          <w:p>
            <w:pPr>
              <w:ind w:leftChars="0" w:left="0" w:right="0"/>
            </w:pPr>
            <w:r>
              <w:t>UFEX</w:t>
            </w:r>
          </w:p>
        </w:tc>
        <w:tc>
          <w:tcPr>
            <w:cnfStyle w:evenVBand="false" w:oddVBand="true" w:firstColumn="false"/>
            <w:tcW w:w="25.000000%" w:type="pct"/>
          </w:tcPr>
          <w:p>
            <w:pPr>
              <w:ind w:leftChars="0" w:left="0" w:right="0"/>
            </w:pPr>
            <w:r>
              <w:t>UFEX</w:t>
            </w:r>
          </w:p>
        </w:tc>
        <w:tc>
          <w:tcPr>
            <w:cnfStyle w:evenVBand="true" w:oddVBand="false" w:firstColumn="false"/>
            <w:tcW w:w="25.000000%" w:type="pct"/>
          </w:tcPr>
          <w:p>
            <w:pPr>
              <w:ind w:leftChars="0" w:left="0" w:right="0"/>
            </w:pPr>
            <w:r>
              <w:t>1848</w:t>
            </w:r>
          </w:p>
        </w:tc>
      </w:tr>
      <w:tr>
        <w:trPr>
          <w:cnfStyle w:evenHBand="true" w:oddHBand="false" w:firstRow="false"/>
        </w:trPr>
        <w:tc>
          <w:tcPr>
            <w:cnfStyle w:evenVBand="false" w:oddVBand="true" w:firstColumn="false"/>
            <w:tcW w:w="25.000000%" w:type="pct"/>
          </w:tcPr>
          <w:p>
            <w:pPr>
              <w:ind w:leftChars="0" w:left="0" w:right="0"/>
            </w:pPr>
            <w:r>
              <w:t>UGEN</w:t>
            </w:r>
          </w:p>
        </w:tc>
        <w:tc>
          <w:tcPr>
            <w:cnfStyle w:evenVBand="true" w:oddVBand="false" w:firstColumn="false"/>
            <w:tcW w:w="25.000000%" w:type="pct"/>
          </w:tcPr>
          <w:p>
            <w:pPr>
              <w:ind w:leftChars="0" w:left="0" w:right="0"/>
            </w:pPr>
            <w:r>
              <w:t>UGEN</w:t>
            </w:r>
          </w:p>
        </w:tc>
        <w:tc>
          <w:tcPr>
            <w:cnfStyle w:evenVBand="false" w:oddVBand="true" w:firstColumn="false"/>
            <w:tcW w:w="25.000000%" w:type="pct"/>
          </w:tcPr>
          <w:p>
            <w:pPr>
              <w:ind w:leftChars="0" w:left="0" w:right="0"/>
            </w:pPr>
            <w:r>
              <w:t>UNITEDBLOCKTRADE</w:t>
            </w:r>
          </w:p>
        </w:tc>
        <w:tc>
          <w:tcPr>
            <w:cnfStyle w:evenVBand="true" w:oddVBand="false" w:firstColumn="false"/>
            <w:tcW w:w="25.000000%" w:type="pct"/>
          </w:tcPr>
          <w:p>
            <w:pPr>
              <w:ind w:leftChars="0" w:left="0" w:right="0"/>
            </w:pPr>
            <w:r>
              <w:t>1849</w:t>
            </w:r>
          </w:p>
        </w:tc>
      </w:tr>
      <w:tr>
        <w:trPr>
          <w:cnfStyle w:evenHBand="false" w:oddHBand="true" w:firstRow="false"/>
        </w:trPr>
        <w:tc>
          <w:tcPr>
            <w:cnfStyle w:evenVBand="false" w:oddVBand="true" w:firstColumn="false"/>
            <w:tcW w:w="25.000000%" w:type="pct"/>
          </w:tcPr>
          <w:p>
            <w:pPr>
              <w:ind w:leftChars="0" w:left="0" w:right="0"/>
            </w:pPr>
            <w:r>
              <w:t>UICE</w:t>
            </w:r>
          </w:p>
        </w:tc>
        <w:tc>
          <w:tcPr>
            <w:cnfStyle w:evenVBand="true" w:oddVBand="false" w:firstColumn="false"/>
            <w:tcW w:w="25.000000%" w:type="pct"/>
          </w:tcPr>
          <w:p>
            <w:pPr>
              <w:ind w:leftChars="0" w:left="0" w:right="0"/>
            </w:pPr>
            <w:r>
              <w:t>UICE</w:t>
            </w:r>
          </w:p>
        </w:tc>
        <w:tc>
          <w:tcPr>
            <w:cnfStyle w:evenVBand="false" w:oddVBand="true" w:firstColumn="false"/>
            <w:tcW w:w="25.000000%" w:type="pct"/>
          </w:tcPr>
          <w:p>
            <w:pPr>
              <w:ind w:leftChars="0" w:left="0" w:right="0"/>
            </w:pPr>
            <w:r>
              <w:t>UKRAINIAN INTERBANK CURRENCY EXCHANGE</w:t>
            </w:r>
          </w:p>
        </w:tc>
        <w:tc>
          <w:tcPr>
            <w:cnfStyle w:evenVBand="true" w:oddVBand="false" w:firstColumn="false"/>
            <w:tcW w:w="25.000000%" w:type="pct"/>
          </w:tcPr>
          <w:p>
            <w:pPr>
              <w:ind w:leftChars="0" w:left="0" w:right="0"/>
            </w:pPr>
            <w:r>
              <w:t>1850</w:t>
            </w:r>
          </w:p>
        </w:tc>
      </w:tr>
      <w:tr>
        <w:trPr>
          <w:cnfStyle w:evenHBand="true" w:oddHBand="false" w:firstRow="false"/>
        </w:trPr>
        <w:tc>
          <w:tcPr>
            <w:cnfStyle w:evenVBand="false" w:oddVBand="true" w:firstColumn="false"/>
            <w:tcW w:w="25.000000%" w:type="pct"/>
          </w:tcPr>
          <w:p>
            <w:pPr>
              <w:ind w:leftChars="0" w:left="0" w:right="0"/>
            </w:pPr>
            <w:r>
              <w:t>UKCA</w:t>
            </w:r>
          </w:p>
        </w:tc>
        <w:tc>
          <w:tcPr>
            <w:cnfStyle w:evenVBand="true" w:oddVBand="false" w:firstColumn="false"/>
            <w:tcW w:w="25.000000%" w:type="pct"/>
          </w:tcPr>
          <w:p>
            <w:pPr>
              <w:ind w:leftChars="0" w:left="0" w:right="0"/>
            </w:pPr>
            <w:r>
              <w:t>UKCA</w:t>
            </w:r>
          </w:p>
        </w:tc>
        <w:tc>
          <w:tcPr>
            <w:cnfStyle w:evenVBand="false" w:oddVBand="true" w:firstColumn="false"/>
            <w:tcW w:w="25.000000%" w:type="pct"/>
          </w:tcPr>
          <w:p>
            <w:pPr>
              <w:ind w:leftChars="0" w:left="0" w:right="0"/>
            </w:pPr>
            <w:r>
              <w:t>CREDIT AGRICOLE CIB UK BRANCH - SYSTEMATIC INTERNALISER</w:t>
            </w:r>
          </w:p>
        </w:tc>
        <w:tc>
          <w:tcPr>
            <w:cnfStyle w:evenVBand="true" w:oddVBand="false" w:firstColumn="false"/>
            <w:tcW w:w="25.000000%" w:type="pct"/>
          </w:tcPr>
          <w:p>
            <w:pPr>
              <w:ind w:leftChars="0" w:left="0" w:right="0"/>
            </w:pPr>
            <w:r>
              <w:t>1851</w:t>
            </w:r>
          </w:p>
        </w:tc>
      </w:tr>
      <w:tr>
        <w:trPr>
          <w:cnfStyle w:evenHBand="false" w:oddHBand="true" w:firstRow="false"/>
        </w:trPr>
        <w:tc>
          <w:tcPr>
            <w:cnfStyle w:evenVBand="false" w:oddVBand="true" w:firstColumn="false"/>
            <w:tcW w:w="25.000000%" w:type="pct"/>
          </w:tcPr>
          <w:p>
            <w:pPr>
              <w:ind w:leftChars="0" w:left="0" w:right="0"/>
            </w:pPr>
            <w:r>
              <w:t>UKEX</w:t>
            </w:r>
          </w:p>
        </w:tc>
        <w:tc>
          <w:tcPr>
            <w:cnfStyle w:evenVBand="true" w:oddVBand="false" w:firstColumn="false"/>
            <w:tcW w:w="25.000000%" w:type="pct"/>
          </w:tcPr>
          <w:p>
            <w:pPr>
              <w:ind w:leftChars="0" w:left="0" w:right="0"/>
            </w:pPr>
            <w:r>
              <w:t>UKEX</w:t>
            </w:r>
          </w:p>
        </w:tc>
        <w:tc>
          <w:tcPr>
            <w:cnfStyle w:evenVBand="false" w:oddVBand="true" w:firstColumn="false"/>
            <w:tcW w:w="25.000000%" w:type="pct"/>
          </w:tcPr>
          <w:p>
            <w:pPr>
              <w:ind w:leftChars="0" w:left="0" w:right="0"/>
            </w:pPr>
            <w:r>
              <w:t>UKRAINIAN EXCHANGE</w:t>
            </w:r>
          </w:p>
        </w:tc>
        <w:tc>
          <w:tcPr>
            <w:cnfStyle w:evenVBand="true" w:oddVBand="false" w:firstColumn="false"/>
            <w:tcW w:w="25.000000%" w:type="pct"/>
          </w:tcPr>
          <w:p>
            <w:pPr>
              <w:ind w:leftChars="0" w:left="0" w:right="0"/>
            </w:pPr>
            <w:r>
              <w:t>1852</w:t>
            </w:r>
          </w:p>
        </w:tc>
      </w:tr>
      <w:tr>
        <w:trPr>
          <w:cnfStyle w:evenHBand="true" w:oddHBand="false" w:firstRow="false"/>
        </w:trPr>
        <w:tc>
          <w:tcPr>
            <w:cnfStyle w:evenVBand="false" w:oddVBand="true" w:firstColumn="false"/>
            <w:tcW w:w="25.000000%" w:type="pct"/>
          </w:tcPr>
          <w:p>
            <w:pPr>
              <w:ind w:leftChars="0" w:left="0" w:right="0"/>
            </w:pPr>
            <w:r>
              <w:t>UKGD</w:t>
            </w:r>
          </w:p>
        </w:tc>
        <w:tc>
          <w:tcPr>
            <w:cnfStyle w:evenVBand="true" w:oddVBand="false" w:firstColumn="false"/>
            <w:tcW w:w="25.000000%" w:type="pct"/>
          </w:tcPr>
          <w:p>
            <w:pPr>
              <w:ind w:leftChars="0" w:left="0" w:right="0"/>
            </w:pPr>
            <w:r>
              <w:t>UKGD</w:t>
            </w:r>
          </w:p>
        </w:tc>
        <w:tc>
          <w:tcPr>
            <w:cnfStyle w:evenVBand="false" w:oddVBand="true" w:firstColumn="false"/>
            <w:tcW w:w="25.000000%" w:type="pct"/>
          </w:tcPr>
          <w:p>
            <w:pPr>
              <w:ind w:leftChars="0" w:left="0" w:right="0"/>
            </w:pPr>
            <w:r>
              <w:t>MTS UK</w:t>
            </w:r>
          </w:p>
        </w:tc>
        <w:tc>
          <w:tcPr>
            <w:cnfStyle w:evenVBand="true" w:oddVBand="false" w:firstColumn="false"/>
            <w:tcW w:w="25.000000%" w:type="pct"/>
          </w:tcPr>
          <w:p>
            <w:pPr>
              <w:ind w:leftChars="0" w:left="0" w:right="0"/>
            </w:pPr>
            <w:r>
              <w:t>1853</w:t>
            </w:r>
          </w:p>
        </w:tc>
      </w:tr>
      <w:tr>
        <w:trPr>
          <w:cnfStyle w:evenHBand="false" w:oddHBand="true" w:firstRow="false"/>
        </w:trPr>
        <w:tc>
          <w:tcPr>
            <w:cnfStyle w:evenVBand="false" w:oddVBand="true" w:firstColumn="false"/>
            <w:tcW w:w="25.000000%" w:type="pct"/>
          </w:tcPr>
          <w:p>
            <w:pPr>
              <w:ind w:leftChars="0" w:left="0" w:right="0"/>
            </w:pPr>
            <w:r>
              <w:t>UKOR</w:t>
            </w:r>
          </w:p>
        </w:tc>
        <w:tc>
          <w:tcPr>
            <w:cnfStyle w:evenVBand="true" w:oddVBand="false" w:firstColumn="false"/>
            <w:tcW w:w="25.000000%" w:type="pct"/>
          </w:tcPr>
          <w:p>
            <w:pPr>
              <w:ind w:leftChars="0" w:left="0" w:right="0"/>
            </w:pPr>
            <w:r>
              <w:t>UKOR</w:t>
            </w:r>
          </w:p>
        </w:tc>
        <w:tc>
          <w:tcPr>
            <w:cnfStyle w:evenVBand="false" w:oddVBand="true" w:firstColumn="false"/>
            <w:tcW w:w="25.000000%" w:type="pct"/>
          </w:tcPr>
          <w:p>
            <w:pPr>
              <w:ind w:leftChars="0" w:left="0" w:right="0"/>
            </w:pPr>
            <w:r>
              <w:t>TP ICAP UK MTF - ORDERBOOK</w:t>
            </w:r>
          </w:p>
        </w:tc>
        <w:tc>
          <w:tcPr>
            <w:cnfStyle w:evenVBand="true" w:oddVBand="false" w:firstColumn="false"/>
            <w:tcW w:w="25.000000%" w:type="pct"/>
          </w:tcPr>
          <w:p>
            <w:pPr>
              <w:ind w:leftChars="0" w:left="0" w:right="0"/>
            </w:pPr>
            <w:r>
              <w:t>1854</w:t>
            </w:r>
          </w:p>
        </w:tc>
      </w:tr>
      <w:tr>
        <w:trPr>
          <w:cnfStyle w:evenHBand="true" w:oddHBand="false" w:firstRow="false"/>
        </w:trPr>
        <w:tc>
          <w:tcPr>
            <w:cnfStyle w:evenVBand="false" w:oddVBand="true" w:firstColumn="false"/>
            <w:tcW w:w="25.000000%" w:type="pct"/>
          </w:tcPr>
          <w:p>
            <w:pPr>
              <w:ind w:leftChars="0" w:left="0" w:right="0"/>
            </w:pPr>
            <w:r>
              <w:t>UKPX</w:t>
            </w:r>
          </w:p>
        </w:tc>
        <w:tc>
          <w:tcPr>
            <w:cnfStyle w:evenVBand="true" w:oddVBand="false" w:firstColumn="false"/>
            <w:tcW w:w="25.000000%" w:type="pct"/>
          </w:tcPr>
          <w:p>
            <w:pPr>
              <w:ind w:leftChars="0" w:left="0" w:right="0"/>
            </w:pPr>
            <w:r>
              <w:t>UKPX</w:t>
            </w:r>
          </w:p>
        </w:tc>
        <w:tc>
          <w:tcPr>
            <w:cnfStyle w:evenVBand="false" w:oddVBand="true" w:firstColumn="false"/>
            <w:tcW w:w="25.000000%" w:type="pct"/>
          </w:tcPr>
          <w:p>
            <w:pPr>
              <w:ind w:leftChars="0" w:left="0" w:right="0"/>
            </w:pPr>
            <w:r>
              <w:t>APX POWER UK</w:t>
            </w:r>
          </w:p>
        </w:tc>
        <w:tc>
          <w:tcPr>
            <w:cnfStyle w:evenVBand="true" w:oddVBand="false" w:firstColumn="false"/>
            <w:tcW w:w="25.000000%" w:type="pct"/>
          </w:tcPr>
          <w:p>
            <w:pPr>
              <w:ind w:leftChars="0" w:left="0" w:right="0"/>
            </w:pPr>
            <w:r>
              <w:t>1855</w:t>
            </w:r>
          </w:p>
        </w:tc>
      </w:tr>
      <w:tr>
        <w:trPr>
          <w:cnfStyle w:evenHBand="false" w:oddHBand="true" w:firstRow="false"/>
        </w:trPr>
        <w:tc>
          <w:tcPr>
            <w:cnfStyle w:evenVBand="false" w:oddVBand="true" w:firstColumn="false"/>
            <w:tcW w:w="25.000000%" w:type="pct"/>
          </w:tcPr>
          <w:p>
            <w:pPr>
              <w:ind w:leftChars="0" w:left="0" w:right="0"/>
            </w:pPr>
            <w:r>
              <w:t>UKRE</w:t>
            </w:r>
          </w:p>
        </w:tc>
        <w:tc>
          <w:tcPr>
            <w:cnfStyle w:evenVBand="true" w:oddVBand="false" w:firstColumn="false"/>
            <w:tcW w:w="25.000000%" w:type="pct"/>
          </w:tcPr>
          <w:p>
            <w:pPr>
              <w:ind w:leftChars="0" w:left="0" w:right="0"/>
            </w:pPr>
            <w:r>
              <w:t>UKRE</w:t>
            </w:r>
          </w:p>
        </w:tc>
        <w:tc>
          <w:tcPr>
            <w:cnfStyle w:evenVBand="false" w:oddVBand="true" w:firstColumn="false"/>
            <w:tcW w:w="25.000000%" w:type="pct"/>
          </w:tcPr>
          <w:p>
            <w:pPr>
              <w:ind w:leftChars="0" w:left="0" w:right="0"/>
            </w:pPr>
            <w:r>
              <w:t>TP ICAP UK MTF - REGISTRATION</w:t>
            </w:r>
          </w:p>
        </w:tc>
        <w:tc>
          <w:tcPr>
            <w:cnfStyle w:evenVBand="true" w:oddVBand="false" w:firstColumn="false"/>
            <w:tcW w:w="25.000000%" w:type="pct"/>
          </w:tcPr>
          <w:p>
            <w:pPr>
              <w:ind w:leftChars="0" w:left="0" w:right="0"/>
            </w:pPr>
            <w:r>
              <w:t>1856</w:t>
            </w:r>
          </w:p>
        </w:tc>
      </w:tr>
      <w:tr>
        <w:trPr>
          <w:cnfStyle w:evenHBand="true" w:oddHBand="false" w:firstRow="false"/>
        </w:trPr>
        <w:tc>
          <w:tcPr>
            <w:cnfStyle w:evenVBand="false" w:oddVBand="true" w:firstColumn="false"/>
            <w:tcW w:w="25.000000%" w:type="pct"/>
          </w:tcPr>
          <w:p>
            <w:pPr>
              <w:ind w:leftChars="0" w:left="0" w:right="0"/>
            </w:pPr>
            <w:r>
              <w:t>ULTX</w:t>
            </w:r>
          </w:p>
        </w:tc>
        <w:tc>
          <w:tcPr>
            <w:cnfStyle w:evenVBand="true" w:oddVBand="false" w:firstColumn="false"/>
            <w:tcW w:w="25.000000%" w:type="pct"/>
          </w:tcPr>
          <w:p>
            <w:pPr>
              <w:ind w:leftChars="0" w:left="0" w:right="0"/>
            </w:pPr>
            <w:r>
              <w:t>ULTX</w:t>
            </w:r>
          </w:p>
        </w:tc>
        <w:tc>
          <w:tcPr>
            <w:cnfStyle w:evenVBand="false" w:oddVBand="true" w:firstColumn="false"/>
            <w:tcW w:w="25.000000%" w:type="pct"/>
          </w:tcPr>
          <w:p>
            <w:pPr>
              <w:ind w:leftChars="0" w:left="0" w:right="0"/>
            </w:pPr>
            <w:r>
              <w:t>ALT XCHANGE (U)</w:t>
            </w:r>
          </w:p>
        </w:tc>
        <w:tc>
          <w:tcPr>
            <w:cnfStyle w:evenVBand="true" w:oddVBand="false" w:firstColumn="false"/>
            <w:tcW w:w="25.000000%" w:type="pct"/>
          </w:tcPr>
          <w:p>
            <w:pPr>
              <w:ind w:leftChars="0" w:left="0" w:right="0"/>
            </w:pPr>
            <w:r>
              <w:t>1857</w:t>
            </w:r>
          </w:p>
        </w:tc>
      </w:tr>
      <w:tr>
        <w:trPr>
          <w:cnfStyle w:evenHBand="false" w:oddHBand="true" w:firstRow="false"/>
        </w:trPr>
        <w:tc>
          <w:tcPr>
            <w:cnfStyle w:evenVBand="false" w:oddVBand="true" w:firstColumn="false"/>
            <w:tcW w:w="25.000000%" w:type="pct"/>
          </w:tcPr>
          <w:p>
            <w:pPr>
              <w:ind w:leftChars="0" w:left="0" w:right="0"/>
            </w:pPr>
            <w:r>
              <w:t>UMTS</w:t>
            </w:r>
          </w:p>
        </w:tc>
        <w:tc>
          <w:tcPr>
            <w:cnfStyle w:evenVBand="true" w:oddVBand="false" w:firstColumn="false"/>
            <w:tcW w:w="25.000000%" w:type="pct"/>
          </w:tcPr>
          <w:p>
            <w:pPr>
              <w:ind w:leftChars="0" w:left="0" w:right="0"/>
            </w:pPr>
            <w:r>
              <w:t>UMTS</w:t>
            </w:r>
          </w:p>
        </w:tc>
        <w:tc>
          <w:tcPr>
            <w:cnfStyle w:evenVBand="false" w:oddVBand="true" w:firstColumn="false"/>
            <w:tcW w:w="25.000000%" w:type="pct"/>
          </w:tcPr>
          <w:p>
            <w:pPr>
              <w:ind w:leftChars="0" w:left="0" w:right="0"/>
            </w:pPr>
            <w:r>
              <w:t>MTS CEDULAS MARKET</w:t>
            </w:r>
          </w:p>
        </w:tc>
        <w:tc>
          <w:tcPr>
            <w:cnfStyle w:evenVBand="true" w:oddVBand="false" w:firstColumn="false"/>
            <w:tcW w:w="25.000000%" w:type="pct"/>
          </w:tcPr>
          <w:p>
            <w:pPr>
              <w:ind w:leftChars="0" w:left="0" w:right="0"/>
            </w:pPr>
            <w:r>
              <w:t>1858</w:t>
            </w:r>
          </w:p>
        </w:tc>
      </w:tr>
      <w:tr>
        <w:trPr>
          <w:cnfStyle w:evenHBand="true" w:oddHBand="false" w:firstRow="false"/>
        </w:trPr>
        <w:tc>
          <w:tcPr>
            <w:cnfStyle w:evenVBand="false" w:oddVBand="true" w:firstColumn="false"/>
            <w:tcW w:w="25.000000%" w:type="pct"/>
          </w:tcPr>
          <w:p>
            <w:pPr>
              <w:ind w:leftChars="0" w:left="0" w:right="0"/>
            </w:pPr>
            <w:r>
              <w:t>UNGB</w:t>
            </w:r>
          </w:p>
        </w:tc>
        <w:tc>
          <w:tcPr>
            <w:cnfStyle w:evenVBand="true" w:oddVBand="false" w:firstColumn="false"/>
            <w:tcW w:w="25.000000%" w:type="pct"/>
          </w:tcPr>
          <w:p>
            <w:pPr>
              <w:ind w:leftChars="0" w:left="0" w:right="0"/>
            </w:pPr>
            <w:r>
              <w:t>UNGB</w:t>
            </w:r>
          </w:p>
        </w:tc>
        <w:tc>
          <w:tcPr>
            <w:cnfStyle w:evenVBand="false" w:oddVBand="true" w:firstColumn="false"/>
            <w:tcW w:w="25.000000%" w:type="pct"/>
          </w:tcPr>
          <w:p>
            <w:pPr>
              <w:ind w:leftChars="0" w:left="0" w:right="0"/>
            </w:pPr>
            <w:r>
              <w:t>UNICREDIT BANK AG - LONDON BRANCH - UK SYSTEMATIC INTERNALISER</w:t>
            </w:r>
          </w:p>
        </w:tc>
        <w:tc>
          <w:tcPr>
            <w:cnfStyle w:evenVBand="true" w:oddVBand="false" w:firstColumn="false"/>
            <w:tcW w:w="25.000000%" w:type="pct"/>
          </w:tcPr>
          <w:p>
            <w:pPr>
              <w:ind w:leftChars="0" w:left="0" w:right="0"/>
            </w:pPr>
            <w:r>
              <w:t>1859</w:t>
            </w:r>
          </w:p>
        </w:tc>
      </w:tr>
      <w:tr>
        <w:trPr>
          <w:cnfStyle w:evenHBand="false" w:oddHBand="true" w:firstRow="false"/>
        </w:trPr>
        <w:tc>
          <w:tcPr>
            <w:cnfStyle w:evenVBand="false" w:oddVBand="true" w:firstColumn="false"/>
            <w:tcW w:w="25.000000%" w:type="pct"/>
          </w:tcPr>
          <w:p>
            <w:pPr>
              <w:ind w:leftChars="0" w:left="0" w:right="0"/>
            </w:pPr>
            <w:r>
              <w:t>URCE</w:t>
            </w:r>
          </w:p>
        </w:tc>
        <w:tc>
          <w:tcPr>
            <w:cnfStyle w:evenVBand="true" w:oddVBand="false" w:firstColumn="false"/>
            <w:tcW w:w="25.000000%" w:type="pct"/>
          </w:tcPr>
          <w:p>
            <w:pPr>
              <w:ind w:leftChars="0" w:left="0" w:right="0"/>
            </w:pPr>
            <w:r>
              <w:t>URCE</w:t>
            </w:r>
          </w:p>
        </w:tc>
        <w:tc>
          <w:tcPr>
            <w:cnfStyle w:evenVBand="false" w:oddVBand="true" w:firstColumn="false"/>
            <w:tcW w:w="25.000000%" w:type="pct"/>
          </w:tcPr>
          <w:p>
            <w:pPr>
              <w:ind w:leftChars="0" w:left="0" w:right="0"/>
            </w:pPr>
            <w:r>
              <w:t>REGIONAL EXCHANGE CENTRE - MICEX URAL</w:t>
            </w:r>
          </w:p>
        </w:tc>
        <w:tc>
          <w:tcPr>
            <w:cnfStyle w:evenVBand="true" w:oddVBand="false" w:firstColumn="false"/>
            <w:tcW w:w="25.000000%" w:type="pct"/>
          </w:tcPr>
          <w:p>
            <w:pPr>
              <w:ind w:leftChars="0" w:left="0" w:right="0"/>
            </w:pPr>
            <w:r>
              <w:t>1860</w:t>
            </w:r>
          </w:p>
        </w:tc>
      </w:tr>
      <w:tr>
        <w:trPr>
          <w:cnfStyle w:evenHBand="true" w:oddHBand="false" w:firstRow="false"/>
        </w:trPr>
        <w:tc>
          <w:tcPr>
            <w:cnfStyle w:evenVBand="false" w:oddVBand="true" w:firstColumn="false"/>
            <w:tcW w:w="25.000000%" w:type="pct"/>
          </w:tcPr>
          <w:p>
            <w:pPr>
              <w:ind w:leftChars="0" w:left="0" w:right="0"/>
            </w:pPr>
            <w:r>
              <w:t>USEF</w:t>
            </w:r>
          </w:p>
        </w:tc>
        <w:tc>
          <w:tcPr>
            <w:cnfStyle w:evenVBand="true" w:oddVBand="false" w:firstColumn="false"/>
            <w:tcW w:w="25.000000%" w:type="pct"/>
          </w:tcPr>
          <w:p>
            <w:pPr>
              <w:ind w:leftChars="0" w:left="0" w:right="0"/>
            </w:pPr>
            <w:r>
              <w:t>USEF</w:t>
            </w:r>
          </w:p>
        </w:tc>
        <w:tc>
          <w:tcPr>
            <w:cnfStyle w:evenVBand="false" w:oddVBand="true" w:firstColumn="false"/>
            <w:tcW w:w="25.000000%" w:type="pct"/>
          </w:tcPr>
          <w:p>
            <w:pPr>
              <w:ind w:leftChars="0" w:left="0" w:right="0"/>
            </w:pPr>
            <w:r>
              <w:t>360 TRADING NETWORKS INC.</w:t>
            </w:r>
          </w:p>
        </w:tc>
        <w:tc>
          <w:tcPr>
            <w:cnfStyle w:evenVBand="true" w:oddVBand="false" w:firstColumn="false"/>
            <w:tcW w:w="25.000000%" w:type="pct"/>
          </w:tcPr>
          <w:p>
            <w:pPr>
              <w:ind w:leftChars="0" w:left="0" w:right="0"/>
            </w:pPr>
            <w:r>
              <w:t>1861</w:t>
            </w:r>
          </w:p>
        </w:tc>
      </w:tr>
      <w:tr>
        <w:trPr>
          <w:cnfStyle w:evenHBand="false" w:oddHBand="true" w:firstRow="false"/>
        </w:trPr>
        <w:tc>
          <w:tcPr>
            <w:cnfStyle w:evenVBand="false" w:oddVBand="true" w:firstColumn="false"/>
            <w:tcW w:w="25.000000%" w:type="pct"/>
          </w:tcPr>
          <w:p>
            <w:pPr>
              <w:ind w:leftChars="0" w:left="0" w:right="0"/>
            </w:pPr>
            <w:r>
              <w:t>USOB</w:t>
            </w:r>
          </w:p>
        </w:tc>
        <w:tc>
          <w:tcPr>
            <w:cnfStyle w:evenVBand="true" w:oddVBand="false" w:firstColumn="false"/>
            <w:tcW w:w="25.000000%" w:type="pct"/>
          </w:tcPr>
          <w:p>
            <w:pPr>
              <w:ind w:leftChars="0" w:left="0" w:right="0"/>
            </w:pPr>
            <w:r>
              <w:t>USOB</w:t>
            </w:r>
          </w:p>
        </w:tc>
        <w:tc>
          <w:tcPr>
            <w:cnfStyle w:evenVBand="false" w:oddVBand="true" w:firstColumn="false"/>
            <w:tcW w:w="25.000000%" w:type="pct"/>
          </w:tcPr>
          <w:p>
            <w:pPr>
              <w:ind w:leftChars="0" w:left="0" w:right="0"/>
            </w:pPr>
            <w:r>
              <w:t>NASDAQ STOCKHOLM AB - OTC USD WB EQ DERIVATIVES</w:t>
            </w:r>
          </w:p>
        </w:tc>
        <w:tc>
          <w:tcPr>
            <w:cnfStyle w:evenVBand="true" w:oddVBand="false" w:firstColumn="false"/>
            <w:tcW w:w="25.000000%" w:type="pct"/>
          </w:tcPr>
          <w:p>
            <w:pPr>
              <w:ind w:leftChars="0" w:left="0" w:right="0"/>
            </w:pPr>
            <w:r>
              <w:t>1862</w:t>
            </w:r>
          </w:p>
        </w:tc>
      </w:tr>
      <w:tr>
        <w:trPr>
          <w:cnfStyle w:evenHBand="true" w:oddHBand="false" w:firstRow="false"/>
        </w:trPr>
        <w:tc>
          <w:tcPr>
            <w:cnfStyle w:evenVBand="false" w:oddVBand="true" w:firstColumn="false"/>
            <w:tcW w:w="25.000000%" w:type="pct"/>
          </w:tcPr>
          <w:p>
            <w:pPr>
              <w:ind w:leftChars="0" w:left="0" w:right="0"/>
            </w:pPr>
            <w:r>
              <w:t>USWB</w:t>
            </w:r>
          </w:p>
        </w:tc>
        <w:tc>
          <w:tcPr>
            <w:cnfStyle w:evenVBand="true" w:oddVBand="false" w:firstColumn="false"/>
            <w:tcW w:w="25.000000%" w:type="pct"/>
          </w:tcPr>
          <w:p>
            <w:pPr>
              <w:ind w:leftChars="0" w:left="0" w:right="0"/>
            </w:pPr>
            <w:r>
              <w:t>USWB</w:t>
            </w:r>
          </w:p>
        </w:tc>
        <w:tc>
          <w:tcPr>
            <w:cnfStyle w:evenVBand="false" w:oddVBand="true" w:firstColumn="false"/>
            <w:tcW w:w="25.000000%" w:type="pct"/>
          </w:tcPr>
          <w:p>
            <w:pPr>
              <w:ind w:leftChars="0" w:left="0" w:right="0"/>
            </w:pPr>
            <w:r>
              <w:t>NASDAQ STOCKHOLM AB - USD WB EQ DERIVATIVES</w:t>
            </w:r>
          </w:p>
        </w:tc>
        <w:tc>
          <w:tcPr>
            <w:cnfStyle w:evenVBand="true" w:oddVBand="false" w:firstColumn="false"/>
            <w:tcW w:w="25.000000%" w:type="pct"/>
          </w:tcPr>
          <w:p>
            <w:pPr>
              <w:ind w:leftChars="0" w:left="0" w:right="0"/>
            </w:pPr>
            <w:r>
              <w:t>1863</w:t>
            </w:r>
          </w:p>
        </w:tc>
      </w:tr>
      <w:tr>
        <w:trPr>
          <w:cnfStyle w:evenHBand="false" w:oddHBand="true" w:firstRow="false"/>
        </w:trPr>
        <w:tc>
          <w:tcPr>
            <w:cnfStyle w:evenVBand="false" w:oddVBand="true" w:firstColumn="false"/>
            <w:tcW w:w="25.000000%" w:type="pct"/>
          </w:tcPr>
          <w:p>
            <w:pPr>
              <w:ind w:leftChars="0" w:left="0" w:right="0"/>
            </w:pPr>
            <w:r>
              <w:t>USWP</w:t>
            </w:r>
          </w:p>
        </w:tc>
        <w:tc>
          <w:tcPr>
            <w:cnfStyle w:evenVBand="true" w:oddVBand="false" w:firstColumn="false"/>
            <w:tcW w:w="25.000000%" w:type="pct"/>
          </w:tcPr>
          <w:p>
            <w:pPr>
              <w:ind w:leftChars="0" w:left="0" w:right="0"/>
            </w:pPr>
            <w:r>
              <w:t>USWP</w:t>
            </w:r>
          </w:p>
        </w:tc>
        <w:tc>
          <w:tcPr>
            <w:cnfStyle w:evenVBand="false" w:oddVBand="true" w:firstColumn="false"/>
            <w:tcW w:w="25.000000%" w:type="pct"/>
          </w:tcPr>
          <w:p>
            <w:pPr>
              <w:ind w:leftChars="0" w:left="0" w:right="0"/>
            </w:pPr>
            <w:r>
              <w:t>EUROMTS LIMITED</w:t>
            </w:r>
          </w:p>
        </w:tc>
        <w:tc>
          <w:tcPr>
            <w:cnfStyle w:evenVBand="true" w:oddVBand="false" w:firstColumn="false"/>
            <w:tcW w:w="25.000000%" w:type="pct"/>
          </w:tcPr>
          <w:p>
            <w:pPr>
              <w:ind w:leftChars="0" w:left="0" w:right="0"/>
            </w:pPr>
            <w:r>
              <w:t>1864</w:t>
            </w:r>
          </w:p>
        </w:tc>
      </w:tr>
      <w:tr>
        <w:trPr>
          <w:cnfStyle w:evenHBand="true" w:oddHBand="false" w:firstRow="false"/>
        </w:trPr>
        <w:tc>
          <w:tcPr>
            <w:cnfStyle w:evenVBand="false" w:oddVBand="true" w:firstColumn="false"/>
            <w:tcW w:w="25.000000%" w:type="pct"/>
          </w:tcPr>
          <w:p>
            <w:pPr>
              <w:ind w:leftChars="0" w:left="0" w:right="0"/>
            </w:pPr>
            <w:r>
              <w:t>UTSL</w:t>
            </w:r>
          </w:p>
        </w:tc>
        <w:tc>
          <w:tcPr>
            <w:cnfStyle w:evenVBand="true" w:oddVBand="false" w:firstColumn="false"/>
            <w:tcW w:w="25.000000%" w:type="pct"/>
          </w:tcPr>
          <w:p>
            <w:pPr>
              <w:ind w:leftChars="0" w:left="0" w:right="0"/>
            </w:pPr>
            <w:r>
              <w:t>UTSL</w:t>
            </w:r>
          </w:p>
        </w:tc>
        <w:tc>
          <w:tcPr>
            <w:cnfStyle w:evenVBand="false" w:oddVBand="true" w:firstColumn="false"/>
            <w:tcW w:w="25.000000%" w:type="pct"/>
          </w:tcPr>
          <w:p>
            <w:pPr>
              <w:ind w:leftChars="0" w:left="0" w:right="0"/>
            </w:pPr>
            <w:r>
              <w:t>UEDA TRADITION SECURITIES LTD.</w:t>
            </w:r>
          </w:p>
        </w:tc>
        <w:tc>
          <w:tcPr>
            <w:cnfStyle w:evenVBand="true" w:oddVBand="false" w:firstColumn="false"/>
            <w:tcW w:w="25.000000%" w:type="pct"/>
          </w:tcPr>
          <w:p>
            <w:pPr>
              <w:ind w:leftChars="0" w:left="0" w:right="0"/>
            </w:pPr>
            <w:r>
              <w:t>1865</w:t>
            </w:r>
          </w:p>
        </w:tc>
      </w:tr>
      <w:tr>
        <w:trPr>
          <w:cnfStyle w:evenHBand="false" w:oddHBand="true" w:firstRow="false"/>
        </w:trPr>
        <w:tc>
          <w:tcPr>
            <w:cnfStyle w:evenVBand="false" w:oddVBand="true" w:firstColumn="false"/>
            <w:tcW w:w="25.000000%" w:type="pct"/>
          </w:tcPr>
          <w:p>
            <w:pPr>
              <w:ind w:leftChars="0" w:left="0" w:right="0"/>
            </w:pPr>
            <w:r>
              <w:t>VABD</w:t>
            </w:r>
          </w:p>
        </w:tc>
        <w:tc>
          <w:tcPr>
            <w:cnfStyle w:evenVBand="true" w:oddVBand="false" w:firstColumn="false"/>
            <w:tcW w:w="25.000000%" w:type="pct"/>
          </w:tcPr>
          <w:p>
            <w:pPr>
              <w:ind w:leftChars="0" w:left="0" w:right="0"/>
            </w:pPr>
            <w:r>
              <w:t>VABD</w:t>
            </w:r>
          </w:p>
        </w:tc>
        <w:tc>
          <w:tcPr>
            <w:cnfStyle w:evenVBand="false" w:oddVBand="true" w:firstColumn="false"/>
            <w:tcW w:w="25.000000%" w:type="pct"/>
          </w:tcPr>
          <w:p>
            <w:pPr>
              <w:ind w:leftChars="0" w:left="0" w:right="0"/>
            </w:pPr>
            <w:r>
              <w:t>ICE BONDPOINT</w:t>
            </w:r>
          </w:p>
        </w:tc>
        <w:tc>
          <w:tcPr>
            <w:cnfStyle w:evenVBand="true" w:oddVBand="false" w:firstColumn="false"/>
            <w:tcW w:w="25.000000%" w:type="pct"/>
          </w:tcPr>
          <w:p>
            <w:pPr>
              <w:ind w:leftChars="0" w:left="0" w:right="0"/>
            </w:pPr>
            <w:r>
              <w:t>1866</w:t>
            </w:r>
          </w:p>
        </w:tc>
      </w:tr>
      <w:tr>
        <w:trPr>
          <w:cnfStyle w:evenHBand="true" w:oddHBand="false" w:firstRow="false"/>
        </w:trPr>
        <w:tc>
          <w:tcPr>
            <w:cnfStyle w:evenVBand="false" w:oddVBand="true" w:firstColumn="false"/>
            <w:tcW w:w="25.000000%" w:type="pct"/>
          </w:tcPr>
          <w:p>
            <w:pPr>
              <w:ind w:leftChars="0" w:left="0" w:right="0"/>
            </w:pPr>
            <w:r>
              <w:t>VAGL</w:t>
            </w:r>
          </w:p>
        </w:tc>
        <w:tc>
          <w:tcPr>
            <w:cnfStyle w:evenVBand="true" w:oddVBand="false" w:firstColumn="false"/>
            <w:tcW w:w="25.000000%" w:type="pct"/>
          </w:tcPr>
          <w:p>
            <w:pPr>
              <w:ind w:leftChars="0" w:left="0" w:right="0"/>
            </w:pPr>
            <w:r>
              <w:t>VAGL</w:t>
            </w:r>
          </w:p>
        </w:tc>
        <w:tc>
          <w:tcPr>
            <w:cnfStyle w:evenVBand="false" w:oddVBand="true" w:firstColumn="false"/>
            <w:tcW w:w="25.000000%" w:type="pct"/>
          </w:tcPr>
          <w:p>
            <w:pPr>
              <w:ind w:leftChars="0" w:left="0" w:right="0"/>
            </w:pPr>
            <w:r>
              <w:t>VIRTUAL AUCTION GLOBAL LIMITED</w:t>
            </w:r>
          </w:p>
        </w:tc>
        <w:tc>
          <w:tcPr>
            <w:cnfStyle w:evenVBand="true" w:oddVBand="false" w:firstColumn="false"/>
            <w:tcW w:w="25.000000%" w:type="pct"/>
          </w:tcPr>
          <w:p>
            <w:pPr>
              <w:ind w:leftChars="0" w:left="0" w:right="0"/>
            </w:pPr>
            <w:r>
              <w:t>1867</w:t>
            </w:r>
          </w:p>
        </w:tc>
      </w:tr>
      <w:tr>
        <w:trPr>
          <w:cnfStyle w:evenHBand="false" w:oddHBand="true" w:firstRow="false"/>
        </w:trPr>
        <w:tc>
          <w:tcPr>
            <w:cnfStyle w:evenVBand="false" w:oddVBand="true" w:firstColumn="false"/>
            <w:tcW w:w="25.000000%" w:type="pct"/>
          </w:tcPr>
          <w:p>
            <w:pPr>
              <w:ind w:leftChars="0" w:left="0" w:right="0"/>
            </w:pPr>
            <w:r>
              <w:t>VAGM</w:t>
            </w:r>
          </w:p>
        </w:tc>
        <w:tc>
          <w:tcPr>
            <w:cnfStyle w:evenVBand="true" w:oddVBand="false" w:firstColumn="false"/>
            <w:tcW w:w="25.000000%" w:type="pct"/>
          </w:tcPr>
          <w:p>
            <w:pPr>
              <w:ind w:leftChars="0" w:left="0" w:right="0"/>
            </w:pPr>
            <w:r>
              <w:t>VAGM</w:t>
            </w:r>
          </w:p>
        </w:tc>
        <w:tc>
          <w:tcPr>
            <w:cnfStyle w:evenVBand="false" w:oddVBand="true" w:firstColumn="false"/>
            <w:tcW w:w="25.000000%" w:type="pct"/>
          </w:tcPr>
          <w:p>
            <w:pPr>
              <w:ind w:leftChars="0" w:left="0" w:right="0"/>
            </w:pPr>
            <w:r>
              <w:t>VIRTUAL AUCTION GLOBAL MARKETS - MTF</w:t>
            </w:r>
          </w:p>
        </w:tc>
        <w:tc>
          <w:tcPr>
            <w:cnfStyle w:evenVBand="true" w:oddVBand="false" w:firstColumn="false"/>
            <w:tcW w:w="25.000000%" w:type="pct"/>
          </w:tcPr>
          <w:p>
            <w:pPr>
              <w:ind w:leftChars="0" w:left="0" w:right="0"/>
            </w:pPr>
            <w:r>
              <w:t>1868</w:t>
            </w:r>
          </w:p>
        </w:tc>
      </w:tr>
      <w:tr>
        <w:trPr>
          <w:cnfStyle w:evenHBand="true" w:oddHBand="false" w:firstRow="false"/>
        </w:trPr>
        <w:tc>
          <w:tcPr>
            <w:cnfStyle w:evenVBand="false" w:oddVBand="true" w:firstColumn="false"/>
            <w:tcW w:w="25.000000%" w:type="pct"/>
          </w:tcPr>
          <w:p>
            <w:pPr>
              <w:ind w:leftChars="0" w:left="0" w:right="0"/>
            </w:pPr>
            <w:r>
              <w:t>VALX</w:t>
            </w:r>
          </w:p>
        </w:tc>
        <w:tc>
          <w:tcPr>
            <w:cnfStyle w:evenVBand="true" w:oddVBand="false" w:firstColumn="false"/>
            <w:tcW w:w="25.000000%" w:type="pct"/>
          </w:tcPr>
          <w:p>
            <w:pPr>
              <w:ind w:leftChars="0" w:left="0" w:right="0"/>
            </w:pPr>
            <w:r>
              <w:t>VALX</w:t>
            </w:r>
          </w:p>
        </w:tc>
        <w:tc>
          <w:tcPr>
            <w:cnfStyle w:evenVBand="false" w:oddVBand="true" w:firstColumn="false"/>
            <w:tcW w:w="25.000000%" w:type="pct"/>
          </w:tcPr>
          <w:p>
            <w:pPr>
              <w:ind w:leftChars="0" w:left="0" w:right="0"/>
            </w:pPr>
            <w:r>
              <w:t>VIRTU CLIENT MARKET MAKING</w:t>
            </w:r>
          </w:p>
        </w:tc>
        <w:tc>
          <w:tcPr>
            <w:cnfStyle w:evenVBand="true" w:oddVBand="false" w:firstColumn="false"/>
            <w:tcW w:w="25.000000%" w:type="pct"/>
          </w:tcPr>
          <w:p>
            <w:pPr>
              <w:ind w:leftChars="0" w:left="0" w:right="0"/>
            </w:pPr>
            <w:r>
              <w:t>1869</w:t>
            </w:r>
          </w:p>
        </w:tc>
      </w:tr>
      <w:tr>
        <w:trPr>
          <w:cnfStyle w:evenHBand="false" w:oddHBand="true" w:firstRow="false"/>
        </w:trPr>
        <w:tc>
          <w:tcPr>
            <w:cnfStyle w:evenVBand="false" w:oddVBand="true" w:firstColumn="false"/>
            <w:tcW w:w="25.000000%" w:type="pct"/>
          </w:tcPr>
          <w:p>
            <w:pPr>
              <w:ind w:leftChars="0" w:left="0" w:right="0"/>
            </w:pPr>
            <w:r>
              <w:t>VCMO</w:t>
            </w:r>
          </w:p>
        </w:tc>
        <w:tc>
          <w:tcPr>
            <w:cnfStyle w:evenVBand="true" w:oddVBand="false" w:firstColumn="false"/>
            <w:tcW w:w="25.000000%" w:type="pct"/>
          </w:tcPr>
          <w:p>
            <w:pPr>
              <w:ind w:leftChars="0" w:left="0" w:right="0"/>
            </w:pPr>
            <w:r>
              <w:t>VCMO</w:t>
            </w:r>
          </w:p>
        </w:tc>
        <w:tc>
          <w:tcPr>
            <w:cnfStyle w:evenVBand="false" w:oddVBand="true" w:firstColumn="false"/>
            <w:tcW w:w="25.000000%" w:type="pct"/>
          </w:tcPr>
          <w:p>
            <w:pPr>
              <w:ind w:leftChars="0" w:left="0" w:right="0"/>
            </w:pPr>
            <w:r>
              <w:t>VANTAGE CAPITAL MARKETS LLP - OTF</w:t>
            </w:r>
          </w:p>
        </w:tc>
        <w:tc>
          <w:tcPr>
            <w:cnfStyle w:evenVBand="true" w:oddVBand="false" w:firstColumn="false"/>
            <w:tcW w:w="25.000000%" w:type="pct"/>
          </w:tcPr>
          <w:p>
            <w:pPr>
              <w:ind w:leftChars="0" w:left="0" w:right="0"/>
            </w:pPr>
            <w:r>
              <w:t>1870</w:t>
            </w:r>
          </w:p>
        </w:tc>
      </w:tr>
      <w:tr>
        <w:trPr>
          <w:cnfStyle w:evenHBand="true" w:oddHBand="false" w:firstRow="false"/>
        </w:trPr>
        <w:tc>
          <w:tcPr>
            <w:cnfStyle w:evenVBand="false" w:oddVBand="true" w:firstColumn="false"/>
            <w:tcW w:w="25.000000%" w:type="pct"/>
          </w:tcPr>
          <w:p>
            <w:pPr>
              <w:ind w:leftChars="0" w:left="0" w:right="0"/>
            </w:pPr>
            <w:r>
              <w:t>VCRS</w:t>
            </w:r>
          </w:p>
        </w:tc>
        <w:tc>
          <w:tcPr>
            <w:cnfStyle w:evenVBand="true" w:oddVBand="false" w:firstColumn="false"/>
            <w:tcW w:w="25.000000%" w:type="pct"/>
          </w:tcPr>
          <w:p>
            <w:pPr>
              <w:ind w:leftChars="0" w:left="0" w:right="0"/>
            </w:pPr>
            <w:r>
              <w:t>VCRS</w:t>
            </w:r>
          </w:p>
        </w:tc>
        <w:tc>
          <w:tcPr>
            <w:cnfStyle w:evenVBand="false" w:oddVBand="true" w:firstColumn="false"/>
            <w:tcW w:w="25.000000%" w:type="pct"/>
          </w:tcPr>
          <w:p>
            <w:pPr>
              <w:ind w:leftChars="0" w:left="0" w:right="0"/>
            </w:pPr>
            <w:r>
              <w:t>VIRTU MATCHIT - CONDITIONAL ROOM</w:t>
            </w:r>
          </w:p>
        </w:tc>
        <w:tc>
          <w:tcPr>
            <w:cnfStyle w:evenVBand="true" w:oddVBand="false" w:firstColumn="false"/>
            <w:tcW w:w="25.000000%" w:type="pct"/>
          </w:tcPr>
          <w:p>
            <w:pPr>
              <w:ind w:leftChars="0" w:left="0" w:right="0"/>
            </w:pPr>
            <w:r>
              <w:t>1871</w:t>
            </w:r>
          </w:p>
        </w:tc>
      </w:tr>
      <w:tr>
        <w:trPr>
          <w:cnfStyle w:evenHBand="false" w:oddHBand="true" w:firstRow="false"/>
        </w:trPr>
        <w:tc>
          <w:tcPr>
            <w:cnfStyle w:evenVBand="false" w:oddVBand="true" w:firstColumn="false"/>
            <w:tcW w:w="25.000000%" w:type="pct"/>
          </w:tcPr>
          <w:p>
            <w:pPr>
              <w:ind w:leftChars="0" w:left="0" w:right="0"/>
            </w:pPr>
            <w:r>
              <w:t>VDRK</w:t>
            </w:r>
          </w:p>
        </w:tc>
        <w:tc>
          <w:tcPr>
            <w:cnfStyle w:evenVBand="true" w:oddVBand="false" w:firstColumn="false"/>
            <w:tcW w:w="25.000000%" w:type="pct"/>
          </w:tcPr>
          <w:p>
            <w:pPr>
              <w:ind w:leftChars="0" w:left="0" w:right="0"/>
            </w:pPr>
            <w:r>
              <w:t>VDRK</w:t>
            </w:r>
          </w:p>
        </w:tc>
        <w:tc>
          <w:tcPr>
            <w:cnfStyle w:evenVBand="false" w:oddVBand="true" w:firstColumn="false"/>
            <w:tcW w:w="25.000000%" w:type="pct"/>
          </w:tcPr>
          <w:p>
            <w:pPr>
              <w:ind w:leftChars="0" w:left="0" w:right="0"/>
            </w:pPr>
            <w:r>
              <w:t>TSX VENTURE EXCHANGE - DRK</w:t>
            </w:r>
          </w:p>
        </w:tc>
        <w:tc>
          <w:tcPr>
            <w:cnfStyle w:evenVBand="true" w:oddVBand="false" w:firstColumn="false"/>
            <w:tcW w:w="25.000000%" w:type="pct"/>
          </w:tcPr>
          <w:p>
            <w:pPr>
              <w:ind w:leftChars="0" w:left="0" w:right="0"/>
            </w:pPr>
            <w:r>
              <w:t>1872</w:t>
            </w:r>
          </w:p>
        </w:tc>
      </w:tr>
      <w:tr>
        <w:trPr>
          <w:cnfStyle w:evenHBand="true" w:oddHBand="false" w:firstRow="false"/>
        </w:trPr>
        <w:tc>
          <w:tcPr>
            <w:cnfStyle w:evenVBand="false" w:oddVBand="true" w:firstColumn="false"/>
            <w:tcW w:w="25.000000%" w:type="pct"/>
          </w:tcPr>
          <w:p>
            <w:pPr>
              <w:ind w:leftChars="0" w:left="0" w:right="0"/>
            </w:pPr>
            <w:r>
              <w:t>VEGA</w:t>
            </w:r>
          </w:p>
        </w:tc>
        <w:tc>
          <w:tcPr>
            <w:cnfStyle w:evenVBand="true" w:oddVBand="false" w:firstColumn="false"/>
            <w:tcW w:w="25.000000%" w:type="pct"/>
          </w:tcPr>
          <w:p>
            <w:pPr>
              <w:ind w:leftChars="0" w:left="0" w:right="0"/>
            </w:pPr>
            <w:r>
              <w:t>VEGA</w:t>
            </w:r>
          </w:p>
        </w:tc>
        <w:tc>
          <w:tcPr>
            <w:cnfStyle w:evenVBand="false" w:oddVBand="true" w:firstColumn="false"/>
            <w:tcW w:w="25.000000%" w:type="pct"/>
          </w:tcPr>
          <w:p>
            <w:pPr>
              <w:ind w:leftChars="0" w:left="0" w:right="0"/>
            </w:pPr>
            <w:r>
              <w:t>VEGA-CHI</w:t>
            </w:r>
          </w:p>
        </w:tc>
        <w:tc>
          <w:tcPr>
            <w:cnfStyle w:evenVBand="true" w:oddVBand="false" w:firstColumn="false"/>
            <w:tcW w:w="25.000000%" w:type="pct"/>
          </w:tcPr>
          <w:p>
            <w:pPr>
              <w:ind w:leftChars="0" w:left="0" w:right="0"/>
            </w:pPr>
            <w:r>
              <w:t>1873</w:t>
            </w:r>
          </w:p>
        </w:tc>
      </w:tr>
      <w:tr>
        <w:trPr>
          <w:cnfStyle w:evenHBand="false" w:oddHBand="true" w:firstRow="false"/>
        </w:trPr>
        <w:tc>
          <w:tcPr>
            <w:cnfStyle w:evenVBand="false" w:oddVBand="true" w:firstColumn="false"/>
            <w:tcW w:w="25.000000%" w:type="pct"/>
          </w:tcPr>
          <w:p>
            <w:pPr>
              <w:ind w:leftChars="0" w:left="0" w:right="0"/>
            </w:pPr>
            <w:r>
              <w:t>VERT</w:t>
            </w:r>
          </w:p>
        </w:tc>
        <w:tc>
          <w:tcPr>
            <w:cnfStyle w:evenVBand="true" w:oddVBand="false" w:firstColumn="false"/>
            <w:tcW w:w="25.000000%" w:type="pct"/>
          </w:tcPr>
          <w:p>
            <w:pPr>
              <w:ind w:leftChars="0" w:left="0" w:right="0"/>
            </w:pPr>
            <w:r>
              <w:t>VERT</w:t>
            </w:r>
          </w:p>
        </w:tc>
        <w:tc>
          <w:tcPr>
            <w:cnfStyle w:evenVBand="false" w:oddVBand="true" w:firstColumn="false"/>
            <w:tcW w:w="25.000000%" w:type="pct"/>
          </w:tcPr>
          <w:p>
            <w:pPr>
              <w:ind w:leftChars="0" w:left="0" w:right="0"/>
            </w:pPr>
            <w:r>
              <w:t>VERTICAL</w:t>
            </w:r>
          </w:p>
        </w:tc>
        <w:tc>
          <w:tcPr>
            <w:cnfStyle w:evenVBand="true" w:oddVBand="false" w:firstColumn="false"/>
            <w:tcW w:w="25.000000%" w:type="pct"/>
          </w:tcPr>
          <w:p>
            <w:pPr>
              <w:ind w:leftChars="0" w:left="0" w:right="0"/>
            </w:pPr>
            <w:r>
              <w:t>1874</w:t>
            </w:r>
          </w:p>
        </w:tc>
      </w:tr>
      <w:tr>
        <w:trPr>
          <w:cnfStyle w:evenHBand="true" w:oddHBand="false" w:firstRow="false"/>
        </w:trPr>
        <w:tc>
          <w:tcPr>
            <w:cnfStyle w:evenVBand="false" w:oddVBand="true" w:firstColumn="false"/>
            <w:tcW w:w="25.000000%" w:type="pct"/>
          </w:tcPr>
          <w:p>
            <w:pPr>
              <w:ind w:leftChars="0" w:left="0" w:right="0"/>
            </w:pPr>
            <w:r>
              <w:t>VFCM</w:t>
            </w:r>
          </w:p>
        </w:tc>
        <w:tc>
          <w:tcPr>
            <w:cnfStyle w:evenVBand="true" w:oddVBand="false" w:firstColumn="false"/>
            <w:tcW w:w="25.000000%" w:type="pct"/>
          </w:tcPr>
          <w:p>
            <w:pPr>
              <w:ind w:leftChars="0" w:left="0" w:right="0"/>
            </w:pPr>
            <w:r>
              <w:t>VFCM</w:t>
            </w:r>
          </w:p>
        </w:tc>
        <w:tc>
          <w:tcPr>
            <w:cnfStyle w:evenVBand="false" w:oddVBand="true" w:firstColumn="false"/>
            <w:tcW w:w="25.000000%" w:type="pct"/>
          </w:tcPr>
          <w:p>
            <w:pPr>
              <w:ind w:leftChars="0" w:left="0" w:right="0"/>
            </w:pPr>
            <w:r>
              <w:t>VIRTU FINANCIAL CAPITAL MARKETS LLC</w:t>
            </w:r>
          </w:p>
        </w:tc>
        <w:tc>
          <w:tcPr>
            <w:cnfStyle w:evenVBand="true" w:oddVBand="false" w:firstColumn="false"/>
            <w:tcW w:w="25.000000%" w:type="pct"/>
          </w:tcPr>
          <w:p>
            <w:pPr>
              <w:ind w:leftChars="0" w:left="0" w:right="0"/>
            </w:pPr>
            <w:r>
              <w:t>1875</w:t>
            </w:r>
          </w:p>
        </w:tc>
      </w:tr>
      <w:tr>
        <w:trPr>
          <w:cnfStyle w:evenHBand="false" w:oddHBand="true" w:firstRow="false"/>
        </w:trPr>
        <w:tc>
          <w:tcPr>
            <w:cnfStyle w:evenVBand="false" w:oddVBand="true" w:firstColumn="false"/>
            <w:tcW w:w="25.000000%" w:type="pct"/>
          </w:tcPr>
          <w:p>
            <w:pPr>
              <w:ind w:leftChars="0" w:left="0" w:right="0"/>
            </w:pPr>
            <w:r>
              <w:t>VFEX</w:t>
            </w:r>
          </w:p>
        </w:tc>
        <w:tc>
          <w:tcPr>
            <w:cnfStyle w:evenVBand="true" w:oddVBand="false" w:firstColumn="false"/>
            <w:tcW w:w="25.000000%" w:type="pct"/>
          </w:tcPr>
          <w:p>
            <w:pPr>
              <w:ind w:leftChars="0" w:left="0" w:right="0"/>
            </w:pPr>
            <w:r>
              <w:t>VFEX</w:t>
            </w:r>
          </w:p>
        </w:tc>
        <w:tc>
          <w:tcPr>
            <w:cnfStyle w:evenVBand="false" w:oddVBand="true" w:firstColumn="false"/>
            <w:tcW w:w="25.000000%" w:type="pct"/>
          </w:tcPr>
          <w:p>
            <w:pPr>
              <w:ind w:leftChars="0" w:left="0" w:right="0"/>
            </w:pPr>
            <w:r>
              <w:t>VICTORIA FALLS STOCK EXCHANGE</w:t>
            </w:r>
          </w:p>
        </w:tc>
        <w:tc>
          <w:tcPr>
            <w:cnfStyle w:evenVBand="true" w:oddVBand="false" w:firstColumn="false"/>
            <w:tcW w:w="25.000000%" w:type="pct"/>
          </w:tcPr>
          <w:p>
            <w:pPr>
              <w:ind w:leftChars="0" w:left="0" w:right="0"/>
            </w:pPr>
            <w:r>
              <w:t>1876</w:t>
            </w:r>
          </w:p>
        </w:tc>
      </w:tr>
      <w:tr>
        <w:trPr>
          <w:cnfStyle w:evenHBand="true" w:oddHBand="false" w:firstRow="false"/>
        </w:trPr>
        <w:tc>
          <w:tcPr>
            <w:cnfStyle w:evenVBand="false" w:oddVBand="true" w:firstColumn="false"/>
            <w:tcW w:w="25.000000%" w:type="pct"/>
          </w:tcPr>
          <w:p>
            <w:pPr>
              <w:ind w:leftChars="0" w:left="0" w:right="0"/>
            </w:pPr>
            <w:r>
              <w:t>VFGB</w:t>
            </w:r>
          </w:p>
        </w:tc>
        <w:tc>
          <w:tcPr>
            <w:cnfStyle w:evenVBand="true" w:oddVBand="false" w:firstColumn="false"/>
            <w:tcW w:w="25.000000%" w:type="pct"/>
          </w:tcPr>
          <w:p>
            <w:pPr>
              <w:ind w:leftChars="0" w:left="0" w:right="0"/>
            </w:pPr>
            <w:r>
              <w:t>VFGB</w:t>
            </w:r>
          </w:p>
        </w:tc>
        <w:tc>
          <w:tcPr>
            <w:cnfStyle w:evenVBand="false" w:oddVBand="true" w:firstColumn="false"/>
            <w:tcW w:w="25.000000%" w:type="pct"/>
          </w:tcPr>
          <w:p>
            <w:pPr>
              <w:ind w:leftChars="0" w:left="0" w:right="0"/>
            </w:pPr>
            <w:r>
              <w:t>VIRTU FINANCIAL IRELAND LIMITED (LONDON BRANCH) - SYSTEMATIC INTERNALISER</w:t>
            </w:r>
          </w:p>
        </w:tc>
        <w:tc>
          <w:tcPr>
            <w:cnfStyle w:evenVBand="true" w:oddVBand="false" w:firstColumn="false"/>
            <w:tcW w:w="25.000000%" w:type="pct"/>
          </w:tcPr>
          <w:p>
            <w:pPr>
              <w:ind w:leftChars="0" w:left="0" w:right="0"/>
            </w:pPr>
            <w:r>
              <w:t>1877</w:t>
            </w:r>
          </w:p>
        </w:tc>
      </w:tr>
      <w:tr>
        <w:trPr>
          <w:cnfStyle w:evenHBand="false" w:oddHBand="true" w:firstRow="false"/>
        </w:trPr>
        <w:tc>
          <w:tcPr>
            <w:cnfStyle w:evenVBand="false" w:oddVBand="true" w:firstColumn="false"/>
            <w:tcW w:w="25.000000%" w:type="pct"/>
          </w:tcPr>
          <w:p>
            <w:pPr>
              <w:ind w:leftChars="0" w:left="0" w:right="0"/>
            </w:pPr>
            <w:r>
              <w:t>VFIL</w:t>
            </w:r>
          </w:p>
        </w:tc>
        <w:tc>
          <w:tcPr>
            <w:cnfStyle w:evenVBand="true" w:oddVBand="false" w:firstColumn="false"/>
            <w:tcW w:w="25.000000%" w:type="pct"/>
          </w:tcPr>
          <w:p>
            <w:pPr>
              <w:ind w:leftChars="0" w:left="0" w:right="0"/>
            </w:pPr>
            <w:r>
              <w:t>VFIL</w:t>
            </w:r>
          </w:p>
        </w:tc>
        <w:tc>
          <w:tcPr>
            <w:cnfStyle w:evenVBand="false" w:oddVBand="true" w:firstColumn="false"/>
            <w:tcW w:w="25.000000%" w:type="pct"/>
          </w:tcPr>
          <w:p>
            <w:pPr>
              <w:ind w:leftChars="0" w:left="0" w:right="0"/>
            </w:pPr>
            <w:r>
              <w:t>VIRTU FINANCIAL IRELAND LIMITED</w:t>
            </w:r>
          </w:p>
        </w:tc>
        <w:tc>
          <w:tcPr>
            <w:cnfStyle w:evenVBand="true" w:oddVBand="false" w:firstColumn="false"/>
            <w:tcW w:w="25.000000%" w:type="pct"/>
          </w:tcPr>
          <w:p>
            <w:pPr>
              <w:ind w:leftChars="0" w:left="0" w:right="0"/>
            </w:pPr>
            <w:r>
              <w:t>1878</w:t>
            </w:r>
          </w:p>
        </w:tc>
      </w:tr>
      <w:tr>
        <w:trPr>
          <w:cnfStyle w:evenHBand="true" w:oddHBand="false" w:firstRow="false"/>
        </w:trPr>
        <w:tc>
          <w:tcPr>
            <w:cnfStyle w:evenVBand="false" w:oddVBand="true" w:firstColumn="false"/>
            <w:tcW w:w="25.000000%" w:type="pct"/>
          </w:tcPr>
          <w:p>
            <w:pPr>
              <w:ind w:leftChars="0" w:left="0" w:right="0"/>
            </w:pPr>
            <w:r>
              <w:t>VFMI</w:t>
            </w:r>
          </w:p>
        </w:tc>
        <w:tc>
          <w:tcPr>
            <w:cnfStyle w:evenVBand="true" w:oddVBand="false" w:firstColumn="false"/>
            <w:tcW w:w="25.000000%" w:type="pct"/>
          </w:tcPr>
          <w:p>
            <w:pPr>
              <w:ind w:leftChars="0" w:left="0" w:right="0"/>
            </w:pPr>
            <w:r>
              <w:t>VFMI</w:t>
            </w:r>
          </w:p>
        </w:tc>
        <w:tc>
          <w:tcPr>
            <w:cnfStyle w:evenVBand="false" w:oddVBand="true" w:firstColumn="false"/>
            <w:tcW w:w="25.000000%" w:type="pct"/>
          </w:tcPr>
          <w:p>
            <w:pPr>
              <w:ind w:leftChars="0" w:left="0" w:right="0"/>
            </w:pPr>
            <w:r>
              <w:t>VIRTU MATCHIT - MAIN CROSSING SESSION</w:t>
            </w:r>
          </w:p>
        </w:tc>
        <w:tc>
          <w:tcPr>
            <w:cnfStyle w:evenVBand="true" w:oddVBand="false" w:firstColumn="false"/>
            <w:tcW w:w="25.000000%" w:type="pct"/>
          </w:tcPr>
          <w:p>
            <w:pPr>
              <w:ind w:leftChars="0" w:left="0" w:right="0"/>
            </w:pPr>
            <w:r>
              <w:t>1879</w:t>
            </w:r>
          </w:p>
        </w:tc>
      </w:tr>
      <w:tr>
        <w:trPr>
          <w:cnfStyle w:evenHBand="false" w:oddHBand="true" w:firstRow="false"/>
        </w:trPr>
        <w:tc>
          <w:tcPr>
            <w:cnfStyle w:evenVBand="false" w:oddVBand="true" w:firstColumn="false"/>
            <w:tcW w:w="25.000000%" w:type="pct"/>
          </w:tcPr>
          <w:p>
            <w:pPr>
              <w:ind w:leftChars="0" w:left="0" w:right="0"/>
            </w:pPr>
            <w:r>
              <w:t>VFSI</w:t>
            </w:r>
          </w:p>
        </w:tc>
        <w:tc>
          <w:tcPr>
            <w:cnfStyle w:evenVBand="true" w:oddVBand="false" w:firstColumn="false"/>
            <w:tcW w:w="25.000000%" w:type="pct"/>
          </w:tcPr>
          <w:p>
            <w:pPr>
              <w:ind w:leftChars="0" w:left="0" w:right="0"/>
            </w:pPr>
            <w:r>
              <w:t>VFSI</w:t>
            </w:r>
          </w:p>
        </w:tc>
        <w:tc>
          <w:tcPr>
            <w:cnfStyle w:evenVBand="false" w:oddVBand="true" w:firstColumn="false"/>
            <w:tcW w:w="25.000000%" w:type="pct"/>
          </w:tcPr>
          <w:p>
            <w:pPr>
              <w:ind w:leftChars="0" w:left="0" w:right="0"/>
            </w:pPr>
            <w:r>
              <w:t>VIRTU FINANCIAL IRELAND LIMITED - SYSTEMATIC INTERNALISER</w:t>
            </w:r>
          </w:p>
        </w:tc>
        <w:tc>
          <w:tcPr>
            <w:cnfStyle w:evenVBand="true" w:oddVBand="false" w:firstColumn="false"/>
            <w:tcW w:w="25.000000%" w:type="pct"/>
          </w:tcPr>
          <w:p>
            <w:pPr>
              <w:ind w:leftChars="0" w:left="0" w:right="0"/>
            </w:pPr>
            <w:r>
              <w:t>1880</w:t>
            </w:r>
          </w:p>
        </w:tc>
      </w:tr>
      <w:tr>
        <w:trPr>
          <w:cnfStyle w:evenHBand="true" w:oddHBand="false" w:firstRow="false"/>
        </w:trPr>
        <w:tc>
          <w:tcPr>
            <w:cnfStyle w:evenVBand="false" w:oddVBand="true" w:firstColumn="false"/>
            <w:tcW w:w="25.000000%" w:type="pct"/>
          </w:tcPr>
          <w:p>
            <w:pPr>
              <w:ind w:leftChars="0" w:left="0" w:right="0"/>
            </w:pPr>
            <w:r>
              <w:t>VFUK</w:t>
            </w:r>
          </w:p>
        </w:tc>
        <w:tc>
          <w:tcPr>
            <w:cnfStyle w:evenVBand="true" w:oddVBand="false" w:firstColumn="false"/>
            <w:tcW w:w="25.000000%" w:type="pct"/>
          </w:tcPr>
          <w:p>
            <w:pPr>
              <w:ind w:leftChars="0" w:left="0" w:right="0"/>
            </w:pPr>
            <w:r>
              <w:t>VFUK</w:t>
            </w:r>
          </w:p>
        </w:tc>
        <w:tc>
          <w:tcPr>
            <w:cnfStyle w:evenVBand="false" w:oddVBand="true" w:firstColumn="false"/>
            <w:tcW w:w="25.000000%" w:type="pct"/>
          </w:tcPr>
          <w:p>
            <w:pPr>
              <w:ind w:leftChars="0" w:left="0" w:right="0"/>
            </w:pPr>
            <w:r>
              <w:t>VIRTU FINANCIAL IRELAND LIMITED (LONDON BRANCH) - SYSTEMATIC INTERNALISER</w:t>
            </w:r>
          </w:p>
        </w:tc>
        <w:tc>
          <w:tcPr>
            <w:cnfStyle w:evenVBand="true" w:oddVBand="false" w:firstColumn="false"/>
            <w:tcW w:w="25.000000%" w:type="pct"/>
          </w:tcPr>
          <w:p>
            <w:pPr>
              <w:ind w:leftChars="0" w:left="0" w:right="0"/>
            </w:pPr>
            <w:r>
              <w:t>1881</w:t>
            </w:r>
          </w:p>
        </w:tc>
      </w:tr>
      <w:tr>
        <w:trPr>
          <w:cnfStyle w:evenHBand="false" w:oddHBand="true" w:firstRow="false"/>
        </w:trPr>
        <w:tc>
          <w:tcPr>
            <w:cnfStyle w:evenVBand="false" w:oddVBand="true" w:firstColumn="false"/>
            <w:tcW w:w="25.000000%" w:type="pct"/>
          </w:tcPr>
          <w:p>
            <w:pPr>
              <w:ind w:leftChars="0" w:left="0" w:right="0"/>
            </w:pPr>
            <w:r>
              <w:t>VFXO</w:t>
            </w:r>
          </w:p>
        </w:tc>
        <w:tc>
          <w:tcPr>
            <w:cnfStyle w:evenVBand="true" w:oddVBand="false" w:firstColumn="false"/>
            <w:tcW w:w="25.000000%" w:type="pct"/>
          </w:tcPr>
          <w:p>
            <w:pPr>
              <w:ind w:leftChars="0" w:left="0" w:right="0"/>
            </w:pPr>
            <w:r>
              <w:t>VFXO</w:t>
            </w:r>
          </w:p>
        </w:tc>
        <w:tc>
          <w:tcPr>
            <w:cnfStyle w:evenVBand="false" w:oddVBand="true" w:firstColumn="false"/>
            <w:tcW w:w="25.000000%" w:type="pct"/>
          </w:tcPr>
          <w:p>
            <w:pPr>
              <w:ind w:leftChars="0" w:left="0" w:right="0"/>
            </w:pPr>
            <w:r>
              <w:t>VIRTU FINANCIAL IRELAND LIMITED - OTC</w:t>
            </w:r>
          </w:p>
        </w:tc>
        <w:tc>
          <w:tcPr>
            <w:cnfStyle w:evenVBand="true" w:oddVBand="false" w:firstColumn="false"/>
            <w:tcW w:w="25.000000%" w:type="pct"/>
          </w:tcPr>
          <w:p>
            <w:pPr>
              <w:ind w:leftChars="0" w:left="0" w:right="0"/>
            </w:pPr>
            <w:r>
              <w:t>1882</w:t>
            </w:r>
          </w:p>
        </w:tc>
      </w:tr>
      <w:tr>
        <w:trPr>
          <w:cnfStyle w:evenHBand="true" w:oddHBand="false" w:firstRow="false"/>
        </w:trPr>
        <w:tc>
          <w:tcPr>
            <w:cnfStyle w:evenVBand="false" w:oddVBand="true" w:firstColumn="false"/>
            <w:tcW w:w="25.000000%" w:type="pct"/>
          </w:tcPr>
          <w:p>
            <w:pPr>
              <w:ind w:leftChars="0" w:left="0" w:right="0"/>
            </w:pPr>
            <w:r>
              <w:t>VIRT</w:t>
            </w:r>
          </w:p>
        </w:tc>
        <w:tc>
          <w:tcPr>
            <w:cnfStyle w:evenVBand="true" w:oddVBand="false" w:firstColumn="false"/>
            <w:tcW w:w="25.000000%" w:type="pct"/>
          </w:tcPr>
          <w:p>
            <w:pPr>
              <w:ind w:leftChars="0" w:left="0" w:right="0"/>
            </w:pPr>
            <w:r>
              <w:t>VIRT</w:t>
            </w:r>
          </w:p>
        </w:tc>
        <w:tc>
          <w:tcPr>
            <w:cnfStyle w:evenVBand="false" w:oddVBand="true" w:firstColumn="false"/>
            <w:tcW w:w="25.000000%" w:type="pct"/>
          </w:tcPr>
          <w:p>
            <w:pPr>
              <w:ind w:leftChars="0" w:left="0" w:right="0"/>
            </w:pPr>
            <w:r>
              <w:t>VIRTU FINANCIAL BD</w:t>
            </w:r>
          </w:p>
        </w:tc>
        <w:tc>
          <w:tcPr>
            <w:cnfStyle w:evenVBand="true" w:oddVBand="false" w:firstColumn="false"/>
            <w:tcW w:w="25.000000%" w:type="pct"/>
          </w:tcPr>
          <w:p>
            <w:pPr>
              <w:ind w:leftChars="0" w:left="0" w:right="0"/>
            </w:pPr>
            <w:r>
              <w:t>1883</w:t>
            </w:r>
          </w:p>
        </w:tc>
      </w:tr>
      <w:tr>
        <w:trPr>
          <w:cnfStyle w:evenHBand="false" w:oddHBand="true" w:firstRow="false"/>
        </w:trPr>
        <w:tc>
          <w:tcPr>
            <w:cnfStyle w:evenVBand="false" w:oddVBand="true" w:firstColumn="false"/>
            <w:tcW w:w="25.000000%" w:type="pct"/>
          </w:tcPr>
          <w:p>
            <w:pPr>
              <w:ind w:leftChars="0" w:left="0" w:right="0"/>
            </w:pPr>
            <w:r>
              <w:t>VIUK</w:t>
            </w:r>
          </w:p>
        </w:tc>
        <w:tc>
          <w:tcPr>
            <w:cnfStyle w:evenVBand="true" w:oddVBand="false" w:firstColumn="false"/>
            <w:tcW w:w="25.000000%" w:type="pct"/>
          </w:tcPr>
          <w:p>
            <w:pPr>
              <w:ind w:leftChars="0" w:left="0" w:right="0"/>
            </w:pPr>
            <w:r>
              <w:t>VIUK</w:t>
            </w:r>
          </w:p>
        </w:tc>
        <w:tc>
          <w:tcPr>
            <w:cnfStyle w:evenVBand="false" w:oddVBand="true" w:firstColumn="false"/>
            <w:tcW w:w="25.000000%" w:type="pct"/>
          </w:tcPr>
          <w:p>
            <w:pPr>
              <w:ind w:leftChars="0" w:left="0" w:right="0"/>
            </w:pPr>
            <w:r>
              <w:t>POSIT UK</w:t>
            </w:r>
          </w:p>
        </w:tc>
        <w:tc>
          <w:tcPr>
            <w:cnfStyle w:evenVBand="true" w:oddVBand="false" w:firstColumn="false"/>
            <w:tcW w:w="25.000000%" w:type="pct"/>
          </w:tcPr>
          <w:p>
            <w:pPr>
              <w:ind w:leftChars="0" w:left="0" w:right="0"/>
            </w:pPr>
            <w:r>
              <w:t>1884</w:t>
            </w:r>
          </w:p>
        </w:tc>
      </w:tr>
      <w:tr>
        <w:trPr>
          <w:cnfStyle w:evenHBand="true" w:oddHBand="false" w:firstRow="false"/>
        </w:trPr>
        <w:tc>
          <w:tcPr>
            <w:cnfStyle w:evenVBand="false" w:oddVBand="true" w:firstColumn="false"/>
            <w:tcW w:w="25.000000%" w:type="pct"/>
          </w:tcPr>
          <w:p>
            <w:pPr>
              <w:ind w:leftChars="0" w:left="0" w:right="0"/>
            </w:pPr>
            <w:r>
              <w:t>VKAB</w:t>
            </w:r>
          </w:p>
        </w:tc>
        <w:tc>
          <w:tcPr>
            <w:cnfStyle w:evenVBand="true" w:oddVBand="false" w:firstColumn="false"/>
            <w:tcW w:w="25.000000%" w:type="pct"/>
          </w:tcPr>
          <w:p>
            <w:pPr>
              <w:ind w:leftChars="0" w:left="0" w:right="0"/>
            </w:pPr>
            <w:r>
              <w:t>VKAB</w:t>
            </w:r>
          </w:p>
        </w:tc>
        <w:tc>
          <w:tcPr>
            <w:cnfStyle w:evenVBand="false" w:oddVBand="true" w:firstColumn="false"/>
            <w:tcW w:w="25.000000%" w:type="pct"/>
          </w:tcPr>
          <w:p>
            <w:pPr>
              <w:ind w:leftChars="0" w:left="0" w:right="0"/>
            </w:pPr>
            <w:r>
              <w:t>KABU.COMPTS-VWAP</w:t>
            </w:r>
          </w:p>
        </w:tc>
        <w:tc>
          <w:tcPr>
            <w:cnfStyle w:evenVBand="true" w:oddVBand="false" w:firstColumn="false"/>
            <w:tcW w:w="25.000000%" w:type="pct"/>
          </w:tcPr>
          <w:p>
            <w:pPr>
              <w:ind w:leftChars="0" w:left="0" w:right="0"/>
            </w:pPr>
            <w:r>
              <w:t>1885</w:t>
            </w:r>
          </w:p>
        </w:tc>
      </w:tr>
      <w:tr>
        <w:trPr>
          <w:cnfStyle w:evenHBand="false" w:oddHBand="true" w:firstRow="false"/>
        </w:trPr>
        <w:tc>
          <w:tcPr>
            <w:cnfStyle w:evenVBand="false" w:oddVBand="true" w:firstColumn="false"/>
            <w:tcW w:w="25.000000%" w:type="pct"/>
          </w:tcPr>
          <w:p>
            <w:pPr>
              <w:ind w:leftChars="0" w:left="0" w:right="0"/>
            </w:pPr>
            <w:r>
              <w:t>VLEX</w:t>
            </w:r>
          </w:p>
        </w:tc>
        <w:tc>
          <w:tcPr>
            <w:cnfStyle w:evenVBand="true" w:oddVBand="false" w:firstColumn="false"/>
            <w:tcW w:w="25.000000%" w:type="pct"/>
          </w:tcPr>
          <w:p>
            <w:pPr>
              <w:ind w:leftChars="0" w:left="0" w:right="0"/>
            </w:pPr>
            <w:r>
              <w:t>VLEX</w:t>
            </w:r>
          </w:p>
        </w:tc>
        <w:tc>
          <w:tcPr>
            <w:cnfStyle w:evenVBand="false" w:oddVBand="true" w:firstColumn="false"/>
            <w:tcW w:w="25.000000%" w:type="pct"/>
          </w:tcPr>
          <w:p>
            <w:pPr>
              <w:ind w:leftChars="0" w:left="0" w:right="0"/>
            </w:pPr>
            <w:r>
              <w:t>VONTOBEL LIQUIDITY EXTENDER</w:t>
            </w:r>
          </w:p>
        </w:tc>
        <w:tc>
          <w:tcPr>
            <w:cnfStyle w:evenVBand="true" w:oddVBand="false" w:firstColumn="false"/>
            <w:tcW w:w="25.000000%" w:type="pct"/>
          </w:tcPr>
          <w:p>
            <w:pPr>
              <w:ind w:leftChars="0" w:left="0" w:right="0"/>
            </w:pPr>
            <w:r>
              <w:t>1886</w:t>
            </w:r>
          </w:p>
        </w:tc>
      </w:tr>
      <w:tr>
        <w:trPr>
          <w:cnfStyle w:evenHBand="true" w:oddHBand="false" w:firstRow="false"/>
        </w:trPr>
        <w:tc>
          <w:tcPr>
            <w:cnfStyle w:evenVBand="false" w:oddVBand="true" w:firstColumn="false"/>
            <w:tcW w:w="25.000000%" w:type="pct"/>
          </w:tcPr>
          <w:p>
            <w:pPr>
              <w:ind w:leftChars="0" w:left="0" w:right="0"/>
            </w:pPr>
            <w:r>
              <w:t>VMFX</w:t>
            </w:r>
          </w:p>
        </w:tc>
        <w:tc>
          <w:tcPr>
            <w:cnfStyle w:evenVBand="true" w:oddVBand="false" w:firstColumn="false"/>
            <w:tcW w:w="25.000000%" w:type="pct"/>
          </w:tcPr>
          <w:p>
            <w:pPr>
              <w:ind w:leftChars="0" w:left="0" w:right="0"/>
            </w:pPr>
            <w:r>
              <w:t>VMFX</w:t>
            </w:r>
          </w:p>
        </w:tc>
        <w:tc>
          <w:tcPr>
            <w:cnfStyle w:evenVBand="false" w:oddVBand="true" w:firstColumn="false"/>
            <w:tcW w:w="25.000000%" w:type="pct"/>
          </w:tcPr>
          <w:p>
            <w:pPr>
              <w:ind w:leftChars="0" w:left="0" w:right="0"/>
            </w:pPr>
            <w:r>
              <w:t>THE FAROESE SECURITIES MARKET</w:t>
            </w:r>
          </w:p>
        </w:tc>
        <w:tc>
          <w:tcPr>
            <w:cnfStyle w:evenVBand="true" w:oddVBand="false" w:firstColumn="false"/>
            <w:tcW w:w="25.000000%" w:type="pct"/>
          </w:tcPr>
          <w:p>
            <w:pPr>
              <w:ind w:leftChars="0" w:left="0" w:right="0"/>
            </w:pPr>
            <w:r>
              <w:t>1887</w:t>
            </w:r>
          </w:p>
        </w:tc>
      </w:tr>
      <w:tr>
        <w:trPr>
          <w:cnfStyle w:evenHBand="false" w:oddHBand="true" w:firstRow="false"/>
        </w:trPr>
        <w:tc>
          <w:tcPr>
            <w:cnfStyle w:evenVBand="false" w:oddVBand="true" w:firstColumn="false"/>
            <w:tcW w:w="25.000000%" w:type="pct"/>
          </w:tcPr>
          <w:p>
            <w:pPr>
              <w:ind w:leftChars="0" w:left="0" w:right="0"/>
            </w:pPr>
            <w:r>
              <w:t>VMTS</w:t>
            </w:r>
          </w:p>
        </w:tc>
        <w:tc>
          <w:tcPr>
            <w:cnfStyle w:evenVBand="true" w:oddVBand="false" w:firstColumn="false"/>
            <w:tcW w:w="25.000000%" w:type="pct"/>
          </w:tcPr>
          <w:p>
            <w:pPr>
              <w:ind w:leftChars="0" w:left="0" w:right="0"/>
            </w:pPr>
            <w:r>
              <w:t>VMTS</w:t>
            </w:r>
          </w:p>
        </w:tc>
        <w:tc>
          <w:tcPr>
            <w:cnfStyle w:evenVBand="false" w:oddVBand="true" w:firstColumn="false"/>
            <w:tcW w:w="25.000000%" w:type="pct"/>
          </w:tcPr>
          <w:p>
            <w:pPr>
              <w:ind w:leftChars="0" w:left="0" w:right="0"/>
            </w:pPr>
            <w:r>
              <w:t>MTS SLOVENIA</w:t>
            </w:r>
          </w:p>
        </w:tc>
        <w:tc>
          <w:tcPr>
            <w:cnfStyle w:evenVBand="true" w:oddVBand="false" w:firstColumn="false"/>
            <w:tcW w:w="25.000000%" w:type="pct"/>
          </w:tcPr>
          <w:p>
            <w:pPr>
              <w:ind w:leftChars="0" w:left="0" w:right="0"/>
            </w:pPr>
            <w:r>
              <w:t>1888</w:t>
            </w:r>
          </w:p>
        </w:tc>
      </w:tr>
      <w:tr>
        <w:trPr>
          <w:cnfStyle w:evenHBand="true" w:oddHBand="false" w:firstRow="false"/>
        </w:trPr>
        <w:tc>
          <w:tcPr>
            <w:cnfStyle w:evenVBand="false" w:oddVBand="true" w:firstColumn="false"/>
            <w:tcW w:w="25.000000%" w:type="pct"/>
          </w:tcPr>
          <w:p>
            <w:pPr>
              <w:ind w:leftChars="0" w:left="0" w:right="0"/>
            </w:pPr>
            <w:r>
              <w:t>VNDM</w:t>
            </w:r>
          </w:p>
        </w:tc>
        <w:tc>
          <w:tcPr>
            <w:cnfStyle w:evenVBand="true" w:oddVBand="false" w:firstColumn="false"/>
            <w:tcW w:w="25.000000%" w:type="pct"/>
          </w:tcPr>
          <w:p>
            <w:pPr>
              <w:ind w:leftChars="0" w:left="0" w:right="0"/>
            </w:pPr>
            <w:r>
              <w:t>VNDM</w:t>
            </w:r>
          </w:p>
        </w:tc>
        <w:tc>
          <w:tcPr>
            <w:cnfStyle w:evenVBand="false" w:oddVBand="true" w:firstColumn="false"/>
            <w:tcW w:w="25.000000%" w:type="pct"/>
          </w:tcPr>
          <w:p>
            <w:pPr>
              <w:ind w:leftChars="0" w:left="0" w:right="0"/>
            </w:pPr>
            <w:r>
              <w:t>WALL STREET ACCESS NYC - VNDM</w:t>
            </w:r>
          </w:p>
        </w:tc>
        <w:tc>
          <w:tcPr>
            <w:cnfStyle w:evenVBand="true" w:oddVBand="false" w:firstColumn="false"/>
            <w:tcW w:w="25.000000%" w:type="pct"/>
          </w:tcPr>
          <w:p>
            <w:pPr>
              <w:ind w:leftChars="0" w:left="0" w:right="0"/>
            </w:pPr>
            <w:r>
              <w:t>1889</w:t>
            </w:r>
          </w:p>
        </w:tc>
      </w:tr>
      <w:tr>
        <w:trPr>
          <w:cnfStyle w:evenHBand="false" w:oddHBand="true" w:firstRow="false"/>
        </w:trPr>
        <w:tc>
          <w:tcPr>
            <w:cnfStyle w:evenVBand="false" w:oddVBand="true" w:firstColumn="false"/>
            <w:tcW w:w="25.000000%" w:type="pct"/>
          </w:tcPr>
          <w:p>
            <w:pPr>
              <w:ind w:leftChars="0" w:left="0" w:right="0"/>
            </w:pPr>
            <w:r>
              <w:t>VOLA</w:t>
            </w:r>
          </w:p>
        </w:tc>
        <w:tc>
          <w:tcPr>
            <w:cnfStyle w:evenVBand="true" w:oddVBand="false" w:firstColumn="false"/>
            <w:tcW w:w="25.000000%" w:type="pct"/>
          </w:tcPr>
          <w:p>
            <w:pPr>
              <w:ind w:leftChars="0" w:left="0" w:right="0"/>
            </w:pPr>
            <w:r>
              <w:t>VOLA</w:t>
            </w:r>
          </w:p>
        </w:tc>
        <w:tc>
          <w:tcPr>
            <w:cnfStyle w:evenVBand="false" w:oddVBand="true" w:firstColumn="false"/>
            <w:tcW w:w="25.000000%" w:type="pct"/>
          </w:tcPr>
          <w:p>
            <w:pPr>
              <w:ind w:leftChars="0" w:left="0" w:right="0"/>
            </w:pPr>
            <w:r>
              <w:t>TRADITION - VOLATIS</w:t>
            </w:r>
          </w:p>
        </w:tc>
        <w:tc>
          <w:tcPr>
            <w:cnfStyle w:evenVBand="true" w:oddVBand="false" w:firstColumn="false"/>
            <w:tcW w:w="25.000000%" w:type="pct"/>
          </w:tcPr>
          <w:p>
            <w:pPr>
              <w:ind w:leftChars="0" w:left="0" w:right="0"/>
            </w:pPr>
            <w:r>
              <w:t>1890</w:t>
            </w:r>
          </w:p>
        </w:tc>
      </w:tr>
      <w:tr>
        <w:trPr>
          <w:cnfStyle w:evenHBand="true" w:oddHBand="false" w:firstRow="false"/>
        </w:trPr>
        <w:tc>
          <w:tcPr>
            <w:cnfStyle w:evenVBand="false" w:oddVBand="true" w:firstColumn="false"/>
            <w:tcW w:w="25.000000%" w:type="pct"/>
          </w:tcPr>
          <w:p>
            <w:pPr>
              <w:ind w:leftChars="0" w:left="0" w:right="0"/>
            </w:pPr>
            <w:r>
              <w:t>VONT</w:t>
            </w:r>
          </w:p>
        </w:tc>
        <w:tc>
          <w:tcPr>
            <w:cnfStyle w:evenVBand="true" w:oddVBand="false" w:firstColumn="false"/>
            <w:tcW w:w="25.000000%" w:type="pct"/>
          </w:tcPr>
          <w:p>
            <w:pPr>
              <w:ind w:leftChars="0" w:left="0" w:right="0"/>
            </w:pPr>
            <w:r>
              <w:t>VONT</w:t>
            </w:r>
          </w:p>
        </w:tc>
        <w:tc>
          <w:tcPr>
            <w:cnfStyle w:evenVBand="false" w:oddVBand="true" w:firstColumn="false"/>
            <w:tcW w:w="25.000000%" w:type="pct"/>
          </w:tcPr>
          <w:p>
            <w:pPr>
              <w:ind w:leftChars="0" w:left="0" w:right="0"/>
            </w:pPr>
            <w:r>
              <w:t>BANK VONTOBEL EUROPE AG - SYSTEMATIC INTERNALISER</w:t>
            </w:r>
          </w:p>
        </w:tc>
        <w:tc>
          <w:tcPr>
            <w:cnfStyle w:evenVBand="true" w:oddVBand="false" w:firstColumn="false"/>
            <w:tcW w:w="25.000000%" w:type="pct"/>
          </w:tcPr>
          <w:p>
            <w:pPr>
              <w:ind w:leftChars="0" w:left="0" w:right="0"/>
            </w:pPr>
            <w:r>
              <w:t>1891</w:t>
            </w:r>
          </w:p>
        </w:tc>
      </w:tr>
      <w:tr>
        <w:trPr>
          <w:cnfStyle w:evenHBand="false" w:oddHBand="true" w:firstRow="false"/>
        </w:trPr>
        <w:tc>
          <w:tcPr>
            <w:cnfStyle w:evenVBand="false" w:oddVBand="true" w:firstColumn="false"/>
            <w:tcW w:w="25.000000%" w:type="pct"/>
          </w:tcPr>
          <w:p>
            <w:pPr>
              <w:ind w:leftChars="0" w:left="0" w:right="0"/>
            </w:pPr>
            <w:r>
              <w:t>VPXB</w:t>
            </w:r>
          </w:p>
        </w:tc>
        <w:tc>
          <w:tcPr>
            <w:cnfStyle w:evenVBand="true" w:oddVBand="false" w:firstColumn="false"/>
            <w:tcW w:w="25.000000%" w:type="pct"/>
          </w:tcPr>
          <w:p>
            <w:pPr>
              <w:ind w:leftChars="0" w:left="0" w:right="0"/>
            </w:pPr>
            <w:r>
              <w:t>VPXB</w:t>
            </w:r>
          </w:p>
        </w:tc>
        <w:tc>
          <w:tcPr>
            <w:cnfStyle w:evenVBand="false" w:oddVBand="true" w:firstColumn="false"/>
            <w:tcW w:w="25.000000%" w:type="pct"/>
          </w:tcPr>
          <w:p>
            <w:pPr>
              <w:ind w:leftChars="0" w:left="0" w:right="0"/>
            </w:pPr>
            <w:r>
              <w:t>EURONEXT - VENTES PUBLIQUES BRUSSELS</w:t>
            </w:r>
          </w:p>
        </w:tc>
        <w:tc>
          <w:tcPr>
            <w:cnfStyle w:evenVBand="true" w:oddVBand="false" w:firstColumn="false"/>
            <w:tcW w:w="25.000000%" w:type="pct"/>
          </w:tcPr>
          <w:p>
            <w:pPr>
              <w:ind w:leftChars="0" w:left="0" w:right="0"/>
            </w:pPr>
            <w:r>
              <w:t>1892</w:t>
            </w:r>
          </w:p>
        </w:tc>
      </w:tr>
      <w:tr>
        <w:trPr>
          <w:cnfStyle w:evenHBand="true" w:oddHBand="false" w:firstRow="false"/>
        </w:trPr>
        <w:tc>
          <w:tcPr>
            <w:cnfStyle w:evenVBand="false" w:oddVBand="true" w:firstColumn="false"/>
            <w:tcW w:w="25.000000%" w:type="pct"/>
          </w:tcPr>
          <w:p>
            <w:pPr>
              <w:ind w:leftChars="0" w:left="0" w:right="0"/>
            </w:pPr>
            <w:r>
              <w:t>VRXP</w:t>
            </w:r>
          </w:p>
        </w:tc>
        <w:tc>
          <w:tcPr>
            <w:cnfStyle w:evenVBand="true" w:oddVBand="false" w:firstColumn="false"/>
            <w:tcW w:w="25.000000%" w:type="pct"/>
          </w:tcPr>
          <w:p>
            <w:pPr>
              <w:ind w:leftChars="0" w:left="0" w:right="0"/>
            </w:pPr>
            <w:r>
              <w:t>VRXP</w:t>
            </w:r>
          </w:p>
        </w:tc>
        <w:tc>
          <w:tcPr>
            <w:cnfStyle w:evenVBand="false" w:oddVBand="true" w:firstColumn="false"/>
            <w:tcW w:w="25.000000%" w:type="pct"/>
          </w:tcPr>
          <w:p>
            <w:pPr>
              <w:ind w:leftChars="0" w:left="0" w:right="0"/>
            </w:pPr>
            <w:r>
              <w:t>NYSE EURONEXT - COMPARTIMENT DES VALEURS RADIEES PARIS</w:t>
            </w:r>
          </w:p>
        </w:tc>
        <w:tc>
          <w:tcPr>
            <w:cnfStyle w:evenVBand="true" w:oddVBand="false" w:firstColumn="false"/>
            <w:tcW w:w="25.000000%" w:type="pct"/>
          </w:tcPr>
          <w:p>
            <w:pPr>
              <w:ind w:leftChars="0" w:left="0" w:right="0"/>
            </w:pPr>
            <w:r>
              <w:t>1893</w:t>
            </w:r>
          </w:p>
        </w:tc>
      </w:tr>
      <w:tr>
        <w:trPr>
          <w:cnfStyle w:evenHBand="false" w:oddHBand="true" w:firstRow="false"/>
        </w:trPr>
        <w:tc>
          <w:tcPr>
            <w:cnfStyle w:evenVBand="false" w:oddVBand="true" w:firstColumn="false"/>
            <w:tcW w:w="25.000000%" w:type="pct"/>
          </w:tcPr>
          <w:p>
            <w:pPr>
              <w:ind w:leftChars="0" w:left="0" w:right="0"/>
            </w:pPr>
            <w:r>
              <w:t>VTBC</w:t>
            </w:r>
          </w:p>
        </w:tc>
        <w:tc>
          <w:tcPr>
            <w:cnfStyle w:evenVBand="true" w:oddVBand="false" w:firstColumn="false"/>
            <w:tcW w:w="25.000000%" w:type="pct"/>
          </w:tcPr>
          <w:p>
            <w:pPr>
              <w:ind w:leftChars="0" w:left="0" w:right="0"/>
            </w:pPr>
            <w:r>
              <w:t>VTBC</w:t>
            </w:r>
          </w:p>
        </w:tc>
        <w:tc>
          <w:tcPr>
            <w:cnfStyle w:evenVBand="false" w:oddVBand="true" w:firstColumn="false"/>
            <w:tcW w:w="25.000000%" w:type="pct"/>
          </w:tcPr>
          <w:p>
            <w:pPr>
              <w:ind w:leftChars="0" w:left="0" w:right="0"/>
            </w:pPr>
            <w:r>
              <w:t>VTB CAPITAL PLC - SYSTEMATIC INTERNALISER</w:t>
            </w:r>
          </w:p>
        </w:tc>
        <w:tc>
          <w:tcPr>
            <w:cnfStyle w:evenVBand="true" w:oddVBand="false" w:firstColumn="false"/>
            <w:tcW w:w="25.000000%" w:type="pct"/>
          </w:tcPr>
          <w:p>
            <w:pPr>
              <w:ind w:leftChars="0" w:left="0" w:right="0"/>
            </w:pPr>
            <w:r>
              <w:t>1894</w:t>
            </w:r>
          </w:p>
        </w:tc>
      </w:tr>
      <w:tr>
        <w:trPr>
          <w:cnfStyle w:evenHBand="true" w:oddHBand="false" w:firstRow="false"/>
        </w:trPr>
        <w:tc>
          <w:tcPr>
            <w:cnfStyle w:evenVBand="false" w:oddVBand="true" w:firstColumn="false"/>
            <w:tcW w:w="25.000000%" w:type="pct"/>
          </w:tcPr>
          <w:p>
            <w:pPr>
              <w:ind w:leftChars="0" w:left="0" w:right="0"/>
            </w:pPr>
            <w:r>
              <w:t>VTEX</w:t>
            </w:r>
          </w:p>
        </w:tc>
        <w:tc>
          <w:tcPr>
            <w:cnfStyle w:evenVBand="true" w:oddVBand="false" w:firstColumn="false"/>
            <w:tcW w:w="25.000000%" w:type="pct"/>
          </w:tcPr>
          <w:p>
            <w:pPr>
              <w:ind w:leftChars="0" w:left="0" w:right="0"/>
            </w:pPr>
            <w:r>
              <w:t>VTEX</w:t>
            </w:r>
          </w:p>
        </w:tc>
        <w:tc>
          <w:tcPr>
            <w:cnfStyle w:evenVBand="false" w:oddVBand="true" w:firstColumn="false"/>
            <w:tcW w:w="25.000000%" w:type="pct"/>
          </w:tcPr>
          <w:p>
            <w:pPr>
              <w:ind w:leftChars="0" w:left="0" w:right="0"/>
            </w:pPr>
            <w:r>
              <w:t>VORTEX</w:t>
            </w:r>
          </w:p>
        </w:tc>
        <w:tc>
          <w:tcPr>
            <w:cnfStyle w:evenVBand="true" w:oddVBand="false" w:firstColumn="false"/>
            <w:tcW w:w="25.000000%" w:type="pct"/>
          </w:tcPr>
          <w:p>
            <w:pPr>
              <w:ind w:leftChars="0" w:left="0" w:right="0"/>
            </w:pPr>
            <w:r>
              <w:t>1895</w:t>
            </w:r>
          </w:p>
        </w:tc>
      </w:tr>
      <w:tr>
        <w:trPr>
          <w:cnfStyle w:evenHBand="false" w:oddHBand="true" w:firstRow="false"/>
        </w:trPr>
        <w:tc>
          <w:tcPr>
            <w:cnfStyle w:evenVBand="false" w:oddVBand="true" w:firstColumn="false"/>
            <w:tcW w:w="25.000000%" w:type="pct"/>
          </w:tcPr>
          <w:p>
            <w:pPr>
              <w:ind w:leftChars="0" w:left="0" w:right="0"/>
            </w:pPr>
            <w:r>
              <w:t>VTLS</w:t>
            </w:r>
          </w:p>
        </w:tc>
        <w:tc>
          <w:tcPr>
            <w:cnfStyle w:evenVBand="true" w:oddVBand="false" w:firstColumn="false"/>
            <w:tcW w:w="25.000000%" w:type="pct"/>
          </w:tcPr>
          <w:p>
            <w:pPr>
              <w:ind w:leftChars="0" w:left="0" w:right="0"/>
            </w:pPr>
            <w:r>
              <w:t>VTLS</w:t>
            </w:r>
          </w:p>
        </w:tc>
        <w:tc>
          <w:tcPr>
            <w:cnfStyle w:evenVBand="false" w:oddVBand="true" w:firstColumn="false"/>
            <w:tcW w:w="25.000000%" w:type="pct"/>
          </w:tcPr>
          <w:p>
            <w:pPr>
              <w:ind w:leftChars="0" w:left="0" w:right="0"/>
            </w:pPr>
            <w:r>
              <w:t>TRADELINK</w:t>
            </w:r>
          </w:p>
        </w:tc>
        <w:tc>
          <w:tcPr>
            <w:cnfStyle w:evenVBand="true" w:oddVBand="false" w:firstColumn="false"/>
            <w:tcW w:w="25.000000%" w:type="pct"/>
          </w:tcPr>
          <w:p>
            <w:pPr>
              <w:ind w:leftChars="0" w:left="0" w:right="0"/>
            </w:pPr>
            <w:r>
              <w:t>1896</w:t>
            </w:r>
          </w:p>
        </w:tc>
      </w:tr>
      <w:tr>
        <w:trPr>
          <w:cnfStyle w:evenHBand="true" w:oddHBand="false" w:firstRow="false"/>
        </w:trPr>
        <w:tc>
          <w:tcPr>
            <w:cnfStyle w:evenVBand="false" w:oddVBand="true" w:firstColumn="false"/>
            <w:tcW w:w="25.000000%" w:type="pct"/>
          </w:tcPr>
          <w:p>
            <w:pPr>
              <w:ind w:leftChars="0" w:left="0" w:right="0"/>
            </w:pPr>
            <w:r>
              <w:t>VTPS</w:t>
            </w:r>
          </w:p>
        </w:tc>
        <w:tc>
          <w:tcPr>
            <w:cnfStyle w:evenVBand="true" w:oddVBand="false" w:firstColumn="false"/>
            <w:tcW w:w="25.000000%" w:type="pct"/>
          </w:tcPr>
          <w:p>
            <w:pPr>
              <w:ind w:leftChars="0" w:left="0" w:right="0"/>
            </w:pPr>
            <w:r>
              <w:t>VTPS</w:t>
            </w:r>
          </w:p>
        </w:tc>
        <w:tc>
          <w:tcPr>
            <w:cnfStyle w:evenVBand="false" w:oddVBand="true" w:firstColumn="false"/>
            <w:tcW w:w="25.000000%" w:type="pct"/>
          </w:tcPr>
          <w:p>
            <w:pPr>
              <w:ind w:leftChars="0" w:left="0" w:right="0"/>
            </w:pPr>
            <w:r>
              <w:t>TRADEPLUS</w:t>
            </w:r>
          </w:p>
        </w:tc>
        <w:tc>
          <w:tcPr>
            <w:cnfStyle w:evenVBand="true" w:oddVBand="false" w:firstColumn="false"/>
            <w:tcW w:w="25.000000%" w:type="pct"/>
          </w:tcPr>
          <w:p>
            <w:pPr>
              <w:ind w:leftChars="0" w:left="0" w:right="0"/>
            </w:pPr>
            <w:r>
              <w:t>1897</w:t>
            </w:r>
          </w:p>
        </w:tc>
      </w:tr>
      <w:tr>
        <w:trPr>
          <w:cnfStyle w:evenHBand="false" w:oddHBand="true" w:firstRow="false"/>
        </w:trPr>
        <w:tc>
          <w:tcPr>
            <w:cnfStyle w:evenVBand="false" w:oddVBand="true" w:firstColumn="false"/>
            <w:tcW w:w="25.000000%" w:type="pct"/>
          </w:tcPr>
          <w:p>
            <w:pPr>
              <w:ind w:leftChars="0" w:left="0" w:right="0"/>
            </w:pPr>
            <w:r>
              <w:t>VUSA</w:t>
            </w:r>
          </w:p>
        </w:tc>
        <w:tc>
          <w:tcPr>
            <w:cnfStyle w:evenVBand="true" w:oddVBand="false" w:firstColumn="false"/>
            <w:tcW w:w="25.000000%" w:type="pct"/>
          </w:tcPr>
          <w:p>
            <w:pPr>
              <w:ind w:leftChars="0" w:left="0" w:right="0"/>
            </w:pPr>
            <w:r>
              <w:t>VUSA</w:t>
            </w:r>
          </w:p>
        </w:tc>
        <w:tc>
          <w:tcPr>
            <w:cnfStyle w:evenVBand="false" w:oddVBand="true" w:firstColumn="false"/>
            <w:tcW w:w="25.000000%" w:type="pct"/>
          </w:tcPr>
          <w:p>
            <w:pPr>
              <w:ind w:leftChars="0" w:left="0" w:right="0"/>
            </w:pPr>
            <w:r>
              <w:t>VIRTU AMERICAS LLC</w:t>
            </w:r>
          </w:p>
        </w:tc>
        <w:tc>
          <w:tcPr>
            <w:cnfStyle w:evenVBand="true" w:oddVBand="false" w:firstColumn="false"/>
            <w:tcW w:w="25.000000%" w:type="pct"/>
          </w:tcPr>
          <w:p>
            <w:pPr>
              <w:ind w:leftChars="0" w:left="0" w:right="0"/>
            </w:pPr>
            <w:r>
              <w:t>1898</w:t>
            </w:r>
          </w:p>
        </w:tc>
      </w:tr>
      <w:tr>
        <w:trPr>
          <w:cnfStyle w:evenHBand="true" w:oddHBand="false" w:firstRow="false"/>
        </w:trPr>
        <w:tc>
          <w:tcPr>
            <w:cnfStyle w:evenVBand="false" w:oddVBand="true" w:firstColumn="false"/>
            <w:tcW w:w="25.000000%" w:type="pct"/>
          </w:tcPr>
          <w:p>
            <w:pPr>
              <w:ind w:leftChars="0" w:left="0" w:right="0"/>
            </w:pPr>
            <w:r>
              <w:t>VWDA</w:t>
            </w:r>
          </w:p>
        </w:tc>
        <w:tc>
          <w:tcPr>
            <w:cnfStyle w:evenVBand="true" w:oddVBand="false" w:firstColumn="false"/>
            <w:tcW w:w="25.000000%" w:type="pct"/>
          </w:tcPr>
          <w:p>
            <w:pPr>
              <w:ind w:leftChars="0" w:left="0" w:right="0"/>
            </w:pPr>
            <w:r>
              <w:t>VWDA</w:t>
            </w:r>
          </w:p>
        </w:tc>
        <w:tc>
          <w:tcPr>
            <w:cnfStyle w:evenVBand="false" w:oddVBand="true" w:firstColumn="false"/>
            <w:tcW w:w="25.000000%" w:type="pct"/>
          </w:tcPr>
          <w:p>
            <w:pPr>
              <w:ind w:leftChars="0" w:left="0" w:right="0"/>
            </w:pPr>
            <w:r>
              <w:t>VWD - APA SERVICE</w:t>
            </w:r>
          </w:p>
        </w:tc>
        <w:tc>
          <w:tcPr>
            <w:cnfStyle w:evenVBand="true" w:oddVBand="false" w:firstColumn="false"/>
            <w:tcW w:w="25.000000%" w:type="pct"/>
          </w:tcPr>
          <w:p>
            <w:pPr>
              <w:ind w:leftChars="0" w:left="0" w:right="0"/>
            </w:pPr>
            <w:r>
              <w:t>1899</w:t>
            </w:r>
          </w:p>
        </w:tc>
      </w:tr>
      <w:tr>
        <w:trPr>
          <w:cnfStyle w:evenHBand="false" w:oddHBand="true" w:firstRow="false"/>
        </w:trPr>
        <w:tc>
          <w:tcPr>
            <w:cnfStyle w:evenVBand="false" w:oddVBand="true" w:firstColumn="false"/>
            <w:tcW w:w="25.000000%" w:type="pct"/>
          </w:tcPr>
          <w:p>
            <w:pPr>
              <w:ind w:leftChars="0" w:left="0" w:right="0"/>
            </w:pPr>
            <w:r>
              <w:t>VWDX</w:t>
            </w:r>
          </w:p>
        </w:tc>
        <w:tc>
          <w:tcPr>
            <w:cnfStyle w:evenVBand="true" w:oddVBand="false" w:firstColumn="false"/>
            <w:tcW w:w="25.000000%" w:type="pct"/>
          </w:tcPr>
          <w:p>
            <w:pPr>
              <w:ind w:leftChars="0" w:left="0" w:right="0"/>
            </w:pPr>
            <w:r>
              <w:t>VWDX</w:t>
            </w:r>
          </w:p>
        </w:tc>
        <w:tc>
          <w:tcPr>
            <w:cnfStyle w:evenVBand="false" w:oddVBand="true" w:firstColumn="false"/>
            <w:tcW w:w="25.000000%" w:type="pct"/>
          </w:tcPr>
          <w:p>
            <w:pPr>
              <w:ind w:leftChars="0" w:left="0" w:right="0"/>
            </w:pPr>
            <w:r>
              <w:t>VWD TRANSACTIONSOLUTIONS AG</w:t>
            </w:r>
          </w:p>
        </w:tc>
        <w:tc>
          <w:tcPr>
            <w:cnfStyle w:evenVBand="true" w:oddVBand="false" w:firstColumn="false"/>
            <w:tcW w:w="25.000000%" w:type="pct"/>
          </w:tcPr>
          <w:p>
            <w:pPr>
              <w:ind w:leftChars="0" w:left="0" w:right="0"/>
            </w:pPr>
            <w:r>
              <w:t>1900</w:t>
            </w:r>
          </w:p>
        </w:tc>
      </w:tr>
      <w:tr>
        <w:trPr>
          <w:cnfStyle w:evenHBand="true" w:oddHBand="false" w:firstRow="false"/>
        </w:trPr>
        <w:tc>
          <w:tcPr>
            <w:cnfStyle w:evenVBand="false" w:oddVBand="true" w:firstColumn="false"/>
            <w:tcW w:w="25.000000%" w:type="pct"/>
          </w:tcPr>
          <w:p>
            <w:pPr>
              <w:ind w:leftChars="0" w:left="0" w:right="0"/>
            </w:pPr>
            <w:r>
              <w:t>WABR</w:t>
            </w:r>
          </w:p>
        </w:tc>
        <w:tc>
          <w:tcPr>
            <w:cnfStyle w:evenVBand="true" w:oddVBand="false" w:firstColumn="false"/>
            <w:tcW w:w="25.000000%" w:type="pct"/>
          </w:tcPr>
          <w:p>
            <w:pPr>
              <w:ind w:leftChars="0" w:left="0" w:right="0"/>
            </w:pPr>
            <w:r>
              <w:t>WABR</w:t>
            </w:r>
          </w:p>
        </w:tc>
        <w:tc>
          <w:tcPr>
            <w:cnfStyle w:evenVBand="false" w:oddVBand="true" w:firstColumn="false"/>
            <w:tcW w:w="25.000000%" w:type="pct"/>
          </w:tcPr>
          <w:p>
            <w:pPr>
              <w:ind w:leftChars="0" w:left="0" w:right="0"/>
            </w:pPr>
            <w:r>
              <w:t>WALL STREET ACCESS NYC</w:t>
            </w:r>
          </w:p>
        </w:tc>
        <w:tc>
          <w:tcPr>
            <w:cnfStyle w:evenVBand="true" w:oddVBand="false" w:firstColumn="false"/>
            <w:tcW w:w="25.000000%" w:type="pct"/>
          </w:tcPr>
          <w:p>
            <w:pPr>
              <w:ind w:leftChars="0" w:left="0" w:right="0"/>
            </w:pPr>
            <w:r>
              <w:t>1901</w:t>
            </w:r>
          </w:p>
        </w:tc>
      </w:tr>
      <w:tr>
        <w:trPr>
          <w:cnfStyle w:evenHBand="false" w:oddHBand="true" w:firstRow="false"/>
        </w:trPr>
        <w:tc>
          <w:tcPr>
            <w:cnfStyle w:evenVBand="false" w:oddVBand="true" w:firstColumn="false"/>
            <w:tcW w:w="25.000000%" w:type="pct"/>
          </w:tcPr>
          <w:p>
            <w:pPr>
              <w:ind w:leftChars="0" w:left="0" w:right="0"/>
            </w:pPr>
            <w:r>
              <w:t>WBAH</w:t>
            </w:r>
          </w:p>
        </w:tc>
        <w:tc>
          <w:tcPr>
            <w:cnfStyle w:evenVBand="true" w:oddVBand="false" w:firstColumn="false"/>
            <w:tcW w:w="25.000000%" w:type="pct"/>
          </w:tcPr>
          <w:p>
            <w:pPr>
              <w:ind w:leftChars="0" w:left="0" w:right="0"/>
            </w:pPr>
            <w:r>
              <w:t>WBAH</w:t>
            </w:r>
          </w:p>
        </w:tc>
        <w:tc>
          <w:tcPr>
            <w:cnfStyle w:evenVBand="false" w:oddVBand="true" w:firstColumn="false"/>
            <w:tcW w:w="25.000000%" w:type="pct"/>
          </w:tcPr>
          <w:p>
            <w:pPr>
              <w:ind w:leftChars="0" w:left="0" w:right="0"/>
            </w:pPr>
            <w:r>
              <w:t>WIENER BOERSE AG AMTLICHER HANDEL (OFFICIAL MARKET)</w:t>
            </w:r>
          </w:p>
        </w:tc>
        <w:tc>
          <w:tcPr>
            <w:cnfStyle w:evenVBand="true" w:oddVBand="false" w:firstColumn="false"/>
            <w:tcW w:w="25.000000%" w:type="pct"/>
          </w:tcPr>
          <w:p>
            <w:pPr>
              <w:ind w:leftChars="0" w:left="0" w:right="0"/>
            </w:pPr>
            <w:r>
              <w:t>1902</w:t>
            </w:r>
          </w:p>
        </w:tc>
      </w:tr>
      <w:tr>
        <w:trPr>
          <w:cnfStyle w:evenHBand="true" w:oddHBand="false" w:firstRow="false"/>
        </w:trPr>
        <w:tc>
          <w:tcPr>
            <w:cnfStyle w:evenVBand="false" w:oddVBand="true" w:firstColumn="false"/>
            <w:tcW w:w="25.000000%" w:type="pct"/>
          </w:tcPr>
          <w:p>
            <w:pPr>
              <w:ind w:leftChars="0" w:left="0" w:right="0"/>
            </w:pPr>
            <w:r>
              <w:t>WBCL</w:t>
            </w:r>
          </w:p>
        </w:tc>
        <w:tc>
          <w:tcPr>
            <w:cnfStyle w:evenVBand="true" w:oddVBand="false" w:firstColumn="false"/>
            <w:tcW w:w="25.000000%" w:type="pct"/>
          </w:tcPr>
          <w:p>
            <w:pPr>
              <w:ind w:leftChars="0" w:left="0" w:right="0"/>
            </w:pPr>
            <w:r>
              <w:t>WBCL</w:t>
            </w:r>
          </w:p>
        </w:tc>
        <w:tc>
          <w:tcPr>
            <w:cnfStyle w:evenVBand="false" w:oddVBand="true" w:firstColumn="false"/>
            <w:tcW w:w="25.000000%" w:type="pct"/>
          </w:tcPr>
          <w:p>
            <w:pPr>
              <w:ind w:leftChars="0" w:left="0" w:right="0"/>
            </w:pPr>
            <w:r>
              <w:t>WARSAW STOCK EXCHANGE/BONDS/CATALYST/LISTING</w:t>
            </w:r>
          </w:p>
        </w:tc>
        <w:tc>
          <w:tcPr>
            <w:cnfStyle w:evenVBand="true" w:oddVBand="false" w:firstColumn="false"/>
            <w:tcW w:w="25.000000%" w:type="pct"/>
          </w:tcPr>
          <w:p>
            <w:pPr>
              <w:ind w:leftChars="0" w:left="0" w:right="0"/>
            </w:pPr>
            <w:r>
              <w:t>1903</w:t>
            </w:r>
          </w:p>
        </w:tc>
      </w:tr>
      <w:tr>
        <w:trPr>
          <w:cnfStyle w:evenHBand="false" w:oddHBand="true" w:firstRow="false"/>
        </w:trPr>
        <w:tc>
          <w:tcPr>
            <w:cnfStyle w:evenVBand="false" w:oddVBand="true" w:firstColumn="false"/>
            <w:tcW w:w="25.000000%" w:type="pct"/>
          </w:tcPr>
          <w:p>
            <w:pPr>
              <w:ind w:leftChars="0" w:left="0" w:right="0"/>
            </w:pPr>
            <w:r>
              <w:t>WBDM</w:t>
            </w:r>
          </w:p>
        </w:tc>
        <w:tc>
          <w:tcPr>
            <w:cnfStyle w:evenVBand="true" w:oddVBand="false" w:firstColumn="false"/>
            <w:tcW w:w="25.000000%" w:type="pct"/>
          </w:tcPr>
          <w:p>
            <w:pPr>
              <w:ind w:leftChars="0" w:left="0" w:right="0"/>
            </w:pPr>
            <w:r>
              <w:t>WBDM</w:t>
            </w:r>
          </w:p>
        </w:tc>
        <w:tc>
          <w:tcPr>
            <w:cnfStyle w:evenVBand="false" w:oddVBand="true" w:firstColumn="false"/>
            <w:tcW w:w="25.000000%" w:type="pct"/>
          </w:tcPr>
          <w:p>
            <w:pPr>
              <w:ind w:leftChars="0" w:left="0" w:right="0"/>
            </w:pPr>
            <w:r>
              <w:t>WIENER BOERSE AG VIENNA MTF (VIENNA MTF)</w:t>
            </w:r>
          </w:p>
        </w:tc>
        <w:tc>
          <w:tcPr>
            <w:cnfStyle w:evenVBand="true" w:oddVBand="false" w:firstColumn="false"/>
            <w:tcW w:w="25.000000%" w:type="pct"/>
          </w:tcPr>
          <w:p>
            <w:pPr>
              <w:ind w:leftChars="0" w:left="0" w:right="0"/>
            </w:pPr>
            <w:r>
              <w:t>1904</w:t>
            </w:r>
          </w:p>
        </w:tc>
      </w:tr>
      <w:tr>
        <w:trPr>
          <w:cnfStyle w:evenHBand="true" w:oddHBand="false" w:firstRow="false"/>
        </w:trPr>
        <w:tc>
          <w:tcPr>
            <w:cnfStyle w:evenVBand="false" w:oddVBand="true" w:firstColumn="false"/>
            <w:tcW w:w="25.000000%" w:type="pct"/>
          </w:tcPr>
          <w:p>
            <w:pPr>
              <w:ind w:leftChars="0" w:left="0" w:right="0"/>
            </w:pPr>
            <w:r>
              <w:t>WBGF</w:t>
            </w:r>
          </w:p>
        </w:tc>
        <w:tc>
          <w:tcPr>
            <w:cnfStyle w:evenVBand="true" w:oddVBand="false" w:firstColumn="false"/>
            <w:tcW w:w="25.000000%" w:type="pct"/>
          </w:tcPr>
          <w:p>
            <w:pPr>
              <w:ind w:leftChars="0" w:left="0" w:right="0"/>
            </w:pPr>
            <w:r>
              <w:t>WBGF</w:t>
            </w:r>
          </w:p>
        </w:tc>
        <w:tc>
          <w:tcPr>
            <w:cnfStyle w:evenVBand="false" w:oddVBand="true" w:firstColumn="false"/>
            <w:tcW w:w="25.000000%" w:type="pct"/>
          </w:tcPr>
          <w:p>
            <w:pPr>
              <w:ind w:leftChars="0" w:left="0" w:right="0"/>
            </w:pPr>
            <w:r>
              <w:t>WIENER BOERSE AG GEREGELTER FREIVERKEHR (SECOND REGULATED MARKET)</w:t>
            </w:r>
          </w:p>
        </w:tc>
        <w:tc>
          <w:tcPr>
            <w:cnfStyle w:evenVBand="true" w:oddVBand="false" w:firstColumn="false"/>
            <w:tcW w:w="25.000000%" w:type="pct"/>
          </w:tcPr>
          <w:p>
            <w:pPr>
              <w:ind w:leftChars="0" w:left="0" w:right="0"/>
            </w:pPr>
            <w:r>
              <w:t>1905</w:t>
            </w:r>
          </w:p>
        </w:tc>
      </w:tr>
      <w:tr>
        <w:trPr>
          <w:cnfStyle w:evenHBand="false" w:oddHBand="true" w:firstRow="false"/>
        </w:trPr>
        <w:tc>
          <w:tcPr>
            <w:cnfStyle w:evenVBand="false" w:oddVBand="true" w:firstColumn="false"/>
            <w:tcW w:w="25.000000%" w:type="pct"/>
          </w:tcPr>
          <w:p>
            <w:pPr>
              <w:ind w:leftChars="0" w:left="0" w:right="0"/>
            </w:pPr>
            <w:r>
              <w:t>WBKP</w:t>
            </w:r>
          </w:p>
        </w:tc>
        <w:tc>
          <w:tcPr>
            <w:cnfStyle w:evenVBand="true" w:oddVBand="false" w:firstColumn="false"/>
            <w:tcW w:w="25.000000%" w:type="pct"/>
          </w:tcPr>
          <w:p>
            <w:pPr>
              <w:ind w:leftChars="0" w:left="0" w:right="0"/>
            </w:pPr>
            <w:r>
              <w:t>WBKP</w:t>
            </w:r>
          </w:p>
        </w:tc>
        <w:tc>
          <w:tcPr>
            <w:cnfStyle w:evenVBand="false" w:oddVBand="true" w:firstColumn="false"/>
            <w:tcW w:w="25.000000%" w:type="pct"/>
          </w:tcPr>
          <w:p>
            <w:pPr>
              <w:ind w:leftChars="0" w:left="0" w:right="0"/>
            </w:pPr>
            <w:r>
              <w:t>BANK ZACHODNI WBK S.A. - SYSTEMATIC INTERNALISER</w:t>
            </w:r>
          </w:p>
        </w:tc>
        <w:tc>
          <w:tcPr>
            <w:cnfStyle w:evenVBand="true" w:oddVBand="false" w:firstColumn="false"/>
            <w:tcW w:w="25.000000%" w:type="pct"/>
          </w:tcPr>
          <w:p>
            <w:pPr>
              <w:ind w:leftChars="0" w:left="0" w:right="0"/>
            </w:pPr>
            <w:r>
              <w:t>1906</w:t>
            </w:r>
          </w:p>
        </w:tc>
      </w:tr>
      <w:tr>
        <w:trPr>
          <w:cnfStyle w:evenHBand="true" w:oddHBand="false" w:firstRow="false"/>
        </w:trPr>
        <w:tc>
          <w:tcPr>
            <w:cnfStyle w:evenVBand="false" w:oddVBand="true" w:firstColumn="false"/>
            <w:tcW w:w="25.000000%" w:type="pct"/>
          </w:tcPr>
          <w:p>
            <w:pPr>
              <w:ind w:leftChars="0" w:left="0" w:right="0"/>
            </w:pPr>
            <w:r>
              <w:t>WBLC</w:t>
            </w:r>
          </w:p>
        </w:tc>
        <w:tc>
          <w:tcPr>
            <w:cnfStyle w:evenVBand="true" w:oddVBand="false" w:firstColumn="false"/>
            <w:tcW w:w="25.000000%" w:type="pct"/>
          </w:tcPr>
          <w:p>
            <w:pPr>
              <w:ind w:leftChars="0" w:left="0" w:right="0"/>
            </w:pPr>
            <w:r>
              <w:t>WBLC</w:t>
            </w:r>
          </w:p>
        </w:tc>
        <w:tc>
          <w:tcPr>
            <w:cnfStyle w:evenVBand="false" w:oddVBand="true" w:firstColumn="false"/>
            <w:tcW w:w="25.000000%" w:type="pct"/>
          </w:tcPr>
          <w:p>
            <w:pPr>
              <w:ind w:leftChars="0" w:left="0" w:right="0"/>
            </w:pPr>
            <w:r>
              <w:t>WARSAW STOCK EXCHANGE/BONDS/CATALYST/LISTING</w:t>
            </w:r>
          </w:p>
        </w:tc>
        <w:tc>
          <w:tcPr>
            <w:cnfStyle w:evenVBand="true" w:oddVBand="false" w:firstColumn="false"/>
            <w:tcW w:w="25.000000%" w:type="pct"/>
          </w:tcPr>
          <w:p>
            <w:pPr>
              <w:ind w:leftChars="0" w:left="0" w:right="0"/>
            </w:pPr>
            <w:r>
              <w:t>1907</w:t>
            </w:r>
          </w:p>
        </w:tc>
      </w:tr>
      <w:tr>
        <w:trPr>
          <w:cnfStyle w:evenHBand="false" w:oddHBand="true" w:firstRow="false"/>
        </w:trPr>
        <w:tc>
          <w:tcPr>
            <w:cnfStyle w:evenVBand="false" w:oddVBand="true" w:firstColumn="false"/>
            <w:tcW w:w="25.000000%" w:type="pct"/>
          </w:tcPr>
          <w:p>
            <w:pPr>
              <w:ind w:leftChars="0" w:left="0" w:right="0"/>
            </w:pPr>
            <w:r>
              <w:t>WBON</w:t>
            </w:r>
          </w:p>
        </w:tc>
        <w:tc>
          <w:tcPr>
            <w:cnfStyle w:evenVBand="true" w:oddVBand="false" w:firstColumn="false"/>
            <w:tcW w:w="25.000000%" w:type="pct"/>
          </w:tcPr>
          <w:p>
            <w:pPr>
              <w:ind w:leftChars="0" w:left="0" w:right="0"/>
            </w:pPr>
            <w:r>
              <w:t>WBON</w:t>
            </w:r>
          </w:p>
        </w:tc>
        <w:tc>
          <w:tcPr>
            <w:cnfStyle w:evenVBand="false" w:oddVBand="true" w:firstColumn="false"/>
            <w:tcW w:w="25.000000%" w:type="pct"/>
          </w:tcPr>
          <w:p>
            <w:pPr>
              <w:ind w:leftChars="0" w:left="0" w:right="0"/>
            </w:pPr>
            <w:r>
              <w:t>WARSAW STOCK EXCHANGE/ BONDS/CATALYST/MAIN MARKET</w:t>
            </w:r>
          </w:p>
        </w:tc>
        <w:tc>
          <w:tcPr>
            <w:cnfStyle w:evenVBand="true" w:oddVBand="false" w:firstColumn="false"/>
            <w:tcW w:w="25.000000%" w:type="pct"/>
          </w:tcPr>
          <w:p>
            <w:pPr>
              <w:ind w:leftChars="0" w:left="0" w:right="0"/>
            </w:pPr>
            <w:r>
              <w:t>1908</w:t>
            </w:r>
          </w:p>
        </w:tc>
      </w:tr>
      <w:tr>
        <w:trPr>
          <w:cnfStyle w:evenHBand="true" w:oddHBand="false" w:firstRow="false"/>
        </w:trPr>
        <w:tc>
          <w:tcPr>
            <w:cnfStyle w:evenVBand="false" w:oddVBand="true" w:firstColumn="false"/>
            <w:tcW w:w="25.000000%" w:type="pct"/>
          </w:tcPr>
          <w:p>
            <w:pPr>
              <w:ind w:leftChars="0" w:left="0" w:right="0"/>
            </w:pPr>
            <w:r>
              <w:t>WCDE</w:t>
            </w:r>
          </w:p>
        </w:tc>
        <w:tc>
          <w:tcPr>
            <w:cnfStyle w:evenVBand="true" w:oddVBand="false" w:firstColumn="false"/>
            <w:tcW w:w="25.000000%" w:type="pct"/>
          </w:tcPr>
          <w:p>
            <w:pPr>
              <w:ind w:leftChars="0" w:left="0" w:right="0"/>
            </w:pPr>
            <w:r>
              <w:t>WCDE</w:t>
            </w:r>
          </w:p>
        </w:tc>
        <w:tc>
          <w:tcPr>
            <w:cnfStyle w:evenVBand="false" w:oddVBand="true" w:firstColumn="false"/>
            <w:tcW w:w="25.000000%" w:type="pct"/>
          </w:tcPr>
          <w:p>
            <w:pPr>
              <w:ind w:leftChars="0" w:left="0" w:right="0"/>
            </w:pPr>
            <w:r>
              <w:t>WARSAW STOCK EXCHANGE/COMMODITY DERIVATIVES</w:t>
            </w:r>
          </w:p>
        </w:tc>
        <w:tc>
          <w:tcPr>
            <w:cnfStyle w:evenVBand="true" w:oddVBand="false" w:firstColumn="false"/>
            <w:tcW w:w="25.000000%" w:type="pct"/>
          </w:tcPr>
          <w:p>
            <w:pPr>
              <w:ind w:leftChars="0" w:left="0" w:right="0"/>
            </w:pPr>
            <w:r>
              <w:t>1909</w:t>
            </w:r>
          </w:p>
        </w:tc>
      </w:tr>
      <w:tr>
        <w:trPr>
          <w:cnfStyle w:evenHBand="false" w:oddHBand="true" w:firstRow="false"/>
        </w:trPr>
        <w:tc>
          <w:tcPr>
            <w:cnfStyle w:evenVBand="false" w:oddVBand="true" w:firstColumn="false"/>
            <w:tcW w:w="25.000000%" w:type="pct"/>
          </w:tcPr>
          <w:p>
            <w:pPr>
              <w:ind w:leftChars="0" w:left="0" w:right="0"/>
            </w:pPr>
            <w:r>
              <w:t>WCLK</w:t>
            </w:r>
          </w:p>
        </w:tc>
        <w:tc>
          <w:tcPr>
            <w:cnfStyle w:evenVBand="true" w:oddVBand="false" w:firstColumn="false"/>
            <w:tcW w:w="25.000000%" w:type="pct"/>
          </w:tcPr>
          <w:p>
            <w:pPr>
              <w:ind w:leftChars="0" w:left="0" w:right="0"/>
            </w:pPr>
            <w:r>
              <w:t>WCLK</w:t>
            </w:r>
          </w:p>
        </w:tc>
        <w:tc>
          <w:tcPr>
            <w:cnfStyle w:evenVBand="false" w:oddVBand="true" w:firstColumn="false"/>
            <w:tcW w:w="25.000000%" w:type="pct"/>
          </w:tcPr>
          <w:p>
            <w:pPr>
              <w:ind w:leftChars="0" w:left="0" w:right="0"/>
            </w:pPr>
            <w:r>
              <w:t>ICAP WCLK</w:t>
            </w:r>
          </w:p>
        </w:tc>
        <w:tc>
          <w:tcPr>
            <w:cnfStyle w:evenVBand="true" w:oddVBand="false" w:firstColumn="false"/>
            <w:tcW w:w="25.000000%" w:type="pct"/>
          </w:tcPr>
          <w:p>
            <w:pPr>
              <w:ind w:leftChars="0" w:left="0" w:right="0"/>
            </w:pPr>
            <w:r>
              <w:t>1910</w:t>
            </w:r>
          </w:p>
        </w:tc>
      </w:tr>
      <w:tr>
        <w:trPr>
          <w:cnfStyle w:evenHBand="true" w:oddHBand="false" w:firstRow="false"/>
        </w:trPr>
        <w:tc>
          <w:tcPr>
            <w:cnfStyle w:evenVBand="false" w:oddVBand="true" w:firstColumn="false"/>
            <w:tcW w:w="25.000000%" w:type="pct"/>
          </w:tcPr>
          <w:p>
            <w:pPr>
              <w:ind w:leftChars="0" w:left="0" w:right="0"/>
            </w:pPr>
            <w:r>
              <w:t>WDER</w:t>
            </w:r>
          </w:p>
        </w:tc>
        <w:tc>
          <w:tcPr>
            <w:cnfStyle w:evenVBand="true" w:oddVBand="false" w:firstColumn="false"/>
            <w:tcW w:w="25.000000%" w:type="pct"/>
          </w:tcPr>
          <w:p>
            <w:pPr>
              <w:ind w:leftChars="0" w:left="0" w:right="0"/>
            </w:pPr>
            <w:r>
              <w:t>WDER</w:t>
            </w:r>
          </w:p>
        </w:tc>
        <w:tc>
          <w:tcPr>
            <w:cnfStyle w:evenVBand="false" w:oddVBand="true" w:firstColumn="false"/>
            <w:tcW w:w="25.000000%" w:type="pct"/>
          </w:tcPr>
          <w:p>
            <w:pPr>
              <w:ind w:leftChars="0" w:left="0" w:right="0"/>
            </w:pPr>
            <w:r>
              <w:t>WARSAW STOCK EXCHANGE/FINANCIAL DERIVATIVES</w:t>
            </w:r>
          </w:p>
        </w:tc>
        <w:tc>
          <w:tcPr>
            <w:cnfStyle w:evenVBand="true" w:oddVBand="false" w:firstColumn="false"/>
            <w:tcW w:w="25.000000%" w:type="pct"/>
          </w:tcPr>
          <w:p>
            <w:pPr>
              <w:ind w:leftChars="0" w:left="0" w:right="0"/>
            </w:pPr>
            <w:r>
              <w:t>1911</w:t>
            </w:r>
          </w:p>
        </w:tc>
      </w:tr>
      <w:tr>
        <w:trPr>
          <w:cnfStyle w:evenHBand="false" w:oddHBand="true" w:firstRow="false"/>
        </w:trPr>
        <w:tc>
          <w:tcPr>
            <w:cnfStyle w:evenVBand="false" w:oddVBand="true" w:firstColumn="false"/>
            <w:tcW w:w="25.000000%" w:type="pct"/>
          </w:tcPr>
          <w:p>
            <w:pPr>
              <w:ind w:leftChars="0" w:left="0" w:right="0"/>
            </w:pPr>
            <w:r>
              <w:t>WEED</w:t>
            </w:r>
          </w:p>
        </w:tc>
        <w:tc>
          <w:tcPr>
            <w:cnfStyle w:evenVBand="true" w:oddVBand="false" w:firstColumn="false"/>
            <w:tcW w:w="25.000000%" w:type="pct"/>
          </w:tcPr>
          <w:p>
            <w:pPr>
              <w:ind w:leftChars="0" w:left="0" w:right="0"/>
            </w:pPr>
            <w:r>
              <w:t>WEED</w:t>
            </w:r>
          </w:p>
        </w:tc>
        <w:tc>
          <w:tcPr>
            <w:cnfStyle w:evenVBand="false" w:oddVBand="true" w:firstColumn="false"/>
            <w:tcW w:w="25.000000%" w:type="pct"/>
          </w:tcPr>
          <w:p>
            <w:pPr>
              <w:ind w:leftChars="0" w:left="0" w:right="0"/>
            </w:pPr>
            <w:r>
              <w:t>WEEDEN AND CO MARKETS</w:t>
            </w:r>
          </w:p>
        </w:tc>
        <w:tc>
          <w:tcPr>
            <w:cnfStyle w:evenVBand="true" w:oddVBand="false" w:firstColumn="false"/>
            <w:tcW w:w="25.000000%" w:type="pct"/>
          </w:tcPr>
          <w:p>
            <w:pPr>
              <w:ind w:leftChars="0" w:left="0" w:right="0"/>
            </w:pPr>
            <w:r>
              <w:t>1912</w:t>
            </w:r>
          </w:p>
        </w:tc>
      </w:tr>
      <w:tr>
        <w:trPr>
          <w:cnfStyle w:evenHBand="true" w:oddHBand="false" w:firstRow="false"/>
        </w:trPr>
        <w:tc>
          <w:tcPr>
            <w:cnfStyle w:evenVBand="false" w:oddVBand="true" w:firstColumn="false"/>
            <w:tcW w:w="25.000000%" w:type="pct"/>
          </w:tcPr>
          <w:p>
            <w:pPr>
              <w:ind w:leftChars="0" w:left="0" w:right="0"/>
            </w:pPr>
            <w:r>
              <w:t>WELN</w:t>
            </w:r>
          </w:p>
        </w:tc>
        <w:tc>
          <w:tcPr>
            <w:cnfStyle w:evenVBand="true" w:oddVBand="false" w:firstColumn="false"/>
            <w:tcW w:w="25.000000%" w:type="pct"/>
          </w:tcPr>
          <w:p>
            <w:pPr>
              <w:ind w:leftChars="0" w:left="0" w:right="0"/>
            </w:pPr>
            <w:r>
              <w:t>WELN</w:t>
            </w:r>
          </w:p>
        </w:tc>
        <w:tc>
          <w:tcPr>
            <w:cnfStyle w:evenVBand="false" w:oddVBand="true" w:firstColumn="false"/>
            <w:tcW w:w="25.000000%" w:type="pct"/>
          </w:tcPr>
          <w:p>
            <w:pPr>
              <w:ind w:leftChars="0" w:left="0" w:right="0"/>
            </w:pPr>
            <w:r>
              <w:t>WEL - SYSTEMATIC INTERNALISER</w:t>
            </w:r>
          </w:p>
        </w:tc>
        <w:tc>
          <w:tcPr>
            <w:cnfStyle w:evenVBand="true" w:oddVBand="false" w:firstColumn="false"/>
            <w:tcW w:w="25.000000%" w:type="pct"/>
          </w:tcPr>
          <w:p>
            <w:pPr>
              <w:ind w:leftChars="0" w:left="0" w:right="0"/>
            </w:pPr>
            <w:r>
              <w:t>1913</w:t>
            </w:r>
          </w:p>
        </w:tc>
      </w:tr>
      <w:tr>
        <w:trPr>
          <w:cnfStyle w:evenHBand="false" w:oddHBand="true" w:firstRow="false"/>
        </w:trPr>
        <w:tc>
          <w:tcPr>
            <w:cnfStyle w:evenVBand="false" w:oddVBand="true" w:firstColumn="false"/>
            <w:tcW w:w="25.000000%" w:type="pct"/>
          </w:tcPr>
          <w:p>
            <w:pPr>
              <w:ind w:leftChars="0" w:left="0" w:right="0"/>
            </w:pPr>
            <w:r>
              <w:t>WELS</w:t>
            </w:r>
          </w:p>
        </w:tc>
        <w:tc>
          <w:tcPr>
            <w:cnfStyle w:evenVBand="true" w:oddVBand="false" w:firstColumn="false"/>
            <w:tcW w:w="25.000000%" w:type="pct"/>
          </w:tcPr>
          <w:p>
            <w:pPr>
              <w:ind w:leftChars="0" w:left="0" w:right="0"/>
            </w:pPr>
            <w:r>
              <w:t>WELS</w:t>
            </w:r>
          </w:p>
        </w:tc>
        <w:tc>
          <w:tcPr>
            <w:cnfStyle w:evenVBand="false" w:oddVBand="true" w:firstColumn="false"/>
            <w:tcW w:w="25.000000%" w:type="pct"/>
          </w:tcPr>
          <w:p>
            <w:pPr>
              <w:ind w:leftChars="0" w:left="0" w:right="0"/>
            </w:pPr>
            <w:r>
              <w:t>WELLS FARGO SECURITIES, LLC - CASH EQUITIES</w:t>
            </w:r>
          </w:p>
        </w:tc>
        <w:tc>
          <w:tcPr>
            <w:cnfStyle w:evenVBand="true" w:oddVBand="false" w:firstColumn="false"/>
            <w:tcW w:w="25.000000%" w:type="pct"/>
          </w:tcPr>
          <w:p>
            <w:pPr>
              <w:ind w:leftChars="0" w:left="0" w:right="0"/>
            </w:pPr>
            <w:r>
              <w:t>1914</w:t>
            </w:r>
          </w:p>
        </w:tc>
      </w:tr>
      <w:tr>
        <w:trPr>
          <w:cnfStyle w:evenHBand="true" w:oddHBand="false" w:firstRow="false"/>
        </w:trPr>
        <w:tc>
          <w:tcPr>
            <w:cnfStyle w:evenVBand="false" w:oddVBand="true" w:firstColumn="false"/>
            <w:tcW w:w="25.000000%" w:type="pct"/>
          </w:tcPr>
          <w:p>
            <w:pPr>
              <w:ind w:leftChars="0" w:left="0" w:right="0"/>
            </w:pPr>
            <w:r>
              <w:t>WELX</w:t>
            </w:r>
          </w:p>
        </w:tc>
        <w:tc>
          <w:tcPr>
            <w:cnfStyle w:evenVBand="true" w:oddVBand="false" w:firstColumn="false"/>
            <w:tcW w:w="25.000000%" w:type="pct"/>
          </w:tcPr>
          <w:p>
            <w:pPr>
              <w:ind w:leftChars="0" w:left="0" w:right="0"/>
            </w:pPr>
            <w:r>
              <w:t>WELX</w:t>
            </w:r>
          </w:p>
        </w:tc>
        <w:tc>
          <w:tcPr>
            <w:cnfStyle w:evenVBand="false" w:oddVBand="true" w:firstColumn="false"/>
            <w:tcW w:w="25.000000%" w:type="pct"/>
          </w:tcPr>
          <w:p>
            <w:pPr>
              <w:ind w:leftChars="0" w:left="0" w:right="0"/>
            </w:pPr>
            <w:r>
              <w:t>WELLS FARGO LIQUIDITY CROSS ATS</w:t>
            </w:r>
          </w:p>
        </w:tc>
        <w:tc>
          <w:tcPr>
            <w:cnfStyle w:evenVBand="true" w:oddVBand="false" w:firstColumn="false"/>
            <w:tcW w:w="25.000000%" w:type="pct"/>
          </w:tcPr>
          <w:p>
            <w:pPr>
              <w:ind w:leftChars="0" w:left="0" w:right="0"/>
            </w:pPr>
            <w:r>
              <w:t>1915</w:t>
            </w:r>
          </w:p>
        </w:tc>
      </w:tr>
      <w:tr>
        <w:trPr>
          <w:cnfStyle w:evenHBand="false" w:oddHBand="true" w:firstRow="false"/>
        </w:trPr>
        <w:tc>
          <w:tcPr>
            <w:cnfStyle w:evenVBand="false" w:oddVBand="true" w:firstColumn="false"/>
            <w:tcW w:w="25.000000%" w:type="pct"/>
          </w:tcPr>
          <w:p>
            <w:pPr>
              <w:ind w:leftChars="0" w:left="0" w:right="0"/>
            </w:pPr>
            <w:r>
              <w:t>WETP</w:t>
            </w:r>
          </w:p>
        </w:tc>
        <w:tc>
          <w:tcPr>
            <w:cnfStyle w:evenVBand="true" w:oddVBand="false" w:firstColumn="false"/>
            <w:tcW w:w="25.000000%" w:type="pct"/>
          </w:tcPr>
          <w:p>
            <w:pPr>
              <w:ind w:leftChars="0" w:left="0" w:right="0"/>
            </w:pPr>
            <w:r>
              <w:t>WETP</w:t>
            </w:r>
          </w:p>
        </w:tc>
        <w:tc>
          <w:tcPr>
            <w:cnfStyle w:evenVBand="false" w:oddVBand="true" w:firstColumn="false"/>
            <w:tcW w:w="25.000000%" w:type="pct"/>
          </w:tcPr>
          <w:p>
            <w:pPr>
              <w:ind w:leftChars="0" w:left="0" w:right="0"/>
            </w:pPr>
            <w:r>
              <w:t>WARSAW STOCK EXCHANGE/ ETPS</w:t>
            </w:r>
          </w:p>
        </w:tc>
        <w:tc>
          <w:tcPr>
            <w:cnfStyle w:evenVBand="true" w:oddVBand="false" w:firstColumn="false"/>
            <w:tcW w:w="25.000000%" w:type="pct"/>
          </w:tcPr>
          <w:p>
            <w:pPr>
              <w:ind w:leftChars="0" w:left="0" w:right="0"/>
            </w:pPr>
            <w:r>
              <w:t>1916</w:t>
            </w:r>
          </w:p>
        </w:tc>
      </w:tr>
      <w:tr>
        <w:trPr>
          <w:cnfStyle w:evenHBand="true" w:oddHBand="false" w:firstRow="false"/>
        </w:trPr>
        <w:tc>
          <w:tcPr>
            <w:cnfStyle w:evenVBand="false" w:oddVBand="true" w:firstColumn="false"/>
            <w:tcW w:w="25.000000%" w:type="pct"/>
          </w:tcPr>
          <w:p>
            <w:pPr>
              <w:ind w:leftChars="0" w:left="0" w:right="0"/>
            </w:pPr>
            <w:r>
              <w:t>WFLB</w:t>
            </w:r>
          </w:p>
        </w:tc>
        <w:tc>
          <w:tcPr>
            <w:cnfStyle w:evenVBand="true" w:oddVBand="false" w:firstColumn="false"/>
            <w:tcW w:w="25.000000%" w:type="pct"/>
          </w:tcPr>
          <w:p>
            <w:pPr>
              <w:ind w:leftChars="0" w:left="0" w:right="0"/>
            </w:pPr>
            <w:r>
              <w:t>WFLB</w:t>
            </w:r>
          </w:p>
        </w:tc>
        <w:tc>
          <w:tcPr>
            <w:cnfStyle w:evenVBand="false" w:oddVBand="true" w:firstColumn="false"/>
            <w:tcW w:w="25.000000%" w:type="pct"/>
          </w:tcPr>
          <w:p>
            <w:pPr>
              <w:ind w:leftChars="0" w:left="0" w:right="0"/>
            </w:pPr>
            <w:r>
              <w:t>WELLS FARGO BANK NA - LONDON BRANCH - SYSTEMATIC INTERNALISER</w:t>
            </w:r>
          </w:p>
        </w:tc>
        <w:tc>
          <w:tcPr>
            <w:cnfStyle w:evenVBand="true" w:oddVBand="false" w:firstColumn="false"/>
            <w:tcW w:w="25.000000%" w:type="pct"/>
          </w:tcPr>
          <w:p>
            <w:pPr>
              <w:ind w:leftChars="0" w:left="0" w:right="0"/>
            </w:pPr>
            <w:r>
              <w:t>1917</w:t>
            </w:r>
          </w:p>
        </w:tc>
      </w:tr>
      <w:tr>
        <w:trPr>
          <w:cnfStyle w:evenHBand="false" w:oddHBand="true" w:firstRow="false"/>
        </w:trPr>
        <w:tc>
          <w:tcPr>
            <w:cnfStyle w:evenVBand="false" w:oddVBand="true" w:firstColumn="false"/>
            <w:tcW w:w="25.000000%" w:type="pct"/>
          </w:tcPr>
          <w:p>
            <w:pPr>
              <w:ind w:leftChars="0" w:left="0" w:right="0"/>
            </w:pPr>
            <w:r>
              <w:t>WFSE</w:t>
            </w:r>
          </w:p>
        </w:tc>
        <w:tc>
          <w:tcPr>
            <w:cnfStyle w:evenVBand="true" w:oddVBand="false" w:firstColumn="false"/>
            <w:tcW w:w="25.000000%" w:type="pct"/>
          </w:tcPr>
          <w:p>
            <w:pPr>
              <w:ind w:leftChars="0" w:left="0" w:right="0"/>
            </w:pPr>
            <w:r>
              <w:t>WFSE</w:t>
            </w:r>
          </w:p>
        </w:tc>
        <w:tc>
          <w:tcPr>
            <w:cnfStyle w:evenVBand="false" w:oddVBand="true" w:firstColumn="false"/>
            <w:tcW w:w="25.000000%" w:type="pct"/>
          </w:tcPr>
          <w:p>
            <w:pPr>
              <w:ind w:leftChars="0" w:left="0" w:right="0"/>
            </w:pPr>
            <w:r>
              <w:t>WELLS FARGO SECURITIES EUROPE, S.A.</w:t>
            </w:r>
          </w:p>
        </w:tc>
        <w:tc>
          <w:tcPr>
            <w:cnfStyle w:evenVBand="true" w:oddVBand="false" w:firstColumn="false"/>
            <w:tcW w:w="25.000000%" w:type="pct"/>
          </w:tcPr>
          <w:p>
            <w:pPr>
              <w:ind w:leftChars="0" w:left="0" w:right="0"/>
            </w:pPr>
            <w:r>
              <w:t>1918</w:t>
            </w:r>
          </w:p>
        </w:tc>
      </w:tr>
      <w:tr>
        <w:trPr>
          <w:cnfStyle w:evenHBand="true" w:oddHBand="false" w:firstRow="false"/>
        </w:trPr>
        <w:tc>
          <w:tcPr>
            <w:cnfStyle w:evenVBand="false" w:oddVBand="true" w:firstColumn="false"/>
            <w:tcW w:w="25.000000%" w:type="pct"/>
          </w:tcPr>
          <w:p>
            <w:pPr>
              <w:ind w:leftChars="0" w:left="0" w:right="0"/>
            </w:pPr>
            <w:r>
              <w:t>WGAS</w:t>
            </w:r>
          </w:p>
        </w:tc>
        <w:tc>
          <w:tcPr>
            <w:cnfStyle w:evenVBand="true" w:oddVBand="false" w:firstColumn="false"/>
            <w:tcW w:w="25.000000%" w:type="pct"/>
          </w:tcPr>
          <w:p>
            <w:pPr>
              <w:ind w:leftChars="0" w:left="0" w:right="0"/>
            </w:pPr>
            <w:r>
              <w:t>WGAS</w:t>
            </w:r>
          </w:p>
        </w:tc>
        <w:tc>
          <w:tcPr>
            <w:cnfStyle w:evenVBand="false" w:oddVBand="true" w:firstColumn="false"/>
            <w:tcW w:w="25.000000%" w:type="pct"/>
          </w:tcPr>
          <w:p>
            <w:pPr>
              <w:ind w:leftChars="0" w:left="0" w:right="0"/>
            </w:pPr>
            <w:r>
              <w:t>WARSAW STOCK EXCHANGE/COMMODITIES/POLISH POWER EXCHANGE/GAS</w:t>
            </w:r>
          </w:p>
        </w:tc>
        <w:tc>
          <w:tcPr>
            <w:cnfStyle w:evenVBand="true" w:oddVBand="false" w:firstColumn="false"/>
            <w:tcW w:w="25.000000%" w:type="pct"/>
          </w:tcPr>
          <w:p>
            <w:pPr>
              <w:ind w:leftChars="0" w:left="0" w:right="0"/>
            </w:pPr>
            <w:r>
              <w:t>1919</w:t>
            </w:r>
          </w:p>
        </w:tc>
      </w:tr>
      <w:tr>
        <w:trPr>
          <w:cnfStyle w:evenHBand="false" w:oddHBand="true" w:firstRow="false"/>
        </w:trPr>
        <w:tc>
          <w:tcPr>
            <w:cnfStyle w:evenVBand="false" w:oddVBand="true" w:firstColumn="false"/>
            <w:tcW w:w="25.000000%" w:type="pct"/>
          </w:tcPr>
          <w:p>
            <w:pPr>
              <w:ind w:leftChars="0" w:left="0" w:right="0"/>
            </w:pPr>
            <w:r>
              <w:t>WIND</w:t>
            </w:r>
          </w:p>
        </w:tc>
        <w:tc>
          <w:tcPr>
            <w:cnfStyle w:evenVBand="true" w:oddVBand="false" w:firstColumn="false"/>
            <w:tcW w:w="25.000000%" w:type="pct"/>
          </w:tcPr>
          <w:p>
            <w:pPr>
              <w:ind w:leftChars="0" w:left="0" w:right="0"/>
            </w:pPr>
            <w:r>
              <w:t>WIND</w:t>
            </w:r>
          </w:p>
        </w:tc>
        <w:tc>
          <w:tcPr>
            <w:cnfStyle w:evenVBand="false" w:oddVBand="true" w:firstColumn="false"/>
            <w:tcW w:w="25.000000%" w:type="pct"/>
          </w:tcPr>
          <w:p>
            <w:pPr>
              <w:ind w:leftChars="0" w:left="0" w:right="0"/>
            </w:pPr>
            <w:r>
              <w:t>WARSAW STOCK EXCHANGE/INDICES</w:t>
            </w:r>
          </w:p>
        </w:tc>
        <w:tc>
          <w:tcPr>
            <w:cnfStyle w:evenVBand="true" w:oddVBand="false" w:firstColumn="false"/>
            <w:tcW w:w="25.000000%" w:type="pct"/>
          </w:tcPr>
          <w:p>
            <w:pPr>
              <w:ind w:leftChars="0" w:left="0" w:right="0"/>
            </w:pPr>
            <w:r>
              <w:t>1920</w:t>
            </w:r>
          </w:p>
        </w:tc>
      </w:tr>
      <w:tr>
        <w:trPr>
          <w:cnfStyle w:evenHBand="true" w:oddHBand="false" w:firstRow="false"/>
        </w:trPr>
        <w:tc>
          <w:tcPr>
            <w:cnfStyle w:evenVBand="false" w:oddVBand="true" w:firstColumn="false"/>
            <w:tcW w:w="25.000000%" w:type="pct"/>
          </w:tcPr>
          <w:p>
            <w:pPr>
              <w:ind w:leftChars="0" w:left="0" w:right="0"/>
            </w:pPr>
            <w:r>
              <w:t>WINS</w:t>
            </w:r>
          </w:p>
        </w:tc>
        <w:tc>
          <w:tcPr>
            <w:cnfStyle w:evenVBand="true" w:oddVBand="false" w:firstColumn="false"/>
            <w:tcW w:w="25.000000%" w:type="pct"/>
          </w:tcPr>
          <w:p>
            <w:pPr>
              <w:ind w:leftChars="0" w:left="0" w:right="0"/>
            </w:pPr>
            <w:r>
              <w:t>WINS</w:t>
            </w:r>
          </w:p>
        </w:tc>
        <w:tc>
          <w:tcPr>
            <w:cnfStyle w:evenVBand="false" w:oddVBand="true" w:firstColumn="false"/>
            <w:tcW w:w="25.000000%" w:type="pct"/>
          </w:tcPr>
          <w:p>
            <w:pPr>
              <w:ind w:leftChars="0" w:left="0" w:right="0"/>
            </w:pPr>
            <w:r>
              <w:t>WINTERFLOOD SECURITIES LIMITED - ELECTRONIC PLATFORM</w:t>
            </w:r>
          </w:p>
        </w:tc>
        <w:tc>
          <w:tcPr>
            <w:cnfStyle w:evenVBand="true" w:oddVBand="false" w:firstColumn="false"/>
            <w:tcW w:w="25.000000%" w:type="pct"/>
          </w:tcPr>
          <w:p>
            <w:pPr>
              <w:ind w:leftChars="0" w:left="0" w:right="0"/>
            </w:pPr>
            <w:r>
              <w:t>1921</w:t>
            </w:r>
          </w:p>
        </w:tc>
      </w:tr>
      <w:tr>
        <w:trPr>
          <w:cnfStyle w:evenHBand="false" w:oddHBand="true" w:firstRow="false"/>
        </w:trPr>
        <w:tc>
          <w:tcPr>
            <w:cnfStyle w:evenVBand="false" w:oddVBand="true" w:firstColumn="false"/>
            <w:tcW w:w="25.000000%" w:type="pct"/>
          </w:tcPr>
          <w:p>
            <w:pPr>
              <w:ind w:leftChars="0" w:left="0" w:right="0"/>
            </w:pPr>
            <w:r>
              <w:t>WINX</w:t>
            </w:r>
          </w:p>
        </w:tc>
        <w:tc>
          <w:tcPr>
            <w:cnfStyle w:evenVBand="true" w:oddVBand="false" w:firstColumn="false"/>
            <w:tcW w:w="25.000000%" w:type="pct"/>
          </w:tcPr>
          <w:p>
            <w:pPr>
              <w:ind w:leftChars="0" w:left="0" w:right="0"/>
            </w:pPr>
            <w:r>
              <w:t>WINX</w:t>
            </w:r>
          </w:p>
        </w:tc>
        <w:tc>
          <w:tcPr>
            <w:cnfStyle w:evenVBand="false" w:oddVBand="true" w:firstColumn="false"/>
            <w:tcW w:w="25.000000%" w:type="pct"/>
          </w:tcPr>
          <w:p>
            <w:pPr>
              <w:ind w:leftChars="0" w:left="0" w:right="0"/>
            </w:pPr>
            <w:r>
              <w:t>WINTERFLOOD SECURITIES LIMITED - MANUAL TRADING</w:t>
            </w:r>
          </w:p>
        </w:tc>
        <w:tc>
          <w:tcPr>
            <w:cnfStyle w:evenVBand="true" w:oddVBand="false" w:firstColumn="false"/>
            <w:tcW w:w="25.000000%" w:type="pct"/>
          </w:tcPr>
          <w:p>
            <w:pPr>
              <w:ind w:leftChars="0" w:left="0" w:right="0"/>
            </w:pPr>
            <w:r>
              <w:t>1922</w:t>
            </w:r>
          </w:p>
        </w:tc>
      </w:tr>
      <w:tr>
        <w:trPr>
          <w:cnfStyle w:evenHBand="true" w:oddHBand="false" w:firstRow="false"/>
        </w:trPr>
        <w:tc>
          <w:tcPr>
            <w:cnfStyle w:evenVBand="false" w:oddVBand="true" w:firstColumn="false"/>
            <w:tcW w:w="25.000000%" w:type="pct"/>
          </w:tcPr>
          <w:p>
            <w:pPr>
              <w:ind w:leftChars="0" w:left="0" w:right="0"/>
            </w:pPr>
            <w:r>
              <w:t>WIPO</w:t>
            </w:r>
          </w:p>
        </w:tc>
        <w:tc>
          <w:tcPr>
            <w:cnfStyle w:evenVBand="true" w:oddVBand="false" w:firstColumn="false"/>
            <w:tcW w:w="25.000000%" w:type="pct"/>
          </w:tcPr>
          <w:p>
            <w:pPr>
              <w:ind w:leftChars="0" w:left="0" w:right="0"/>
            </w:pPr>
            <w:r>
              <w:t>WIPO</w:t>
            </w:r>
          </w:p>
        </w:tc>
        <w:tc>
          <w:tcPr>
            <w:cnfStyle w:evenVBand="false" w:oddVBand="true" w:firstColumn="false"/>
            <w:tcW w:w="25.000000%" w:type="pct"/>
          </w:tcPr>
          <w:p>
            <w:pPr>
              <w:ind w:leftChars="0" w:left="0" w:right="0"/>
            </w:pPr>
            <w:r>
              <w:t>WARSAW STOCK EXCHANGE - OTHER THAN XOFF OR XXXX</w:t>
            </w:r>
          </w:p>
        </w:tc>
        <w:tc>
          <w:tcPr>
            <w:cnfStyle w:evenVBand="true" w:oddVBand="false" w:firstColumn="false"/>
            <w:tcW w:w="25.000000%" w:type="pct"/>
          </w:tcPr>
          <w:p>
            <w:pPr>
              <w:ind w:leftChars="0" w:left="0" w:right="0"/>
            </w:pPr>
            <w:r>
              <w:t>1923</w:t>
            </w:r>
          </w:p>
        </w:tc>
      </w:tr>
      <w:tr>
        <w:trPr>
          <w:cnfStyle w:evenHBand="false" w:oddHBand="true" w:firstRow="false"/>
        </w:trPr>
        <w:tc>
          <w:tcPr>
            <w:cnfStyle w:evenVBand="false" w:oddVBand="true" w:firstColumn="false"/>
            <w:tcW w:w="25.000000%" w:type="pct"/>
          </w:tcPr>
          <w:p>
            <w:pPr>
              <w:ind w:leftChars="0" w:left="0" w:right="0"/>
            </w:pPr>
            <w:r>
              <w:t>WMTF</w:t>
            </w:r>
          </w:p>
        </w:tc>
        <w:tc>
          <w:tcPr>
            <w:cnfStyle w:evenVBand="true" w:oddVBand="false" w:firstColumn="false"/>
            <w:tcW w:w="25.000000%" w:type="pct"/>
          </w:tcPr>
          <w:p>
            <w:pPr>
              <w:ind w:leftChars="0" w:left="0" w:right="0"/>
            </w:pPr>
            <w:r>
              <w:t>WMTF</w:t>
            </w:r>
          </w:p>
        </w:tc>
        <w:tc>
          <w:tcPr>
            <w:cnfStyle w:evenVBand="false" w:oddVBand="true" w:firstColumn="false"/>
            <w:tcW w:w="25.000000%" w:type="pct"/>
          </w:tcPr>
          <w:p>
            <w:pPr>
              <w:ind w:leftChars="0" w:left="0" w:right="0"/>
            </w:pPr>
            <w:r>
              <w:t>WARSAW STOCK EXCHANGE/BONDS/CATALYST/MTF</w:t>
            </w:r>
          </w:p>
        </w:tc>
        <w:tc>
          <w:tcPr>
            <w:cnfStyle w:evenVBand="true" w:oddVBand="false" w:firstColumn="false"/>
            <w:tcW w:w="25.000000%" w:type="pct"/>
          </w:tcPr>
          <w:p>
            <w:pPr>
              <w:ind w:leftChars="0" w:left="0" w:right="0"/>
            </w:pPr>
            <w:r>
              <w:t>1924</w:t>
            </w:r>
          </w:p>
        </w:tc>
      </w:tr>
      <w:tr>
        <w:trPr>
          <w:cnfStyle w:evenHBand="true" w:oddHBand="false" w:firstRow="false"/>
        </w:trPr>
        <w:tc>
          <w:tcPr>
            <w:cnfStyle w:evenVBand="false" w:oddVBand="true" w:firstColumn="false"/>
            <w:tcW w:w="25.000000%" w:type="pct"/>
          </w:tcPr>
          <w:p>
            <w:pPr>
              <w:ind w:leftChars="0" w:left="0" w:right="0"/>
            </w:pPr>
            <w:r>
              <w:t>WOOD</w:t>
            </w:r>
          </w:p>
        </w:tc>
        <w:tc>
          <w:tcPr>
            <w:cnfStyle w:evenVBand="true" w:oddVBand="false" w:firstColumn="false"/>
            <w:tcW w:w="25.000000%" w:type="pct"/>
          </w:tcPr>
          <w:p>
            <w:pPr>
              <w:ind w:leftChars="0" w:left="0" w:right="0"/>
            </w:pPr>
            <w:r>
              <w:t>WOOD</w:t>
            </w:r>
          </w:p>
        </w:tc>
        <w:tc>
          <w:tcPr>
            <w:cnfStyle w:evenVBand="false" w:oddVBand="true" w:firstColumn="false"/>
            <w:tcW w:w="25.000000%" w:type="pct"/>
          </w:tcPr>
          <w:p>
            <w:pPr>
              <w:ind w:leftChars="0" w:left="0" w:right="0"/>
            </w:pPr>
            <w:r>
              <w:t>WOOD &amp; COMPANY FINANCIAL SERVICES, A.S. - SYSTEMATIC INTERNALISER</w:t>
            </w:r>
          </w:p>
        </w:tc>
        <w:tc>
          <w:tcPr>
            <w:cnfStyle w:evenVBand="true" w:oddVBand="false" w:firstColumn="false"/>
            <w:tcW w:w="25.000000%" w:type="pct"/>
          </w:tcPr>
          <w:p>
            <w:pPr>
              <w:ind w:leftChars="0" w:left="0" w:right="0"/>
            </w:pPr>
            <w:r>
              <w:t>1925</w:t>
            </w:r>
          </w:p>
        </w:tc>
      </w:tr>
      <w:tr>
        <w:trPr>
          <w:cnfStyle w:evenHBand="false" w:oddHBand="true" w:firstRow="false"/>
        </w:trPr>
        <w:tc>
          <w:tcPr>
            <w:cnfStyle w:evenVBand="false" w:oddVBand="true" w:firstColumn="false"/>
            <w:tcW w:w="25.000000%" w:type="pct"/>
          </w:tcPr>
          <w:p>
            <w:pPr>
              <w:ind w:leftChars="0" w:left="0" w:right="0"/>
            </w:pPr>
            <w:r>
              <w:t>WOPO</w:t>
            </w:r>
          </w:p>
        </w:tc>
        <w:tc>
          <w:tcPr>
            <w:cnfStyle w:evenVBand="true" w:oddVBand="false" w:firstColumn="false"/>
            <w:tcW w:w="25.000000%" w:type="pct"/>
          </w:tcPr>
          <w:p>
            <w:pPr>
              <w:ind w:leftChars="0" w:left="0" w:right="0"/>
            </w:pPr>
            <w:r>
              <w:t>WOPO</w:t>
            </w:r>
          </w:p>
        </w:tc>
        <w:tc>
          <w:tcPr>
            <w:cnfStyle w:evenVBand="false" w:oddVBand="true" w:firstColumn="false"/>
            <w:tcW w:w="25.000000%" w:type="pct"/>
          </w:tcPr>
          <w:p>
            <w:pPr>
              <w:ind w:leftChars="0" w:left="0" w:right="0"/>
            </w:pPr>
            <w:r>
              <w:t>WARSAW STOCK EXCHANGE - SPO BOOK BUILDING</w:t>
            </w:r>
          </w:p>
        </w:tc>
        <w:tc>
          <w:tcPr>
            <w:cnfStyle w:evenVBand="true" w:oddVBand="false" w:firstColumn="false"/>
            <w:tcW w:w="25.000000%" w:type="pct"/>
          </w:tcPr>
          <w:p>
            <w:pPr>
              <w:ind w:leftChars="0" w:left="0" w:right="0"/>
            </w:pPr>
            <w:r>
              <w:t>1926</w:t>
            </w:r>
          </w:p>
        </w:tc>
      </w:tr>
      <w:tr>
        <w:trPr>
          <w:cnfStyle w:evenHBand="true" w:oddHBand="false" w:firstRow="false"/>
        </w:trPr>
        <w:tc>
          <w:tcPr>
            <w:cnfStyle w:evenVBand="false" w:oddVBand="true" w:firstColumn="false"/>
            <w:tcW w:w="25.000000%" w:type="pct"/>
          </w:tcPr>
          <w:p>
            <w:pPr>
              <w:ind w:leftChars="0" w:left="0" w:right="0"/>
            </w:pPr>
            <w:r>
              <w:t>WQXL</w:t>
            </w:r>
          </w:p>
        </w:tc>
        <w:tc>
          <w:tcPr>
            <w:cnfStyle w:evenVBand="true" w:oddVBand="false" w:firstColumn="false"/>
            <w:tcW w:w="25.000000%" w:type="pct"/>
          </w:tcPr>
          <w:p>
            <w:pPr>
              <w:ind w:leftChars="0" w:left="0" w:right="0"/>
            </w:pPr>
            <w:r>
              <w:t>WQXL</w:t>
            </w:r>
          </w:p>
        </w:tc>
        <w:tc>
          <w:tcPr>
            <w:cnfStyle w:evenVBand="false" w:oddVBand="true" w:firstColumn="false"/>
            <w:tcW w:w="25.000000%" w:type="pct"/>
          </w:tcPr>
          <w:p>
            <w:pPr>
              <w:ind w:leftChars="0" w:left="0" w:right="0"/>
            </w:pPr>
            <w:r>
              <w:t>EURONEXT - MARKET WITHOUT QUOTATIONS LISBON</w:t>
            </w:r>
          </w:p>
        </w:tc>
        <w:tc>
          <w:tcPr>
            <w:cnfStyle w:evenVBand="true" w:oddVBand="false" w:firstColumn="false"/>
            <w:tcW w:w="25.000000%" w:type="pct"/>
          </w:tcPr>
          <w:p>
            <w:pPr>
              <w:ind w:leftChars="0" w:left="0" w:right="0"/>
            </w:pPr>
            <w:r>
              <w:t>1927</w:t>
            </w:r>
          </w:p>
        </w:tc>
      </w:tr>
      <w:tr>
        <w:trPr>
          <w:cnfStyle w:evenHBand="false" w:oddHBand="true" w:firstRow="false"/>
        </w:trPr>
        <w:tc>
          <w:tcPr>
            <w:cnfStyle w:evenVBand="false" w:oddVBand="true" w:firstColumn="false"/>
            <w:tcW w:w="25.000000%" w:type="pct"/>
          </w:tcPr>
          <w:p>
            <w:pPr>
              <w:ind w:leftChars="0" w:left="0" w:right="0"/>
            </w:pPr>
            <w:r>
              <w:t>WSAG</w:t>
            </w:r>
          </w:p>
        </w:tc>
        <w:tc>
          <w:tcPr>
            <w:cnfStyle w:evenVBand="true" w:oddVBand="false" w:firstColumn="false"/>
            <w:tcW w:w="25.000000%" w:type="pct"/>
          </w:tcPr>
          <w:p>
            <w:pPr>
              <w:ind w:leftChars="0" w:left="0" w:right="0"/>
            </w:pPr>
            <w:r>
              <w:t>WSAG</w:t>
            </w:r>
          </w:p>
        </w:tc>
        <w:tc>
          <w:tcPr>
            <w:cnfStyle w:evenVBand="false" w:oddVBand="true" w:firstColumn="false"/>
            <w:tcW w:w="25.000000%" w:type="pct"/>
          </w:tcPr>
          <w:p>
            <w:pPr>
              <w:ind w:leftChars="0" w:left="0" w:right="0"/>
            </w:pPr>
            <w:r>
              <w:t>WALL STREET ACCESS</w:t>
            </w:r>
          </w:p>
        </w:tc>
        <w:tc>
          <w:tcPr>
            <w:cnfStyle w:evenVBand="true" w:oddVBand="false" w:firstColumn="false"/>
            <w:tcW w:w="25.000000%" w:type="pct"/>
          </w:tcPr>
          <w:p>
            <w:pPr>
              <w:ind w:leftChars="0" w:left="0" w:right="0"/>
            </w:pPr>
            <w:r>
              <w:t>1928</w:t>
            </w:r>
          </w:p>
        </w:tc>
      </w:tr>
      <w:tr>
        <w:trPr>
          <w:cnfStyle w:evenHBand="true" w:oddHBand="false" w:firstRow="false"/>
        </w:trPr>
        <w:tc>
          <w:tcPr>
            <w:cnfStyle w:evenVBand="false" w:oddVBand="true" w:firstColumn="false"/>
            <w:tcW w:w="25.000000%" w:type="pct"/>
          </w:tcPr>
          <w:p>
            <w:pPr>
              <w:ind w:leftChars="0" w:left="0" w:right="0"/>
            </w:pPr>
            <w:r>
              <w:t>WSIL</w:t>
            </w:r>
          </w:p>
        </w:tc>
        <w:tc>
          <w:tcPr>
            <w:cnfStyle w:evenVBand="true" w:oddVBand="false" w:firstColumn="false"/>
            <w:tcW w:w="25.000000%" w:type="pct"/>
          </w:tcPr>
          <w:p>
            <w:pPr>
              <w:ind w:leftChars="0" w:left="0" w:right="0"/>
            </w:pPr>
            <w:r>
              <w:t>WSIL</w:t>
            </w:r>
          </w:p>
        </w:tc>
        <w:tc>
          <w:tcPr>
            <w:cnfStyle w:evenVBand="false" w:oddVBand="true" w:firstColumn="false"/>
            <w:tcW w:w="25.000000%" w:type="pct"/>
          </w:tcPr>
          <w:p>
            <w:pPr>
              <w:ind w:leftChars="0" w:left="0" w:right="0"/>
            </w:pPr>
            <w:r>
              <w:t>WELLS FARGO SECURITIES INTERNATIONAL</w:t>
            </w:r>
          </w:p>
        </w:tc>
        <w:tc>
          <w:tcPr>
            <w:cnfStyle w:evenVBand="true" w:oddVBand="false" w:firstColumn="false"/>
            <w:tcW w:w="25.000000%" w:type="pct"/>
          </w:tcPr>
          <w:p>
            <w:pPr>
              <w:ind w:leftChars="0" w:left="0" w:right="0"/>
            </w:pPr>
            <w:r>
              <w:t>1929</w:t>
            </w:r>
          </w:p>
        </w:tc>
      </w:tr>
      <w:tr>
        <w:trPr>
          <w:cnfStyle w:evenHBand="false" w:oddHBand="true" w:firstRow="false"/>
        </w:trPr>
        <w:tc>
          <w:tcPr>
            <w:cnfStyle w:evenVBand="false" w:oddVBand="true" w:firstColumn="false"/>
            <w:tcW w:w="25.000000%" w:type="pct"/>
          </w:tcPr>
          <w:p>
            <w:pPr>
              <w:ind w:leftChars="0" w:left="0" w:right="0"/>
            </w:pPr>
            <w:r>
              <w:t>WSIN</w:t>
            </w:r>
          </w:p>
        </w:tc>
        <w:tc>
          <w:tcPr>
            <w:cnfStyle w:evenVBand="true" w:oddVBand="false" w:firstColumn="false"/>
            <w:tcW w:w="25.000000%" w:type="pct"/>
          </w:tcPr>
          <w:p>
            <w:pPr>
              <w:ind w:leftChars="0" w:left="0" w:right="0"/>
            </w:pPr>
            <w:r>
              <w:t>WSIN</w:t>
            </w:r>
          </w:p>
        </w:tc>
        <w:tc>
          <w:tcPr>
            <w:cnfStyle w:evenVBand="false" w:oddVBand="true" w:firstColumn="false"/>
            <w:tcW w:w="25.000000%" w:type="pct"/>
          </w:tcPr>
          <w:p>
            <w:pPr>
              <w:ind w:leftChars="0" w:left="0" w:right="0"/>
            </w:pPr>
            <w:r>
              <w:t>WESTPAC BANKING CORPORATION - SYSTEMATIC INTERNALISER</w:t>
            </w:r>
          </w:p>
        </w:tc>
        <w:tc>
          <w:tcPr>
            <w:cnfStyle w:evenVBand="true" w:oddVBand="false" w:firstColumn="false"/>
            <w:tcW w:w="25.000000%" w:type="pct"/>
          </w:tcPr>
          <w:p>
            <w:pPr>
              <w:ind w:leftChars="0" w:left="0" w:right="0"/>
            </w:pPr>
            <w:r>
              <w:t>1930</w:t>
            </w:r>
          </w:p>
        </w:tc>
      </w:tr>
      <w:tr>
        <w:trPr>
          <w:cnfStyle w:evenHBand="true" w:oddHBand="false" w:firstRow="false"/>
        </w:trPr>
        <w:tc>
          <w:tcPr>
            <w:cnfStyle w:evenVBand="false" w:oddVBand="true" w:firstColumn="false"/>
            <w:tcW w:w="25.000000%" w:type="pct"/>
          </w:tcPr>
          <w:p>
            <w:pPr>
              <w:ind w:leftChars="0" w:left="0" w:right="0"/>
            </w:pPr>
            <w:r>
              <w:t>XA1X</w:t>
            </w:r>
          </w:p>
        </w:tc>
        <w:tc>
          <w:tcPr>
            <w:cnfStyle w:evenVBand="true" w:oddVBand="false" w:firstColumn="false"/>
            <w:tcW w:w="25.000000%" w:type="pct"/>
          </w:tcPr>
          <w:p>
            <w:pPr>
              <w:ind w:leftChars="0" w:left="0" w:right="0"/>
            </w:pPr>
            <w:r>
              <w:t>XA1X</w:t>
            </w:r>
          </w:p>
        </w:tc>
        <w:tc>
          <w:tcPr>
            <w:cnfStyle w:evenVBand="false" w:oddVBand="true" w:firstColumn="false"/>
            <w:tcW w:w="25.000000%" w:type="pct"/>
          </w:tcPr>
          <w:p>
            <w:pPr>
              <w:ind w:leftChars="0" w:left="0" w:right="0"/>
            </w:pPr>
            <w:r>
              <w:t>A1</w:t>
            </w:r>
          </w:p>
        </w:tc>
        <w:tc>
          <w:tcPr>
            <w:cnfStyle w:evenVBand="true" w:oddVBand="false" w:firstColumn="false"/>
            <w:tcW w:w="25.000000%" w:type="pct"/>
          </w:tcPr>
          <w:p>
            <w:pPr>
              <w:ind w:leftChars="0" w:left="0" w:right="0"/>
            </w:pPr>
            <w:r>
              <w:t>1931</w:t>
            </w:r>
          </w:p>
        </w:tc>
      </w:tr>
      <w:tr>
        <w:trPr>
          <w:cnfStyle w:evenHBand="false" w:oddHBand="true" w:firstRow="false"/>
        </w:trPr>
        <w:tc>
          <w:tcPr>
            <w:cnfStyle w:evenVBand="false" w:oddVBand="true" w:firstColumn="false"/>
            <w:tcW w:w="25.000000%" w:type="pct"/>
          </w:tcPr>
          <w:p>
            <w:pPr>
              <w:ind w:leftChars="0" w:left="0" w:right="0"/>
            </w:pPr>
            <w:r>
              <w:t>XABC</w:t>
            </w:r>
          </w:p>
        </w:tc>
        <w:tc>
          <w:tcPr>
            <w:cnfStyle w:evenVBand="true" w:oddVBand="false" w:firstColumn="false"/>
            <w:tcW w:w="25.000000%" w:type="pct"/>
          </w:tcPr>
          <w:p>
            <w:pPr>
              <w:ind w:leftChars="0" w:left="0" w:right="0"/>
            </w:pPr>
            <w:r>
              <w:t>XABC</w:t>
            </w:r>
          </w:p>
        </w:tc>
        <w:tc>
          <w:tcPr>
            <w:cnfStyle w:evenVBand="false" w:oddVBand="true" w:firstColumn="false"/>
            <w:tcW w:w="25.000000%" w:type="pct"/>
          </w:tcPr>
          <w:p>
            <w:pPr>
              <w:ind w:leftChars="0" w:left="0" w:right="0"/>
            </w:pPr>
            <w:r>
              <w:t>ABG SUNDAL COLLIER AB - SYSTEMATIC INTERNALISER</w:t>
            </w:r>
          </w:p>
        </w:tc>
        <w:tc>
          <w:tcPr>
            <w:cnfStyle w:evenVBand="true" w:oddVBand="false" w:firstColumn="false"/>
            <w:tcW w:w="25.000000%" w:type="pct"/>
          </w:tcPr>
          <w:p>
            <w:pPr>
              <w:ind w:leftChars="0" w:left="0" w:right="0"/>
            </w:pPr>
            <w:r>
              <w:t>1932</w:t>
            </w:r>
          </w:p>
        </w:tc>
      </w:tr>
      <w:tr>
        <w:trPr>
          <w:cnfStyle w:evenHBand="true" w:oddHBand="false" w:firstRow="false"/>
        </w:trPr>
        <w:tc>
          <w:tcPr>
            <w:cnfStyle w:evenVBand="false" w:oddVBand="true" w:firstColumn="false"/>
            <w:tcW w:w="25.000000%" w:type="pct"/>
          </w:tcPr>
          <w:p>
            <w:pPr>
              <w:ind w:leftChars="0" w:left="0" w:right="0"/>
            </w:pPr>
            <w:r>
              <w:t>XABG</w:t>
            </w:r>
          </w:p>
        </w:tc>
        <w:tc>
          <w:tcPr>
            <w:cnfStyle w:evenVBand="true" w:oddVBand="false" w:firstColumn="false"/>
            <w:tcW w:w="25.000000%" w:type="pct"/>
          </w:tcPr>
          <w:p>
            <w:pPr>
              <w:ind w:leftChars="0" w:left="0" w:right="0"/>
            </w:pPr>
            <w:r>
              <w:t>XABG</w:t>
            </w:r>
          </w:p>
        </w:tc>
        <w:tc>
          <w:tcPr>
            <w:cnfStyle w:evenVBand="false" w:oddVBand="true" w:firstColumn="false"/>
            <w:tcW w:w="25.000000%" w:type="pct"/>
          </w:tcPr>
          <w:p>
            <w:pPr>
              <w:ind w:leftChars="0" w:left="0" w:right="0"/>
            </w:pPr>
            <w:r>
              <w:t>ABG SUNDAL COLLIER ASA - SYSTEMATIC INTERNALISER</w:t>
            </w:r>
          </w:p>
        </w:tc>
        <w:tc>
          <w:tcPr>
            <w:cnfStyle w:evenVBand="true" w:oddVBand="false" w:firstColumn="false"/>
            <w:tcW w:w="25.000000%" w:type="pct"/>
          </w:tcPr>
          <w:p>
            <w:pPr>
              <w:ind w:leftChars="0" w:left="0" w:right="0"/>
            </w:pPr>
            <w:r>
              <w:t>1933</w:t>
            </w:r>
          </w:p>
        </w:tc>
      </w:tr>
      <w:tr>
        <w:trPr>
          <w:cnfStyle w:evenHBand="false" w:oddHBand="true" w:firstRow="false"/>
        </w:trPr>
        <w:tc>
          <w:tcPr>
            <w:cnfStyle w:evenVBand="false" w:oddVBand="true" w:firstColumn="false"/>
            <w:tcW w:w="25.000000%" w:type="pct"/>
          </w:tcPr>
          <w:p>
            <w:pPr>
              <w:ind w:leftChars="0" w:left="0" w:right="0"/>
            </w:pPr>
            <w:r>
              <w:t>XABJ</w:t>
            </w:r>
          </w:p>
        </w:tc>
        <w:tc>
          <w:tcPr>
            <w:cnfStyle w:evenVBand="true" w:oddVBand="false" w:firstColumn="false"/>
            <w:tcW w:w="25.000000%" w:type="pct"/>
          </w:tcPr>
          <w:p>
            <w:pPr>
              <w:ind w:leftChars="0" w:left="0" w:right="0"/>
            </w:pPr>
            <w:r>
              <w:t>XABJ</w:t>
            </w:r>
          </w:p>
        </w:tc>
        <w:tc>
          <w:tcPr>
            <w:cnfStyle w:evenVBand="false" w:oddVBand="true" w:firstColumn="false"/>
            <w:tcW w:w="25.000000%" w:type="pct"/>
          </w:tcPr>
          <w:p>
            <w:pPr>
              <w:ind w:leftChars="0" w:left="0" w:right="0"/>
            </w:pPr>
            <w:r>
              <w:t>BOURSE DES VALEURS ABIDJAN</w:t>
            </w:r>
          </w:p>
        </w:tc>
        <w:tc>
          <w:tcPr>
            <w:cnfStyle w:evenVBand="true" w:oddVBand="false" w:firstColumn="false"/>
            <w:tcW w:w="25.000000%" w:type="pct"/>
          </w:tcPr>
          <w:p>
            <w:pPr>
              <w:ind w:leftChars="0" w:left="0" w:right="0"/>
            </w:pPr>
            <w:r>
              <w:t>1934</w:t>
            </w:r>
          </w:p>
        </w:tc>
      </w:tr>
      <w:tr>
        <w:trPr>
          <w:cnfStyle w:evenHBand="true" w:oddHBand="false" w:firstRow="false"/>
        </w:trPr>
        <w:tc>
          <w:tcPr>
            <w:cnfStyle w:evenVBand="false" w:oddVBand="true" w:firstColumn="false"/>
            <w:tcW w:w="25.000000%" w:type="pct"/>
          </w:tcPr>
          <w:p>
            <w:pPr>
              <w:ind w:leftChars="0" w:left="0" w:right="0"/>
            </w:pPr>
            <w:r>
              <w:t>XABX</w:t>
            </w:r>
          </w:p>
        </w:tc>
        <w:tc>
          <w:tcPr>
            <w:cnfStyle w:evenVBand="true" w:oddVBand="false" w:firstColumn="false"/>
            <w:tcW w:w="25.000000%" w:type="pct"/>
          </w:tcPr>
          <w:p>
            <w:pPr>
              <w:ind w:leftChars="0" w:left="0" w:right="0"/>
            </w:pPr>
            <w:r>
              <w:t>XABX</w:t>
            </w:r>
          </w:p>
        </w:tc>
        <w:tc>
          <w:tcPr>
            <w:cnfStyle w:evenVBand="false" w:oddVBand="true" w:firstColumn="false"/>
            <w:tcW w:w="25.000000%" w:type="pct"/>
          </w:tcPr>
          <w:p>
            <w:pPr>
              <w:ind w:leftChars="0" w:left="0" w:right="0"/>
            </w:pPr>
            <w:r>
              <w:t>ABAXX EXCHANGE</w:t>
            </w:r>
          </w:p>
        </w:tc>
        <w:tc>
          <w:tcPr>
            <w:cnfStyle w:evenVBand="true" w:oddVBand="false" w:firstColumn="false"/>
            <w:tcW w:w="25.000000%" w:type="pct"/>
          </w:tcPr>
          <w:p>
            <w:pPr>
              <w:ind w:leftChars="0" w:left="0" w:right="0"/>
            </w:pPr>
            <w:r>
              <w:t>1935</w:t>
            </w:r>
          </w:p>
        </w:tc>
      </w:tr>
      <w:tr>
        <w:trPr>
          <w:cnfStyle w:evenHBand="false" w:oddHBand="true" w:firstRow="false"/>
        </w:trPr>
        <w:tc>
          <w:tcPr>
            <w:cnfStyle w:evenVBand="false" w:oddVBand="true" w:firstColumn="false"/>
            <w:tcW w:w="25.000000%" w:type="pct"/>
          </w:tcPr>
          <w:p>
            <w:pPr>
              <w:ind w:leftChars="0" w:left="0" w:right="0"/>
            </w:pPr>
            <w:r>
              <w:t>XACE</w:t>
            </w:r>
          </w:p>
        </w:tc>
        <w:tc>
          <w:tcPr>
            <w:cnfStyle w:evenVBand="true" w:oddVBand="false" w:firstColumn="false"/>
            <w:tcW w:w="25.000000%" w:type="pct"/>
          </w:tcPr>
          <w:p>
            <w:pPr>
              <w:ind w:leftChars="0" w:left="0" w:right="0"/>
            </w:pPr>
            <w:r>
              <w:t>XACE</w:t>
            </w:r>
          </w:p>
        </w:tc>
        <w:tc>
          <w:tcPr>
            <w:cnfStyle w:evenVBand="false" w:oddVBand="true" w:firstColumn="false"/>
            <w:tcW w:w="25.000000%" w:type="pct"/>
          </w:tcPr>
          <w:p>
            <w:pPr>
              <w:ind w:leftChars="0" w:left="0" w:right="0"/>
            </w:pPr>
            <w:r>
              <w:t>AMSTERDAM COMMODITY EXCHANGE</w:t>
            </w:r>
          </w:p>
        </w:tc>
        <w:tc>
          <w:tcPr>
            <w:cnfStyle w:evenVBand="true" w:oddVBand="false" w:firstColumn="false"/>
            <w:tcW w:w="25.000000%" w:type="pct"/>
          </w:tcPr>
          <w:p>
            <w:pPr>
              <w:ind w:leftChars="0" w:left="0" w:right="0"/>
            </w:pPr>
            <w:r>
              <w:t>1936</w:t>
            </w:r>
          </w:p>
        </w:tc>
      </w:tr>
      <w:tr>
        <w:trPr>
          <w:cnfStyle w:evenHBand="true" w:oddHBand="false" w:firstRow="false"/>
        </w:trPr>
        <w:tc>
          <w:tcPr>
            <w:cnfStyle w:evenVBand="false" w:oddVBand="true" w:firstColumn="false"/>
            <w:tcW w:w="25.000000%" w:type="pct"/>
          </w:tcPr>
          <w:p>
            <w:pPr>
              <w:ind w:leftChars="0" w:left="0" w:right="0"/>
            </w:pPr>
            <w:r>
              <w:t>XADE</w:t>
            </w:r>
          </w:p>
        </w:tc>
        <w:tc>
          <w:tcPr>
            <w:cnfStyle w:evenVBand="true" w:oddVBand="false" w:firstColumn="false"/>
            <w:tcW w:w="25.000000%" w:type="pct"/>
          </w:tcPr>
          <w:p>
            <w:pPr>
              <w:ind w:leftChars="0" w:left="0" w:right="0"/>
            </w:pPr>
            <w:r>
              <w:t>XADE</w:t>
            </w:r>
          </w:p>
        </w:tc>
        <w:tc>
          <w:tcPr>
            <w:cnfStyle w:evenVBand="false" w:oddVBand="true" w:firstColumn="false"/>
            <w:tcW w:w="25.000000%" w:type="pct"/>
          </w:tcPr>
          <w:p>
            <w:pPr>
              <w:ind w:leftChars="0" w:left="0" w:right="0"/>
            </w:pPr>
            <w:r>
              <w:t>ATHENS EXCHANGE S.A. DERIVATIVES MARKET</w:t>
            </w:r>
          </w:p>
        </w:tc>
        <w:tc>
          <w:tcPr>
            <w:cnfStyle w:evenVBand="true" w:oddVBand="false" w:firstColumn="false"/>
            <w:tcW w:w="25.000000%" w:type="pct"/>
          </w:tcPr>
          <w:p>
            <w:pPr>
              <w:ind w:leftChars="0" w:left="0" w:right="0"/>
            </w:pPr>
            <w:r>
              <w:t>1937</w:t>
            </w:r>
          </w:p>
        </w:tc>
      </w:tr>
      <w:tr>
        <w:trPr>
          <w:cnfStyle w:evenHBand="false" w:oddHBand="true" w:firstRow="false"/>
        </w:trPr>
        <w:tc>
          <w:tcPr>
            <w:cnfStyle w:evenVBand="false" w:oddVBand="true" w:firstColumn="false"/>
            <w:tcW w:w="25.000000%" w:type="pct"/>
          </w:tcPr>
          <w:p>
            <w:pPr>
              <w:ind w:leftChars="0" w:left="0" w:right="0"/>
            </w:pPr>
            <w:r>
              <w:t>XADF</w:t>
            </w:r>
          </w:p>
        </w:tc>
        <w:tc>
          <w:tcPr>
            <w:cnfStyle w:evenVBand="true" w:oddVBand="false" w:firstColumn="false"/>
            <w:tcW w:w="25.000000%" w:type="pct"/>
          </w:tcPr>
          <w:p>
            <w:pPr>
              <w:ind w:leftChars="0" w:left="0" w:right="0"/>
            </w:pPr>
            <w:r>
              <w:t>XADF</w:t>
            </w:r>
          </w:p>
        </w:tc>
        <w:tc>
          <w:tcPr>
            <w:cnfStyle w:evenVBand="false" w:oddVBand="true" w:firstColumn="false"/>
            <w:tcW w:w="25.000000%" w:type="pct"/>
          </w:tcPr>
          <w:p>
            <w:pPr>
              <w:ind w:leftChars="0" w:left="0" w:right="0"/>
            </w:pPr>
            <w:r>
              <w:t>FINRA ALTERNATIVE DISPLAY FACILITY (ADF)</w:t>
            </w:r>
          </w:p>
        </w:tc>
        <w:tc>
          <w:tcPr>
            <w:cnfStyle w:evenVBand="true" w:oddVBand="false" w:firstColumn="false"/>
            <w:tcW w:w="25.000000%" w:type="pct"/>
          </w:tcPr>
          <w:p>
            <w:pPr>
              <w:ind w:leftChars="0" w:left="0" w:right="0"/>
            </w:pPr>
            <w:r>
              <w:t>1938</w:t>
            </w:r>
          </w:p>
        </w:tc>
      </w:tr>
      <w:tr>
        <w:trPr>
          <w:cnfStyle w:evenHBand="true" w:oddHBand="false" w:firstRow="false"/>
        </w:trPr>
        <w:tc>
          <w:tcPr>
            <w:cnfStyle w:evenVBand="false" w:oddVBand="true" w:firstColumn="false"/>
            <w:tcW w:w="25.000000%" w:type="pct"/>
          </w:tcPr>
          <w:p>
            <w:pPr>
              <w:ind w:leftChars="0" w:left="0" w:right="0"/>
            </w:pPr>
            <w:r>
              <w:t>XADS</w:t>
            </w:r>
          </w:p>
        </w:tc>
        <w:tc>
          <w:tcPr>
            <w:cnfStyle w:evenVBand="true" w:oddVBand="false" w:firstColumn="false"/>
            <w:tcW w:w="25.000000%" w:type="pct"/>
          </w:tcPr>
          <w:p>
            <w:pPr>
              <w:ind w:leftChars="0" w:left="0" w:right="0"/>
            </w:pPr>
            <w:r>
              <w:t>XADS</w:t>
            </w:r>
          </w:p>
        </w:tc>
        <w:tc>
          <w:tcPr>
            <w:cnfStyle w:evenVBand="false" w:oddVBand="true" w:firstColumn="false"/>
            <w:tcW w:w="25.000000%" w:type="pct"/>
          </w:tcPr>
          <w:p>
            <w:pPr>
              <w:ind w:leftChars="0" w:left="0" w:right="0"/>
            </w:pPr>
            <w:r>
              <w:t>ABU DHABI SECURITIES EXCHANGE</w:t>
            </w:r>
          </w:p>
        </w:tc>
        <w:tc>
          <w:tcPr>
            <w:cnfStyle w:evenVBand="true" w:oddVBand="false" w:firstColumn="false"/>
            <w:tcW w:w="25.000000%" w:type="pct"/>
          </w:tcPr>
          <w:p>
            <w:pPr>
              <w:ind w:leftChars="0" w:left="0" w:right="0"/>
            </w:pPr>
            <w:r>
              <w:t>1939</w:t>
            </w:r>
          </w:p>
        </w:tc>
      </w:tr>
      <w:tr>
        <w:trPr>
          <w:cnfStyle w:evenHBand="false" w:oddHBand="true" w:firstRow="false"/>
        </w:trPr>
        <w:tc>
          <w:tcPr>
            <w:cnfStyle w:evenVBand="false" w:oddVBand="true" w:firstColumn="false"/>
            <w:tcW w:w="25.000000%" w:type="pct"/>
          </w:tcPr>
          <w:p>
            <w:pPr>
              <w:ind w:leftChars="0" w:left="0" w:right="0"/>
            </w:pPr>
            <w:r>
              <w:t>XAEX</w:t>
            </w:r>
          </w:p>
        </w:tc>
        <w:tc>
          <w:tcPr>
            <w:cnfStyle w:evenVBand="true" w:oddVBand="false" w:firstColumn="false"/>
            <w:tcW w:w="25.000000%" w:type="pct"/>
          </w:tcPr>
          <w:p>
            <w:pPr>
              <w:ind w:leftChars="0" w:left="0" w:right="0"/>
            </w:pPr>
            <w:r>
              <w:t>XAEX</w:t>
            </w:r>
          </w:p>
        </w:tc>
        <w:tc>
          <w:tcPr>
            <w:cnfStyle w:evenVBand="false" w:oddVBand="true" w:firstColumn="false"/>
            <w:tcW w:w="25.000000%" w:type="pct"/>
          </w:tcPr>
          <w:p>
            <w:pPr>
              <w:ind w:leftChars="0" w:left="0" w:right="0"/>
            </w:pPr>
            <w:r>
              <w:t>AEX-AGRICULTURAL FUTURES EXCHANGE</w:t>
            </w:r>
          </w:p>
        </w:tc>
        <w:tc>
          <w:tcPr>
            <w:cnfStyle w:evenVBand="true" w:oddVBand="false" w:firstColumn="false"/>
            <w:tcW w:w="25.000000%" w:type="pct"/>
          </w:tcPr>
          <w:p>
            <w:pPr>
              <w:ind w:leftChars="0" w:left="0" w:right="0"/>
            </w:pPr>
            <w:r>
              <w:t>1940</w:t>
            </w:r>
          </w:p>
        </w:tc>
      </w:tr>
      <w:tr>
        <w:trPr>
          <w:cnfStyle w:evenHBand="true" w:oddHBand="false" w:firstRow="false"/>
        </w:trPr>
        <w:tc>
          <w:tcPr>
            <w:cnfStyle w:evenVBand="false" w:oddVBand="true" w:firstColumn="false"/>
            <w:tcW w:w="25.000000%" w:type="pct"/>
          </w:tcPr>
          <w:p>
            <w:pPr>
              <w:ind w:leftChars="0" w:left="0" w:right="0"/>
            </w:pPr>
            <w:r>
              <w:t>XAFR</w:t>
            </w:r>
          </w:p>
        </w:tc>
        <w:tc>
          <w:tcPr>
            <w:cnfStyle w:evenVBand="true" w:oddVBand="false" w:firstColumn="false"/>
            <w:tcW w:w="25.000000%" w:type="pct"/>
          </w:tcPr>
          <w:p>
            <w:pPr>
              <w:ind w:leftChars="0" w:left="0" w:right="0"/>
            </w:pPr>
            <w:r>
              <w:t>XAFR</w:t>
            </w:r>
          </w:p>
        </w:tc>
        <w:tc>
          <w:tcPr>
            <w:cnfStyle w:evenVBand="false" w:oddVBand="true" w:firstColumn="false"/>
            <w:tcW w:w="25.000000%" w:type="pct"/>
          </w:tcPr>
          <w:p>
            <w:pPr>
              <w:ind w:leftChars="0" w:left="0" w:right="0"/>
            </w:pPr>
            <w:r>
              <w:t>ALTERNATIVA FRANCE</w:t>
            </w:r>
          </w:p>
        </w:tc>
        <w:tc>
          <w:tcPr>
            <w:cnfStyle w:evenVBand="true" w:oddVBand="false" w:firstColumn="false"/>
            <w:tcW w:w="25.000000%" w:type="pct"/>
          </w:tcPr>
          <w:p>
            <w:pPr>
              <w:ind w:leftChars="0" w:left="0" w:right="0"/>
            </w:pPr>
            <w:r>
              <w:t>1941</w:t>
            </w:r>
          </w:p>
        </w:tc>
      </w:tr>
      <w:tr>
        <w:trPr>
          <w:cnfStyle w:evenHBand="false" w:oddHBand="true" w:firstRow="false"/>
        </w:trPr>
        <w:tc>
          <w:tcPr>
            <w:cnfStyle w:evenVBand="false" w:oddVBand="true" w:firstColumn="false"/>
            <w:tcW w:w="25.000000%" w:type="pct"/>
          </w:tcPr>
          <w:p>
            <w:pPr>
              <w:ind w:leftChars="0" w:left="0" w:right="0"/>
            </w:pPr>
            <w:r>
              <w:t>XAFX</w:t>
            </w:r>
          </w:p>
        </w:tc>
        <w:tc>
          <w:tcPr>
            <w:cnfStyle w:evenVBand="true" w:oddVBand="false" w:firstColumn="false"/>
            <w:tcW w:w="25.000000%" w:type="pct"/>
          </w:tcPr>
          <w:p>
            <w:pPr>
              <w:ind w:leftChars="0" w:left="0" w:right="0"/>
            </w:pPr>
            <w:r>
              <w:t>XAFX</w:t>
            </w:r>
          </w:p>
        </w:tc>
        <w:tc>
          <w:tcPr>
            <w:cnfStyle w:evenVBand="false" w:oddVBand="true" w:firstColumn="false"/>
            <w:tcW w:w="25.000000%" w:type="pct"/>
          </w:tcPr>
          <w:p>
            <w:pPr>
              <w:ind w:leftChars="0" w:left="0" w:right="0"/>
            </w:pPr>
            <w:r>
              <w:t>AFRICAN STOCK EXCHANGE</w:t>
            </w:r>
          </w:p>
        </w:tc>
        <w:tc>
          <w:tcPr>
            <w:cnfStyle w:evenVBand="true" w:oddVBand="false" w:firstColumn="false"/>
            <w:tcW w:w="25.000000%" w:type="pct"/>
          </w:tcPr>
          <w:p>
            <w:pPr>
              <w:ind w:leftChars="0" w:left="0" w:right="0"/>
            </w:pPr>
            <w:r>
              <w:t>1942</w:t>
            </w:r>
          </w:p>
        </w:tc>
      </w:tr>
      <w:tr>
        <w:trPr>
          <w:cnfStyle w:evenHBand="true" w:oddHBand="false" w:firstRow="false"/>
        </w:trPr>
        <w:tc>
          <w:tcPr>
            <w:cnfStyle w:evenVBand="false" w:oddVBand="true" w:firstColumn="false"/>
            <w:tcW w:w="25.000000%" w:type="pct"/>
          </w:tcPr>
          <w:p>
            <w:pPr>
              <w:ind w:leftChars="0" w:left="0" w:right="0"/>
            </w:pPr>
            <w:r>
              <w:t>XAIM</w:t>
            </w:r>
          </w:p>
        </w:tc>
        <w:tc>
          <w:tcPr>
            <w:cnfStyle w:evenVBand="true" w:oddVBand="false" w:firstColumn="false"/>
            <w:tcW w:w="25.000000%" w:type="pct"/>
          </w:tcPr>
          <w:p>
            <w:pPr>
              <w:ind w:leftChars="0" w:left="0" w:right="0"/>
            </w:pPr>
            <w:r>
              <w:t>XAIM</w:t>
            </w:r>
          </w:p>
        </w:tc>
        <w:tc>
          <w:tcPr>
            <w:cnfStyle w:evenVBand="false" w:oddVBand="true" w:firstColumn="false"/>
            <w:tcW w:w="25.000000%" w:type="pct"/>
          </w:tcPr>
          <w:p>
            <w:pPr>
              <w:ind w:leftChars="0" w:left="0" w:right="0"/>
            </w:pPr>
            <w:r>
              <w:t>AIM ITALIA - MERCATO ALTERNATIVO DEL CAPITALE</w:t>
            </w:r>
          </w:p>
        </w:tc>
        <w:tc>
          <w:tcPr>
            <w:cnfStyle w:evenVBand="true" w:oddVBand="false" w:firstColumn="false"/>
            <w:tcW w:w="25.000000%" w:type="pct"/>
          </w:tcPr>
          <w:p>
            <w:pPr>
              <w:ind w:leftChars="0" w:left="0" w:right="0"/>
            </w:pPr>
            <w:r>
              <w:t>1943</w:t>
            </w:r>
          </w:p>
        </w:tc>
      </w:tr>
      <w:tr>
        <w:trPr>
          <w:cnfStyle w:evenHBand="false" w:oddHBand="true" w:firstRow="false"/>
        </w:trPr>
        <w:tc>
          <w:tcPr>
            <w:cnfStyle w:evenVBand="false" w:oddVBand="true" w:firstColumn="false"/>
            <w:tcW w:w="25.000000%" w:type="pct"/>
          </w:tcPr>
          <w:p>
            <w:pPr>
              <w:ind w:leftChars="0" w:left="0" w:right="0"/>
            </w:pPr>
            <w:r>
              <w:t>XALB</w:t>
            </w:r>
          </w:p>
        </w:tc>
        <w:tc>
          <w:tcPr>
            <w:cnfStyle w:evenVBand="true" w:oddVBand="false" w:firstColumn="false"/>
            <w:tcW w:w="25.000000%" w:type="pct"/>
          </w:tcPr>
          <w:p>
            <w:pPr>
              <w:ind w:leftChars="0" w:left="0" w:right="0"/>
            </w:pPr>
            <w:r>
              <w:t>XALB</w:t>
            </w:r>
          </w:p>
        </w:tc>
        <w:tc>
          <w:tcPr>
            <w:cnfStyle w:evenVBand="false" w:oddVBand="true" w:firstColumn="false"/>
            <w:tcW w:w="25.000000%" w:type="pct"/>
          </w:tcPr>
          <w:p>
            <w:pPr>
              <w:ind w:leftChars="0" w:left="0" w:right="0"/>
            </w:pPr>
            <w:r>
              <w:t>ALBERTA STOCK EXCHANGE, THE</w:t>
            </w:r>
          </w:p>
        </w:tc>
        <w:tc>
          <w:tcPr>
            <w:cnfStyle w:evenVBand="true" w:oddVBand="false" w:firstColumn="false"/>
            <w:tcW w:w="25.000000%" w:type="pct"/>
          </w:tcPr>
          <w:p>
            <w:pPr>
              <w:ind w:leftChars="0" w:left="0" w:right="0"/>
            </w:pPr>
            <w:r>
              <w:t>1944</w:t>
            </w:r>
          </w:p>
        </w:tc>
      </w:tr>
      <w:tr>
        <w:trPr>
          <w:cnfStyle w:evenHBand="true" w:oddHBand="false" w:firstRow="false"/>
        </w:trPr>
        <w:tc>
          <w:tcPr>
            <w:cnfStyle w:evenVBand="false" w:oddVBand="true" w:firstColumn="false"/>
            <w:tcW w:w="25.000000%" w:type="pct"/>
          </w:tcPr>
          <w:p>
            <w:pPr>
              <w:ind w:leftChars="0" w:left="0" w:right="0"/>
            </w:pPr>
            <w:r>
              <w:t>XALG</w:t>
            </w:r>
          </w:p>
        </w:tc>
        <w:tc>
          <w:tcPr>
            <w:cnfStyle w:evenVBand="true" w:oddVBand="false" w:firstColumn="false"/>
            <w:tcW w:w="25.000000%" w:type="pct"/>
          </w:tcPr>
          <w:p>
            <w:pPr>
              <w:ind w:leftChars="0" w:left="0" w:right="0"/>
            </w:pPr>
            <w:r>
              <w:t>XALG</w:t>
            </w:r>
          </w:p>
        </w:tc>
        <w:tc>
          <w:tcPr>
            <w:cnfStyle w:evenVBand="false" w:oddVBand="true" w:firstColumn="false"/>
            <w:tcW w:w="25.000000%" w:type="pct"/>
          </w:tcPr>
          <w:p>
            <w:pPr>
              <w:ind w:leftChars="0" w:left="0" w:right="0"/>
            </w:pPr>
            <w:r>
              <w:t>ALGIERS STOCK EXCHANGE</w:t>
            </w:r>
          </w:p>
        </w:tc>
        <w:tc>
          <w:tcPr>
            <w:cnfStyle w:evenVBand="true" w:oddVBand="false" w:firstColumn="false"/>
            <w:tcW w:w="25.000000%" w:type="pct"/>
          </w:tcPr>
          <w:p>
            <w:pPr>
              <w:ind w:leftChars="0" w:left="0" w:right="0"/>
            </w:pPr>
            <w:r>
              <w:t>1945</w:t>
            </w:r>
          </w:p>
        </w:tc>
      </w:tr>
      <w:tr>
        <w:trPr>
          <w:cnfStyle w:evenHBand="false" w:oddHBand="true" w:firstRow="false"/>
        </w:trPr>
        <w:tc>
          <w:tcPr>
            <w:cnfStyle w:evenVBand="false" w:oddVBand="true" w:firstColumn="false"/>
            <w:tcW w:w="25.000000%" w:type="pct"/>
          </w:tcPr>
          <w:p>
            <w:pPr>
              <w:ind w:leftChars="0" w:left="0" w:right="0"/>
            </w:pPr>
            <w:r>
              <w:t>XALS</w:t>
            </w:r>
          </w:p>
        </w:tc>
        <w:tc>
          <w:tcPr>
            <w:cnfStyle w:evenVBand="true" w:oddVBand="false" w:firstColumn="false"/>
            <w:tcW w:w="25.000000%" w:type="pct"/>
          </w:tcPr>
          <w:p>
            <w:pPr>
              <w:ind w:leftChars="0" w:left="0" w:right="0"/>
            </w:pPr>
            <w:r>
              <w:t>XALS</w:t>
            </w:r>
          </w:p>
        </w:tc>
        <w:tc>
          <w:tcPr>
            <w:cnfStyle w:evenVBand="false" w:oddVBand="true" w:firstColumn="false"/>
            <w:tcW w:w="25.000000%" w:type="pct"/>
          </w:tcPr>
          <w:p>
            <w:pPr>
              <w:ind w:leftChars="0" w:left="0" w:right="0"/>
            </w:pPr>
            <w:r>
              <w:t>ALBANIA SECURITIES EXCHANGE</w:t>
            </w:r>
          </w:p>
        </w:tc>
        <w:tc>
          <w:tcPr>
            <w:cnfStyle w:evenVBand="true" w:oddVBand="false" w:firstColumn="false"/>
            <w:tcW w:w="25.000000%" w:type="pct"/>
          </w:tcPr>
          <w:p>
            <w:pPr>
              <w:ind w:leftChars="0" w:left="0" w:right="0"/>
            </w:pPr>
            <w:r>
              <w:t>1946</w:t>
            </w:r>
          </w:p>
        </w:tc>
      </w:tr>
      <w:tr>
        <w:trPr>
          <w:cnfStyle w:evenHBand="true" w:oddHBand="false" w:firstRow="false"/>
        </w:trPr>
        <w:tc>
          <w:tcPr>
            <w:cnfStyle w:evenVBand="false" w:oddVBand="true" w:firstColumn="false"/>
            <w:tcW w:w="25.000000%" w:type="pct"/>
          </w:tcPr>
          <w:p>
            <w:pPr>
              <w:ind w:leftChars="0" w:left="0" w:right="0"/>
            </w:pPr>
            <w:r>
              <w:t>XALT</w:t>
            </w:r>
          </w:p>
        </w:tc>
        <w:tc>
          <w:tcPr>
            <w:cnfStyle w:evenVBand="true" w:oddVBand="false" w:firstColumn="false"/>
            <w:tcW w:w="25.000000%" w:type="pct"/>
          </w:tcPr>
          <w:p>
            <w:pPr>
              <w:ind w:leftChars="0" w:left="0" w:right="0"/>
            </w:pPr>
            <w:r>
              <w:t>XALT</w:t>
            </w:r>
          </w:p>
        </w:tc>
        <w:tc>
          <w:tcPr>
            <w:cnfStyle w:evenVBand="false" w:oddVBand="true" w:firstColumn="false"/>
            <w:tcW w:w="25.000000%" w:type="pct"/>
          </w:tcPr>
          <w:p>
            <w:pPr>
              <w:ind w:leftChars="0" w:left="0" w:right="0"/>
            </w:pPr>
            <w:r>
              <w:t>ALTEX - ATS</w:t>
            </w:r>
          </w:p>
        </w:tc>
        <w:tc>
          <w:tcPr>
            <w:cnfStyle w:evenVBand="true" w:oddVBand="false" w:firstColumn="false"/>
            <w:tcW w:w="25.000000%" w:type="pct"/>
          </w:tcPr>
          <w:p>
            <w:pPr>
              <w:ind w:leftChars="0" w:left="0" w:right="0"/>
            </w:pPr>
            <w:r>
              <w:t>1947</w:t>
            </w:r>
          </w:p>
        </w:tc>
      </w:tr>
      <w:tr>
        <w:trPr>
          <w:cnfStyle w:evenHBand="false" w:oddHBand="true" w:firstRow="false"/>
        </w:trPr>
        <w:tc>
          <w:tcPr>
            <w:cnfStyle w:evenVBand="false" w:oddVBand="true" w:firstColumn="false"/>
            <w:tcW w:w="25.000000%" w:type="pct"/>
          </w:tcPr>
          <w:p>
            <w:pPr>
              <w:ind w:leftChars="0" w:left="0" w:right="0"/>
            </w:pPr>
            <w:r>
              <w:t>XAMM</w:t>
            </w:r>
          </w:p>
        </w:tc>
        <w:tc>
          <w:tcPr>
            <w:cnfStyle w:evenVBand="true" w:oddVBand="false" w:firstColumn="false"/>
            <w:tcW w:w="25.000000%" w:type="pct"/>
          </w:tcPr>
          <w:p>
            <w:pPr>
              <w:ind w:leftChars="0" w:left="0" w:right="0"/>
            </w:pPr>
            <w:r>
              <w:t>XAMM</w:t>
            </w:r>
          </w:p>
        </w:tc>
        <w:tc>
          <w:tcPr>
            <w:cnfStyle w:evenVBand="false" w:oddVBand="true" w:firstColumn="false"/>
            <w:tcW w:w="25.000000%" w:type="pct"/>
          </w:tcPr>
          <w:p>
            <w:pPr>
              <w:ind w:leftChars="0" w:left="0" w:right="0"/>
            </w:pPr>
            <w:r>
              <w:t>AMMAN STOCK EXCHANGE</w:t>
            </w:r>
          </w:p>
        </w:tc>
        <w:tc>
          <w:tcPr>
            <w:cnfStyle w:evenVBand="true" w:oddVBand="false" w:firstColumn="false"/>
            <w:tcW w:w="25.000000%" w:type="pct"/>
          </w:tcPr>
          <w:p>
            <w:pPr>
              <w:ind w:leftChars="0" w:left="0" w:right="0"/>
            </w:pPr>
            <w:r>
              <w:t>1948</w:t>
            </w:r>
          </w:p>
        </w:tc>
      </w:tr>
      <w:tr>
        <w:trPr>
          <w:cnfStyle w:evenHBand="true" w:oddHBand="false" w:firstRow="false"/>
        </w:trPr>
        <w:tc>
          <w:tcPr>
            <w:cnfStyle w:evenVBand="false" w:oddVBand="true" w:firstColumn="false"/>
            <w:tcW w:w="25.000000%" w:type="pct"/>
          </w:tcPr>
          <w:p>
            <w:pPr>
              <w:ind w:leftChars="0" w:left="0" w:right="0"/>
            </w:pPr>
            <w:r>
              <w:t>XAMS</w:t>
            </w:r>
          </w:p>
        </w:tc>
        <w:tc>
          <w:tcPr>
            <w:cnfStyle w:evenVBand="true" w:oddVBand="false" w:firstColumn="false"/>
            <w:tcW w:w="25.000000%" w:type="pct"/>
          </w:tcPr>
          <w:p>
            <w:pPr>
              <w:ind w:leftChars="0" w:left="0" w:right="0"/>
            </w:pPr>
            <w:r>
              <w:t>XAMS</w:t>
            </w:r>
          </w:p>
        </w:tc>
        <w:tc>
          <w:tcPr>
            <w:cnfStyle w:evenVBand="false" w:oddVBand="true" w:firstColumn="false"/>
            <w:tcW w:w="25.000000%" w:type="pct"/>
          </w:tcPr>
          <w:p>
            <w:pPr>
              <w:ind w:leftChars="0" w:left="0" w:right="0"/>
            </w:pPr>
            <w:r>
              <w:t>EURONEXT - EURONEXT AMSTERDAM</w:t>
            </w:r>
          </w:p>
        </w:tc>
        <w:tc>
          <w:tcPr>
            <w:cnfStyle w:evenVBand="true" w:oddVBand="false" w:firstColumn="false"/>
            <w:tcW w:w="25.000000%" w:type="pct"/>
          </w:tcPr>
          <w:p>
            <w:pPr>
              <w:ind w:leftChars="0" w:left="0" w:right="0"/>
            </w:pPr>
            <w:r>
              <w:t>1949</w:t>
            </w:r>
          </w:p>
        </w:tc>
      </w:tr>
      <w:tr>
        <w:trPr>
          <w:cnfStyle w:evenHBand="false" w:oddHBand="true" w:firstRow="false"/>
        </w:trPr>
        <w:tc>
          <w:tcPr>
            <w:cnfStyle w:evenVBand="false" w:oddVBand="true" w:firstColumn="false"/>
            <w:tcW w:w="25.000000%" w:type="pct"/>
          </w:tcPr>
          <w:p>
            <w:pPr>
              <w:ind w:leftChars="0" w:left="0" w:right="0"/>
            </w:pPr>
            <w:r>
              <w:t>XANT</w:t>
            </w:r>
          </w:p>
        </w:tc>
        <w:tc>
          <w:tcPr>
            <w:cnfStyle w:evenVBand="true" w:oddVBand="false" w:firstColumn="false"/>
            <w:tcW w:w="25.000000%" w:type="pct"/>
          </w:tcPr>
          <w:p>
            <w:pPr>
              <w:ind w:leftChars="0" w:left="0" w:right="0"/>
            </w:pPr>
            <w:r>
              <w:t>XANT</w:t>
            </w:r>
          </w:p>
        </w:tc>
        <w:tc>
          <w:tcPr>
            <w:cnfStyle w:evenVBand="false" w:oddVBand="true" w:firstColumn="false"/>
            <w:tcW w:w="25.000000%" w:type="pct"/>
          </w:tcPr>
          <w:p>
            <w:pPr>
              <w:ind w:leftChars="0" w:left="0" w:right="0"/>
            </w:pPr>
            <w:r>
              <w:t>BEURS VAN ANTWERPEN (ANTWERP STOCK EXCHANGE)</w:t>
            </w:r>
          </w:p>
        </w:tc>
        <w:tc>
          <w:tcPr>
            <w:cnfStyle w:evenVBand="true" w:oddVBand="false" w:firstColumn="false"/>
            <w:tcW w:w="25.000000%" w:type="pct"/>
          </w:tcPr>
          <w:p>
            <w:pPr>
              <w:ind w:leftChars="0" w:left="0" w:right="0"/>
            </w:pPr>
            <w:r>
              <w:t>1950</w:t>
            </w:r>
          </w:p>
        </w:tc>
      </w:tr>
      <w:tr>
        <w:trPr>
          <w:cnfStyle w:evenHBand="true" w:oddHBand="false" w:firstRow="false"/>
        </w:trPr>
        <w:tc>
          <w:tcPr>
            <w:cnfStyle w:evenVBand="false" w:oddVBand="true" w:firstColumn="false"/>
            <w:tcW w:w="25.000000%" w:type="pct"/>
          </w:tcPr>
          <w:p>
            <w:pPr>
              <w:ind w:leftChars="0" w:left="0" w:right="0"/>
            </w:pPr>
            <w:r>
              <w:t>XAOM</w:t>
            </w:r>
          </w:p>
        </w:tc>
        <w:tc>
          <w:tcPr>
            <w:cnfStyle w:evenVBand="true" w:oddVBand="false" w:firstColumn="false"/>
            <w:tcW w:w="25.000000%" w:type="pct"/>
          </w:tcPr>
          <w:p>
            <w:pPr>
              <w:ind w:leftChars="0" w:left="0" w:right="0"/>
            </w:pPr>
            <w:r>
              <w:t>XAOM</w:t>
            </w:r>
          </w:p>
        </w:tc>
        <w:tc>
          <w:tcPr>
            <w:cnfStyle w:evenVBand="false" w:oddVBand="true" w:firstColumn="false"/>
            <w:tcW w:w="25.000000%" w:type="pct"/>
          </w:tcPr>
          <w:p>
            <w:pPr>
              <w:ind w:leftChars="0" w:left="0" w:right="0"/>
            </w:pPr>
            <w:r>
              <w:t>AUSTRALIAN OPTIONS MARKET</w:t>
            </w:r>
          </w:p>
        </w:tc>
        <w:tc>
          <w:tcPr>
            <w:cnfStyle w:evenVBand="true" w:oddVBand="false" w:firstColumn="false"/>
            <w:tcW w:w="25.000000%" w:type="pct"/>
          </w:tcPr>
          <w:p>
            <w:pPr>
              <w:ind w:leftChars="0" w:left="0" w:right="0"/>
            </w:pPr>
            <w:r>
              <w:t>1951</w:t>
            </w:r>
          </w:p>
        </w:tc>
      </w:tr>
      <w:tr>
        <w:trPr>
          <w:cnfStyle w:evenHBand="false" w:oddHBand="true" w:firstRow="false"/>
        </w:trPr>
        <w:tc>
          <w:tcPr>
            <w:cnfStyle w:evenVBand="false" w:oddVBand="true" w:firstColumn="false"/>
            <w:tcW w:w="25.000000%" w:type="pct"/>
          </w:tcPr>
          <w:p>
            <w:pPr>
              <w:ind w:leftChars="0" w:left="0" w:right="0"/>
            </w:pPr>
            <w:r>
              <w:t>XAPA</w:t>
            </w:r>
          </w:p>
        </w:tc>
        <w:tc>
          <w:tcPr>
            <w:cnfStyle w:evenVBand="true" w:oddVBand="false" w:firstColumn="false"/>
            <w:tcW w:w="25.000000%" w:type="pct"/>
          </w:tcPr>
          <w:p>
            <w:pPr>
              <w:ind w:leftChars="0" w:left="0" w:right="0"/>
            </w:pPr>
            <w:r>
              <w:t>XAPA</w:t>
            </w:r>
          </w:p>
        </w:tc>
        <w:tc>
          <w:tcPr>
            <w:cnfStyle w:evenVBand="false" w:oddVBand="true" w:firstColumn="false"/>
            <w:tcW w:w="25.000000%" w:type="pct"/>
          </w:tcPr>
          <w:p>
            <w:pPr>
              <w:ind w:leftChars="0" w:left="0" w:right="0"/>
            </w:pPr>
            <w:r>
              <w:t>EURONEXT - APA</w:t>
            </w:r>
          </w:p>
        </w:tc>
        <w:tc>
          <w:tcPr>
            <w:cnfStyle w:evenVBand="true" w:oddVBand="false" w:firstColumn="false"/>
            <w:tcW w:w="25.000000%" w:type="pct"/>
          </w:tcPr>
          <w:p>
            <w:pPr>
              <w:ind w:leftChars="0" w:left="0" w:right="0"/>
            </w:pPr>
            <w:r>
              <w:t>1952</w:t>
            </w:r>
          </w:p>
        </w:tc>
      </w:tr>
      <w:tr>
        <w:trPr>
          <w:cnfStyle w:evenHBand="true" w:oddHBand="false" w:firstRow="false"/>
        </w:trPr>
        <w:tc>
          <w:tcPr>
            <w:cnfStyle w:evenVBand="false" w:oddVBand="true" w:firstColumn="false"/>
            <w:tcW w:w="25.000000%" w:type="pct"/>
          </w:tcPr>
          <w:p>
            <w:pPr>
              <w:ind w:leftChars="0" w:left="0" w:right="0"/>
            </w:pPr>
            <w:r>
              <w:t>XAPI</w:t>
            </w:r>
          </w:p>
        </w:tc>
        <w:tc>
          <w:tcPr>
            <w:cnfStyle w:evenVBand="true" w:oddVBand="false" w:firstColumn="false"/>
            <w:tcW w:w="25.000000%" w:type="pct"/>
          </w:tcPr>
          <w:p>
            <w:pPr>
              <w:ind w:leftChars="0" w:left="0" w:right="0"/>
            </w:pPr>
            <w:r>
              <w:t>XAPI</w:t>
            </w:r>
          </w:p>
        </w:tc>
        <w:tc>
          <w:tcPr>
            <w:cnfStyle w:evenVBand="false" w:oddVBand="true" w:firstColumn="false"/>
            <w:tcW w:w="25.000000%" w:type="pct"/>
          </w:tcPr>
          <w:p>
            <w:pPr>
              <w:ind w:leftChars="0" w:left="0" w:right="0"/>
            </w:pPr>
            <w:r>
              <w:t>REGIONAL EXCHANGE CENTRE - MICEX FAR EAST</w:t>
            </w:r>
          </w:p>
        </w:tc>
        <w:tc>
          <w:tcPr>
            <w:cnfStyle w:evenVBand="true" w:oddVBand="false" w:firstColumn="false"/>
            <w:tcW w:w="25.000000%" w:type="pct"/>
          </w:tcPr>
          <w:p>
            <w:pPr>
              <w:ind w:leftChars="0" w:left="0" w:right="0"/>
            </w:pPr>
            <w:r>
              <w:t>1953</w:t>
            </w:r>
          </w:p>
        </w:tc>
      </w:tr>
      <w:tr>
        <w:trPr>
          <w:cnfStyle w:evenHBand="false" w:oddHBand="true" w:firstRow="false"/>
        </w:trPr>
        <w:tc>
          <w:tcPr>
            <w:cnfStyle w:evenVBand="false" w:oddVBand="true" w:firstColumn="false"/>
            <w:tcW w:w="25.000000%" w:type="pct"/>
          </w:tcPr>
          <w:p>
            <w:pPr>
              <w:ind w:leftChars="0" w:left="0" w:right="0"/>
            </w:pPr>
            <w:r>
              <w:t>XAQS</w:t>
            </w:r>
          </w:p>
        </w:tc>
        <w:tc>
          <w:tcPr>
            <w:cnfStyle w:evenVBand="true" w:oddVBand="false" w:firstColumn="false"/>
            <w:tcW w:w="25.000000%" w:type="pct"/>
          </w:tcPr>
          <w:p>
            <w:pPr>
              <w:ind w:leftChars="0" w:left="0" w:right="0"/>
            </w:pPr>
            <w:r>
              <w:t>XAQS</w:t>
            </w:r>
          </w:p>
        </w:tc>
        <w:tc>
          <w:tcPr>
            <w:cnfStyle w:evenVBand="false" w:oddVBand="true" w:firstColumn="false"/>
            <w:tcW w:w="25.000000%" w:type="pct"/>
          </w:tcPr>
          <w:p>
            <w:pPr>
              <w:ind w:leftChars="0" w:left="0" w:right="0"/>
            </w:pPr>
            <w:r>
              <w:t>AUTOMATED EQUITY FINANCE MARKETS</w:t>
            </w:r>
          </w:p>
        </w:tc>
        <w:tc>
          <w:tcPr>
            <w:cnfStyle w:evenVBand="true" w:oddVBand="false" w:firstColumn="false"/>
            <w:tcW w:w="25.000000%" w:type="pct"/>
          </w:tcPr>
          <w:p>
            <w:pPr>
              <w:ind w:leftChars="0" w:left="0" w:right="0"/>
            </w:pPr>
            <w:r>
              <w:t>1954</w:t>
            </w:r>
          </w:p>
        </w:tc>
      </w:tr>
      <w:tr>
        <w:trPr>
          <w:cnfStyle w:evenHBand="true" w:oddHBand="false" w:firstRow="false"/>
        </w:trPr>
        <w:tc>
          <w:tcPr>
            <w:cnfStyle w:evenVBand="false" w:oddVBand="true" w:firstColumn="false"/>
            <w:tcW w:w="25.000000%" w:type="pct"/>
          </w:tcPr>
          <w:p>
            <w:pPr>
              <w:ind w:leftChars="0" w:left="0" w:right="0"/>
            </w:pPr>
            <w:r>
              <w:t>XARC</w:t>
            </w:r>
          </w:p>
        </w:tc>
        <w:tc>
          <w:tcPr>
            <w:cnfStyle w:evenVBand="true" w:oddVBand="false" w:firstColumn="false"/>
            <w:tcW w:w="25.000000%" w:type="pct"/>
          </w:tcPr>
          <w:p>
            <w:pPr>
              <w:ind w:leftChars="0" w:left="0" w:right="0"/>
            </w:pPr>
            <w:r>
              <w:t>XARC</w:t>
            </w:r>
          </w:p>
        </w:tc>
        <w:tc>
          <w:tcPr>
            <w:cnfStyle w:evenVBand="false" w:oddVBand="true" w:firstColumn="false"/>
            <w:tcW w:w="25.000000%" w:type="pct"/>
          </w:tcPr>
          <w:p>
            <w:pPr>
              <w:ind w:leftChars="0" w:left="0" w:right="0"/>
            </w:pPr>
            <w:r>
              <w:t>THE ARCHIPELAGO ECN</w:t>
            </w:r>
          </w:p>
        </w:tc>
        <w:tc>
          <w:tcPr>
            <w:cnfStyle w:evenVBand="true" w:oddVBand="false" w:firstColumn="false"/>
            <w:tcW w:w="25.000000%" w:type="pct"/>
          </w:tcPr>
          <w:p>
            <w:pPr>
              <w:ind w:leftChars="0" w:left="0" w:right="0"/>
            </w:pPr>
            <w:r>
              <w:t>1955</w:t>
            </w:r>
          </w:p>
        </w:tc>
      </w:tr>
      <w:tr>
        <w:trPr>
          <w:cnfStyle w:evenHBand="false" w:oddHBand="true" w:firstRow="false"/>
        </w:trPr>
        <w:tc>
          <w:tcPr>
            <w:cnfStyle w:evenVBand="false" w:oddVBand="true" w:firstColumn="false"/>
            <w:tcW w:w="25.000000%" w:type="pct"/>
          </w:tcPr>
          <w:p>
            <w:pPr>
              <w:ind w:leftChars="0" w:left="0" w:right="0"/>
            </w:pPr>
            <w:r>
              <w:t>XARM</w:t>
            </w:r>
          </w:p>
        </w:tc>
        <w:tc>
          <w:tcPr>
            <w:cnfStyle w:evenVBand="true" w:oddVBand="false" w:firstColumn="false"/>
            <w:tcW w:w="25.000000%" w:type="pct"/>
          </w:tcPr>
          <w:p>
            <w:pPr>
              <w:ind w:leftChars="0" w:left="0" w:right="0"/>
            </w:pPr>
            <w:r>
              <w:t>XARM</w:t>
            </w:r>
          </w:p>
        </w:tc>
        <w:tc>
          <w:tcPr>
            <w:cnfStyle w:evenVBand="false" w:oddVBand="true" w:firstColumn="false"/>
            <w:tcW w:w="25.000000%" w:type="pct"/>
          </w:tcPr>
          <w:p>
            <w:pPr>
              <w:ind w:leftChars="0" w:left="0" w:right="0"/>
            </w:pPr>
            <w:r>
              <w:t>ARMENIA SECURITIES EXCHANGE</w:t>
            </w:r>
          </w:p>
        </w:tc>
        <w:tc>
          <w:tcPr>
            <w:cnfStyle w:evenVBand="true" w:oddVBand="false" w:firstColumn="false"/>
            <w:tcW w:w="25.000000%" w:type="pct"/>
          </w:tcPr>
          <w:p>
            <w:pPr>
              <w:ind w:leftChars="0" w:left="0" w:right="0"/>
            </w:pPr>
            <w:r>
              <w:t>1956</w:t>
            </w:r>
          </w:p>
        </w:tc>
      </w:tr>
      <w:tr>
        <w:trPr>
          <w:cnfStyle w:evenHBand="true" w:oddHBand="false" w:firstRow="false"/>
        </w:trPr>
        <w:tc>
          <w:tcPr>
            <w:cnfStyle w:evenVBand="false" w:oddVBand="true" w:firstColumn="false"/>
            <w:tcW w:w="25.000000%" w:type="pct"/>
          </w:tcPr>
          <w:p>
            <w:pPr>
              <w:ind w:leftChars="0" w:left="0" w:right="0"/>
            </w:pPr>
            <w:r>
              <w:t>XASE</w:t>
            </w:r>
          </w:p>
        </w:tc>
        <w:tc>
          <w:tcPr>
            <w:cnfStyle w:evenVBand="true" w:oddVBand="false" w:firstColumn="false"/>
            <w:tcW w:w="25.000000%" w:type="pct"/>
          </w:tcPr>
          <w:p>
            <w:pPr>
              <w:ind w:leftChars="0" w:left="0" w:right="0"/>
            </w:pPr>
            <w:r>
              <w:t>XASE</w:t>
            </w:r>
          </w:p>
        </w:tc>
        <w:tc>
          <w:tcPr>
            <w:cnfStyle w:evenVBand="false" w:oddVBand="true" w:firstColumn="false"/>
            <w:tcW w:w="25.000000%" w:type="pct"/>
          </w:tcPr>
          <w:p>
            <w:pPr>
              <w:ind w:leftChars="0" w:left="0" w:right="0"/>
            </w:pPr>
            <w:r>
              <w:t>NYSE MKT LLC</w:t>
            </w:r>
          </w:p>
        </w:tc>
        <w:tc>
          <w:tcPr>
            <w:cnfStyle w:evenVBand="true" w:oddVBand="false" w:firstColumn="false"/>
            <w:tcW w:w="25.000000%" w:type="pct"/>
          </w:tcPr>
          <w:p>
            <w:pPr>
              <w:ind w:leftChars="0" w:left="0" w:right="0"/>
            </w:pPr>
            <w:r>
              <w:t>1957</w:t>
            </w:r>
          </w:p>
        </w:tc>
      </w:tr>
      <w:tr>
        <w:trPr>
          <w:cnfStyle w:evenHBand="false" w:oddHBand="true" w:firstRow="false"/>
        </w:trPr>
        <w:tc>
          <w:tcPr>
            <w:cnfStyle w:evenVBand="false" w:oddVBand="true" w:firstColumn="false"/>
            <w:tcW w:w="25.000000%" w:type="pct"/>
          </w:tcPr>
          <w:p>
            <w:pPr>
              <w:ind w:leftChars="0" w:left="0" w:right="0"/>
            </w:pPr>
            <w:r>
              <w:t>XASM</w:t>
            </w:r>
          </w:p>
        </w:tc>
        <w:tc>
          <w:tcPr>
            <w:cnfStyle w:evenVBand="true" w:oddVBand="false" w:firstColumn="false"/>
            <w:tcW w:w="25.000000%" w:type="pct"/>
          </w:tcPr>
          <w:p>
            <w:pPr>
              <w:ind w:leftChars="0" w:left="0" w:right="0"/>
            </w:pPr>
            <w:r>
              <w:t>XASM</w:t>
            </w:r>
          </w:p>
        </w:tc>
        <w:tc>
          <w:tcPr>
            <w:cnfStyle w:evenVBand="false" w:oddVBand="true" w:firstColumn="false"/>
            <w:tcW w:w="25.000000%" w:type="pct"/>
          </w:tcPr>
          <w:p>
            <w:pPr>
              <w:ind w:leftChars="0" w:left="0" w:right="0"/>
            </w:pPr>
            <w:r>
              <w:t>IRISH STOCK EXCHANGE - GLOBAL EXCHANGE MARKET</w:t>
            </w:r>
          </w:p>
        </w:tc>
        <w:tc>
          <w:tcPr>
            <w:cnfStyle w:evenVBand="true" w:oddVBand="false" w:firstColumn="false"/>
            <w:tcW w:w="25.000000%" w:type="pct"/>
          </w:tcPr>
          <w:p>
            <w:pPr>
              <w:ind w:leftChars="0" w:left="0" w:right="0"/>
            </w:pPr>
            <w:r>
              <w:t>1958</w:t>
            </w:r>
          </w:p>
        </w:tc>
      </w:tr>
      <w:tr>
        <w:trPr>
          <w:cnfStyle w:evenHBand="true" w:oddHBand="false" w:firstRow="false"/>
        </w:trPr>
        <w:tc>
          <w:tcPr>
            <w:cnfStyle w:evenVBand="false" w:oddVBand="true" w:firstColumn="false"/>
            <w:tcW w:w="25.000000%" w:type="pct"/>
          </w:tcPr>
          <w:p>
            <w:pPr>
              <w:ind w:leftChars="0" w:left="0" w:right="0"/>
            </w:pPr>
            <w:r>
              <w:t>XASX</w:t>
            </w:r>
          </w:p>
        </w:tc>
        <w:tc>
          <w:tcPr>
            <w:cnfStyle w:evenVBand="true" w:oddVBand="false" w:firstColumn="false"/>
            <w:tcW w:w="25.000000%" w:type="pct"/>
          </w:tcPr>
          <w:p>
            <w:pPr>
              <w:ind w:leftChars="0" w:left="0" w:right="0"/>
            </w:pPr>
            <w:r>
              <w:t>XASX</w:t>
            </w:r>
          </w:p>
        </w:tc>
        <w:tc>
          <w:tcPr>
            <w:cnfStyle w:evenVBand="false" w:oddVBand="true" w:firstColumn="false"/>
            <w:tcW w:w="25.000000%" w:type="pct"/>
          </w:tcPr>
          <w:p>
            <w:pPr>
              <w:ind w:leftChars="0" w:left="0" w:right="0"/>
            </w:pPr>
            <w:r>
              <w:t>ASX - ALL MARKETS</w:t>
            </w:r>
          </w:p>
        </w:tc>
        <w:tc>
          <w:tcPr>
            <w:cnfStyle w:evenVBand="true" w:oddVBand="false" w:firstColumn="false"/>
            <w:tcW w:w="25.000000%" w:type="pct"/>
          </w:tcPr>
          <w:p>
            <w:pPr>
              <w:ind w:leftChars="0" w:left="0" w:right="0"/>
            </w:pPr>
            <w:r>
              <w:t>1959</w:t>
            </w:r>
          </w:p>
        </w:tc>
      </w:tr>
      <w:tr>
        <w:trPr>
          <w:cnfStyle w:evenHBand="false" w:oddHBand="true" w:firstRow="false"/>
        </w:trPr>
        <w:tc>
          <w:tcPr>
            <w:cnfStyle w:evenVBand="false" w:oddVBand="true" w:firstColumn="false"/>
            <w:tcW w:w="25.000000%" w:type="pct"/>
          </w:tcPr>
          <w:p>
            <w:pPr>
              <w:ind w:leftChars="0" w:left="0" w:right="0"/>
            </w:pPr>
            <w:r>
              <w:t>XATH</w:t>
            </w:r>
          </w:p>
        </w:tc>
        <w:tc>
          <w:tcPr>
            <w:cnfStyle w:evenVBand="true" w:oddVBand="false" w:firstColumn="false"/>
            <w:tcW w:w="25.000000%" w:type="pct"/>
          </w:tcPr>
          <w:p>
            <w:pPr>
              <w:ind w:leftChars="0" w:left="0" w:right="0"/>
            </w:pPr>
            <w:r>
              <w:t>XATH</w:t>
            </w:r>
          </w:p>
        </w:tc>
        <w:tc>
          <w:tcPr>
            <w:cnfStyle w:evenVBand="false" w:oddVBand="true" w:firstColumn="false"/>
            <w:tcW w:w="25.000000%" w:type="pct"/>
          </w:tcPr>
          <w:p>
            <w:pPr>
              <w:ind w:leftChars="0" w:left="0" w:right="0"/>
            </w:pPr>
            <w:r>
              <w:t>ATHENS EXCHANGE S.A. CASH MARKET</w:t>
            </w:r>
          </w:p>
        </w:tc>
        <w:tc>
          <w:tcPr>
            <w:cnfStyle w:evenVBand="true" w:oddVBand="false" w:firstColumn="false"/>
            <w:tcW w:w="25.000000%" w:type="pct"/>
          </w:tcPr>
          <w:p>
            <w:pPr>
              <w:ind w:leftChars="0" w:left="0" w:right="0"/>
            </w:pPr>
            <w:r>
              <w:t>1960</w:t>
            </w:r>
          </w:p>
        </w:tc>
      </w:tr>
      <w:tr>
        <w:trPr>
          <w:cnfStyle w:evenHBand="true" w:oddHBand="false" w:firstRow="false"/>
        </w:trPr>
        <w:tc>
          <w:tcPr>
            <w:cnfStyle w:evenVBand="false" w:oddVBand="true" w:firstColumn="false"/>
            <w:tcW w:w="25.000000%" w:type="pct"/>
          </w:tcPr>
          <w:p>
            <w:pPr>
              <w:ind w:leftChars="0" w:left="0" w:right="0"/>
            </w:pPr>
            <w:r>
              <w:t>XATL</w:t>
            </w:r>
          </w:p>
        </w:tc>
        <w:tc>
          <w:tcPr>
            <w:cnfStyle w:evenVBand="true" w:oddVBand="false" w:firstColumn="false"/>
            <w:tcW w:w="25.000000%" w:type="pct"/>
          </w:tcPr>
          <w:p>
            <w:pPr>
              <w:ind w:leftChars="0" w:left="0" w:right="0"/>
            </w:pPr>
            <w:r>
              <w:t>XATL</w:t>
            </w:r>
          </w:p>
        </w:tc>
        <w:tc>
          <w:tcPr>
            <w:cnfStyle w:evenVBand="false" w:oddVBand="true" w:firstColumn="false"/>
            <w:tcW w:w="25.000000%" w:type="pct"/>
          </w:tcPr>
          <w:p>
            <w:pPr>
              <w:ind w:leftChars="0" w:left="0" w:right="0"/>
            </w:pPr>
            <w:r>
              <w:t>ATLANTIC SECURITIES MARKET</w:t>
            </w:r>
          </w:p>
        </w:tc>
        <w:tc>
          <w:tcPr>
            <w:cnfStyle w:evenVBand="true" w:oddVBand="false" w:firstColumn="false"/>
            <w:tcW w:w="25.000000%" w:type="pct"/>
          </w:tcPr>
          <w:p>
            <w:pPr>
              <w:ind w:leftChars="0" w:left="0" w:right="0"/>
            </w:pPr>
            <w:r>
              <w:t>1961</w:t>
            </w:r>
          </w:p>
        </w:tc>
      </w:tr>
      <w:tr>
        <w:trPr>
          <w:cnfStyle w:evenHBand="false" w:oddHBand="true" w:firstRow="false"/>
        </w:trPr>
        <w:tc>
          <w:tcPr>
            <w:cnfStyle w:evenVBand="false" w:oddVBand="true" w:firstColumn="false"/>
            <w:tcW w:w="25.000000%" w:type="pct"/>
          </w:tcPr>
          <w:p>
            <w:pPr>
              <w:ind w:leftChars="0" w:left="0" w:right="0"/>
            </w:pPr>
            <w:r>
              <w:t>XATS</w:t>
            </w:r>
          </w:p>
        </w:tc>
        <w:tc>
          <w:tcPr>
            <w:cnfStyle w:evenVBand="true" w:oddVBand="false" w:firstColumn="false"/>
            <w:tcW w:w="25.000000%" w:type="pct"/>
          </w:tcPr>
          <w:p>
            <w:pPr>
              <w:ind w:leftChars="0" w:left="0" w:right="0"/>
            </w:pPr>
            <w:r>
              <w:t>XATS</w:t>
            </w:r>
          </w:p>
        </w:tc>
        <w:tc>
          <w:tcPr>
            <w:cnfStyle w:evenVBand="false" w:oddVBand="true" w:firstColumn="false"/>
            <w:tcW w:w="25.000000%" w:type="pct"/>
          </w:tcPr>
          <w:p>
            <w:pPr>
              <w:ind w:leftChars="0" w:left="0" w:right="0"/>
            </w:pPr>
            <w:r>
              <w:t>ALPHA EXCHANGE</w:t>
            </w:r>
          </w:p>
        </w:tc>
        <w:tc>
          <w:tcPr>
            <w:cnfStyle w:evenVBand="true" w:oddVBand="false" w:firstColumn="false"/>
            <w:tcW w:w="25.000000%" w:type="pct"/>
          </w:tcPr>
          <w:p>
            <w:pPr>
              <w:ind w:leftChars="0" w:left="0" w:right="0"/>
            </w:pPr>
            <w:r>
              <w:t>1962</w:t>
            </w:r>
          </w:p>
        </w:tc>
      </w:tr>
      <w:tr>
        <w:trPr>
          <w:cnfStyle w:evenHBand="true" w:oddHBand="false" w:firstRow="false"/>
        </w:trPr>
        <w:tc>
          <w:tcPr>
            <w:cnfStyle w:evenVBand="false" w:oddVBand="true" w:firstColumn="false"/>
            <w:tcW w:w="25.000000%" w:type="pct"/>
          </w:tcPr>
          <w:p>
            <w:pPr>
              <w:ind w:leftChars="0" w:left="0" w:right="0"/>
            </w:pPr>
            <w:r>
              <w:t>XAUK</w:t>
            </w:r>
          </w:p>
        </w:tc>
        <w:tc>
          <w:tcPr>
            <w:cnfStyle w:evenVBand="true" w:oddVBand="false" w:firstColumn="false"/>
            <w:tcW w:w="25.000000%" w:type="pct"/>
          </w:tcPr>
          <w:p>
            <w:pPr>
              <w:ind w:leftChars="0" w:left="0" w:right="0"/>
            </w:pPr>
            <w:r>
              <w:t>XAUK</w:t>
            </w:r>
          </w:p>
        </w:tc>
        <w:tc>
          <w:tcPr>
            <w:cnfStyle w:evenVBand="false" w:oddVBand="true" w:firstColumn="false"/>
            <w:tcW w:w="25.000000%" w:type="pct"/>
          </w:tcPr>
          <w:p>
            <w:pPr>
              <w:ind w:leftChars="0" w:left="0" w:right="0"/>
            </w:pPr>
            <w:r>
              <w:t>NEW ZEALAND STOCK EXCHANGE - AUCKLAND</w:t>
            </w:r>
          </w:p>
        </w:tc>
        <w:tc>
          <w:tcPr>
            <w:cnfStyle w:evenVBand="true" w:oddVBand="false" w:firstColumn="false"/>
            <w:tcW w:w="25.000000%" w:type="pct"/>
          </w:tcPr>
          <w:p>
            <w:pPr>
              <w:ind w:leftChars="0" w:left="0" w:right="0"/>
            </w:pPr>
            <w:r>
              <w:t>1963</w:t>
            </w:r>
          </w:p>
        </w:tc>
      </w:tr>
      <w:tr>
        <w:trPr>
          <w:cnfStyle w:evenHBand="false" w:oddHBand="true" w:firstRow="false"/>
        </w:trPr>
        <w:tc>
          <w:tcPr>
            <w:cnfStyle w:evenVBand="false" w:oddVBand="true" w:firstColumn="false"/>
            <w:tcW w:w="25.000000%" w:type="pct"/>
          </w:tcPr>
          <w:p>
            <w:pPr>
              <w:ind w:leftChars="0" w:left="0" w:right="0"/>
            </w:pPr>
            <w:r>
              <w:t>XAZX</w:t>
            </w:r>
          </w:p>
        </w:tc>
        <w:tc>
          <w:tcPr>
            <w:cnfStyle w:evenVBand="true" w:oddVBand="false" w:firstColumn="false"/>
            <w:tcW w:w="25.000000%" w:type="pct"/>
          </w:tcPr>
          <w:p>
            <w:pPr>
              <w:ind w:leftChars="0" w:left="0" w:right="0"/>
            </w:pPr>
            <w:r>
              <w:t>XAZX</w:t>
            </w:r>
          </w:p>
        </w:tc>
        <w:tc>
          <w:tcPr>
            <w:cnfStyle w:evenVBand="false" w:oddVBand="true" w:firstColumn="false"/>
            <w:tcW w:w="25.000000%" w:type="pct"/>
          </w:tcPr>
          <w:p>
            <w:pPr>
              <w:ind w:leftChars="0" w:left="0" w:right="0"/>
            </w:pPr>
            <w:r>
              <w:t>ARIZONA STOCK EXCHANGE</w:t>
            </w:r>
          </w:p>
        </w:tc>
        <w:tc>
          <w:tcPr>
            <w:cnfStyle w:evenVBand="true" w:oddVBand="false" w:firstColumn="false"/>
            <w:tcW w:w="25.000000%" w:type="pct"/>
          </w:tcPr>
          <w:p>
            <w:pPr>
              <w:ind w:leftChars="0" w:left="0" w:right="0"/>
            </w:pPr>
            <w:r>
              <w:t>1964</w:t>
            </w:r>
          </w:p>
        </w:tc>
      </w:tr>
      <w:tr>
        <w:trPr>
          <w:cnfStyle w:evenHBand="true" w:oddHBand="false" w:firstRow="false"/>
        </w:trPr>
        <w:tc>
          <w:tcPr>
            <w:cnfStyle w:evenVBand="false" w:oddVBand="true" w:firstColumn="false"/>
            <w:tcW w:w="25.000000%" w:type="pct"/>
          </w:tcPr>
          <w:p>
            <w:pPr>
              <w:ind w:leftChars="0" w:left="0" w:right="0"/>
            </w:pPr>
            <w:r>
              <w:t>XBAA</w:t>
            </w:r>
          </w:p>
        </w:tc>
        <w:tc>
          <w:tcPr>
            <w:cnfStyle w:evenVBand="true" w:oddVBand="false" w:firstColumn="false"/>
            <w:tcW w:w="25.000000%" w:type="pct"/>
          </w:tcPr>
          <w:p>
            <w:pPr>
              <w:ind w:leftChars="0" w:left="0" w:right="0"/>
            </w:pPr>
            <w:r>
              <w:t>XBAA</w:t>
            </w:r>
          </w:p>
        </w:tc>
        <w:tc>
          <w:tcPr>
            <w:cnfStyle w:evenVBand="false" w:oddVBand="true" w:firstColumn="false"/>
            <w:tcW w:w="25.000000%" w:type="pct"/>
          </w:tcPr>
          <w:p>
            <w:pPr>
              <w:ind w:leftChars="0" w:left="0" w:right="0"/>
            </w:pPr>
            <w:r>
              <w:t>BAHAMAS INTERNATIONAL SECURITIES EXCHANGE</w:t>
            </w:r>
          </w:p>
        </w:tc>
        <w:tc>
          <w:tcPr>
            <w:cnfStyle w:evenVBand="true" w:oddVBand="false" w:firstColumn="false"/>
            <w:tcW w:w="25.000000%" w:type="pct"/>
          </w:tcPr>
          <w:p>
            <w:pPr>
              <w:ind w:leftChars="0" w:left="0" w:right="0"/>
            </w:pPr>
            <w:r>
              <w:t>1965</w:t>
            </w:r>
          </w:p>
        </w:tc>
      </w:tr>
      <w:tr>
        <w:trPr>
          <w:cnfStyle w:evenHBand="false" w:oddHBand="true" w:firstRow="false"/>
        </w:trPr>
        <w:tc>
          <w:tcPr>
            <w:cnfStyle w:evenVBand="false" w:oddVBand="true" w:firstColumn="false"/>
            <w:tcW w:w="25.000000%" w:type="pct"/>
          </w:tcPr>
          <w:p>
            <w:pPr>
              <w:ind w:leftChars="0" w:left="0" w:right="0"/>
            </w:pPr>
            <w:r>
              <w:t>XBAB</w:t>
            </w:r>
          </w:p>
        </w:tc>
        <w:tc>
          <w:tcPr>
            <w:cnfStyle w:evenVBand="true" w:oddVBand="false" w:firstColumn="false"/>
            <w:tcW w:w="25.000000%" w:type="pct"/>
          </w:tcPr>
          <w:p>
            <w:pPr>
              <w:ind w:leftChars="0" w:left="0" w:right="0"/>
            </w:pPr>
            <w:r>
              <w:t>XBAB</w:t>
            </w:r>
          </w:p>
        </w:tc>
        <w:tc>
          <w:tcPr>
            <w:cnfStyle w:evenVBand="false" w:oddVBand="true" w:firstColumn="false"/>
            <w:tcW w:w="25.000000%" w:type="pct"/>
          </w:tcPr>
          <w:p>
            <w:pPr>
              <w:ind w:leftChars="0" w:left="0" w:right="0"/>
            </w:pPr>
            <w:r>
              <w:t>BARBADOS STOCK EXCHANGE</w:t>
            </w:r>
          </w:p>
        </w:tc>
        <w:tc>
          <w:tcPr>
            <w:cnfStyle w:evenVBand="true" w:oddVBand="false" w:firstColumn="false"/>
            <w:tcW w:w="25.000000%" w:type="pct"/>
          </w:tcPr>
          <w:p>
            <w:pPr>
              <w:ind w:leftChars="0" w:left="0" w:right="0"/>
            </w:pPr>
            <w:r>
              <w:t>1966</w:t>
            </w:r>
          </w:p>
        </w:tc>
      </w:tr>
      <w:tr>
        <w:trPr>
          <w:cnfStyle w:evenHBand="true" w:oddHBand="false" w:firstRow="false"/>
        </w:trPr>
        <w:tc>
          <w:tcPr>
            <w:cnfStyle w:evenVBand="false" w:oddVBand="true" w:firstColumn="false"/>
            <w:tcW w:w="25.000000%" w:type="pct"/>
          </w:tcPr>
          <w:p>
            <w:pPr>
              <w:ind w:leftChars="0" w:left="0" w:right="0"/>
            </w:pPr>
            <w:r>
              <w:t>XBAH</w:t>
            </w:r>
          </w:p>
        </w:tc>
        <w:tc>
          <w:tcPr>
            <w:cnfStyle w:evenVBand="true" w:oddVBand="false" w:firstColumn="false"/>
            <w:tcW w:w="25.000000%" w:type="pct"/>
          </w:tcPr>
          <w:p>
            <w:pPr>
              <w:ind w:leftChars="0" w:left="0" w:right="0"/>
            </w:pPr>
            <w:r>
              <w:t>XBAH</w:t>
            </w:r>
          </w:p>
        </w:tc>
        <w:tc>
          <w:tcPr>
            <w:cnfStyle w:evenVBand="false" w:oddVBand="true" w:firstColumn="false"/>
            <w:tcW w:w="25.000000%" w:type="pct"/>
          </w:tcPr>
          <w:p>
            <w:pPr>
              <w:ind w:leftChars="0" w:left="0" w:right="0"/>
            </w:pPr>
            <w:r>
              <w:t>BAHRAIN BOURSE</w:t>
            </w:r>
          </w:p>
        </w:tc>
        <w:tc>
          <w:tcPr>
            <w:cnfStyle w:evenVBand="true" w:oddVBand="false" w:firstColumn="false"/>
            <w:tcW w:w="25.000000%" w:type="pct"/>
          </w:tcPr>
          <w:p>
            <w:pPr>
              <w:ind w:leftChars="0" w:left="0" w:right="0"/>
            </w:pPr>
            <w:r>
              <w:t>1967</w:t>
            </w:r>
          </w:p>
        </w:tc>
      </w:tr>
      <w:tr>
        <w:trPr>
          <w:cnfStyle w:evenHBand="false" w:oddHBand="true" w:firstRow="false"/>
        </w:trPr>
        <w:tc>
          <w:tcPr>
            <w:cnfStyle w:evenVBand="false" w:oddVBand="true" w:firstColumn="false"/>
            <w:tcW w:w="25.000000%" w:type="pct"/>
          </w:tcPr>
          <w:p>
            <w:pPr>
              <w:ind w:leftChars="0" w:left="0" w:right="0"/>
            </w:pPr>
            <w:r>
              <w:t>XBAN</w:t>
            </w:r>
          </w:p>
        </w:tc>
        <w:tc>
          <w:tcPr>
            <w:cnfStyle w:evenVBand="true" w:oddVBand="false" w:firstColumn="false"/>
            <w:tcW w:w="25.000000%" w:type="pct"/>
          </w:tcPr>
          <w:p>
            <w:pPr>
              <w:ind w:leftChars="0" w:left="0" w:right="0"/>
            </w:pPr>
            <w:r>
              <w:t>XBAN</w:t>
            </w:r>
          </w:p>
        </w:tc>
        <w:tc>
          <w:tcPr>
            <w:cnfStyle w:evenVBand="false" w:oddVBand="true" w:firstColumn="false"/>
            <w:tcW w:w="25.000000%" w:type="pct"/>
          </w:tcPr>
          <w:p>
            <w:pPr>
              <w:ind w:leftChars="0" w:left="0" w:right="0"/>
            </w:pPr>
            <w:r>
              <w:t>BANGALORE STOCK EXCHANGE LTD</w:t>
            </w:r>
          </w:p>
        </w:tc>
        <w:tc>
          <w:tcPr>
            <w:cnfStyle w:evenVBand="true" w:oddVBand="false" w:firstColumn="false"/>
            <w:tcW w:w="25.000000%" w:type="pct"/>
          </w:tcPr>
          <w:p>
            <w:pPr>
              <w:ind w:leftChars="0" w:left="0" w:right="0"/>
            </w:pPr>
            <w:r>
              <w:t>1968</w:t>
            </w:r>
          </w:p>
        </w:tc>
      </w:tr>
      <w:tr>
        <w:trPr>
          <w:cnfStyle w:evenHBand="true" w:oddHBand="false" w:firstRow="false"/>
        </w:trPr>
        <w:tc>
          <w:tcPr>
            <w:cnfStyle w:evenVBand="false" w:oddVBand="true" w:firstColumn="false"/>
            <w:tcW w:w="25.000000%" w:type="pct"/>
          </w:tcPr>
          <w:p>
            <w:pPr>
              <w:ind w:leftChars="0" w:left="0" w:right="0"/>
            </w:pPr>
            <w:r>
              <w:t>XBAR</w:t>
            </w:r>
          </w:p>
        </w:tc>
        <w:tc>
          <w:tcPr>
            <w:cnfStyle w:evenVBand="true" w:oddVBand="false" w:firstColumn="false"/>
            <w:tcW w:w="25.000000%" w:type="pct"/>
          </w:tcPr>
          <w:p>
            <w:pPr>
              <w:ind w:leftChars="0" w:left="0" w:right="0"/>
            </w:pPr>
            <w:r>
              <w:t>XBAR</w:t>
            </w:r>
          </w:p>
        </w:tc>
        <w:tc>
          <w:tcPr>
            <w:cnfStyle w:evenVBand="false" w:oddVBand="true" w:firstColumn="false"/>
            <w:tcW w:w="25.000000%" w:type="pct"/>
          </w:tcPr>
          <w:p>
            <w:pPr>
              <w:ind w:leftChars="0" w:left="0" w:right="0"/>
            </w:pPr>
            <w:r>
              <w:t>BOLSA DE BARCELONA</w:t>
            </w:r>
          </w:p>
        </w:tc>
        <w:tc>
          <w:tcPr>
            <w:cnfStyle w:evenVBand="true" w:oddVBand="false" w:firstColumn="false"/>
            <w:tcW w:w="25.000000%" w:type="pct"/>
          </w:tcPr>
          <w:p>
            <w:pPr>
              <w:ind w:leftChars="0" w:left="0" w:right="0"/>
            </w:pPr>
            <w:r>
              <w:t>1969</w:t>
            </w:r>
          </w:p>
        </w:tc>
      </w:tr>
      <w:tr>
        <w:trPr>
          <w:cnfStyle w:evenHBand="false" w:oddHBand="true" w:firstRow="false"/>
        </w:trPr>
        <w:tc>
          <w:tcPr>
            <w:cnfStyle w:evenVBand="false" w:oddVBand="true" w:firstColumn="false"/>
            <w:tcW w:w="25.000000%" w:type="pct"/>
          </w:tcPr>
          <w:p>
            <w:pPr>
              <w:ind w:leftChars="0" w:left="0" w:right="0"/>
            </w:pPr>
            <w:r>
              <w:t>XBAV</w:t>
            </w:r>
          </w:p>
        </w:tc>
        <w:tc>
          <w:tcPr>
            <w:cnfStyle w:evenVBand="true" w:oddVBand="false" w:firstColumn="false"/>
            <w:tcW w:w="25.000000%" w:type="pct"/>
          </w:tcPr>
          <w:p>
            <w:pPr>
              <w:ind w:leftChars="0" w:left="0" w:right="0"/>
            </w:pPr>
            <w:r>
              <w:t>XBAV</w:t>
            </w:r>
          </w:p>
        </w:tc>
        <w:tc>
          <w:tcPr>
            <w:cnfStyle w:evenVBand="false" w:oddVBand="true" w:firstColumn="false"/>
            <w:tcW w:w="25.000000%" w:type="pct"/>
          </w:tcPr>
          <w:p>
            <w:pPr>
              <w:ind w:leftChars="0" w:left="0" w:right="0"/>
            </w:pPr>
            <w:r>
              <w:t>MERCHBOLSA AGENCIA DE VALORES, S.A.</w:t>
            </w:r>
          </w:p>
        </w:tc>
        <w:tc>
          <w:tcPr>
            <w:cnfStyle w:evenVBand="true" w:oddVBand="false" w:firstColumn="false"/>
            <w:tcW w:w="25.000000%" w:type="pct"/>
          </w:tcPr>
          <w:p>
            <w:pPr>
              <w:ind w:leftChars="0" w:left="0" w:right="0"/>
            </w:pPr>
            <w:r>
              <w:t>1970</w:t>
            </w:r>
          </w:p>
        </w:tc>
      </w:tr>
      <w:tr>
        <w:trPr>
          <w:cnfStyle w:evenHBand="true" w:oddHBand="false" w:firstRow="false"/>
        </w:trPr>
        <w:tc>
          <w:tcPr>
            <w:cnfStyle w:evenVBand="false" w:oddVBand="true" w:firstColumn="false"/>
            <w:tcW w:w="25.000000%" w:type="pct"/>
          </w:tcPr>
          <w:p>
            <w:pPr>
              <w:ind w:leftChars="0" w:left="0" w:right="0"/>
            </w:pPr>
            <w:r>
              <w:t>XBBF</w:t>
            </w:r>
          </w:p>
        </w:tc>
        <w:tc>
          <w:tcPr>
            <w:cnfStyle w:evenVBand="true" w:oddVBand="false" w:firstColumn="false"/>
            <w:tcW w:w="25.000000%" w:type="pct"/>
          </w:tcPr>
          <w:p>
            <w:pPr>
              <w:ind w:leftChars="0" w:left="0" w:right="0"/>
            </w:pPr>
            <w:r>
              <w:t>XBBF</w:t>
            </w:r>
          </w:p>
        </w:tc>
        <w:tc>
          <w:tcPr>
            <w:cnfStyle w:evenVBand="false" w:oddVBand="true" w:firstColumn="false"/>
            <w:tcW w:w="25.000000%" w:type="pct"/>
          </w:tcPr>
          <w:p>
            <w:pPr>
              <w:ind w:leftChars="0" w:left="0" w:right="0"/>
            </w:pPr>
            <w:r>
              <w:t>BOLSA BRASILIERA DE FUTUROS</w:t>
            </w:r>
          </w:p>
        </w:tc>
        <w:tc>
          <w:tcPr>
            <w:cnfStyle w:evenVBand="true" w:oddVBand="false" w:firstColumn="false"/>
            <w:tcW w:w="25.000000%" w:type="pct"/>
          </w:tcPr>
          <w:p>
            <w:pPr>
              <w:ind w:leftChars="0" w:left="0" w:right="0"/>
            </w:pPr>
            <w:r>
              <w:t>1971</w:t>
            </w:r>
          </w:p>
        </w:tc>
      </w:tr>
      <w:tr>
        <w:trPr>
          <w:cnfStyle w:evenHBand="false" w:oddHBand="true" w:firstRow="false"/>
        </w:trPr>
        <w:tc>
          <w:tcPr>
            <w:cnfStyle w:evenVBand="false" w:oddVBand="true" w:firstColumn="false"/>
            <w:tcW w:w="25.000000%" w:type="pct"/>
          </w:tcPr>
          <w:p>
            <w:pPr>
              <w:ind w:leftChars="0" w:left="0" w:right="0"/>
            </w:pPr>
            <w:r>
              <w:t>XBBJ</w:t>
            </w:r>
          </w:p>
        </w:tc>
        <w:tc>
          <w:tcPr>
            <w:cnfStyle w:evenVBand="true" w:oddVBand="false" w:firstColumn="false"/>
            <w:tcW w:w="25.000000%" w:type="pct"/>
          </w:tcPr>
          <w:p>
            <w:pPr>
              <w:ind w:leftChars="0" w:left="0" w:right="0"/>
            </w:pPr>
            <w:r>
              <w:t>XBBJ</w:t>
            </w:r>
          </w:p>
        </w:tc>
        <w:tc>
          <w:tcPr>
            <w:cnfStyle w:evenVBand="false" w:oddVBand="true" w:firstColumn="false"/>
            <w:tcW w:w="25.000000%" w:type="pct"/>
          </w:tcPr>
          <w:p>
            <w:pPr>
              <w:ind w:leftChars="0" w:left="0" w:right="0"/>
            </w:pPr>
            <w:r>
              <w:t>JAKARTA FUTURES EXCHANGE (BURSA BERJANGKA JAKARTA)</w:t>
            </w:r>
          </w:p>
        </w:tc>
        <w:tc>
          <w:tcPr>
            <w:cnfStyle w:evenVBand="true" w:oddVBand="false" w:firstColumn="false"/>
            <w:tcW w:w="25.000000%" w:type="pct"/>
          </w:tcPr>
          <w:p>
            <w:pPr>
              <w:ind w:leftChars="0" w:left="0" w:right="0"/>
            </w:pPr>
            <w:r>
              <w:t>1972</w:t>
            </w:r>
          </w:p>
        </w:tc>
      </w:tr>
      <w:tr>
        <w:trPr>
          <w:cnfStyle w:evenHBand="true" w:oddHBand="false" w:firstRow="false"/>
        </w:trPr>
        <w:tc>
          <w:tcPr>
            <w:cnfStyle w:evenVBand="false" w:oddVBand="true" w:firstColumn="false"/>
            <w:tcW w:w="25.000000%" w:type="pct"/>
          </w:tcPr>
          <w:p>
            <w:pPr>
              <w:ind w:leftChars="0" w:left="0" w:right="0"/>
            </w:pPr>
            <w:r>
              <w:t>XBBK</w:t>
            </w:r>
          </w:p>
        </w:tc>
        <w:tc>
          <w:tcPr>
            <w:cnfStyle w:evenVBand="true" w:oddVBand="false" w:firstColumn="false"/>
            <w:tcW w:w="25.000000%" w:type="pct"/>
          </w:tcPr>
          <w:p>
            <w:pPr>
              <w:ind w:leftChars="0" w:left="0" w:right="0"/>
            </w:pPr>
            <w:r>
              <w:t>XBBK</w:t>
            </w:r>
          </w:p>
        </w:tc>
        <w:tc>
          <w:tcPr>
            <w:cnfStyle w:evenVBand="false" w:oddVBand="true" w:firstColumn="false"/>
            <w:tcW w:w="25.000000%" w:type="pct"/>
          </w:tcPr>
          <w:p>
            <w:pPr>
              <w:ind w:leftChars="0" w:left="0" w:right="0"/>
            </w:pPr>
            <w:r>
              <w:t>PERIMETER FINANCIAL CORP. - BLOCKBOOK ATS</w:t>
            </w:r>
          </w:p>
        </w:tc>
        <w:tc>
          <w:tcPr>
            <w:cnfStyle w:evenVBand="true" w:oddVBand="false" w:firstColumn="false"/>
            <w:tcW w:w="25.000000%" w:type="pct"/>
          </w:tcPr>
          <w:p>
            <w:pPr>
              <w:ind w:leftChars="0" w:left="0" w:right="0"/>
            </w:pPr>
            <w:r>
              <w:t>1973</w:t>
            </w:r>
          </w:p>
        </w:tc>
      </w:tr>
      <w:tr>
        <w:trPr>
          <w:cnfStyle w:evenHBand="false" w:oddHBand="true" w:firstRow="false"/>
        </w:trPr>
        <w:tc>
          <w:tcPr>
            <w:cnfStyle w:evenVBand="false" w:oddVBand="true" w:firstColumn="false"/>
            <w:tcW w:w="25.000000%" w:type="pct"/>
          </w:tcPr>
          <w:p>
            <w:pPr>
              <w:ind w:leftChars="0" w:left="0" w:right="0"/>
            </w:pPr>
            <w:r>
              <w:t>XBCC</w:t>
            </w:r>
          </w:p>
        </w:tc>
        <w:tc>
          <w:tcPr>
            <w:cnfStyle w:evenVBand="true" w:oddVBand="false" w:firstColumn="false"/>
            <w:tcW w:w="25.000000%" w:type="pct"/>
          </w:tcPr>
          <w:p>
            <w:pPr>
              <w:ind w:leftChars="0" w:left="0" w:right="0"/>
            </w:pPr>
            <w:r>
              <w:t>XBCC</w:t>
            </w:r>
          </w:p>
        </w:tc>
        <w:tc>
          <w:tcPr>
            <w:cnfStyle w:evenVBand="false" w:oddVBand="true" w:firstColumn="false"/>
            <w:tcW w:w="25.000000%" w:type="pct"/>
          </w:tcPr>
          <w:p>
            <w:pPr>
              <w:ind w:leftChars="0" w:left="0" w:right="0"/>
            </w:pPr>
            <w:r>
              <w:t>BOLSA DE COMERCIO DE CORDOBA</w:t>
            </w:r>
          </w:p>
        </w:tc>
        <w:tc>
          <w:tcPr>
            <w:cnfStyle w:evenVBand="true" w:oddVBand="false" w:firstColumn="false"/>
            <w:tcW w:w="25.000000%" w:type="pct"/>
          </w:tcPr>
          <w:p>
            <w:pPr>
              <w:ind w:leftChars="0" w:left="0" w:right="0"/>
            </w:pPr>
            <w:r>
              <w:t>1974</w:t>
            </w:r>
          </w:p>
        </w:tc>
      </w:tr>
      <w:tr>
        <w:trPr>
          <w:cnfStyle w:evenHBand="true" w:oddHBand="false" w:firstRow="false"/>
        </w:trPr>
        <w:tc>
          <w:tcPr>
            <w:cnfStyle w:evenVBand="false" w:oddVBand="true" w:firstColumn="false"/>
            <w:tcW w:w="25.000000%" w:type="pct"/>
          </w:tcPr>
          <w:p>
            <w:pPr>
              <w:ind w:leftChars="0" w:left="0" w:right="0"/>
            </w:pPr>
            <w:r>
              <w:t>XBCE</w:t>
            </w:r>
          </w:p>
        </w:tc>
        <w:tc>
          <w:tcPr>
            <w:cnfStyle w:evenVBand="true" w:oddVBand="false" w:firstColumn="false"/>
            <w:tcW w:w="25.000000%" w:type="pct"/>
          </w:tcPr>
          <w:p>
            <w:pPr>
              <w:ind w:leftChars="0" w:left="0" w:right="0"/>
            </w:pPr>
            <w:r>
              <w:t>XBCE</w:t>
            </w:r>
          </w:p>
        </w:tc>
        <w:tc>
          <w:tcPr>
            <w:cnfStyle w:evenVBand="false" w:oddVBand="true" w:firstColumn="false"/>
            <w:tcW w:w="25.000000%" w:type="pct"/>
          </w:tcPr>
          <w:p>
            <w:pPr>
              <w:ind w:leftChars="0" w:left="0" w:right="0"/>
            </w:pPr>
            <w:r>
              <w:t>BUDAPEST COMMODITY EXCHANGE</w:t>
            </w:r>
          </w:p>
        </w:tc>
        <w:tc>
          <w:tcPr>
            <w:cnfStyle w:evenVBand="true" w:oddVBand="false" w:firstColumn="false"/>
            <w:tcW w:w="25.000000%" w:type="pct"/>
          </w:tcPr>
          <w:p>
            <w:pPr>
              <w:ind w:leftChars="0" w:left="0" w:right="0"/>
            </w:pPr>
            <w:r>
              <w:t>1975</w:t>
            </w:r>
          </w:p>
        </w:tc>
      </w:tr>
      <w:tr>
        <w:trPr>
          <w:cnfStyle w:evenHBand="false" w:oddHBand="true" w:firstRow="false"/>
        </w:trPr>
        <w:tc>
          <w:tcPr>
            <w:cnfStyle w:evenVBand="false" w:oddVBand="true" w:firstColumn="false"/>
            <w:tcW w:w="25.000000%" w:type="pct"/>
          </w:tcPr>
          <w:p>
            <w:pPr>
              <w:ind w:leftChars="0" w:left="0" w:right="0"/>
            </w:pPr>
            <w:r>
              <w:t>XBCL</w:t>
            </w:r>
          </w:p>
        </w:tc>
        <w:tc>
          <w:tcPr>
            <w:cnfStyle w:evenVBand="true" w:oddVBand="false" w:firstColumn="false"/>
            <w:tcW w:w="25.000000%" w:type="pct"/>
          </w:tcPr>
          <w:p>
            <w:pPr>
              <w:ind w:leftChars="0" w:left="0" w:right="0"/>
            </w:pPr>
            <w:r>
              <w:t>XBCL</w:t>
            </w:r>
          </w:p>
        </w:tc>
        <w:tc>
          <w:tcPr>
            <w:cnfStyle w:evenVBand="false" w:oddVBand="true" w:firstColumn="false"/>
            <w:tcW w:w="25.000000%" w:type="pct"/>
          </w:tcPr>
          <w:p>
            <w:pPr>
              <w:ind w:leftChars="0" w:left="0" w:right="0"/>
            </w:pPr>
            <w:r>
              <w:t>LA BOLSA ELECTRONICA DE CHILE</w:t>
            </w:r>
          </w:p>
        </w:tc>
        <w:tc>
          <w:tcPr>
            <w:cnfStyle w:evenVBand="true" w:oddVBand="false" w:firstColumn="false"/>
            <w:tcW w:w="25.000000%" w:type="pct"/>
          </w:tcPr>
          <w:p>
            <w:pPr>
              <w:ind w:leftChars="0" w:left="0" w:right="0"/>
            </w:pPr>
            <w:r>
              <w:t>1976</w:t>
            </w:r>
          </w:p>
        </w:tc>
      </w:tr>
      <w:tr>
        <w:trPr>
          <w:cnfStyle w:evenHBand="true" w:oddHBand="false" w:firstRow="false"/>
        </w:trPr>
        <w:tc>
          <w:tcPr>
            <w:cnfStyle w:evenVBand="false" w:oddVBand="true" w:firstColumn="false"/>
            <w:tcW w:w="25.000000%" w:type="pct"/>
          </w:tcPr>
          <w:p>
            <w:pPr>
              <w:ind w:leftChars="0" w:left="0" w:right="0"/>
            </w:pPr>
            <w:r>
              <w:t>XBCM</w:t>
            </w:r>
          </w:p>
        </w:tc>
        <w:tc>
          <w:tcPr>
            <w:cnfStyle w:evenVBand="true" w:oddVBand="false" w:firstColumn="false"/>
            <w:tcW w:w="25.000000%" w:type="pct"/>
          </w:tcPr>
          <w:p>
            <w:pPr>
              <w:ind w:leftChars="0" w:left="0" w:right="0"/>
            </w:pPr>
            <w:r>
              <w:t>XBCM</w:t>
            </w:r>
          </w:p>
        </w:tc>
        <w:tc>
          <w:tcPr>
            <w:cnfStyle w:evenVBand="false" w:oddVBand="true" w:firstColumn="false"/>
            <w:tcW w:w="25.000000%" w:type="pct"/>
          </w:tcPr>
          <w:p>
            <w:pPr>
              <w:ind w:leftChars="0" w:left="0" w:right="0"/>
            </w:pPr>
            <w:r>
              <w:t>BOLSA DE COMERCIO DE MENDOZA S.A.</w:t>
            </w:r>
          </w:p>
        </w:tc>
        <w:tc>
          <w:tcPr>
            <w:cnfStyle w:evenVBand="true" w:oddVBand="false" w:firstColumn="false"/>
            <w:tcW w:w="25.000000%" w:type="pct"/>
          </w:tcPr>
          <w:p>
            <w:pPr>
              <w:ind w:leftChars="0" w:left="0" w:right="0"/>
            </w:pPr>
            <w:r>
              <w:t>1977</w:t>
            </w:r>
          </w:p>
        </w:tc>
      </w:tr>
      <w:tr>
        <w:trPr>
          <w:cnfStyle w:evenHBand="false" w:oddHBand="true" w:firstRow="false"/>
        </w:trPr>
        <w:tc>
          <w:tcPr>
            <w:cnfStyle w:evenVBand="false" w:oddVBand="true" w:firstColumn="false"/>
            <w:tcW w:w="25.000000%" w:type="pct"/>
          </w:tcPr>
          <w:p>
            <w:pPr>
              <w:ind w:leftChars="0" w:left="0" w:right="0"/>
            </w:pPr>
            <w:r>
              <w:t>XBCV</w:t>
            </w:r>
          </w:p>
        </w:tc>
        <w:tc>
          <w:tcPr>
            <w:cnfStyle w:evenVBand="true" w:oddVBand="false" w:firstColumn="false"/>
            <w:tcW w:w="25.000000%" w:type="pct"/>
          </w:tcPr>
          <w:p>
            <w:pPr>
              <w:ind w:leftChars="0" w:left="0" w:right="0"/>
            </w:pPr>
            <w:r>
              <w:t>XBCV</w:t>
            </w:r>
          </w:p>
        </w:tc>
        <w:tc>
          <w:tcPr>
            <w:cnfStyle w:evenVBand="false" w:oddVBand="true" w:firstColumn="false"/>
            <w:tcW w:w="25.000000%" w:type="pct"/>
          </w:tcPr>
          <w:p>
            <w:pPr>
              <w:ind w:leftChars="0" w:left="0" w:right="0"/>
            </w:pPr>
            <w:r>
              <w:t>BOLSA CENTROAMERICANA DE VALORES S.A.</w:t>
            </w:r>
          </w:p>
        </w:tc>
        <w:tc>
          <w:tcPr>
            <w:cnfStyle w:evenVBand="true" w:oddVBand="false" w:firstColumn="false"/>
            <w:tcW w:w="25.000000%" w:type="pct"/>
          </w:tcPr>
          <w:p>
            <w:pPr>
              <w:ind w:leftChars="0" w:left="0" w:right="0"/>
            </w:pPr>
            <w:r>
              <w:t>1978</w:t>
            </w:r>
          </w:p>
        </w:tc>
      </w:tr>
      <w:tr>
        <w:trPr>
          <w:cnfStyle w:evenHBand="true" w:oddHBand="false" w:firstRow="false"/>
        </w:trPr>
        <w:tc>
          <w:tcPr>
            <w:cnfStyle w:evenVBand="false" w:oddVBand="true" w:firstColumn="false"/>
            <w:tcW w:w="25.000000%" w:type="pct"/>
          </w:tcPr>
          <w:p>
            <w:pPr>
              <w:ind w:leftChars="0" w:left="0" w:right="0"/>
            </w:pPr>
            <w:r>
              <w:t>XBCX</w:t>
            </w:r>
          </w:p>
        </w:tc>
        <w:tc>
          <w:tcPr>
            <w:cnfStyle w:evenVBand="true" w:oddVBand="false" w:firstColumn="false"/>
            <w:tcW w:w="25.000000%" w:type="pct"/>
          </w:tcPr>
          <w:p>
            <w:pPr>
              <w:ind w:leftChars="0" w:left="0" w:right="0"/>
            </w:pPr>
            <w:r>
              <w:t>XBCX</w:t>
            </w:r>
          </w:p>
        </w:tc>
        <w:tc>
          <w:tcPr>
            <w:cnfStyle w:evenVBand="false" w:oddVBand="true" w:firstColumn="false"/>
            <w:tcW w:w="25.000000%" w:type="pct"/>
          </w:tcPr>
          <w:p>
            <w:pPr>
              <w:ind w:leftChars="0" w:left="0" w:right="0"/>
            </w:pPr>
            <w:r>
              <w:t>MERCADO DE VALORES DE MENDOZA S.A.</w:t>
            </w:r>
          </w:p>
        </w:tc>
        <w:tc>
          <w:tcPr>
            <w:cnfStyle w:evenVBand="true" w:oddVBand="false" w:firstColumn="false"/>
            <w:tcW w:w="25.000000%" w:type="pct"/>
          </w:tcPr>
          <w:p>
            <w:pPr>
              <w:ind w:leftChars="0" w:left="0" w:right="0"/>
            </w:pPr>
            <w:r>
              <w:t>1979</w:t>
            </w:r>
          </w:p>
        </w:tc>
      </w:tr>
      <w:tr>
        <w:trPr>
          <w:cnfStyle w:evenHBand="false" w:oddHBand="true" w:firstRow="false"/>
        </w:trPr>
        <w:tc>
          <w:tcPr>
            <w:cnfStyle w:evenVBand="false" w:oddVBand="true" w:firstColumn="false"/>
            <w:tcW w:w="25.000000%" w:type="pct"/>
          </w:tcPr>
          <w:p>
            <w:pPr>
              <w:ind w:leftChars="0" w:left="0" w:right="0"/>
            </w:pPr>
            <w:r>
              <w:t>XBDA</w:t>
            </w:r>
          </w:p>
        </w:tc>
        <w:tc>
          <w:tcPr>
            <w:cnfStyle w:evenVBand="true" w:oddVBand="false" w:firstColumn="false"/>
            <w:tcW w:w="25.000000%" w:type="pct"/>
          </w:tcPr>
          <w:p>
            <w:pPr>
              <w:ind w:leftChars="0" w:left="0" w:right="0"/>
            </w:pPr>
            <w:r>
              <w:t>XBDA</w:t>
            </w:r>
          </w:p>
        </w:tc>
        <w:tc>
          <w:tcPr>
            <w:cnfStyle w:evenVBand="false" w:oddVBand="true" w:firstColumn="false"/>
            <w:tcW w:w="25.000000%" w:type="pct"/>
          </w:tcPr>
          <w:p>
            <w:pPr>
              <w:ind w:leftChars="0" w:left="0" w:right="0"/>
            </w:pPr>
            <w:r>
              <w:t>BERMUDA STOCK EXCHANGE LTD</w:t>
            </w:r>
          </w:p>
        </w:tc>
        <w:tc>
          <w:tcPr>
            <w:cnfStyle w:evenVBand="true" w:oddVBand="false" w:firstColumn="false"/>
            <w:tcW w:w="25.000000%" w:type="pct"/>
          </w:tcPr>
          <w:p>
            <w:pPr>
              <w:ind w:leftChars="0" w:left="0" w:right="0"/>
            </w:pPr>
            <w:r>
              <w:t>1980</w:t>
            </w:r>
          </w:p>
        </w:tc>
      </w:tr>
      <w:tr>
        <w:trPr>
          <w:cnfStyle w:evenHBand="true" w:oddHBand="false" w:firstRow="false"/>
        </w:trPr>
        <w:tc>
          <w:tcPr>
            <w:cnfStyle w:evenVBand="false" w:oddVBand="true" w:firstColumn="false"/>
            <w:tcW w:w="25.000000%" w:type="pct"/>
          </w:tcPr>
          <w:p>
            <w:pPr>
              <w:ind w:leftChars="0" w:left="0" w:right="0"/>
            </w:pPr>
            <w:r>
              <w:t>XBDV</w:t>
            </w:r>
          </w:p>
        </w:tc>
        <w:tc>
          <w:tcPr>
            <w:cnfStyle w:evenVBand="true" w:oddVBand="false" w:firstColumn="false"/>
            <w:tcW w:w="25.000000%" w:type="pct"/>
          </w:tcPr>
          <w:p>
            <w:pPr>
              <w:ind w:leftChars="0" w:left="0" w:right="0"/>
            </w:pPr>
            <w:r>
              <w:t>XBDV</w:t>
            </w:r>
          </w:p>
        </w:tc>
        <w:tc>
          <w:tcPr>
            <w:cnfStyle w:evenVBand="false" w:oddVBand="true" w:firstColumn="false"/>
            <w:tcW w:w="25.000000%" w:type="pct"/>
          </w:tcPr>
          <w:p>
            <w:pPr>
              <w:ind w:leftChars="0" w:left="0" w:right="0"/>
            </w:pPr>
            <w:r>
              <w:t>BOLSA DE DIVIDA E VALORES DE ANGOLA (BODIVA) - ANGOLA SECURITIES EXCHANGE</w:t>
            </w:r>
          </w:p>
        </w:tc>
        <w:tc>
          <w:tcPr>
            <w:cnfStyle w:evenVBand="true" w:oddVBand="false" w:firstColumn="false"/>
            <w:tcW w:w="25.000000%" w:type="pct"/>
          </w:tcPr>
          <w:p>
            <w:pPr>
              <w:ind w:leftChars="0" w:left="0" w:right="0"/>
            </w:pPr>
            <w:r>
              <w:t>1981</w:t>
            </w:r>
          </w:p>
        </w:tc>
      </w:tr>
      <w:tr>
        <w:trPr>
          <w:cnfStyle w:evenHBand="false" w:oddHBand="true" w:firstRow="false"/>
        </w:trPr>
        <w:tc>
          <w:tcPr>
            <w:cnfStyle w:evenVBand="false" w:oddVBand="true" w:firstColumn="false"/>
            <w:tcW w:w="25.000000%" w:type="pct"/>
          </w:tcPr>
          <w:p>
            <w:pPr>
              <w:ind w:leftChars="0" w:left="0" w:right="0"/>
            </w:pPr>
            <w:r>
              <w:t>XBEL</w:t>
            </w:r>
          </w:p>
        </w:tc>
        <w:tc>
          <w:tcPr>
            <w:cnfStyle w:evenVBand="true" w:oddVBand="false" w:firstColumn="false"/>
            <w:tcW w:w="25.000000%" w:type="pct"/>
          </w:tcPr>
          <w:p>
            <w:pPr>
              <w:ind w:leftChars="0" w:left="0" w:right="0"/>
            </w:pPr>
            <w:r>
              <w:t>XBEL</w:t>
            </w:r>
          </w:p>
        </w:tc>
        <w:tc>
          <w:tcPr>
            <w:cnfStyle w:evenVBand="false" w:oddVBand="true" w:firstColumn="false"/>
            <w:tcW w:w="25.000000%" w:type="pct"/>
          </w:tcPr>
          <w:p>
            <w:pPr>
              <w:ind w:leftChars="0" w:left="0" w:right="0"/>
            </w:pPr>
            <w:r>
              <w:t>BELGRADE STOCK EXCHANGE</w:t>
            </w:r>
          </w:p>
        </w:tc>
        <w:tc>
          <w:tcPr>
            <w:cnfStyle w:evenVBand="true" w:oddVBand="false" w:firstColumn="false"/>
            <w:tcW w:w="25.000000%" w:type="pct"/>
          </w:tcPr>
          <w:p>
            <w:pPr>
              <w:ind w:leftChars="0" w:left="0" w:right="0"/>
            </w:pPr>
            <w:r>
              <w:t>1982</w:t>
            </w:r>
          </w:p>
        </w:tc>
      </w:tr>
      <w:tr>
        <w:trPr>
          <w:cnfStyle w:evenHBand="true" w:oddHBand="false" w:firstRow="false"/>
        </w:trPr>
        <w:tc>
          <w:tcPr>
            <w:cnfStyle w:evenVBand="false" w:oddVBand="true" w:firstColumn="false"/>
            <w:tcW w:w="25.000000%" w:type="pct"/>
          </w:tcPr>
          <w:p>
            <w:pPr>
              <w:ind w:leftChars="0" w:left="0" w:right="0"/>
            </w:pPr>
            <w:r>
              <w:t>XBER</w:t>
            </w:r>
          </w:p>
        </w:tc>
        <w:tc>
          <w:tcPr>
            <w:cnfStyle w:evenVBand="true" w:oddVBand="false" w:firstColumn="false"/>
            <w:tcW w:w="25.000000%" w:type="pct"/>
          </w:tcPr>
          <w:p>
            <w:pPr>
              <w:ind w:leftChars="0" w:left="0" w:right="0"/>
            </w:pPr>
            <w:r>
              <w:t>XBER</w:t>
            </w:r>
          </w:p>
        </w:tc>
        <w:tc>
          <w:tcPr>
            <w:cnfStyle w:evenVBand="false" w:oddVBand="true" w:firstColumn="false"/>
            <w:tcW w:w="25.000000%" w:type="pct"/>
          </w:tcPr>
          <w:p>
            <w:pPr>
              <w:ind w:leftChars="0" w:left="0" w:right="0"/>
            </w:pPr>
            <w:r>
              <w:t>BOERSE BERLIN</w:t>
            </w:r>
          </w:p>
        </w:tc>
        <w:tc>
          <w:tcPr>
            <w:cnfStyle w:evenVBand="true" w:oddVBand="false" w:firstColumn="false"/>
            <w:tcW w:w="25.000000%" w:type="pct"/>
          </w:tcPr>
          <w:p>
            <w:pPr>
              <w:ind w:leftChars="0" w:left="0" w:right="0"/>
            </w:pPr>
            <w:r>
              <w:t>1983</w:t>
            </w:r>
          </w:p>
        </w:tc>
      </w:tr>
      <w:tr>
        <w:trPr>
          <w:cnfStyle w:evenHBand="false" w:oddHBand="true" w:firstRow="false"/>
        </w:trPr>
        <w:tc>
          <w:tcPr>
            <w:cnfStyle w:evenVBand="false" w:oddVBand="true" w:firstColumn="false"/>
            <w:tcW w:w="25.000000%" w:type="pct"/>
          </w:tcPr>
          <w:p>
            <w:pPr>
              <w:ind w:leftChars="0" w:left="0" w:right="0"/>
            </w:pPr>
            <w:r>
              <w:t>XBES</w:t>
            </w:r>
          </w:p>
        </w:tc>
        <w:tc>
          <w:tcPr>
            <w:cnfStyle w:evenVBand="true" w:oddVBand="false" w:firstColumn="false"/>
            <w:tcW w:w="25.000000%" w:type="pct"/>
          </w:tcPr>
          <w:p>
            <w:pPr>
              <w:ind w:leftChars="0" w:left="0" w:right="0"/>
            </w:pPr>
            <w:r>
              <w:t>XBES</w:t>
            </w:r>
          </w:p>
        </w:tc>
        <w:tc>
          <w:tcPr>
            <w:cnfStyle w:evenVBand="false" w:oddVBand="true" w:firstColumn="false"/>
            <w:tcW w:w="25.000000%" w:type="pct"/>
          </w:tcPr>
          <w:p>
            <w:pPr>
              <w:ind w:leftChars="0" w:left="0" w:right="0"/>
            </w:pPr>
            <w:r>
              <w:t>JSE CASH BOND MARKET</w:t>
            </w:r>
          </w:p>
        </w:tc>
        <w:tc>
          <w:tcPr>
            <w:cnfStyle w:evenVBand="true" w:oddVBand="false" w:firstColumn="false"/>
            <w:tcW w:w="25.000000%" w:type="pct"/>
          </w:tcPr>
          <w:p>
            <w:pPr>
              <w:ind w:leftChars="0" w:left="0" w:right="0"/>
            </w:pPr>
            <w:r>
              <w:t>1984</w:t>
            </w:r>
          </w:p>
        </w:tc>
      </w:tr>
      <w:tr>
        <w:trPr>
          <w:cnfStyle w:evenHBand="true" w:oddHBand="false" w:firstRow="false"/>
        </w:trPr>
        <w:tc>
          <w:tcPr>
            <w:cnfStyle w:evenVBand="false" w:oddVBand="true" w:firstColumn="false"/>
            <w:tcW w:w="25.000000%" w:type="pct"/>
          </w:tcPr>
          <w:p>
            <w:pPr>
              <w:ind w:leftChars="0" w:left="0" w:right="0"/>
            </w:pPr>
            <w:r>
              <w:t>XBEY</w:t>
            </w:r>
          </w:p>
        </w:tc>
        <w:tc>
          <w:tcPr>
            <w:cnfStyle w:evenVBand="true" w:oddVBand="false" w:firstColumn="false"/>
            <w:tcW w:w="25.000000%" w:type="pct"/>
          </w:tcPr>
          <w:p>
            <w:pPr>
              <w:ind w:leftChars="0" w:left="0" w:right="0"/>
            </w:pPr>
            <w:r>
              <w:t>XBEY</w:t>
            </w:r>
          </w:p>
        </w:tc>
        <w:tc>
          <w:tcPr>
            <w:cnfStyle w:evenVBand="false" w:oddVBand="true" w:firstColumn="false"/>
            <w:tcW w:w="25.000000%" w:type="pct"/>
          </w:tcPr>
          <w:p>
            <w:pPr>
              <w:ind w:leftChars="0" w:left="0" w:right="0"/>
            </w:pPr>
            <w:r>
              <w:t>BOURSE DE BEYROUTH - BEIRUT STOCK EXCHANGE</w:t>
            </w:r>
          </w:p>
        </w:tc>
        <w:tc>
          <w:tcPr>
            <w:cnfStyle w:evenVBand="true" w:oddVBand="false" w:firstColumn="false"/>
            <w:tcW w:w="25.000000%" w:type="pct"/>
          </w:tcPr>
          <w:p>
            <w:pPr>
              <w:ind w:leftChars="0" w:left="0" w:right="0"/>
            </w:pPr>
            <w:r>
              <w:t>1985</w:t>
            </w:r>
          </w:p>
        </w:tc>
      </w:tr>
      <w:tr>
        <w:trPr>
          <w:cnfStyle w:evenHBand="false" w:oddHBand="true" w:firstRow="false"/>
        </w:trPr>
        <w:tc>
          <w:tcPr>
            <w:cnfStyle w:evenVBand="false" w:oddVBand="true" w:firstColumn="false"/>
            <w:tcW w:w="25.000000%" w:type="pct"/>
          </w:tcPr>
          <w:p>
            <w:pPr>
              <w:ind w:leftChars="0" w:left="0" w:right="0"/>
            </w:pPr>
            <w:r>
              <w:t>XBFO</w:t>
            </w:r>
          </w:p>
        </w:tc>
        <w:tc>
          <w:tcPr>
            <w:cnfStyle w:evenVBand="true" w:oddVBand="false" w:firstColumn="false"/>
            <w:tcW w:w="25.000000%" w:type="pct"/>
          </w:tcPr>
          <w:p>
            <w:pPr>
              <w:ind w:leftChars="0" w:left="0" w:right="0"/>
            </w:pPr>
            <w:r>
              <w:t>XBFO</w:t>
            </w:r>
          </w:p>
        </w:tc>
        <w:tc>
          <w:tcPr>
            <w:cnfStyle w:evenVBand="false" w:oddVBand="true" w:firstColumn="false"/>
            <w:tcW w:w="25.000000%" w:type="pct"/>
          </w:tcPr>
          <w:p>
            <w:pPr>
              <w:ind w:leftChars="0" w:left="0" w:right="0"/>
            </w:pPr>
            <w:r>
              <w:t>BELGIAN FUTURES AND OPTIONS EXCHANGE</w:t>
            </w:r>
          </w:p>
        </w:tc>
        <w:tc>
          <w:tcPr>
            <w:cnfStyle w:evenVBand="true" w:oddVBand="false" w:firstColumn="false"/>
            <w:tcW w:w="25.000000%" w:type="pct"/>
          </w:tcPr>
          <w:p>
            <w:pPr>
              <w:ind w:leftChars="0" w:left="0" w:right="0"/>
            </w:pPr>
            <w:r>
              <w:t>1986</w:t>
            </w:r>
          </w:p>
        </w:tc>
      </w:tr>
      <w:tr>
        <w:trPr>
          <w:cnfStyle w:evenHBand="true" w:oddHBand="false" w:firstRow="false"/>
        </w:trPr>
        <w:tc>
          <w:tcPr>
            <w:cnfStyle w:evenVBand="false" w:oddVBand="true" w:firstColumn="false"/>
            <w:tcW w:w="25.000000%" w:type="pct"/>
          </w:tcPr>
          <w:p>
            <w:pPr>
              <w:ind w:leftChars="0" w:left="0" w:right="0"/>
            </w:pPr>
            <w:r>
              <w:t>XBIL</w:t>
            </w:r>
          </w:p>
        </w:tc>
        <w:tc>
          <w:tcPr>
            <w:cnfStyle w:evenVBand="true" w:oddVBand="false" w:firstColumn="false"/>
            <w:tcW w:w="25.000000%" w:type="pct"/>
          </w:tcPr>
          <w:p>
            <w:pPr>
              <w:ind w:leftChars="0" w:left="0" w:right="0"/>
            </w:pPr>
            <w:r>
              <w:t>XBIL</w:t>
            </w:r>
          </w:p>
        </w:tc>
        <w:tc>
          <w:tcPr>
            <w:cnfStyle w:evenVBand="false" w:oddVBand="true" w:firstColumn="false"/>
            <w:tcW w:w="25.000000%" w:type="pct"/>
          </w:tcPr>
          <w:p>
            <w:pPr>
              <w:ind w:leftChars="0" w:left="0" w:right="0"/>
            </w:pPr>
            <w:r>
              <w:t>BOLSA DE VALORES DE BILBAO</w:t>
            </w:r>
          </w:p>
        </w:tc>
        <w:tc>
          <w:tcPr>
            <w:cnfStyle w:evenVBand="true" w:oddVBand="false" w:firstColumn="false"/>
            <w:tcW w:w="25.000000%" w:type="pct"/>
          </w:tcPr>
          <w:p>
            <w:pPr>
              <w:ind w:leftChars="0" w:left="0" w:right="0"/>
            </w:pPr>
            <w:r>
              <w:t>1987</w:t>
            </w:r>
          </w:p>
        </w:tc>
      </w:tr>
      <w:tr>
        <w:trPr>
          <w:cnfStyle w:evenHBand="false" w:oddHBand="true" w:firstRow="false"/>
        </w:trPr>
        <w:tc>
          <w:tcPr>
            <w:cnfStyle w:evenVBand="false" w:oddVBand="true" w:firstColumn="false"/>
            <w:tcW w:w="25.000000%" w:type="pct"/>
          </w:tcPr>
          <w:p>
            <w:pPr>
              <w:ind w:leftChars="0" w:left="0" w:right="0"/>
            </w:pPr>
            <w:r>
              <w:t>XBIS</w:t>
            </w:r>
          </w:p>
        </w:tc>
        <w:tc>
          <w:tcPr>
            <w:cnfStyle w:evenVBand="true" w:oddVBand="false" w:firstColumn="false"/>
            <w:tcW w:w="25.000000%" w:type="pct"/>
          </w:tcPr>
          <w:p>
            <w:pPr>
              <w:ind w:leftChars="0" w:left="0" w:right="0"/>
            </w:pPr>
            <w:r>
              <w:t>XBIS</w:t>
            </w:r>
          </w:p>
        </w:tc>
        <w:tc>
          <w:tcPr>
            <w:cnfStyle w:evenVBand="false" w:oddVBand="true" w:firstColumn="false"/>
            <w:tcW w:w="25.000000%" w:type="pct"/>
          </w:tcPr>
          <w:p>
            <w:pPr>
              <w:ind w:leftChars="0" w:left="0" w:right="0"/>
            </w:pPr>
            <w:r>
              <w:t>BARBADOS STOCK EXCHANGE - INTERNATIONAL SECURITIES MARKET</w:t>
            </w:r>
          </w:p>
        </w:tc>
        <w:tc>
          <w:tcPr>
            <w:cnfStyle w:evenVBand="true" w:oddVBand="false" w:firstColumn="false"/>
            <w:tcW w:w="25.000000%" w:type="pct"/>
          </w:tcPr>
          <w:p>
            <w:pPr>
              <w:ind w:leftChars="0" w:left="0" w:right="0"/>
            </w:pPr>
            <w:r>
              <w:t>1988</w:t>
            </w:r>
          </w:p>
        </w:tc>
      </w:tr>
      <w:tr>
        <w:trPr>
          <w:cnfStyle w:evenHBand="true" w:oddHBand="false" w:firstRow="false"/>
        </w:trPr>
        <w:tc>
          <w:tcPr>
            <w:cnfStyle w:evenVBand="false" w:oddVBand="true" w:firstColumn="false"/>
            <w:tcW w:w="25.000000%" w:type="pct"/>
          </w:tcPr>
          <w:p>
            <w:pPr>
              <w:ind w:leftChars="0" w:left="0" w:right="0"/>
            </w:pPr>
            <w:r>
              <w:t>XBKF</w:t>
            </w:r>
          </w:p>
        </w:tc>
        <w:tc>
          <w:tcPr>
            <w:cnfStyle w:evenVBand="true" w:oddVBand="false" w:firstColumn="false"/>
            <w:tcW w:w="25.000000%" w:type="pct"/>
          </w:tcPr>
          <w:p>
            <w:pPr>
              <w:ind w:leftChars="0" w:left="0" w:right="0"/>
            </w:pPr>
            <w:r>
              <w:t>XBKF</w:t>
            </w:r>
          </w:p>
        </w:tc>
        <w:tc>
          <w:tcPr>
            <w:cnfStyle w:evenVBand="false" w:oddVBand="true" w:firstColumn="false"/>
            <w:tcW w:w="25.000000%" w:type="pct"/>
          </w:tcPr>
          <w:p>
            <w:pPr>
              <w:ind w:leftChars="0" w:left="0" w:right="0"/>
            </w:pPr>
            <w:r>
              <w:t>STOCK EXCHANGE OF THAILAND - FOREIGN BOARD</w:t>
            </w:r>
          </w:p>
        </w:tc>
        <w:tc>
          <w:tcPr>
            <w:cnfStyle w:evenVBand="true" w:oddVBand="false" w:firstColumn="false"/>
            <w:tcW w:w="25.000000%" w:type="pct"/>
          </w:tcPr>
          <w:p>
            <w:pPr>
              <w:ind w:leftChars="0" w:left="0" w:right="0"/>
            </w:pPr>
            <w:r>
              <w:t>1989</w:t>
            </w:r>
          </w:p>
        </w:tc>
      </w:tr>
      <w:tr>
        <w:trPr>
          <w:cnfStyle w:evenHBand="false" w:oddHBand="true" w:firstRow="false"/>
        </w:trPr>
        <w:tc>
          <w:tcPr>
            <w:cnfStyle w:evenVBand="false" w:oddVBand="true" w:firstColumn="false"/>
            <w:tcW w:w="25.000000%" w:type="pct"/>
          </w:tcPr>
          <w:p>
            <w:pPr>
              <w:ind w:leftChars="0" w:left="0" w:right="0"/>
            </w:pPr>
            <w:r>
              <w:t>XBKK</w:t>
            </w:r>
          </w:p>
        </w:tc>
        <w:tc>
          <w:tcPr>
            <w:cnfStyle w:evenVBand="true" w:oddVBand="false" w:firstColumn="false"/>
            <w:tcW w:w="25.000000%" w:type="pct"/>
          </w:tcPr>
          <w:p>
            <w:pPr>
              <w:ind w:leftChars="0" w:left="0" w:right="0"/>
            </w:pPr>
            <w:r>
              <w:t>XBKK</w:t>
            </w:r>
          </w:p>
        </w:tc>
        <w:tc>
          <w:tcPr>
            <w:cnfStyle w:evenVBand="false" w:oddVBand="true" w:firstColumn="false"/>
            <w:tcW w:w="25.000000%" w:type="pct"/>
          </w:tcPr>
          <w:p>
            <w:pPr>
              <w:ind w:leftChars="0" w:left="0" w:right="0"/>
            </w:pPr>
            <w:r>
              <w:t>STOCK EXCHANGE OF THAILAND</w:t>
            </w:r>
          </w:p>
        </w:tc>
        <w:tc>
          <w:tcPr>
            <w:cnfStyle w:evenVBand="true" w:oddVBand="false" w:firstColumn="false"/>
            <w:tcW w:w="25.000000%" w:type="pct"/>
          </w:tcPr>
          <w:p>
            <w:pPr>
              <w:ind w:leftChars="0" w:left="0" w:right="0"/>
            </w:pPr>
            <w:r>
              <w:t>1990</w:t>
            </w:r>
          </w:p>
        </w:tc>
      </w:tr>
      <w:tr>
        <w:trPr>
          <w:cnfStyle w:evenHBand="true" w:oddHBand="false" w:firstRow="false"/>
        </w:trPr>
        <w:tc>
          <w:tcPr>
            <w:cnfStyle w:evenVBand="false" w:oddVBand="true" w:firstColumn="false"/>
            <w:tcW w:w="25.000000%" w:type="pct"/>
          </w:tcPr>
          <w:p>
            <w:pPr>
              <w:ind w:leftChars="0" w:left="0" w:right="0"/>
            </w:pPr>
            <w:r>
              <w:t>XBLB</w:t>
            </w:r>
          </w:p>
        </w:tc>
        <w:tc>
          <w:tcPr>
            <w:cnfStyle w:evenVBand="true" w:oddVBand="false" w:firstColumn="false"/>
            <w:tcW w:w="25.000000%" w:type="pct"/>
          </w:tcPr>
          <w:p>
            <w:pPr>
              <w:ind w:leftChars="0" w:left="0" w:right="0"/>
            </w:pPr>
            <w:r>
              <w:t>XBLB</w:t>
            </w:r>
          </w:p>
        </w:tc>
        <w:tc>
          <w:tcPr>
            <w:cnfStyle w:evenVBand="false" w:oddVBand="true" w:firstColumn="false"/>
            <w:tcW w:w="25.000000%" w:type="pct"/>
          </w:tcPr>
          <w:p>
            <w:pPr>
              <w:ind w:leftChars="0" w:left="0" w:right="0"/>
            </w:pPr>
            <w:r>
              <w:t>BANJA LUKA STOCK EXCHANGE</w:t>
            </w:r>
          </w:p>
        </w:tc>
        <w:tc>
          <w:tcPr>
            <w:cnfStyle w:evenVBand="true" w:oddVBand="false" w:firstColumn="false"/>
            <w:tcW w:w="25.000000%" w:type="pct"/>
          </w:tcPr>
          <w:p>
            <w:pPr>
              <w:ind w:leftChars="0" w:left="0" w:right="0"/>
            </w:pPr>
            <w:r>
              <w:t>1991</w:t>
            </w:r>
          </w:p>
        </w:tc>
      </w:tr>
      <w:tr>
        <w:trPr>
          <w:cnfStyle w:evenHBand="false" w:oddHBand="true" w:firstRow="false"/>
        </w:trPr>
        <w:tc>
          <w:tcPr>
            <w:cnfStyle w:evenVBand="false" w:oddVBand="true" w:firstColumn="false"/>
            <w:tcW w:w="25.000000%" w:type="pct"/>
          </w:tcPr>
          <w:p>
            <w:pPr>
              <w:ind w:leftChars="0" w:left="0" w:right="0"/>
            </w:pPr>
            <w:r>
              <w:t>XBLK</w:t>
            </w:r>
          </w:p>
        </w:tc>
        <w:tc>
          <w:tcPr>
            <w:cnfStyle w:evenVBand="true" w:oddVBand="false" w:firstColumn="false"/>
            <w:tcW w:w="25.000000%" w:type="pct"/>
          </w:tcPr>
          <w:p>
            <w:pPr>
              <w:ind w:leftChars="0" w:left="0" w:right="0"/>
            </w:pPr>
            <w:r>
              <w:t>XBLK</w:t>
            </w:r>
          </w:p>
        </w:tc>
        <w:tc>
          <w:tcPr>
            <w:cnfStyle w:evenVBand="false" w:oddVBand="true" w:firstColumn="false"/>
            <w:tcW w:w="25.000000%" w:type="pct"/>
          </w:tcPr>
          <w:p>
            <w:pPr>
              <w:ind w:leftChars="0" w:left="0" w:right="0"/>
            </w:pPr>
            <w:r>
              <w:t>EURONEXT BLOCK 2</w:t>
            </w:r>
          </w:p>
        </w:tc>
        <w:tc>
          <w:tcPr>
            <w:cnfStyle w:evenVBand="true" w:oddVBand="false" w:firstColumn="false"/>
            <w:tcW w:w="25.000000%" w:type="pct"/>
          </w:tcPr>
          <w:p>
            <w:pPr>
              <w:ind w:leftChars="0" w:left="0" w:right="0"/>
            </w:pPr>
            <w:r>
              <w:t>1992</w:t>
            </w:r>
          </w:p>
        </w:tc>
      </w:tr>
      <w:tr>
        <w:trPr>
          <w:cnfStyle w:evenHBand="true" w:oddHBand="false" w:firstRow="false"/>
        </w:trPr>
        <w:tc>
          <w:tcPr>
            <w:cnfStyle w:evenVBand="false" w:oddVBand="true" w:firstColumn="false"/>
            <w:tcW w:w="25.000000%" w:type="pct"/>
          </w:tcPr>
          <w:p>
            <w:pPr>
              <w:ind w:leftChars="0" w:left="0" w:right="0"/>
            </w:pPr>
            <w:r>
              <w:t>XBLN</w:t>
            </w:r>
          </w:p>
        </w:tc>
        <w:tc>
          <w:tcPr>
            <w:cnfStyle w:evenVBand="true" w:oddVBand="false" w:firstColumn="false"/>
            <w:tcW w:w="25.000000%" w:type="pct"/>
          </w:tcPr>
          <w:p>
            <w:pPr>
              <w:ind w:leftChars="0" w:left="0" w:right="0"/>
            </w:pPr>
            <w:r>
              <w:t>XBLN</w:t>
            </w:r>
          </w:p>
        </w:tc>
        <w:tc>
          <w:tcPr>
            <w:cnfStyle w:evenVBand="false" w:oddVBand="true" w:firstColumn="false"/>
            <w:tcW w:w="25.000000%" w:type="pct"/>
          </w:tcPr>
          <w:p>
            <w:pPr>
              <w:ind w:leftChars="0" w:left="0" w:right="0"/>
            </w:pPr>
            <w:r>
              <w:t>BLUENEXT</w:t>
            </w:r>
          </w:p>
        </w:tc>
        <w:tc>
          <w:tcPr>
            <w:cnfStyle w:evenVBand="true" w:oddVBand="false" w:firstColumn="false"/>
            <w:tcW w:w="25.000000%" w:type="pct"/>
          </w:tcPr>
          <w:p>
            <w:pPr>
              <w:ind w:leftChars="0" w:left="0" w:right="0"/>
            </w:pPr>
            <w:r>
              <w:t>1993</w:t>
            </w:r>
          </w:p>
        </w:tc>
      </w:tr>
      <w:tr>
        <w:trPr>
          <w:cnfStyle w:evenHBand="false" w:oddHBand="true" w:firstRow="false"/>
        </w:trPr>
        <w:tc>
          <w:tcPr>
            <w:cnfStyle w:evenVBand="false" w:oddVBand="true" w:firstColumn="false"/>
            <w:tcW w:w="25.000000%" w:type="pct"/>
          </w:tcPr>
          <w:p>
            <w:pPr>
              <w:ind w:leftChars="0" w:left="0" w:right="0"/>
            </w:pPr>
            <w:r>
              <w:t>XBMF</w:t>
            </w:r>
          </w:p>
        </w:tc>
        <w:tc>
          <w:tcPr>
            <w:cnfStyle w:evenVBand="true" w:oddVBand="false" w:firstColumn="false"/>
            <w:tcW w:w="25.000000%" w:type="pct"/>
          </w:tcPr>
          <w:p>
            <w:pPr>
              <w:ind w:leftChars="0" w:left="0" w:right="0"/>
            </w:pPr>
            <w:r>
              <w:t>XBMF</w:t>
            </w:r>
          </w:p>
        </w:tc>
        <w:tc>
          <w:tcPr>
            <w:cnfStyle w:evenVBand="false" w:oddVBand="true" w:firstColumn="false"/>
            <w:tcW w:w="25.000000%" w:type="pct"/>
          </w:tcPr>
          <w:p>
            <w:pPr>
              <w:ind w:leftChars="0" w:left="0" w:right="0"/>
            </w:pPr>
            <w:r>
              <w:t>BOLSA DE MERCADORIAS E FUTUROS</w:t>
            </w:r>
          </w:p>
        </w:tc>
        <w:tc>
          <w:tcPr>
            <w:cnfStyle w:evenVBand="true" w:oddVBand="false" w:firstColumn="false"/>
            <w:tcW w:w="25.000000%" w:type="pct"/>
          </w:tcPr>
          <w:p>
            <w:pPr>
              <w:ind w:leftChars="0" w:left="0" w:right="0"/>
            </w:pPr>
            <w:r>
              <w:t>1994</w:t>
            </w:r>
          </w:p>
        </w:tc>
      </w:tr>
      <w:tr>
        <w:trPr>
          <w:cnfStyle w:evenHBand="true" w:oddHBand="false" w:firstRow="false"/>
        </w:trPr>
        <w:tc>
          <w:tcPr>
            <w:cnfStyle w:evenVBand="false" w:oddVBand="true" w:firstColumn="false"/>
            <w:tcW w:w="25.000000%" w:type="pct"/>
          </w:tcPr>
          <w:p>
            <w:pPr>
              <w:ind w:leftChars="0" w:left="0" w:right="0"/>
            </w:pPr>
            <w:r>
              <w:t>XBMK</w:t>
            </w:r>
          </w:p>
        </w:tc>
        <w:tc>
          <w:tcPr>
            <w:cnfStyle w:evenVBand="true" w:oddVBand="false" w:firstColumn="false"/>
            <w:tcW w:w="25.000000%" w:type="pct"/>
          </w:tcPr>
          <w:p>
            <w:pPr>
              <w:ind w:leftChars="0" w:left="0" w:right="0"/>
            </w:pPr>
            <w:r>
              <w:t>XBMK</w:t>
            </w:r>
          </w:p>
        </w:tc>
        <w:tc>
          <w:tcPr>
            <w:cnfStyle w:evenVBand="false" w:oddVBand="true" w:firstColumn="false"/>
            <w:tcW w:w="25.000000%" w:type="pct"/>
          </w:tcPr>
          <w:p>
            <w:pPr>
              <w:ind w:leftChars="0" w:left="0" w:right="0"/>
            </w:pPr>
            <w:r>
              <w:t>BONDMART</w:t>
            </w:r>
          </w:p>
        </w:tc>
        <w:tc>
          <w:tcPr>
            <w:cnfStyle w:evenVBand="true" w:oddVBand="false" w:firstColumn="false"/>
            <w:tcW w:w="25.000000%" w:type="pct"/>
          </w:tcPr>
          <w:p>
            <w:pPr>
              <w:ind w:leftChars="0" w:left="0" w:right="0"/>
            </w:pPr>
            <w:r>
              <w:t>1995</w:t>
            </w:r>
          </w:p>
        </w:tc>
      </w:tr>
      <w:tr>
        <w:trPr>
          <w:cnfStyle w:evenHBand="false" w:oddHBand="true" w:firstRow="false"/>
        </w:trPr>
        <w:tc>
          <w:tcPr>
            <w:cnfStyle w:evenVBand="false" w:oddVBand="true" w:firstColumn="false"/>
            <w:tcW w:w="25.000000%" w:type="pct"/>
          </w:tcPr>
          <w:p>
            <w:pPr>
              <w:ind w:leftChars="0" w:left="0" w:right="0"/>
            </w:pPr>
            <w:r>
              <w:t>XBND</w:t>
            </w:r>
          </w:p>
        </w:tc>
        <w:tc>
          <w:tcPr>
            <w:cnfStyle w:evenVBand="true" w:oddVBand="false" w:firstColumn="false"/>
            <w:tcW w:w="25.000000%" w:type="pct"/>
          </w:tcPr>
          <w:p>
            <w:pPr>
              <w:ind w:leftChars="0" w:left="0" w:right="0"/>
            </w:pPr>
            <w:r>
              <w:t>XBND</w:t>
            </w:r>
          </w:p>
        </w:tc>
        <w:tc>
          <w:tcPr>
            <w:cnfStyle w:evenVBand="false" w:oddVBand="true" w:firstColumn="false"/>
            <w:tcW w:w="25.000000%" w:type="pct"/>
          </w:tcPr>
          <w:p>
            <w:pPr>
              <w:ind w:leftChars="0" w:left="0" w:right="0"/>
            </w:pPr>
            <w:r>
              <w:t>BUDAPEST STOCK EXCHANGE - XBOND</w:t>
            </w:r>
          </w:p>
        </w:tc>
        <w:tc>
          <w:tcPr>
            <w:cnfStyle w:evenVBand="true" w:oddVBand="false" w:firstColumn="false"/>
            <w:tcW w:w="25.000000%" w:type="pct"/>
          </w:tcPr>
          <w:p>
            <w:pPr>
              <w:ind w:leftChars="0" w:left="0" w:right="0"/>
            </w:pPr>
            <w:r>
              <w:t>1996</w:t>
            </w:r>
          </w:p>
        </w:tc>
      </w:tr>
      <w:tr>
        <w:trPr>
          <w:cnfStyle w:evenHBand="true" w:oddHBand="false" w:firstRow="false"/>
        </w:trPr>
        <w:tc>
          <w:tcPr>
            <w:cnfStyle w:evenVBand="false" w:oddVBand="true" w:firstColumn="false"/>
            <w:tcW w:w="25.000000%" w:type="pct"/>
          </w:tcPr>
          <w:p>
            <w:pPr>
              <w:ind w:leftChars="0" w:left="0" w:right="0"/>
            </w:pPr>
            <w:r>
              <w:t>XBNV</w:t>
            </w:r>
          </w:p>
        </w:tc>
        <w:tc>
          <w:tcPr>
            <w:cnfStyle w:evenVBand="true" w:oddVBand="false" w:firstColumn="false"/>
            <w:tcW w:w="25.000000%" w:type="pct"/>
          </w:tcPr>
          <w:p>
            <w:pPr>
              <w:ind w:leftChars="0" w:left="0" w:right="0"/>
            </w:pPr>
            <w:r>
              <w:t>XBNV</w:t>
            </w:r>
          </w:p>
        </w:tc>
        <w:tc>
          <w:tcPr>
            <w:cnfStyle w:evenVBand="false" w:oddVBand="true" w:firstColumn="false"/>
            <w:tcW w:w="25.000000%" w:type="pct"/>
          </w:tcPr>
          <w:p>
            <w:pPr>
              <w:ind w:leftChars="0" w:left="0" w:right="0"/>
            </w:pPr>
            <w:r>
              <w:t>BOLSA NACIONAL DE VALORES, S.A.</w:t>
            </w:r>
          </w:p>
        </w:tc>
        <w:tc>
          <w:tcPr>
            <w:cnfStyle w:evenVBand="true" w:oddVBand="false" w:firstColumn="false"/>
            <w:tcW w:w="25.000000%" w:type="pct"/>
          </w:tcPr>
          <w:p>
            <w:pPr>
              <w:ind w:leftChars="0" w:left="0" w:right="0"/>
            </w:pPr>
            <w:r>
              <w:t>1997</w:t>
            </w:r>
          </w:p>
        </w:tc>
      </w:tr>
      <w:tr>
        <w:trPr>
          <w:cnfStyle w:evenHBand="false" w:oddHBand="true" w:firstRow="false"/>
        </w:trPr>
        <w:tc>
          <w:tcPr>
            <w:cnfStyle w:evenVBand="false" w:oddVBand="true" w:firstColumn="false"/>
            <w:tcW w:w="25.000000%" w:type="pct"/>
          </w:tcPr>
          <w:p>
            <w:pPr>
              <w:ind w:leftChars="0" w:left="0" w:right="0"/>
            </w:pPr>
            <w:r>
              <w:t>XBOG</w:t>
            </w:r>
          </w:p>
        </w:tc>
        <w:tc>
          <w:tcPr>
            <w:cnfStyle w:evenVBand="true" w:oddVBand="false" w:firstColumn="false"/>
            <w:tcW w:w="25.000000%" w:type="pct"/>
          </w:tcPr>
          <w:p>
            <w:pPr>
              <w:ind w:leftChars="0" w:left="0" w:right="0"/>
            </w:pPr>
            <w:r>
              <w:t>XBOG</w:t>
            </w:r>
          </w:p>
        </w:tc>
        <w:tc>
          <w:tcPr>
            <w:cnfStyle w:evenVBand="false" w:oddVBand="true" w:firstColumn="false"/>
            <w:tcW w:w="25.000000%" w:type="pct"/>
          </w:tcPr>
          <w:p>
            <w:pPr>
              <w:ind w:leftChars="0" w:left="0" w:right="0"/>
            </w:pPr>
            <w:r>
              <w:t>BOLSA DE VALORES DE COLOMBIA</w:t>
            </w:r>
          </w:p>
        </w:tc>
        <w:tc>
          <w:tcPr>
            <w:cnfStyle w:evenVBand="true" w:oddVBand="false" w:firstColumn="false"/>
            <w:tcW w:w="25.000000%" w:type="pct"/>
          </w:tcPr>
          <w:p>
            <w:pPr>
              <w:ind w:leftChars="0" w:left="0" w:right="0"/>
            </w:pPr>
            <w:r>
              <w:t>1998</w:t>
            </w:r>
          </w:p>
        </w:tc>
      </w:tr>
      <w:tr>
        <w:trPr>
          <w:cnfStyle w:evenHBand="true" w:oddHBand="false" w:firstRow="false"/>
        </w:trPr>
        <w:tc>
          <w:tcPr>
            <w:cnfStyle w:evenVBand="false" w:oddVBand="true" w:firstColumn="false"/>
            <w:tcW w:w="25.000000%" w:type="pct"/>
          </w:tcPr>
          <w:p>
            <w:pPr>
              <w:ind w:leftChars="0" w:left="0" w:right="0"/>
            </w:pPr>
            <w:r>
              <w:t>XBOL</w:t>
            </w:r>
          </w:p>
        </w:tc>
        <w:tc>
          <w:tcPr>
            <w:cnfStyle w:evenVBand="true" w:oddVBand="false" w:firstColumn="false"/>
            <w:tcW w:w="25.000000%" w:type="pct"/>
          </w:tcPr>
          <w:p>
            <w:pPr>
              <w:ind w:leftChars="0" w:left="0" w:right="0"/>
            </w:pPr>
            <w:r>
              <w:t>XBOL</w:t>
            </w:r>
          </w:p>
        </w:tc>
        <w:tc>
          <w:tcPr>
            <w:cnfStyle w:evenVBand="false" w:oddVBand="true" w:firstColumn="false"/>
            <w:tcW w:w="25.000000%" w:type="pct"/>
          </w:tcPr>
          <w:p>
            <w:pPr>
              <w:ind w:leftChars="0" w:left="0" w:right="0"/>
            </w:pPr>
            <w:r>
              <w:t>BOLSA BOLIVIANA DE VALORES S.A.</w:t>
            </w:r>
          </w:p>
        </w:tc>
        <w:tc>
          <w:tcPr>
            <w:cnfStyle w:evenVBand="true" w:oddVBand="false" w:firstColumn="false"/>
            <w:tcW w:w="25.000000%" w:type="pct"/>
          </w:tcPr>
          <w:p>
            <w:pPr>
              <w:ind w:leftChars="0" w:left="0" w:right="0"/>
            </w:pPr>
            <w:r>
              <w:t>1999</w:t>
            </w:r>
          </w:p>
        </w:tc>
      </w:tr>
      <w:tr>
        <w:trPr>
          <w:cnfStyle w:evenHBand="false" w:oddHBand="true" w:firstRow="false"/>
        </w:trPr>
        <w:tc>
          <w:tcPr>
            <w:cnfStyle w:evenVBand="false" w:oddVBand="true" w:firstColumn="false"/>
            <w:tcW w:w="25.000000%" w:type="pct"/>
          </w:tcPr>
          <w:p>
            <w:pPr>
              <w:ind w:leftChars="0" w:left="0" w:right="0"/>
            </w:pPr>
            <w:r>
              <w:t>XBOM</w:t>
            </w:r>
          </w:p>
        </w:tc>
        <w:tc>
          <w:tcPr>
            <w:cnfStyle w:evenVBand="true" w:oddVBand="false" w:firstColumn="false"/>
            <w:tcW w:w="25.000000%" w:type="pct"/>
          </w:tcPr>
          <w:p>
            <w:pPr>
              <w:ind w:leftChars="0" w:left="0" w:right="0"/>
            </w:pPr>
            <w:r>
              <w:t>XBOM</w:t>
            </w:r>
          </w:p>
        </w:tc>
        <w:tc>
          <w:tcPr>
            <w:cnfStyle w:evenVBand="false" w:oddVBand="true" w:firstColumn="false"/>
            <w:tcW w:w="25.000000%" w:type="pct"/>
          </w:tcPr>
          <w:p>
            <w:pPr>
              <w:ind w:leftChars="0" w:left="0" w:right="0"/>
            </w:pPr>
            <w:r>
              <w:t>BSE LTD</w:t>
            </w:r>
          </w:p>
        </w:tc>
        <w:tc>
          <w:tcPr>
            <w:cnfStyle w:evenVBand="true" w:oddVBand="false" w:firstColumn="false"/>
            <w:tcW w:w="25.000000%" w:type="pct"/>
          </w:tcPr>
          <w:p>
            <w:pPr>
              <w:ind w:leftChars="0" w:left="0" w:right="0"/>
            </w:pPr>
            <w:r>
              <w:t>2000</w:t>
            </w:r>
          </w:p>
        </w:tc>
      </w:tr>
      <w:tr>
        <w:trPr>
          <w:cnfStyle w:evenHBand="true" w:oddHBand="false" w:firstRow="false"/>
        </w:trPr>
        <w:tc>
          <w:tcPr>
            <w:cnfStyle w:evenVBand="false" w:oddVBand="true" w:firstColumn="false"/>
            <w:tcW w:w="25.000000%" w:type="pct"/>
          </w:tcPr>
          <w:p>
            <w:pPr>
              <w:ind w:leftChars="0" w:left="0" w:right="0"/>
            </w:pPr>
            <w:r>
              <w:t>XBOS</w:t>
            </w:r>
          </w:p>
        </w:tc>
        <w:tc>
          <w:tcPr>
            <w:cnfStyle w:evenVBand="true" w:oddVBand="false" w:firstColumn="false"/>
            <w:tcW w:w="25.000000%" w:type="pct"/>
          </w:tcPr>
          <w:p>
            <w:pPr>
              <w:ind w:leftChars="0" w:left="0" w:right="0"/>
            </w:pPr>
            <w:r>
              <w:t>XBOS</w:t>
            </w:r>
          </w:p>
        </w:tc>
        <w:tc>
          <w:tcPr>
            <w:cnfStyle w:evenVBand="false" w:oddVBand="true" w:firstColumn="false"/>
            <w:tcW w:w="25.000000%" w:type="pct"/>
          </w:tcPr>
          <w:p>
            <w:pPr>
              <w:ind w:leftChars="0" w:left="0" w:right="0"/>
            </w:pPr>
            <w:r>
              <w:t>NASDAQ OMX BX</w:t>
            </w:r>
          </w:p>
        </w:tc>
        <w:tc>
          <w:tcPr>
            <w:cnfStyle w:evenVBand="true" w:oddVBand="false" w:firstColumn="false"/>
            <w:tcW w:w="25.000000%" w:type="pct"/>
          </w:tcPr>
          <w:p>
            <w:pPr>
              <w:ind w:leftChars="0" w:left="0" w:right="0"/>
            </w:pPr>
            <w:r>
              <w:t>2001</w:t>
            </w:r>
          </w:p>
        </w:tc>
      </w:tr>
      <w:tr>
        <w:trPr>
          <w:cnfStyle w:evenHBand="false" w:oddHBand="true" w:firstRow="false"/>
        </w:trPr>
        <w:tc>
          <w:tcPr>
            <w:cnfStyle w:evenVBand="false" w:oddVBand="true" w:firstColumn="false"/>
            <w:tcW w:w="25.000000%" w:type="pct"/>
          </w:tcPr>
          <w:p>
            <w:pPr>
              <w:ind w:leftChars="0" w:left="0" w:right="0"/>
            </w:pPr>
            <w:r>
              <w:t>XBOT</w:t>
            </w:r>
          </w:p>
        </w:tc>
        <w:tc>
          <w:tcPr>
            <w:cnfStyle w:evenVBand="true" w:oddVBand="false" w:firstColumn="false"/>
            <w:tcW w:w="25.000000%" w:type="pct"/>
          </w:tcPr>
          <w:p>
            <w:pPr>
              <w:ind w:leftChars="0" w:left="0" w:right="0"/>
            </w:pPr>
            <w:r>
              <w:t>XBOT</w:t>
            </w:r>
          </w:p>
        </w:tc>
        <w:tc>
          <w:tcPr>
            <w:cnfStyle w:evenVBand="false" w:oddVBand="true" w:firstColumn="false"/>
            <w:tcW w:w="25.000000%" w:type="pct"/>
          </w:tcPr>
          <w:p>
            <w:pPr>
              <w:ind w:leftChars="0" w:left="0" w:right="0"/>
            </w:pPr>
            <w:r>
              <w:t>BOTSWANA STOCK EXCHANGE</w:t>
            </w:r>
          </w:p>
        </w:tc>
        <w:tc>
          <w:tcPr>
            <w:cnfStyle w:evenVBand="true" w:oddVBand="false" w:firstColumn="false"/>
            <w:tcW w:w="25.000000%" w:type="pct"/>
          </w:tcPr>
          <w:p>
            <w:pPr>
              <w:ind w:leftChars="0" w:left="0" w:right="0"/>
            </w:pPr>
            <w:r>
              <w:t>2002</w:t>
            </w:r>
          </w:p>
        </w:tc>
      </w:tr>
      <w:tr>
        <w:trPr>
          <w:cnfStyle w:evenHBand="true" w:oddHBand="false" w:firstRow="false"/>
        </w:trPr>
        <w:tc>
          <w:tcPr>
            <w:cnfStyle w:evenVBand="false" w:oddVBand="true" w:firstColumn="false"/>
            <w:tcW w:w="25.000000%" w:type="pct"/>
          </w:tcPr>
          <w:p>
            <w:pPr>
              <w:ind w:leftChars="0" w:left="0" w:right="0"/>
            </w:pPr>
            <w:r>
              <w:t>XBOX</w:t>
            </w:r>
          </w:p>
        </w:tc>
        <w:tc>
          <w:tcPr>
            <w:cnfStyle w:evenVBand="true" w:oddVBand="false" w:firstColumn="false"/>
            <w:tcW w:w="25.000000%" w:type="pct"/>
          </w:tcPr>
          <w:p>
            <w:pPr>
              <w:ind w:leftChars="0" w:left="0" w:right="0"/>
            </w:pPr>
            <w:r>
              <w:t>XBOX</w:t>
            </w:r>
          </w:p>
        </w:tc>
        <w:tc>
          <w:tcPr>
            <w:cnfStyle w:evenVBand="false" w:oddVBand="true" w:firstColumn="false"/>
            <w:tcW w:w="25.000000%" w:type="pct"/>
          </w:tcPr>
          <w:p>
            <w:pPr>
              <w:ind w:leftChars="0" w:left="0" w:right="0"/>
            </w:pPr>
            <w:r>
              <w:t>BOX OPTIONS EXCHANGE</w:t>
            </w:r>
          </w:p>
        </w:tc>
        <w:tc>
          <w:tcPr>
            <w:cnfStyle w:evenVBand="true" w:oddVBand="false" w:firstColumn="false"/>
            <w:tcW w:w="25.000000%" w:type="pct"/>
          </w:tcPr>
          <w:p>
            <w:pPr>
              <w:ind w:leftChars="0" w:left="0" w:right="0"/>
            </w:pPr>
            <w:r>
              <w:t>2003</w:t>
            </w:r>
          </w:p>
        </w:tc>
      </w:tr>
      <w:tr>
        <w:trPr>
          <w:cnfStyle w:evenHBand="false" w:oddHBand="true" w:firstRow="false"/>
        </w:trPr>
        <w:tc>
          <w:tcPr>
            <w:cnfStyle w:evenVBand="false" w:oddVBand="true" w:firstColumn="false"/>
            <w:tcW w:w="25.000000%" w:type="pct"/>
          </w:tcPr>
          <w:p>
            <w:pPr>
              <w:ind w:leftChars="0" w:left="0" w:right="0"/>
            </w:pPr>
            <w:r>
              <w:t>XBRA</w:t>
            </w:r>
          </w:p>
        </w:tc>
        <w:tc>
          <w:tcPr>
            <w:cnfStyle w:evenVBand="true" w:oddVBand="false" w:firstColumn="false"/>
            <w:tcW w:w="25.000000%" w:type="pct"/>
          </w:tcPr>
          <w:p>
            <w:pPr>
              <w:ind w:leftChars="0" w:left="0" w:right="0"/>
            </w:pPr>
            <w:r>
              <w:t>XBRA</w:t>
            </w:r>
          </w:p>
        </w:tc>
        <w:tc>
          <w:tcPr>
            <w:cnfStyle w:evenVBand="false" w:oddVBand="true" w:firstColumn="false"/>
            <w:tcW w:w="25.000000%" w:type="pct"/>
          </w:tcPr>
          <w:p>
            <w:pPr>
              <w:ind w:leftChars="0" w:left="0" w:right="0"/>
            </w:pPr>
            <w:r>
              <w:t>BRATISLAVA STOCK EXCHANGE</w:t>
            </w:r>
          </w:p>
        </w:tc>
        <w:tc>
          <w:tcPr>
            <w:cnfStyle w:evenVBand="true" w:oddVBand="false" w:firstColumn="false"/>
            <w:tcW w:w="25.000000%" w:type="pct"/>
          </w:tcPr>
          <w:p>
            <w:pPr>
              <w:ind w:leftChars="0" w:left="0" w:right="0"/>
            </w:pPr>
            <w:r>
              <w:t>2004</w:t>
            </w:r>
          </w:p>
        </w:tc>
      </w:tr>
      <w:tr>
        <w:trPr>
          <w:cnfStyle w:evenHBand="true" w:oddHBand="false" w:firstRow="false"/>
        </w:trPr>
        <w:tc>
          <w:tcPr>
            <w:cnfStyle w:evenVBand="false" w:oddVBand="true" w:firstColumn="false"/>
            <w:tcW w:w="25.000000%" w:type="pct"/>
          </w:tcPr>
          <w:p>
            <w:pPr>
              <w:ind w:leftChars="0" w:left="0" w:right="0"/>
            </w:pPr>
            <w:r>
              <w:t>XBRD</w:t>
            </w:r>
          </w:p>
        </w:tc>
        <w:tc>
          <w:tcPr>
            <w:cnfStyle w:evenVBand="true" w:oddVBand="false" w:firstColumn="false"/>
            <w:tcW w:w="25.000000%" w:type="pct"/>
          </w:tcPr>
          <w:p>
            <w:pPr>
              <w:ind w:leftChars="0" w:left="0" w:right="0"/>
            </w:pPr>
            <w:r>
              <w:t>XBRD</w:t>
            </w:r>
          </w:p>
        </w:tc>
        <w:tc>
          <w:tcPr>
            <w:cnfStyle w:evenVBand="false" w:oddVBand="true" w:firstColumn="false"/>
            <w:tcW w:w="25.000000%" w:type="pct"/>
          </w:tcPr>
          <w:p>
            <w:pPr>
              <w:ind w:leftChars="0" w:left="0" w:right="0"/>
            </w:pPr>
            <w:r>
              <w:t>EURONEXT - EURONEXT BRUSSELS - DERIVATIVES</w:t>
            </w:r>
          </w:p>
        </w:tc>
        <w:tc>
          <w:tcPr>
            <w:cnfStyle w:evenVBand="true" w:oddVBand="false" w:firstColumn="false"/>
            <w:tcW w:w="25.000000%" w:type="pct"/>
          </w:tcPr>
          <w:p>
            <w:pPr>
              <w:ind w:leftChars="0" w:left="0" w:right="0"/>
            </w:pPr>
            <w:r>
              <w:t>2005</w:t>
            </w:r>
          </w:p>
        </w:tc>
      </w:tr>
      <w:tr>
        <w:trPr>
          <w:cnfStyle w:evenHBand="false" w:oddHBand="true" w:firstRow="false"/>
        </w:trPr>
        <w:tc>
          <w:tcPr>
            <w:cnfStyle w:evenVBand="false" w:oddVBand="true" w:firstColumn="false"/>
            <w:tcW w:w="25.000000%" w:type="pct"/>
          </w:tcPr>
          <w:p>
            <w:pPr>
              <w:ind w:leftChars="0" w:left="0" w:right="0"/>
            </w:pPr>
            <w:r>
              <w:t>XBRE</w:t>
            </w:r>
          </w:p>
        </w:tc>
        <w:tc>
          <w:tcPr>
            <w:cnfStyle w:evenVBand="true" w:oddVBand="false" w:firstColumn="false"/>
            <w:tcW w:w="25.000000%" w:type="pct"/>
          </w:tcPr>
          <w:p>
            <w:pPr>
              <w:ind w:leftChars="0" w:left="0" w:right="0"/>
            </w:pPr>
            <w:r>
              <w:t>XBRE</w:t>
            </w:r>
          </w:p>
        </w:tc>
        <w:tc>
          <w:tcPr>
            <w:cnfStyle w:evenVBand="false" w:oddVBand="true" w:firstColumn="false"/>
            <w:tcW w:w="25.000000%" w:type="pct"/>
          </w:tcPr>
          <w:p>
            <w:pPr>
              <w:ind w:leftChars="0" w:left="0" w:right="0"/>
            </w:pPr>
            <w:r>
              <w:t>BREMER WERTPAPIERBOERSE</w:t>
            </w:r>
          </w:p>
        </w:tc>
        <w:tc>
          <w:tcPr>
            <w:cnfStyle w:evenVBand="true" w:oddVBand="false" w:firstColumn="false"/>
            <w:tcW w:w="25.000000%" w:type="pct"/>
          </w:tcPr>
          <w:p>
            <w:pPr>
              <w:ind w:leftChars="0" w:left="0" w:right="0"/>
            </w:pPr>
            <w:r>
              <w:t>2006</w:t>
            </w:r>
          </w:p>
        </w:tc>
      </w:tr>
      <w:tr>
        <w:trPr>
          <w:cnfStyle w:evenHBand="true" w:oddHBand="false" w:firstRow="false"/>
        </w:trPr>
        <w:tc>
          <w:tcPr>
            <w:cnfStyle w:evenVBand="false" w:oddVBand="true" w:firstColumn="false"/>
            <w:tcW w:w="25.000000%" w:type="pct"/>
          </w:tcPr>
          <w:p>
            <w:pPr>
              <w:ind w:leftChars="0" w:left="0" w:right="0"/>
            </w:pPr>
            <w:r>
              <w:t>XBRM</w:t>
            </w:r>
          </w:p>
        </w:tc>
        <w:tc>
          <w:tcPr>
            <w:cnfStyle w:evenVBand="true" w:oddVBand="false" w:firstColumn="false"/>
            <w:tcW w:w="25.000000%" w:type="pct"/>
          </w:tcPr>
          <w:p>
            <w:pPr>
              <w:ind w:leftChars="0" w:left="0" w:right="0"/>
            </w:pPr>
            <w:r>
              <w:t>XBRM</w:t>
            </w:r>
          </w:p>
        </w:tc>
        <w:tc>
          <w:tcPr>
            <w:cnfStyle w:evenVBand="false" w:oddVBand="true" w:firstColumn="false"/>
            <w:tcW w:w="25.000000%" w:type="pct"/>
          </w:tcPr>
          <w:p>
            <w:pPr>
              <w:ind w:leftChars="0" w:left="0" w:right="0"/>
            </w:pPr>
            <w:r>
              <w:t>ROMANIAN  COMMODITIES EXCHANGE</w:t>
            </w:r>
          </w:p>
        </w:tc>
        <w:tc>
          <w:tcPr>
            <w:cnfStyle w:evenVBand="true" w:oddVBand="false" w:firstColumn="false"/>
            <w:tcW w:w="25.000000%" w:type="pct"/>
          </w:tcPr>
          <w:p>
            <w:pPr>
              <w:ind w:leftChars="0" w:left="0" w:right="0"/>
            </w:pPr>
            <w:r>
              <w:t>2007</w:t>
            </w:r>
          </w:p>
        </w:tc>
      </w:tr>
      <w:tr>
        <w:trPr>
          <w:cnfStyle w:evenHBand="false" w:oddHBand="true" w:firstRow="false"/>
        </w:trPr>
        <w:tc>
          <w:tcPr>
            <w:cnfStyle w:evenVBand="false" w:oddVBand="true" w:firstColumn="false"/>
            <w:tcW w:w="25.000000%" w:type="pct"/>
          </w:tcPr>
          <w:p>
            <w:pPr>
              <w:ind w:leftChars="0" w:left="0" w:right="0"/>
            </w:pPr>
            <w:r>
              <w:t>XBRN</w:t>
            </w:r>
          </w:p>
        </w:tc>
        <w:tc>
          <w:tcPr>
            <w:cnfStyle w:evenVBand="true" w:oddVBand="false" w:firstColumn="false"/>
            <w:tcW w:w="25.000000%" w:type="pct"/>
          </w:tcPr>
          <w:p>
            <w:pPr>
              <w:ind w:leftChars="0" w:left="0" w:right="0"/>
            </w:pPr>
            <w:r>
              <w:t>XBRN</w:t>
            </w:r>
          </w:p>
        </w:tc>
        <w:tc>
          <w:tcPr>
            <w:cnfStyle w:evenVBand="false" w:oddVBand="true" w:firstColumn="false"/>
            <w:tcW w:w="25.000000%" w:type="pct"/>
          </w:tcPr>
          <w:p>
            <w:pPr>
              <w:ind w:leftChars="0" w:left="0" w:right="0"/>
            </w:pPr>
            <w:r>
              <w:t>BX SWISS AG</w:t>
            </w:r>
          </w:p>
        </w:tc>
        <w:tc>
          <w:tcPr>
            <w:cnfStyle w:evenVBand="true" w:oddVBand="false" w:firstColumn="false"/>
            <w:tcW w:w="25.000000%" w:type="pct"/>
          </w:tcPr>
          <w:p>
            <w:pPr>
              <w:ind w:leftChars="0" w:left="0" w:right="0"/>
            </w:pPr>
            <w:r>
              <w:t>2008</w:t>
            </w:r>
          </w:p>
        </w:tc>
      </w:tr>
      <w:tr>
        <w:trPr>
          <w:cnfStyle w:evenHBand="true" w:oddHBand="false" w:firstRow="false"/>
        </w:trPr>
        <w:tc>
          <w:tcPr>
            <w:cnfStyle w:evenVBand="false" w:oddVBand="true" w:firstColumn="false"/>
            <w:tcW w:w="25.000000%" w:type="pct"/>
          </w:tcPr>
          <w:p>
            <w:pPr>
              <w:ind w:leftChars="0" w:left="0" w:right="0"/>
            </w:pPr>
            <w:r>
              <w:t>XBRT</w:t>
            </w:r>
          </w:p>
        </w:tc>
        <w:tc>
          <w:tcPr>
            <w:cnfStyle w:evenVBand="true" w:oddVBand="false" w:firstColumn="false"/>
            <w:tcW w:w="25.000000%" w:type="pct"/>
          </w:tcPr>
          <w:p>
            <w:pPr>
              <w:ind w:leftChars="0" w:left="0" w:right="0"/>
            </w:pPr>
            <w:r>
              <w:t>XBRT</w:t>
            </w:r>
          </w:p>
        </w:tc>
        <w:tc>
          <w:tcPr>
            <w:cnfStyle w:evenVBand="false" w:oddVBand="true" w:firstColumn="false"/>
            <w:tcW w:w="25.000000%" w:type="pct"/>
          </w:tcPr>
          <w:p>
            <w:pPr>
              <w:ind w:leftChars="0" w:left="0" w:right="0"/>
            </w:pPr>
            <w:r>
              <w:t>BRUT ECN</w:t>
            </w:r>
          </w:p>
        </w:tc>
        <w:tc>
          <w:tcPr>
            <w:cnfStyle w:evenVBand="true" w:oddVBand="false" w:firstColumn="false"/>
            <w:tcW w:w="25.000000%" w:type="pct"/>
          </w:tcPr>
          <w:p>
            <w:pPr>
              <w:ind w:leftChars="0" w:left="0" w:right="0"/>
            </w:pPr>
            <w:r>
              <w:t>2009</w:t>
            </w:r>
          </w:p>
        </w:tc>
      </w:tr>
      <w:tr>
        <w:trPr>
          <w:cnfStyle w:evenHBand="false" w:oddHBand="true" w:firstRow="false"/>
        </w:trPr>
        <w:tc>
          <w:tcPr>
            <w:cnfStyle w:evenVBand="false" w:oddVBand="true" w:firstColumn="false"/>
            <w:tcW w:w="25.000000%" w:type="pct"/>
          </w:tcPr>
          <w:p>
            <w:pPr>
              <w:ind w:leftChars="0" w:left="0" w:right="0"/>
            </w:pPr>
            <w:r>
              <w:t>XBRU</w:t>
            </w:r>
          </w:p>
        </w:tc>
        <w:tc>
          <w:tcPr>
            <w:cnfStyle w:evenVBand="true" w:oddVBand="false" w:firstColumn="false"/>
            <w:tcW w:w="25.000000%" w:type="pct"/>
          </w:tcPr>
          <w:p>
            <w:pPr>
              <w:ind w:leftChars="0" w:left="0" w:right="0"/>
            </w:pPr>
            <w:r>
              <w:t>XBRU</w:t>
            </w:r>
          </w:p>
        </w:tc>
        <w:tc>
          <w:tcPr>
            <w:cnfStyle w:evenVBand="false" w:oddVBand="true" w:firstColumn="false"/>
            <w:tcW w:w="25.000000%" w:type="pct"/>
          </w:tcPr>
          <w:p>
            <w:pPr>
              <w:ind w:leftChars="0" w:left="0" w:right="0"/>
            </w:pPr>
            <w:r>
              <w:t>EURONEXT - EURONEXT BRUSSELS</w:t>
            </w:r>
          </w:p>
        </w:tc>
        <w:tc>
          <w:tcPr>
            <w:cnfStyle w:evenVBand="true" w:oddVBand="false" w:firstColumn="false"/>
            <w:tcW w:w="25.000000%" w:type="pct"/>
          </w:tcPr>
          <w:p>
            <w:pPr>
              <w:ind w:leftChars="0" w:left="0" w:right="0"/>
            </w:pPr>
            <w:r>
              <w:t>2010</w:t>
            </w:r>
          </w:p>
        </w:tc>
      </w:tr>
      <w:tr>
        <w:trPr>
          <w:cnfStyle w:evenHBand="true" w:oddHBand="false" w:firstRow="false"/>
        </w:trPr>
        <w:tc>
          <w:tcPr>
            <w:cnfStyle w:evenVBand="false" w:oddVBand="true" w:firstColumn="false"/>
            <w:tcW w:w="25.000000%" w:type="pct"/>
          </w:tcPr>
          <w:p>
            <w:pPr>
              <w:ind w:leftChars="0" w:left="0" w:right="0"/>
            </w:pPr>
            <w:r>
              <w:t>XBRV</w:t>
            </w:r>
          </w:p>
        </w:tc>
        <w:tc>
          <w:tcPr>
            <w:cnfStyle w:evenVBand="true" w:oddVBand="false" w:firstColumn="false"/>
            <w:tcW w:w="25.000000%" w:type="pct"/>
          </w:tcPr>
          <w:p>
            <w:pPr>
              <w:ind w:leftChars="0" w:left="0" w:right="0"/>
            </w:pPr>
            <w:r>
              <w:t>XBRV</w:t>
            </w:r>
          </w:p>
        </w:tc>
        <w:tc>
          <w:tcPr>
            <w:cnfStyle w:evenVBand="false" w:oddVBand="true" w:firstColumn="false"/>
            <w:tcW w:w="25.000000%" w:type="pct"/>
          </w:tcPr>
          <w:p>
            <w:pPr>
              <w:ind w:leftChars="0" w:left="0" w:right="0"/>
            </w:pPr>
            <w:r>
              <w:t>BOURSE REGIONALE DES VALEURS MOBILIERES</w:t>
            </w:r>
          </w:p>
        </w:tc>
        <w:tc>
          <w:tcPr>
            <w:cnfStyle w:evenVBand="true" w:oddVBand="false" w:firstColumn="false"/>
            <w:tcW w:w="25.000000%" w:type="pct"/>
          </w:tcPr>
          <w:p>
            <w:pPr>
              <w:ind w:leftChars="0" w:left="0" w:right="0"/>
            </w:pPr>
            <w:r>
              <w:t>2011</w:t>
            </w:r>
          </w:p>
        </w:tc>
      </w:tr>
      <w:tr>
        <w:trPr>
          <w:cnfStyle w:evenHBand="false" w:oddHBand="true" w:firstRow="false"/>
        </w:trPr>
        <w:tc>
          <w:tcPr>
            <w:cnfStyle w:evenVBand="false" w:oddVBand="true" w:firstColumn="false"/>
            <w:tcW w:w="25.000000%" w:type="pct"/>
          </w:tcPr>
          <w:p>
            <w:pPr>
              <w:ind w:leftChars="0" w:left="0" w:right="0"/>
            </w:pPr>
            <w:r>
              <w:t>XBSD</w:t>
            </w:r>
          </w:p>
        </w:tc>
        <w:tc>
          <w:tcPr>
            <w:cnfStyle w:evenVBand="true" w:oddVBand="false" w:firstColumn="false"/>
            <w:tcW w:w="25.000000%" w:type="pct"/>
          </w:tcPr>
          <w:p>
            <w:pPr>
              <w:ind w:leftChars="0" w:left="0" w:right="0"/>
            </w:pPr>
            <w:r>
              <w:t>XBSD</w:t>
            </w:r>
          </w:p>
        </w:tc>
        <w:tc>
          <w:tcPr>
            <w:cnfStyle w:evenVBand="false" w:oddVBand="true" w:firstColumn="false"/>
            <w:tcW w:w="25.000000%" w:type="pct"/>
          </w:tcPr>
          <w:p>
            <w:pPr>
              <w:ind w:leftChars="0" w:left="0" w:right="0"/>
            </w:pPr>
            <w:r>
              <w:t>DERIVATIVES REGULATED MARKET - BVB</w:t>
            </w:r>
          </w:p>
        </w:tc>
        <w:tc>
          <w:tcPr>
            <w:cnfStyle w:evenVBand="true" w:oddVBand="false" w:firstColumn="false"/>
            <w:tcW w:w="25.000000%" w:type="pct"/>
          </w:tcPr>
          <w:p>
            <w:pPr>
              <w:ind w:leftChars="0" w:left="0" w:right="0"/>
            </w:pPr>
            <w:r>
              <w:t>2012</w:t>
            </w:r>
          </w:p>
        </w:tc>
      </w:tr>
      <w:tr>
        <w:trPr>
          <w:cnfStyle w:evenHBand="true" w:oddHBand="false" w:firstRow="false"/>
        </w:trPr>
        <w:tc>
          <w:tcPr>
            <w:cnfStyle w:evenVBand="false" w:oddVBand="true" w:firstColumn="false"/>
            <w:tcW w:w="25.000000%" w:type="pct"/>
          </w:tcPr>
          <w:p>
            <w:pPr>
              <w:ind w:leftChars="0" w:left="0" w:right="0"/>
            </w:pPr>
            <w:r>
              <w:t>XBSE</w:t>
            </w:r>
          </w:p>
        </w:tc>
        <w:tc>
          <w:tcPr>
            <w:cnfStyle w:evenVBand="true" w:oddVBand="false" w:firstColumn="false"/>
            <w:tcW w:w="25.000000%" w:type="pct"/>
          </w:tcPr>
          <w:p>
            <w:pPr>
              <w:ind w:leftChars="0" w:left="0" w:right="0"/>
            </w:pPr>
            <w:r>
              <w:t>XBSE</w:t>
            </w:r>
          </w:p>
        </w:tc>
        <w:tc>
          <w:tcPr>
            <w:cnfStyle w:evenVBand="false" w:oddVBand="true" w:firstColumn="false"/>
            <w:tcW w:w="25.000000%" w:type="pct"/>
          </w:tcPr>
          <w:p>
            <w:pPr>
              <w:ind w:leftChars="0" w:left="0" w:right="0"/>
            </w:pPr>
            <w:r>
              <w:t>SPOT REGULATED MARKET - BVB</w:t>
            </w:r>
          </w:p>
        </w:tc>
        <w:tc>
          <w:tcPr>
            <w:cnfStyle w:evenVBand="true" w:oddVBand="false" w:firstColumn="false"/>
            <w:tcW w:w="25.000000%" w:type="pct"/>
          </w:tcPr>
          <w:p>
            <w:pPr>
              <w:ind w:leftChars="0" w:left="0" w:right="0"/>
            </w:pPr>
            <w:r>
              <w:t>2013</w:t>
            </w:r>
          </w:p>
        </w:tc>
      </w:tr>
      <w:tr>
        <w:trPr>
          <w:cnfStyle w:evenHBand="false" w:oddHBand="true" w:firstRow="false"/>
        </w:trPr>
        <w:tc>
          <w:tcPr>
            <w:cnfStyle w:evenVBand="false" w:oddVBand="true" w:firstColumn="false"/>
            <w:tcW w:w="25.000000%" w:type="pct"/>
          </w:tcPr>
          <w:p>
            <w:pPr>
              <w:ind w:leftChars="0" w:left="0" w:right="0"/>
            </w:pPr>
            <w:r>
              <w:t>XBSP</w:t>
            </w:r>
          </w:p>
        </w:tc>
        <w:tc>
          <w:tcPr>
            <w:cnfStyle w:evenVBand="true" w:oddVBand="false" w:firstColumn="false"/>
            <w:tcW w:w="25.000000%" w:type="pct"/>
          </w:tcPr>
          <w:p>
            <w:pPr>
              <w:ind w:leftChars="0" w:left="0" w:right="0"/>
            </w:pPr>
            <w:r>
              <w:t>XBSP</w:t>
            </w:r>
          </w:p>
        </w:tc>
        <w:tc>
          <w:tcPr>
            <w:cnfStyle w:evenVBand="false" w:oddVBand="true" w:firstColumn="false"/>
            <w:tcW w:w="25.000000%" w:type="pct"/>
          </w:tcPr>
          <w:p>
            <w:pPr>
              <w:ind w:leftChars="0" w:left="0" w:right="0"/>
            </w:pPr>
            <w:r>
              <w:t>BOLSA DE VALORES DE SAO PAULO</w:t>
            </w:r>
          </w:p>
        </w:tc>
        <w:tc>
          <w:tcPr>
            <w:cnfStyle w:evenVBand="true" w:oddVBand="false" w:firstColumn="false"/>
            <w:tcW w:w="25.000000%" w:type="pct"/>
          </w:tcPr>
          <w:p>
            <w:pPr>
              <w:ind w:leftChars="0" w:left="0" w:right="0"/>
            </w:pPr>
            <w:r>
              <w:t>2014</w:t>
            </w:r>
          </w:p>
        </w:tc>
      </w:tr>
      <w:tr>
        <w:trPr>
          <w:cnfStyle w:evenHBand="true" w:oddHBand="false" w:firstRow="false"/>
        </w:trPr>
        <w:tc>
          <w:tcPr>
            <w:cnfStyle w:evenVBand="false" w:oddVBand="true" w:firstColumn="false"/>
            <w:tcW w:w="25.000000%" w:type="pct"/>
          </w:tcPr>
          <w:p>
            <w:pPr>
              <w:ind w:leftChars="0" w:left="0" w:right="0"/>
            </w:pPr>
            <w:r>
              <w:t>XBTF</w:t>
            </w:r>
          </w:p>
        </w:tc>
        <w:tc>
          <w:tcPr>
            <w:cnfStyle w:evenVBand="true" w:oddVBand="false" w:firstColumn="false"/>
            <w:tcW w:w="25.000000%" w:type="pct"/>
          </w:tcPr>
          <w:p>
            <w:pPr>
              <w:ind w:leftChars="0" w:left="0" w:right="0"/>
            </w:pPr>
            <w:r>
              <w:t>XBTF</w:t>
            </w:r>
          </w:p>
        </w:tc>
        <w:tc>
          <w:tcPr>
            <w:cnfStyle w:evenVBand="false" w:oddVBand="true" w:firstColumn="false"/>
            <w:tcW w:w="25.000000%" w:type="pct"/>
          </w:tcPr>
          <w:p>
            <w:pPr>
              <w:ind w:leftChars="0" w:left="0" w:right="0"/>
            </w:pPr>
            <w:r>
              <w:t>BROKERTEC FUTURES EXCHANGE</w:t>
            </w:r>
          </w:p>
        </w:tc>
        <w:tc>
          <w:tcPr>
            <w:cnfStyle w:evenVBand="true" w:oddVBand="false" w:firstColumn="false"/>
            <w:tcW w:w="25.000000%" w:type="pct"/>
          </w:tcPr>
          <w:p>
            <w:pPr>
              <w:ind w:leftChars="0" w:left="0" w:right="0"/>
            </w:pPr>
            <w:r>
              <w:t>2015</w:t>
            </w:r>
          </w:p>
        </w:tc>
      </w:tr>
      <w:tr>
        <w:trPr>
          <w:cnfStyle w:evenHBand="false" w:oddHBand="true" w:firstRow="false"/>
        </w:trPr>
        <w:tc>
          <w:tcPr>
            <w:cnfStyle w:evenVBand="false" w:oddVBand="true" w:firstColumn="false"/>
            <w:tcW w:w="25.000000%" w:type="pct"/>
          </w:tcPr>
          <w:p>
            <w:pPr>
              <w:ind w:leftChars="0" w:left="0" w:right="0"/>
            </w:pPr>
            <w:r>
              <w:t>XBTR</w:t>
            </w:r>
          </w:p>
        </w:tc>
        <w:tc>
          <w:tcPr>
            <w:cnfStyle w:evenVBand="true" w:oddVBand="false" w:firstColumn="false"/>
            <w:tcW w:w="25.000000%" w:type="pct"/>
          </w:tcPr>
          <w:p>
            <w:pPr>
              <w:ind w:leftChars="0" w:left="0" w:right="0"/>
            </w:pPr>
            <w:r>
              <w:t>XBTR</w:t>
            </w:r>
          </w:p>
        </w:tc>
        <w:tc>
          <w:tcPr>
            <w:cnfStyle w:evenVBand="false" w:oddVBand="true" w:firstColumn="false"/>
            <w:tcW w:w="25.000000%" w:type="pct"/>
          </w:tcPr>
          <w:p>
            <w:pPr>
              <w:ind w:leftChars="0" w:left="0" w:right="0"/>
            </w:pPr>
            <w:r>
              <w:t>SIX SWISS BILATERAL TRADING PLATFORM FOR STRUCTURED OTC PRODUCTS</w:t>
            </w:r>
          </w:p>
        </w:tc>
        <w:tc>
          <w:tcPr>
            <w:cnfStyle w:evenVBand="true" w:oddVBand="false" w:firstColumn="false"/>
            <w:tcW w:w="25.000000%" w:type="pct"/>
          </w:tcPr>
          <w:p>
            <w:pPr>
              <w:ind w:leftChars="0" w:left="0" w:right="0"/>
            </w:pPr>
            <w:r>
              <w:t>2016</w:t>
            </w:r>
          </w:p>
        </w:tc>
      </w:tr>
      <w:tr>
        <w:trPr>
          <w:cnfStyle w:evenHBand="true" w:oddHBand="false" w:firstRow="false"/>
        </w:trPr>
        <w:tc>
          <w:tcPr>
            <w:cnfStyle w:evenVBand="false" w:oddVBand="true" w:firstColumn="false"/>
            <w:tcW w:w="25.000000%" w:type="pct"/>
          </w:tcPr>
          <w:p>
            <w:pPr>
              <w:ind w:leftChars="0" w:left="0" w:right="0"/>
            </w:pPr>
            <w:r>
              <w:t>XBUD</w:t>
            </w:r>
          </w:p>
        </w:tc>
        <w:tc>
          <w:tcPr>
            <w:cnfStyle w:evenVBand="true" w:oddVBand="false" w:firstColumn="false"/>
            <w:tcW w:w="25.000000%" w:type="pct"/>
          </w:tcPr>
          <w:p>
            <w:pPr>
              <w:ind w:leftChars="0" w:left="0" w:right="0"/>
            </w:pPr>
            <w:r>
              <w:t>XBUD</w:t>
            </w:r>
          </w:p>
        </w:tc>
        <w:tc>
          <w:tcPr>
            <w:cnfStyle w:evenVBand="false" w:oddVBand="true" w:firstColumn="false"/>
            <w:tcW w:w="25.000000%" w:type="pct"/>
          </w:tcPr>
          <w:p>
            <w:pPr>
              <w:ind w:leftChars="0" w:left="0" w:right="0"/>
            </w:pPr>
            <w:r>
              <w:t>BUDAPEST STOCK EXCHANGE</w:t>
            </w:r>
          </w:p>
        </w:tc>
        <w:tc>
          <w:tcPr>
            <w:cnfStyle w:evenVBand="true" w:oddVBand="false" w:firstColumn="false"/>
            <w:tcW w:w="25.000000%" w:type="pct"/>
          </w:tcPr>
          <w:p>
            <w:pPr>
              <w:ind w:leftChars="0" w:left="0" w:right="0"/>
            </w:pPr>
            <w:r>
              <w:t>2017</w:t>
            </w:r>
          </w:p>
        </w:tc>
      </w:tr>
      <w:tr>
        <w:trPr>
          <w:cnfStyle w:evenHBand="false" w:oddHBand="true" w:firstRow="false"/>
        </w:trPr>
        <w:tc>
          <w:tcPr>
            <w:cnfStyle w:evenVBand="false" w:oddVBand="true" w:firstColumn="false"/>
            <w:tcW w:w="25.000000%" w:type="pct"/>
          </w:tcPr>
          <w:p>
            <w:pPr>
              <w:ind w:leftChars="0" w:left="0" w:right="0"/>
            </w:pPr>
            <w:r>
              <w:t>XBUE</w:t>
            </w:r>
          </w:p>
        </w:tc>
        <w:tc>
          <w:tcPr>
            <w:cnfStyle w:evenVBand="true" w:oddVBand="false" w:firstColumn="false"/>
            <w:tcW w:w="25.000000%" w:type="pct"/>
          </w:tcPr>
          <w:p>
            <w:pPr>
              <w:ind w:leftChars="0" w:left="0" w:right="0"/>
            </w:pPr>
            <w:r>
              <w:t>XBUE</w:t>
            </w:r>
          </w:p>
        </w:tc>
        <w:tc>
          <w:tcPr>
            <w:cnfStyle w:evenVBand="false" w:oddVBand="true" w:firstColumn="false"/>
            <w:tcW w:w="25.000000%" w:type="pct"/>
          </w:tcPr>
          <w:p>
            <w:pPr>
              <w:ind w:leftChars="0" w:left="0" w:right="0"/>
            </w:pPr>
            <w:r>
              <w:t>BOLSA DE COMERCIO DE BUENOS AIRES</w:t>
            </w:r>
          </w:p>
        </w:tc>
        <w:tc>
          <w:tcPr>
            <w:cnfStyle w:evenVBand="true" w:oddVBand="false" w:firstColumn="false"/>
            <w:tcW w:w="25.000000%" w:type="pct"/>
          </w:tcPr>
          <w:p>
            <w:pPr>
              <w:ind w:leftChars="0" w:left="0" w:right="0"/>
            </w:pPr>
            <w:r>
              <w:t>2018</w:t>
            </w:r>
          </w:p>
        </w:tc>
      </w:tr>
      <w:tr>
        <w:trPr>
          <w:cnfStyle w:evenHBand="true" w:oddHBand="false" w:firstRow="false"/>
        </w:trPr>
        <w:tc>
          <w:tcPr>
            <w:cnfStyle w:evenVBand="false" w:oddVBand="true" w:firstColumn="false"/>
            <w:tcW w:w="25.000000%" w:type="pct"/>
          </w:tcPr>
          <w:p>
            <w:pPr>
              <w:ind w:leftChars="0" w:left="0" w:right="0"/>
            </w:pPr>
            <w:r>
              <w:t>XBUL</w:t>
            </w:r>
          </w:p>
        </w:tc>
        <w:tc>
          <w:tcPr>
            <w:cnfStyle w:evenVBand="true" w:oddVBand="false" w:firstColumn="false"/>
            <w:tcW w:w="25.000000%" w:type="pct"/>
          </w:tcPr>
          <w:p>
            <w:pPr>
              <w:ind w:leftChars="0" w:left="0" w:right="0"/>
            </w:pPr>
            <w:r>
              <w:t>XBUL</w:t>
            </w:r>
          </w:p>
        </w:tc>
        <w:tc>
          <w:tcPr>
            <w:cnfStyle w:evenVBand="false" w:oddVBand="true" w:firstColumn="false"/>
            <w:tcW w:w="25.000000%" w:type="pct"/>
          </w:tcPr>
          <w:p>
            <w:pPr>
              <w:ind w:leftChars="0" w:left="0" w:right="0"/>
            </w:pPr>
            <w:r>
              <w:t>BULGARIAN STOCK EXCHANGE</w:t>
            </w:r>
          </w:p>
        </w:tc>
        <w:tc>
          <w:tcPr>
            <w:cnfStyle w:evenVBand="true" w:oddVBand="false" w:firstColumn="false"/>
            <w:tcW w:w="25.000000%" w:type="pct"/>
          </w:tcPr>
          <w:p>
            <w:pPr>
              <w:ind w:leftChars="0" w:left="0" w:right="0"/>
            </w:pPr>
            <w:r>
              <w:t>2019</w:t>
            </w:r>
          </w:p>
        </w:tc>
      </w:tr>
      <w:tr>
        <w:trPr>
          <w:cnfStyle w:evenHBand="false" w:oddHBand="true" w:firstRow="false"/>
        </w:trPr>
        <w:tc>
          <w:tcPr>
            <w:cnfStyle w:evenVBand="false" w:oddVBand="true" w:firstColumn="false"/>
            <w:tcW w:w="25.000000%" w:type="pct"/>
          </w:tcPr>
          <w:p>
            <w:pPr>
              <w:ind w:leftChars="0" w:left="0" w:right="0"/>
            </w:pPr>
            <w:r>
              <w:t>XBVC</w:t>
            </w:r>
          </w:p>
        </w:tc>
        <w:tc>
          <w:tcPr>
            <w:cnfStyle w:evenVBand="true" w:oddVBand="false" w:firstColumn="false"/>
            <w:tcW w:w="25.000000%" w:type="pct"/>
          </w:tcPr>
          <w:p>
            <w:pPr>
              <w:ind w:leftChars="0" w:left="0" w:right="0"/>
            </w:pPr>
            <w:r>
              <w:t>XBVC</w:t>
            </w:r>
          </w:p>
        </w:tc>
        <w:tc>
          <w:tcPr>
            <w:cnfStyle w:evenVBand="false" w:oddVBand="true" w:firstColumn="false"/>
            <w:tcW w:w="25.000000%" w:type="pct"/>
          </w:tcPr>
          <w:p>
            <w:pPr>
              <w:ind w:leftChars="0" w:left="0" w:right="0"/>
            </w:pPr>
            <w:r>
              <w:t>CAPE VERDE STOCK EXCHANGE</w:t>
            </w:r>
          </w:p>
        </w:tc>
        <w:tc>
          <w:tcPr>
            <w:cnfStyle w:evenVBand="true" w:oddVBand="false" w:firstColumn="false"/>
            <w:tcW w:w="25.000000%" w:type="pct"/>
          </w:tcPr>
          <w:p>
            <w:pPr>
              <w:ind w:leftChars="0" w:left="0" w:right="0"/>
            </w:pPr>
            <w:r>
              <w:t>2020</w:t>
            </w:r>
          </w:p>
        </w:tc>
      </w:tr>
      <w:tr>
        <w:trPr>
          <w:cnfStyle w:evenHBand="true" w:oddHBand="false" w:firstRow="false"/>
        </w:trPr>
        <w:tc>
          <w:tcPr>
            <w:cnfStyle w:evenVBand="false" w:oddVBand="true" w:firstColumn="false"/>
            <w:tcW w:w="25.000000%" w:type="pct"/>
          </w:tcPr>
          <w:p>
            <w:pPr>
              <w:ind w:leftChars="0" w:left="0" w:right="0"/>
            </w:pPr>
            <w:r>
              <w:t>XBVM</w:t>
            </w:r>
          </w:p>
        </w:tc>
        <w:tc>
          <w:tcPr>
            <w:cnfStyle w:evenVBand="true" w:oddVBand="false" w:firstColumn="false"/>
            <w:tcW w:w="25.000000%" w:type="pct"/>
          </w:tcPr>
          <w:p>
            <w:pPr>
              <w:ind w:leftChars="0" w:left="0" w:right="0"/>
            </w:pPr>
            <w:r>
              <w:t>XBVM</w:t>
            </w:r>
          </w:p>
        </w:tc>
        <w:tc>
          <w:tcPr>
            <w:cnfStyle w:evenVBand="false" w:oddVBand="true" w:firstColumn="false"/>
            <w:tcW w:w="25.000000%" w:type="pct"/>
          </w:tcPr>
          <w:p>
            <w:pPr>
              <w:ind w:leftChars="0" w:left="0" w:right="0"/>
            </w:pPr>
            <w:r>
              <w:t>MOZAMBIQUE STOCK  EXCHANGE</w:t>
            </w:r>
          </w:p>
        </w:tc>
        <w:tc>
          <w:tcPr>
            <w:cnfStyle w:evenVBand="true" w:oddVBand="false" w:firstColumn="false"/>
            <w:tcW w:w="25.000000%" w:type="pct"/>
          </w:tcPr>
          <w:p>
            <w:pPr>
              <w:ind w:leftChars="0" w:left="0" w:right="0"/>
            </w:pPr>
            <w:r>
              <w:t>2021</w:t>
            </w:r>
          </w:p>
        </w:tc>
      </w:tr>
      <w:tr>
        <w:trPr>
          <w:cnfStyle w:evenHBand="false" w:oddHBand="true" w:firstRow="false"/>
        </w:trPr>
        <w:tc>
          <w:tcPr>
            <w:cnfStyle w:evenVBand="false" w:oddVBand="true" w:firstColumn="false"/>
            <w:tcW w:w="25.000000%" w:type="pct"/>
          </w:tcPr>
          <w:p>
            <w:pPr>
              <w:ind w:leftChars="0" w:left="0" w:right="0"/>
            </w:pPr>
            <w:r>
              <w:t>XBVP</w:t>
            </w:r>
          </w:p>
        </w:tc>
        <w:tc>
          <w:tcPr>
            <w:cnfStyle w:evenVBand="true" w:oddVBand="false" w:firstColumn="false"/>
            <w:tcW w:w="25.000000%" w:type="pct"/>
          </w:tcPr>
          <w:p>
            <w:pPr>
              <w:ind w:leftChars="0" w:left="0" w:right="0"/>
            </w:pPr>
            <w:r>
              <w:t>XBVP</w:t>
            </w:r>
          </w:p>
        </w:tc>
        <w:tc>
          <w:tcPr>
            <w:cnfStyle w:evenVBand="false" w:oddVBand="true" w:firstColumn="false"/>
            <w:tcW w:w="25.000000%" w:type="pct"/>
          </w:tcPr>
          <w:p>
            <w:pPr>
              <w:ind w:leftChars="0" w:left="0" w:right="0"/>
            </w:pPr>
            <w:r>
              <w:t>BOLSA DE VALORES DO PARANA</w:t>
            </w:r>
          </w:p>
        </w:tc>
        <w:tc>
          <w:tcPr>
            <w:cnfStyle w:evenVBand="true" w:oddVBand="false" w:firstColumn="false"/>
            <w:tcW w:w="25.000000%" w:type="pct"/>
          </w:tcPr>
          <w:p>
            <w:pPr>
              <w:ind w:leftChars="0" w:left="0" w:right="0"/>
            </w:pPr>
            <w:r>
              <w:t>2022</w:t>
            </w:r>
          </w:p>
        </w:tc>
      </w:tr>
      <w:tr>
        <w:trPr>
          <w:cnfStyle w:evenHBand="true" w:oddHBand="false" w:firstRow="false"/>
        </w:trPr>
        <w:tc>
          <w:tcPr>
            <w:cnfStyle w:evenVBand="false" w:oddVBand="true" w:firstColumn="false"/>
            <w:tcW w:w="25.000000%" w:type="pct"/>
          </w:tcPr>
          <w:p>
            <w:pPr>
              <w:ind w:leftChars="0" w:left="0" w:right="0"/>
            </w:pPr>
            <w:r>
              <w:t>XBVR</w:t>
            </w:r>
          </w:p>
        </w:tc>
        <w:tc>
          <w:tcPr>
            <w:cnfStyle w:evenVBand="true" w:oddVBand="false" w:firstColumn="false"/>
            <w:tcW w:w="25.000000%" w:type="pct"/>
          </w:tcPr>
          <w:p>
            <w:pPr>
              <w:ind w:leftChars="0" w:left="0" w:right="0"/>
            </w:pPr>
            <w:r>
              <w:t>XBVR</w:t>
            </w:r>
          </w:p>
        </w:tc>
        <w:tc>
          <w:tcPr>
            <w:cnfStyle w:evenVBand="false" w:oddVBand="true" w:firstColumn="false"/>
            <w:tcW w:w="25.000000%" w:type="pct"/>
          </w:tcPr>
          <w:p>
            <w:pPr>
              <w:ind w:leftChars="0" w:left="0" w:right="0"/>
            </w:pPr>
            <w:r>
              <w:t>BOLSA DE VALORES DE LA REPUBLICA DOMINICANA SA.</w:t>
            </w:r>
          </w:p>
        </w:tc>
        <w:tc>
          <w:tcPr>
            <w:cnfStyle w:evenVBand="true" w:oddVBand="false" w:firstColumn="false"/>
            <w:tcW w:w="25.000000%" w:type="pct"/>
          </w:tcPr>
          <w:p>
            <w:pPr>
              <w:ind w:leftChars="0" w:left="0" w:right="0"/>
            </w:pPr>
            <w:r>
              <w:t>2023</w:t>
            </w:r>
          </w:p>
        </w:tc>
      </w:tr>
      <w:tr>
        <w:trPr>
          <w:cnfStyle w:evenHBand="false" w:oddHBand="true" w:firstRow="false"/>
        </w:trPr>
        <w:tc>
          <w:tcPr>
            <w:cnfStyle w:evenVBand="false" w:oddVBand="true" w:firstColumn="false"/>
            <w:tcW w:w="25.000000%" w:type="pct"/>
          </w:tcPr>
          <w:p>
            <w:pPr>
              <w:ind w:leftChars="0" w:left="0" w:right="0"/>
            </w:pPr>
            <w:r>
              <w:t>XBXO</w:t>
            </w:r>
          </w:p>
        </w:tc>
        <w:tc>
          <w:tcPr>
            <w:cnfStyle w:evenVBand="true" w:oddVBand="false" w:firstColumn="false"/>
            <w:tcW w:w="25.000000%" w:type="pct"/>
          </w:tcPr>
          <w:p>
            <w:pPr>
              <w:ind w:leftChars="0" w:left="0" w:right="0"/>
            </w:pPr>
            <w:r>
              <w:t>XBXO</w:t>
            </w:r>
          </w:p>
        </w:tc>
        <w:tc>
          <w:tcPr>
            <w:cnfStyle w:evenVBand="false" w:oddVBand="true" w:firstColumn="false"/>
            <w:tcW w:w="25.000000%" w:type="pct"/>
          </w:tcPr>
          <w:p>
            <w:pPr>
              <w:ind w:leftChars="0" w:left="0" w:right="0"/>
            </w:pPr>
            <w:r>
              <w:t>NASDAQ OMX BX OPTIONS</w:t>
            </w:r>
          </w:p>
        </w:tc>
        <w:tc>
          <w:tcPr>
            <w:cnfStyle w:evenVBand="true" w:oddVBand="false" w:firstColumn="false"/>
            <w:tcW w:w="25.000000%" w:type="pct"/>
          </w:tcPr>
          <w:p>
            <w:pPr>
              <w:ind w:leftChars="0" w:left="0" w:right="0"/>
            </w:pPr>
            <w:r>
              <w:t>2024</w:t>
            </w:r>
          </w:p>
        </w:tc>
      </w:tr>
      <w:tr>
        <w:trPr>
          <w:cnfStyle w:evenHBand="true" w:oddHBand="false" w:firstRow="false"/>
        </w:trPr>
        <w:tc>
          <w:tcPr>
            <w:cnfStyle w:evenVBand="false" w:oddVBand="true" w:firstColumn="false"/>
            <w:tcW w:w="25.000000%" w:type="pct"/>
          </w:tcPr>
          <w:p>
            <w:pPr>
              <w:ind w:leftChars="0" w:left="0" w:right="0"/>
            </w:pPr>
            <w:r>
              <w:t>XCAI</w:t>
            </w:r>
          </w:p>
        </w:tc>
        <w:tc>
          <w:tcPr>
            <w:cnfStyle w:evenVBand="true" w:oddVBand="false" w:firstColumn="false"/>
            <w:tcW w:w="25.000000%" w:type="pct"/>
          </w:tcPr>
          <w:p>
            <w:pPr>
              <w:ind w:leftChars="0" w:left="0" w:right="0"/>
            </w:pPr>
            <w:r>
              <w:t>XCAI</w:t>
            </w:r>
          </w:p>
        </w:tc>
        <w:tc>
          <w:tcPr>
            <w:cnfStyle w:evenVBand="false" w:oddVBand="true" w:firstColumn="false"/>
            <w:tcW w:w="25.000000%" w:type="pct"/>
          </w:tcPr>
          <w:p>
            <w:pPr>
              <w:ind w:leftChars="0" w:left="0" w:right="0"/>
            </w:pPr>
            <w:r>
              <w:t>EGYPTIAN EXCHANGE</w:t>
            </w:r>
          </w:p>
        </w:tc>
        <w:tc>
          <w:tcPr>
            <w:cnfStyle w:evenVBand="true" w:oddVBand="false" w:firstColumn="false"/>
            <w:tcW w:w="25.000000%" w:type="pct"/>
          </w:tcPr>
          <w:p>
            <w:pPr>
              <w:ind w:leftChars="0" w:left="0" w:right="0"/>
            </w:pPr>
            <w:r>
              <w:t>2025</w:t>
            </w:r>
          </w:p>
        </w:tc>
      </w:tr>
      <w:tr>
        <w:trPr>
          <w:cnfStyle w:evenHBand="false" w:oddHBand="true" w:firstRow="false"/>
        </w:trPr>
        <w:tc>
          <w:tcPr>
            <w:cnfStyle w:evenVBand="false" w:oddVBand="true" w:firstColumn="false"/>
            <w:tcW w:w="25.000000%" w:type="pct"/>
          </w:tcPr>
          <w:p>
            <w:pPr>
              <w:ind w:leftChars="0" w:left="0" w:right="0"/>
            </w:pPr>
            <w:r>
              <w:t>XCAL</w:t>
            </w:r>
          </w:p>
        </w:tc>
        <w:tc>
          <w:tcPr>
            <w:cnfStyle w:evenVBand="true" w:oddVBand="false" w:firstColumn="false"/>
            <w:tcW w:w="25.000000%" w:type="pct"/>
          </w:tcPr>
          <w:p>
            <w:pPr>
              <w:ind w:leftChars="0" w:left="0" w:right="0"/>
            </w:pPr>
            <w:r>
              <w:t>XCAL</w:t>
            </w:r>
          </w:p>
        </w:tc>
        <w:tc>
          <w:tcPr>
            <w:cnfStyle w:evenVBand="false" w:oddVBand="true" w:firstColumn="false"/>
            <w:tcW w:w="25.000000%" w:type="pct"/>
          </w:tcPr>
          <w:p>
            <w:pPr>
              <w:ind w:leftChars="0" w:left="0" w:right="0"/>
            </w:pPr>
            <w:r>
              <w:t>CALCUTTA STOCK EXCHANGE</w:t>
            </w:r>
          </w:p>
        </w:tc>
        <w:tc>
          <w:tcPr>
            <w:cnfStyle w:evenVBand="true" w:oddVBand="false" w:firstColumn="false"/>
            <w:tcW w:w="25.000000%" w:type="pct"/>
          </w:tcPr>
          <w:p>
            <w:pPr>
              <w:ind w:leftChars="0" w:left="0" w:right="0"/>
            </w:pPr>
            <w:r>
              <w:t>2026</w:t>
            </w:r>
          </w:p>
        </w:tc>
      </w:tr>
      <w:tr>
        <w:trPr>
          <w:cnfStyle w:evenHBand="true" w:oddHBand="false" w:firstRow="false"/>
        </w:trPr>
        <w:tc>
          <w:tcPr>
            <w:cnfStyle w:evenVBand="false" w:oddVBand="true" w:firstColumn="false"/>
            <w:tcW w:w="25.000000%" w:type="pct"/>
          </w:tcPr>
          <w:p>
            <w:pPr>
              <w:ind w:leftChars="0" w:left="0" w:right="0"/>
            </w:pPr>
            <w:r>
              <w:t>XCAN</w:t>
            </w:r>
          </w:p>
        </w:tc>
        <w:tc>
          <w:tcPr>
            <w:cnfStyle w:evenVBand="true" w:oddVBand="false" w:firstColumn="false"/>
            <w:tcW w:w="25.000000%" w:type="pct"/>
          </w:tcPr>
          <w:p>
            <w:pPr>
              <w:ind w:leftChars="0" w:left="0" w:right="0"/>
            </w:pPr>
            <w:r>
              <w:t>XCAN</w:t>
            </w:r>
          </w:p>
        </w:tc>
        <w:tc>
          <w:tcPr>
            <w:cnfStyle w:evenVBand="false" w:oddVBand="true" w:firstColumn="false"/>
            <w:tcW w:w="25.000000%" w:type="pct"/>
          </w:tcPr>
          <w:p>
            <w:pPr>
              <w:ind w:leftChars="0" w:left="0" w:right="0"/>
            </w:pPr>
            <w:r>
              <w:t>CAN - ATS</w:t>
            </w:r>
          </w:p>
        </w:tc>
        <w:tc>
          <w:tcPr>
            <w:cnfStyle w:evenVBand="true" w:oddVBand="false" w:firstColumn="false"/>
            <w:tcW w:w="25.000000%" w:type="pct"/>
          </w:tcPr>
          <w:p>
            <w:pPr>
              <w:ind w:leftChars="0" w:left="0" w:right="0"/>
            </w:pPr>
            <w:r>
              <w:t>2027</w:t>
            </w:r>
          </w:p>
        </w:tc>
      </w:tr>
      <w:tr>
        <w:trPr>
          <w:cnfStyle w:evenHBand="false" w:oddHBand="true" w:firstRow="false"/>
        </w:trPr>
        <w:tc>
          <w:tcPr>
            <w:cnfStyle w:evenVBand="false" w:oddVBand="true" w:firstColumn="false"/>
            <w:tcW w:w="25.000000%" w:type="pct"/>
          </w:tcPr>
          <w:p>
            <w:pPr>
              <w:ind w:leftChars="0" w:left="0" w:right="0"/>
            </w:pPr>
            <w:r>
              <w:t>XCAR</w:t>
            </w:r>
          </w:p>
        </w:tc>
        <w:tc>
          <w:tcPr>
            <w:cnfStyle w:evenVBand="true" w:oddVBand="false" w:firstColumn="false"/>
            <w:tcW w:w="25.000000%" w:type="pct"/>
          </w:tcPr>
          <w:p>
            <w:pPr>
              <w:ind w:leftChars="0" w:left="0" w:right="0"/>
            </w:pPr>
            <w:r>
              <w:t>XCAR</w:t>
            </w:r>
          </w:p>
        </w:tc>
        <w:tc>
          <w:tcPr>
            <w:cnfStyle w:evenVBand="false" w:oddVBand="true" w:firstColumn="false"/>
            <w:tcW w:w="25.000000%" w:type="pct"/>
          </w:tcPr>
          <w:p>
            <w:pPr>
              <w:ind w:leftChars="0" w:left="0" w:right="0"/>
            </w:pPr>
            <w:r>
              <w:t>BOLSA DE VALORES DE CARACAS</w:t>
            </w:r>
          </w:p>
        </w:tc>
        <w:tc>
          <w:tcPr>
            <w:cnfStyle w:evenVBand="true" w:oddVBand="false" w:firstColumn="false"/>
            <w:tcW w:w="25.000000%" w:type="pct"/>
          </w:tcPr>
          <w:p>
            <w:pPr>
              <w:ind w:leftChars="0" w:left="0" w:right="0"/>
            </w:pPr>
            <w:r>
              <w:t>2028</w:t>
            </w:r>
          </w:p>
        </w:tc>
      </w:tr>
      <w:tr>
        <w:trPr>
          <w:cnfStyle w:evenHBand="true" w:oddHBand="false" w:firstRow="false"/>
        </w:trPr>
        <w:tc>
          <w:tcPr>
            <w:cnfStyle w:evenVBand="false" w:oddVBand="true" w:firstColumn="false"/>
            <w:tcW w:w="25.000000%" w:type="pct"/>
          </w:tcPr>
          <w:p>
            <w:pPr>
              <w:ind w:leftChars="0" w:left="0" w:right="0"/>
            </w:pPr>
            <w:r>
              <w:t>XCAS</w:t>
            </w:r>
          </w:p>
        </w:tc>
        <w:tc>
          <w:tcPr>
            <w:cnfStyle w:evenVBand="true" w:oddVBand="false" w:firstColumn="false"/>
            <w:tcW w:w="25.000000%" w:type="pct"/>
          </w:tcPr>
          <w:p>
            <w:pPr>
              <w:ind w:leftChars="0" w:left="0" w:right="0"/>
            </w:pPr>
            <w:r>
              <w:t>XCAS</w:t>
            </w:r>
          </w:p>
        </w:tc>
        <w:tc>
          <w:tcPr>
            <w:cnfStyle w:evenVBand="false" w:oddVBand="true" w:firstColumn="false"/>
            <w:tcW w:w="25.000000%" w:type="pct"/>
          </w:tcPr>
          <w:p>
            <w:pPr>
              <w:ind w:leftChars="0" w:left="0" w:right="0"/>
            </w:pPr>
            <w:r>
              <w:t>CASABLANCA STOCK EXCHANGE</w:t>
            </w:r>
          </w:p>
        </w:tc>
        <w:tc>
          <w:tcPr>
            <w:cnfStyle w:evenVBand="true" w:oddVBand="false" w:firstColumn="false"/>
            <w:tcW w:w="25.000000%" w:type="pct"/>
          </w:tcPr>
          <w:p>
            <w:pPr>
              <w:ind w:leftChars="0" w:left="0" w:right="0"/>
            </w:pPr>
            <w:r>
              <w:t>2029</w:t>
            </w:r>
          </w:p>
        </w:tc>
      </w:tr>
      <w:tr>
        <w:trPr>
          <w:cnfStyle w:evenHBand="false" w:oddHBand="true" w:firstRow="false"/>
        </w:trPr>
        <w:tc>
          <w:tcPr>
            <w:cnfStyle w:evenVBand="false" w:oddVBand="true" w:firstColumn="false"/>
            <w:tcW w:w="25.000000%" w:type="pct"/>
          </w:tcPr>
          <w:p>
            <w:pPr>
              <w:ind w:leftChars="0" w:left="0" w:right="0"/>
            </w:pPr>
            <w:r>
              <w:t>XCAY</w:t>
            </w:r>
          </w:p>
        </w:tc>
        <w:tc>
          <w:tcPr>
            <w:cnfStyle w:evenVBand="true" w:oddVBand="false" w:firstColumn="false"/>
            <w:tcW w:w="25.000000%" w:type="pct"/>
          </w:tcPr>
          <w:p>
            <w:pPr>
              <w:ind w:leftChars="0" w:left="0" w:right="0"/>
            </w:pPr>
            <w:r>
              <w:t>XCAY</w:t>
            </w:r>
          </w:p>
        </w:tc>
        <w:tc>
          <w:tcPr>
            <w:cnfStyle w:evenVBand="false" w:oddVBand="true" w:firstColumn="false"/>
            <w:tcW w:w="25.000000%" w:type="pct"/>
          </w:tcPr>
          <w:p>
            <w:pPr>
              <w:ind w:leftChars="0" w:left="0" w:right="0"/>
            </w:pPr>
            <w:r>
              <w:t>CAYMAN ISLANDS STOCK EXCHANGE</w:t>
            </w:r>
          </w:p>
        </w:tc>
        <w:tc>
          <w:tcPr>
            <w:cnfStyle w:evenVBand="true" w:oddVBand="false" w:firstColumn="false"/>
            <w:tcW w:w="25.000000%" w:type="pct"/>
          </w:tcPr>
          <w:p>
            <w:pPr>
              <w:ind w:leftChars="0" w:left="0" w:right="0"/>
            </w:pPr>
            <w:r>
              <w:t>2030</w:t>
            </w:r>
          </w:p>
        </w:tc>
      </w:tr>
      <w:tr>
        <w:trPr>
          <w:cnfStyle w:evenHBand="true" w:oddHBand="false" w:firstRow="false"/>
        </w:trPr>
        <w:tc>
          <w:tcPr>
            <w:cnfStyle w:evenVBand="false" w:oddVBand="true" w:firstColumn="false"/>
            <w:tcW w:w="25.000000%" w:type="pct"/>
          </w:tcPr>
          <w:p>
            <w:pPr>
              <w:ind w:leftChars="0" w:left="0" w:right="0"/>
            </w:pPr>
            <w:r>
              <w:t>XCBF</w:t>
            </w:r>
          </w:p>
        </w:tc>
        <w:tc>
          <w:tcPr>
            <w:cnfStyle w:evenVBand="true" w:oddVBand="false" w:firstColumn="false"/>
            <w:tcW w:w="25.000000%" w:type="pct"/>
          </w:tcPr>
          <w:p>
            <w:pPr>
              <w:ind w:leftChars="0" w:left="0" w:right="0"/>
            </w:pPr>
            <w:r>
              <w:t>XCBF</w:t>
            </w:r>
          </w:p>
        </w:tc>
        <w:tc>
          <w:tcPr>
            <w:cnfStyle w:evenVBand="false" w:oddVBand="true" w:firstColumn="false"/>
            <w:tcW w:w="25.000000%" w:type="pct"/>
          </w:tcPr>
          <w:p>
            <w:pPr>
              <w:ind w:leftChars="0" w:left="0" w:right="0"/>
            </w:pPr>
            <w:r>
              <w:t>CBOE FUTURES EXCHANGE</w:t>
            </w:r>
          </w:p>
        </w:tc>
        <w:tc>
          <w:tcPr>
            <w:cnfStyle w:evenVBand="true" w:oddVBand="false" w:firstColumn="false"/>
            <w:tcW w:w="25.000000%" w:type="pct"/>
          </w:tcPr>
          <w:p>
            <w:pPr>
              <w:ind w:leftChars="0" w:left="0" w:right="0"/>
            </w:pPr>
            <w:r>
              <w:t>2031</w:t>
            </w:r>
          </w:p>
        </w:tc>
      </w:tr>
      <w:tr>
        <w:trPr>
          <w:cnfStyle w:evenHBand="false" w:oddHBand="true" w:firstRow="false"/>
        </w:trPr>
        <w:tc>
          <w:tcPr>
            <w:cnfStyle w:evenVBand="false" w:oddVBand="true" w:firstColumn="false"/>
            <w:tcW w:w="25.000000%" w:type="pct"/>
          </w:tcPr>
          <w:p>
            <w:pPr>
              <w:ind w:leftChars="0" w:left="0" w:right="0"/>
            </w:pPr>
            <w:r>
              <w:t>XCBO</w:t>
            </w:r>
          </w:p>
        </w:tc>
        <w:tc>
          <w:tcPr>
            <w:cnfStyle w:evenVBand="true" w:oddVBand="false" w:firstColumn="false"/>
            <w:tcW w:w="25.000000%" w:type="pct"/>
          </w:tcPr>
          <w:p>
            <w:pPr>
              <w:ind w:leftChars="0" w:left="0" w:right="0"/>
            </w:pPr>
            <w:r>
              <w:t>XCBO</w:t>
            </w:r>
          </w:p>
        </w:tc>
        <w:tc>
          <w:tcPr>
            <w:cnfStyle w:evenVBand="false" w:oddVBand="true" w:firstColumn="false"/>
            <w:tcW w:w="25.000000%" w:type="pct"/>
          </w:tcPr>
          <w:p>
            <w:pPr>
              <w:ind w:leftChars="0" w:left="0" w:right="0"/>
            </w:pPr>
            <w:r>
              <w:t>CBOE GLOBAL MARKETS INC.</w:t>
            </w:r>
          </w:p>
        </w:tc>
        <w:tc>
          <w:tcPr>
            <w:cnfStyle w:evenVBand="true" w:oddVBand="false" w:firstColumn="false"/>
            <w:tcW w:w="25.000000%" w:type="pct"/>
          </w:tcPr>
          <w:p>
            <w:pPr>
              <w:ind w:leftChars="0" w:left="0" w:right="0"/>
            </w:pPr>
            <w:r>
              <w:t>2032</w:t>
            </w:r>
          </w:p>
        </w:tc>
      </w:tr>
      <w:tr>
        <w:trPr>
          <w:cnfStyle w:evenHBand="true" w:oddHBand="false" w:firstRow="false"/>
        </w:trPr>
        <w:tc>
          <w:tcPr>
            <w:cnfStyle w:evenVBand="false" w:oddVBand="true" w:firstColumn="false"/>
            <w:tcW w:w="25.000000%" w:type="pct"/>
          </w:tcPr>
          <w:p>
            <w:pPr>
              <w:ind w:leftChars="0" w:left="0" w:right="0"/>
            </w:pPr>
            <w:r>
              <w:t>XCBT</w:t>
            </w:r>
          </w:p>
        </w:tc>
        <w:tc>
          <w:tcPr>
            <w:cnfStyle w:evenVBand="true" w:oddVBand="false" w:firstColumn="false"/>
            <w:tcW w:w="25.000000%" w:type="pct"/>
          </w:tcPr>
          <w:p>
            <w:pPr>
              <w:ind w:leftChars="0" w:left="0" w:right="0"/>
            </w:pPr>
            <w:r>
              <w:t>XCBT</w:t>
            </w:r>
          </w:p>
        </w:tc>
        <w:tc>
          <w:tcPr>
            <w:cnfStyle w:evenVBand="false" w:oddVBand="true" w:firstColumn="false"/>
            <w:tcW w:w="25.000000%" w:type="pct"/>
          </w:tcPr>
          <w:p>
            <w:pPr>
              <w:ind w:leftChars="0" w:left="0" w:right="0"/>
            </w:pPr>
            <w:r>
              <w:t>CHICAGO BOARD OF TRADE</w:t>
            </w:r>
          </w:p>
        </w:tc>
        <w:tc>
          <w:tcPr>
            <w:cnfStyle w:evenVBand="true" w:oddVBand="false" w:firstColumn="false"/>
            <w:tcW w:w="25.000000%" w:type="pct"/>
          </w:tcPr>
          <w:p>
            <w:pPr>
              <w:ind w:leftChars="0" w:left="0" w:right="0"/>
            </w:pPr>
            <w:r>
              <w:t>2033</w:t>
            </w:r>
          </w:p>
        </w:tc>
      </w:tr>
      <w:tr>
        <w:trPr>
          <w:cnfStyle w:evenHBand="false" w:oddHBand="true" w:firstRow="false"/>
        </w:trPr>
        <w:tc>
          <w:tcPr>
            <w:cnfStyle w:evenVBand="false" w:oddVBand="true" w:firstColumn="false"/>
            <w:tcW w:w="25.000000%" w:type="pct"/>
          </w:tcPr>
          <w:p>
            <w:pPr>
              <w:ind w:leftChars="0" w:left="0" w:right="0"/>
            </w:pPr>
            <w:r>
              <w:t>XCCE</w:t>
            </w:r>
          </w:p>
        </w:tc>
        <w:tc>
          <w:tcPr>
            <w:cnfStyle w:evenVBand="true" w:oddVBand="false" w:firstColumn="false"/>
            <w:tcW w:w="25.000000%" w:type="pct"/>
          </w:tcPr>
          <w:p>
            <w:pPr>
              <w:ind w:leftChars="0" w:left="0" w:right="0"/>
            </w:pPr>
            <w:r>
              <w:t>XCCE</w:t>
            </w:r>
          </w:p>
        </w:tc>
        <w:tc>
          <w:tcPr>
            <w:cnfStyle w:evenVBand="false" w:oddVBand="true" w:firstColumn="false"/>
            <w:tcW w:w="25.000000%" w:type="pct"/>
          </w:tcPr>
          <w:p>
            <w:pPr>
              <w:ind w:leftChars="0" w:left="0" w:right="0"/>
            </w:pPr>
            <w:r>
              <w:t>CHUBU COMMODITY EXCHANGE</w:t>
            </w:r>
          </w:p>
        </w:tc>
        <w:tc>
          <w:tcPr>
            <w:cnfStyle w:evenVBand="true" w:oddVBand="false" w:firstColumn="false"/>
            <w:tcW w:w="25.000000%" w:type="pct"/>
          </w:tcPr>
          <w:p>
            <w:pPr>
              <w:ind w:leftChars="0" w:left="0" w:right="0"/>
            </w:pPr>
            <w:r>
              <w:t>2034</w:t>
            </w:r>
          </w:p>
        </w:tc>
      </w:tr>
      <w:tr>
        <w:trPr>
          <w:cnfStyle w:evenHBand="true" w:oddHBand="false" w:firstRow="false"/>
        </w:trPr>
        <w:tc>
          <w:tcPr>
            <w:cnfStyle w:evenVBand="false" w:oddVBand="true" w:firstColumn="false"/>
            <w:tcW w:w="25.000000%" w:type="pct"/>
          </w:tcPr>
          <w:p>
            <w:pPr>
              <w:ind w:leftChars="0" w:left="0" w:right="0"/>
            </w:pPr>
            <w:r>
              <w:t>XCCX</w:t>
            </w:r>
          </w:p>
        </w:tc>
        <w:tc>
          <w:tcPr>
            <w:cnfStyle w:evenVBand="true" w:oddVBand="false" w:firstColumn="false"/>
            <w:tcW w:w="25.000000%" w:type="pct"/>
          </w:tcPr>
          <w:p>
            <w:pPr>
              <w:ind w:leftChars="0" w:left="0" w:right="0"/>
            </w:pPr>
            <w:r>
              <w:t>XCCX</w:t>
            </w:r>
          </w:p>
        </w:tc>
        <w:tc>
          <w:tcPr>
            <w:cnfStyle w:evenVBand="false" w:oddVBand="true" w:firstColumn="false"/>
            <w:tcW w:w="25.000000%" w:type="pct"/>
          </w:tcPr>
          <w:p>
            <w:pPr>
              <w:ind w:leftChars="0" w:left="0" w:right="0"/>
            </w:pPr>
            <w:r>
              <w:t>CHICAGO CLIMATE EXCHANGE, INC</w:t>
            </w:r>
          </w:p>
        </w:tc>
        <w:tc>
          <w:tcPr>
            <w:cnfStyle w:evenVBand="true" w:oddVBand="false" w:firstColumn="false"/>
            <w:tcW w:w="25.000000%" w:type="pct"/>
          </w:tcPr>
          <w:p>
            <w:pPr>
              <w:ind w:leftChars="0" w:left="0" w:right="0"/>
            </w:pPr>
            <w:r>
              <w:t>2035</w:t>
            </w:r>
          </w:p>
        </w:tc>
      </w:tr>
      <w:tr>
        <w:trPr>
          <w:cnfStyle w:evenHBand="false" w:oddHBand="true" w:firstRow="false"/>
        </w:trPr>
        <w:tc>
          <w:tcPr>
            <w:cnfStyle w:evenVBand="false" w:oddVBand="true" w:firstColumn="false"/>
            <w:tcW w:w="25.000000%" w:type="pct"/>
          </w:tcPr>
          <w:p>
            <w:pPr>
              <w:ind w:leftChars="0" w:left="0" w:right="0"/>
            </w:pPr>
            <w:r>
              <w:t>XCDE</w:t>
            </w:r>
          </w:p>
        </w:tc>
        <w:tc>
          <w:tcPr>
            <w:cnfStyle w:evenVBand="true" w:oddVBand="false" w:firstColumn="false"/>
            <w:tcW w:w="25.000000%" w:type="pct"/>
          </w:tcPr>
          <w:p>
            <w:pPr>
              <w:ind w:leftChars="0" w:left="0" w:right="0"/>
            </w:pPr>
            <w:r>
              <w:t>XCDE</w:t>
            </w:r>
          </w:p>
        </w:tc>
        <w:tc>
          <w:tcPr>
            <w:cnfStyle w:evenVBand="false" w:oddVBand="true" w:firstColumn="false"/>
            <w:tcW w:w="25.000000%" w:type="pct"/>
          </w:tcPr>
          <w:p>
            <w:pPr>
              <w:ind w:leftChars="0" w:left="0" w:right="0"/>
            </w:pPr>
            <w:r>
              <w:t>BAXTER FINANCIAL SERVICES</w:t>
            </w:r>
          </w:p>
        </w:tc>
        <w:tc>
          <w:tcPr>
            <w:cnfStyle w:evenVBand="true" w:oddVBand="false" w:firstColumn="false"/>
            <w:tcW w:w="25.000000%" w:type="pct"/>
          </w:tcPr>
          <w:p>
            <w:pPr>
              <w:ind w:leftChars="0" w:left="0" w:right="0"/>
            </w:pPr>
            <w:r>
              <w:t>2036</w:t>
            </w:r>
          </w:p>
        </w:tc>
      </w:tr>
      <w:tr>
        <w:trPr>
          <w:cnfStyle w:evenHBand="true" w:oddHBand="false" w:firstRow="false"/>
        </w:trPr>
        <w:tc>
          <w:tcPr>
            <w:cnfStyle w:evenVBand="false" w:oddVBand="true" w:firstColumn="false"/>
            <w:tcW w:w="25.000000%" w:type="pct"/>
          </w:tcPr>
          <w:p>
            <w:pPr>
              <w:ind w:leftChars="0" w:left="0" w:right="0"/>
            </w:pPr>
            <w:r>
              <w:t>XCEC</w:t>
            </w:r>
          </w:p>
        </w:tc>
        <w:tc>
          <w:tcPr>
            <w:cnfStyle w:evenVBand="true" w:oddVBand="false" w:firstColumn="false"/>
            <w:tcW w:w="25.000000%" w:type="pct"/>
          </w:tcPr>
          <w:p>
            <w:pPr>
              <w:ind w:leftChars="0" w:left="0" w:right="0"/>
            </w:pPr>
            <w:r>
              <w:t>XCEC</w:t>
            </w:r>
          </w:p>
        </w:tc>
        <w:tc>
          <w:tcPr>
            <w:cnfStyle w:evenVBand="false" w:oddVBand="true" w:firstColumn="false"/>
            <w:tcW w:w="25.000000%" w:type="pct"/>
          </w:tcPr>
          <w:p>
            <w:pPr>
              <w:ind w:leftChars="0" w:left="0" w:right="0"/>
            </w:pPr>
            <w:r>
              <w:t>COMMODITIES EXCHANGE CENTER</w:t>
            </w:r>
          </w:p>
        </w:tc>
        <w:tc>
          <w:tcPr>
            <w:cnfStyle w:evenVBand="true" w:oddVBand="false" w:firstColumn="false"/>
            <w:tcW w:w="25.000000%" w:type="pct"/>
          </w:tcPr>
          <w:p>
            <w:pPr>
              <w:ind w:leftChars="0" w:left="0" w:right="0"/>
            </w:pPr>
            <w:r>
              <w:t>2037</w:t>
            </w:r>
          </w:p>
        </w:tc>
      </w:tr>
      <w:tr>
        <w:trPr>
          <w:cnfStyle w:evenHBand="false" w:oddHBand="true" w:firstRow="false"/>
        </w:trPr>
        <w:tc>
          <w:tcPr>
            <w:cnfStyle w:evenVBand="false" w:oddVBand="true" w:firstColumn="false"/>
            <w:tcW w:w="25.000000%" w:type="pct"/>
          </w:tcPr>
          <w:p>
            <w:pPr>
              <w:ind w:leftChars="0" w:left="0" w:right="0"/>
            </w:pPr>
            <w:r>
              <w:t>XCEG</w:t>
            </w:r>
          </w:p>
        </w:tc>
        <w:tc>
          <w:tcPr>
            <w:cnfStyle w:evenVBand="true" w:oddVBand="false" w:firstColumn="false"/>
            <w:tcW w:w="25.000000%" w:type="pct"/>
          </w:tcPr>
          <w:p>
            <w:pPr>
              <w:ind w:leftChars="0" w:left="0" w:right="0"/>
            </w:pPr>
            <w:r>
              <w:t>XCEG</w:t>
            </w:r>
          </w:p>
        </w:tc>
        <w:tc>
          <w:tcPr>
            <w:cnfStyle w:evenVBand="false" w:oddVBand="true" w:firstColumn="false"/>
            <w:tcW w:w="25.000000%" w:type="pct"/>
          </w:tcPr>
          <w:p>
            <w:pPr>
              <w:ind w:leftChars="0" w:left="0" w:right="0"/>
            </w:pPr>
            <w:r>
              <w:t>WIENER BOERSE AG, CEGH GAS EXCHANGE</w:t>
            </w:r>
          </w:p>
        </w:tc>
        <w:tc>
          <w:tcPr>
            <w:cnfStyle w:evenVBand="true" w:oddVBand="false" w:firstColumn="false"/>
            <w:tcW w:w="25.000000%" w:type="pct"/>
          </w:tcPr>
          <w:p>
            <w:pPr>
              <w:ind w:leftChars="0" w:left="0" w:right="0"/>
            </w:pPr>
            <w:r>
              <w:t>2038</w:t>
            </w:r>
          </w:p>
        </w:tc>
      </w:tr>
      <w:tr>
        <w:trPr>
          <w:cnfStyle w:evenHBand="true" w:oddHBand="false" w:firstRow="false"/>
        </w:trPr>
        <w:tc>
          <w:tcPr>
            <w:cnfStyle w:evenVBand="false" w:oddVBand="true" w:firstColumn="false"/>
            <w:tcW w:w="25.000000%" w:type="pct"/>
          </w:tcPr>
          <w:p>
            <w:pPr>
              <w:ind w:leftChars="0" w:left="0" w:right="0"/>
            </w:pPr>
            <w:r>
              <w:t>XCET</w:t>
            </w:r>
          </w:p>
        </w:tc>
        <w:tc>
          <w:tcPr>
            <w:cnfStyle w:evenVBand="true" w:oddVBand="false" w:firstColumn="false"/>
            <w:tcW w:w="25.000000%" w:type="pct"/>
          </w:tcPr>
          <w:p>
            <w:pPr>
              <w:ind w:leftChars="0" w:left="0" w:right="0"/>
            </w:pPr>
            <w:r>
              <w:t>XCET</w:t>
            </w:r>
          </w:p>
        </w:tc>
        <w:tc>
          <w:tcPr>
            <w:cnfStyle w:evenVBand="false" w:oddVBand="true" w:firstColumn="false"/>
            <w:tcW w:w="25.000000%" w:type="pct"/>
          </w:tcPr>
          <w:p>
            <w:pPr>
              <w:ind w:leftChars="0" w:left="0" w:right="0"/>
            </w:pPr>
            <w:r>
              <w:t>UZBEK COMMODITY EXCHANGE</w:t>
            </w:r>
          </w:p>
        </w:tc>
        <w:tc>
          <w:tcPr>
            <w:cnfStyle w:evenVBand="true" w:oddVBand="false" w:firstColumn="false"/>
            <w:tcW w:w="25.000000%" w:type="pct"/>
          </w:tcPr>
          <w:p>
            <w:pPr>
              <w:ind w:leftChars="0" w:left="0" w:right="0"/>
            </w:pPr>
            <w:r>
              <w:t>2039</w:t>
            </w:r>
          </w:p>
        </w:tc>
      </w:tr>
      <w:tr>
        <w:trPr>
          <w:cnfStyle w:evenHBand="false" w:oddHBand="true" w:firstRow="false"/>
        </w:trPr>
        <w:tc>
          <w:tcPr>
            <w:cnfStyle w:evenVBand="false" w:oddVBand="true" w:firstColumn="false"/>
            <w:tcW w:w="25.000000%" w:type="pct"/>
          </w:tcPr>
          <w:p>
            <w:pPr>
              <w:ind w:leftChars="0" w:left="0" w:right="0"/>
            </w:pPr>
            <w:r>
              <w:t>XCFE</w:t>
            </w:r>
          </w:p>
        </w:tc>
        <w:tc>
          <w:tcPr>
            <w:cnfStyle w:evenVBand="true" w:oddVBand="false" w:firstColumn="false"/>
            <w:tcW w:w="25.000000%" w:type="pct"/>
          </w:tcPr>
          <w:p>
            <w:pPr>
              <w:ind w:leftChars="0" w:left="0" w:right="0"/>
            </w:pPr>
            <w:r>
              <w:t>XCFE</w:t>
            </w:r>
          </w:p>
        </w:tc>
        <w:tc>
          <w:tcPr>
            <w:cnfStyle w:evenVBand="false" w:oddVBand="true" w:firstColumn="false"/>
            <w:tcW w:w="25.000000%" w:type="pct"/>
          </w:tcPr>
          <w:p>
            <w:pPr>
              <w:ind w:leftChars="0" w:left="0" w:right="0"/>
            </w:pPr>
            <w:r>
              <w:t>CHINA FOREIGN EXCHANGE TRADE SYSTEM</w:t>
            </w:r>
          </w:p>
        </w:tc>
        <w:tc>
          <w:tcPr>
            <w:cnfStyle w:evenVBand="true" w:oddVBand="false" w:firstColumn="false"/>
            <w:tcW w:w="25.000000%" w:type="pct"/>
          </w:tcPr>
          <w:p>
            <w:pPr>
              <w:ind w:leftChars="0" w:left="0" w:right="0"/>
            </w:pPr>
            <w:r>
              <w:t>2040</w:t>
            </w:r>
          </w:p>
        </w:tc>
      </w:tr>
      <w:tr>
        <w:trPr>
          <w:cnfStyle w:evenHBand="true" w:oddHBand="false" w:firstRow="false"/>
        </w:trPr>
        <w:tc>
          <w:tcPr>
            <w:cnfStyle w:evenVBand="false" w:oddVBand="true" w:firstColumn="false"/>
            <w:tcW w:w="25.000000%" w:type="pct"/>
          </w:tcPr>
          <w:p>
            <w:pPr>
              <w:ind w:leftChars="0" w:left="0" w:right="0"/>
            </w:pPr>
            <w:r>
              <w:t>XCFF</w:t>
            </w:r>
          </w:p>
        </w:tc>
        <w:tc>
          <w:tcPr>
            <w:cnfStyle w:evenVBand="true" w:oddVBand="false" w:firstColumn="false"/>
            <w:tcW w:w="25.000000%" w:type="pct"/>
          </w:tcPr>
          <w:p>
            <w:pPr>
              <w:ind w:leftChars="0" w:left="0" w:right="0"/>
            </w:pPr>
            <w:r>
              <w:t>XCFF</w:t>
            </w:r>
          </w:p>
        </w:tc>
        <w:tc>
          <w:tcPr>
            <w:cnfStyle w:evenVBand="false" w:oddVBand="true" w:firstColumn="false"/>
            <w:tcW w:w="25.000000%" w:type="pct"/>
          </w:tcPr>
          <w:p>
            <w:pPr>
              <w:ind w:leftChars="0" w:left="0" w:right="0"/>
            </w:pPr>
            <w:r>
              <w:t>CANTOR FINANCIAL FUTURES EXCHANGE</w:t>
            </w:r>
          </w:p>
        </w:tc>
        <w:tc>
          <w:tcPr>
            <w:cnfStyle w:evenVBand="true" w:oddVBand="false" w:firstColumn="false"/>
            <w:tcW w:w="25.000000%" w:type="pct"/>
          </w:tcPr>
          <w:p>
            <w:pPr>
              <w:ind w:leftChars="0" w:left="0" w:right="0"/>
            </w:pPr>
            <w:r>
              <w:t>2041</w:t>
            </w:r>
          </w:p>
        </w:tc>
      </w:tr>
      <w:tr>
        <w:trPr>
          <w:cnfStyle w:evenHBand="false" w:oddHBand="true" w:firstRow="false"/>
        </w:trPr>
        <w:tc>
          <w:tcPr>
            <w:cnfStyle w:evenVBand="false" w:oddVBand="true" w:firstColumn="false"/>
            <w:tcW w:w="25.000000%" w:type="pct"/>
          </w:tcPr>
          <w:p>
            <w:pPr>
              <w:ind w:leftChars="0" w:left="0" w:right="0"/>
            </w:pPr>
            <w:r>
              <w:t>XCGS</w:t>
            </w:r>
          </w:p>
        </w:tc>
        <w:tc>
          <w:tcPr>
            <w:cnfStyle w:evenVBand="true" w:oddVBand="false" w:firstColumn="false"/>
            <w:tcW w:w="25.000000%" w:type="pct"/>
          </w:tcPr>
          <w:p>
            <w:pPr>
              <w:ind w:leftChars="0" w:left="0" w:right="0"/>
            </w:pPr>
            <w:r>
              <w:t>XCGS</w:t>
            </w:r>
          </w:p>
        </w:tc>
        <w:tc>
          <w:tcPr>
            <w:cnfStyle w:evenVBand="false" w:oddVBand="true" w:firstColumn="false"/>
            <w:tcW w:w="25.000000%" w:type="pct"/>
          </w:tcPr>
          <w:p>
            <w:pPr>
              <w:ind w:leftChars="0" w:left="0" w:right="0"/>
            </w:pPr>
            <w:r>
              <w:t>CHINESE GOLD &amp; SILVER EXCHANGE SOCIETY</w:t>
            </w:r>
          </w:p>
        </w:tc>
        <w:tc>
          <w:tcPr>
            <w:cnfStyle w:evenVBand="true" w:oddVBand="false" w:firstColumn="false"/>
            <w:tcW w:w="25.000000%" w:type="pct"/>
          </w:tcPr>
          <w:p>
            <w:pPr>
              <w:ind w:leftChars="0" w:left="0" w:right="0"/>
            </w:pPr>
            <w:r>
              <w:t>2042</w:t>
            </w:r>
          </w:p>
        </w:tc>
      </w:tr>
      <w:tr>
        <w:trPr>
          <w:cnfStyle w:evenHBand="true" w:oddHBand="false" w:firstRow="false"/>
        </w:trPr>
        <w:tc>
          <w:tcPr>
            <w:cnfStyle w:evenVBand="false" w:oddVBand="true" w:firstColumn="false"/>
            <w:tcW w:w="25.000000%" w:type="pct"/>
          </w:tcPr>
          <w:p>
            <w:pPr>
              <w:ind w:leftChars="0" w:left="0" w:right="0"/>
            </w:pPr>
            <w:r>
              <w:t>XCHG</w:t>
            </w:r>
          </w:p>
        </w:tc>
        <w:tc>
          <w:tcPr>
            <w:cnfStyle w:evenVBand="true" w:oddVBand="false" w:firstColumn="false"/>
            <w:tcW w:w="25.000000%" w:type="pct"/>
          </w:tcPr>
          <w:p>
            <w:pPr>
              <w:ind w:leftChars="0" w:left="0" w:right="0"/>
            </w:pPr>
            <w:r>
              <w:t>XCHG</w:t>
            </w:r>
          </w:p>
        </w:tc>
        <w:tc>
          <w:tcPr>
            <w:cnfStyle w:evenVBand="false" w:oddVBand="true" w:firstColumn="false"/>
            <w:tcW w:w="25.000000%" w:type="pct"/>
          </w:tcPr>
          <w:p>
            <w:pPr>
              <w:ind w:leftChars="0" w:left="0" w:right="0"/>
            </w:pPr>
            <w:r>
              <w:t>CHITTAGONG STOCK EXCHANGE LTD.</w:t>
            </w:r>
          </w:p>
        </w:tc>
        <w:tc>
          <w:tcPr>
            <w:cnfStyle w:evenVBand="true" w:oddVBand="false" w:firstColumn="false"/>
            <w:tcW w:w="25.000000%" w:type="pct"/>
          </w:tcPr>
          <w:p>
            <w:pPr>
              <w:ind w:leftChars="0" w:left="0" w:right="0"/>
            </w:pPr>
            <w:r>
              <w:t>2043</w:t>
            </w:r>
          </w:p>
        </w:tc>
      </w:tr>
      <w:tr>
        <w:trPr>
          <w:cnfStyle w:evenHBand="false" w:oddHBand="true" w:firstRow="false"/>
        </w:trPr>
        <w:tc>
          <w:tcPr>
            <w:cnfStyle w:evenVBand="false" w:oddVBand="true" w:firstColumn="false"/>
            <w:tcW w:w="25.000000%" w:type="pct"/>
          </w:tcPr>
          <w:p>
            <w:pPr>
              <w:ind w:leftChars="0" w:left="0" w:right="0"/>
            </w:pPr>
            <w:r>
              <w:t>XCHI</w:t>
            </w:r>
          </w:p>
        </w:tc>
        <w:tc>
          <w:tcPr>
            <w:cnfStyle w:evenVBand="true" w:oddVBand="false" w:firstColumn="false"/>
            <w:tcW w:w="25.000000%" w:type="pct"/>
          </w:tcPr>
          <w:p>
            <w:pPr>
              <w:ind w:leftChars="0" w:left="0" w:right="0"/>
            </w:pPr>
            <w:r>
              <w:t>XCHI</w:t>
            </w:r>
          </w:p>
        </w:tc>
        <w:tc>
          <w:tcPr>
            <w:cnfStyle w:evenVBand="false" w:oddVBand="true" w:firstColumn="false"/>
            <w:tcW w:w="25.000000%" w:type="pct"/>
          </w:tcPr>
          <w:p>
            <w:pPr>
              <w:ind w:leftChars="0" w:left="0" w:right="0"/>
            </w:pPr>
            <w:r>
              <w:t>NYSE CHICAGO, INC.</w:t>
            </w:r>
          </w:p>
        </w:tc>
        <w:tc>
          <w:tcPr>
            <w:cnfStyle w:evenVBand="true" w:oddVBand="false" w:firstColumn="false"/>
            <w:tcW w:w="25.000000%" w:type="pct"/>
          </w:tcPr>
          <w:p>
            <w:pPr>
              <w:ind w:leftChars="0" w:left="0" w:right="0"/>
            </w:pPr>
            <w:r>
              <w:t>2044</w:t>
            </w:r>
          </w:p>
        </w:tc>
      </w:tr>
      <w:tr>
        <w:trPr>
          <w:cnfStyle w:evenHBand="true" w:oddHBand="false" w:firstRow="false"/>
        </w:trPr>
        <w:tc>
          <w:tcPr>
            <w:cnfStyle w:evenVBand="false" w:oddVBand="true" w:firstColumn="false"/>
            <w:tcW w:w="25.000000%" w:type="pct"/>
          </w:tcPr>
          <w:p>
            <w:pPr>
              <w:ind w:leftChars="0" w:left="0" w:right="0"/>
            </w:pPr>
            <w:r>
              <w:t>XCIE</w:t>
            </w:r>
          </w:p>
        </w:tc>
        <w:tc>
          <w:tcPr>
            <w:cnfStyle w:evenVBand="true" w:oddVBand="false" w:firstColumn="false"/>
            <w:tcW w:w="25.000000%" w:type="pct"/>
          </w:tcPr>
          <w:p>
            <w:pPr>
              <w:ind w:leftChars="0" w:left="0" w:right="0"/>
            </w:pPr>
            <w:r>
              <w:t>XCIE</w:t>
            </w:r>
          </w:p>
        </w:tc>
        <w:tc>
          <w:tcPr>
            <w:cnfStyle w:evenVBand="false" w:oddVBand="true" w:firstColumn="false"/>
            <w:tcW w:w="25.000000%" w:type="pct"/>
          </w:tcPr>
          <w:p>
            <w:pPr>
              <w:ind w:leftChars="0" w:left="0" w:right="0"/>
            </w:pPr>
            <w:r>
              <w:t>THE INTERNATIONAL STOCK EXCHANGE</w:t>
            </w:r>
          </w:p>
        </w:tc>
        <w:tc>
          <w:tcPr>
            <w:cnfStyle w:evenVBand="true" w:oddVBand="false" w:firstColumn="false"/>
            <w:tcW w:w="25.000000%" w:type="pct"/>
          </w:tcPr>
          <w:p>
            <w:pPr>
              <w:ind w:leftChars="0" w:left="0" w:right="0"/>
            </w:pPr>
            <w:r>
              <w:t>2045</w:t>
            </w:r>
          </w:p>
        </w:tc>
      </w:tr>
      <w:tr>
        <w:trPr>
          <w:cnfStyle w:evenHBand="false" w:oddHBand="true" w:firstRow="false"/>
        </w:trPr>
        <w:tc>
          <w:tcPr>
            <w:cnfStyle w:evenVBand="false" w:oddVBand="true" w:firstColumn="false"/>
            <w:tcW w:w="25.000000%" w:type="pct"/>
          </w:tcPr>
          <w:p>
            <w:pPr>
              <w:ind w:leftChars="0" w:left="0" w:right="0"/>
            </w:pPr>
            <w:r>
              <w:t>XCIS</w:t>
            </w:r>
          </w:p>
        </w:tc>
        <w:tc>
          <w:tcPr>
            <w:cnfStyle w:evenVBand="true" w:oddVBand="false" w:firstColumn="false"/>
            <w:tcW w:w="25.000000%" w:type="pct"/>
          </w:tcPr>
          <w:p>
            <w:pPr>
              <w:ind w:leftChars="0" w:left="0" w:right="0"/>
            </w:pPr>
            <w:r>
              <w:t>XCIS</w:t>
            </w:r>
          </w:p>
        </w:tc>
        <w:tc>
          <w:tcPr>
            <w:cnfStyle w:evenVBand="false" w:oddVBand="true" w:firstColumn="false"/>
            <w:tcW w:w="25.000000%" w:type="pct"/>
          </w:tcPr>
          <w:p>
            <w:pPr>
              <w:ind w:leftChars="0" w:left="0" w:right="0"/>
            </w:pPr>
            <w:r>
              <w:t>NYSE NATIONAL, INC.</w:t>
            </w:r>
          </w:p>
        </w:tc>
        <w:tc>
          <w:tcPr>
            <w:cnfStyle w:evenVBand="true" w:oddVBand="false" w:firstColumn="false"/>
            <w:tcW w:w="25.000000%" w:type="pct"/>
          </w:tcPr>
          <w:p>
            <w:pPr>
              <w:ind w:leftChars="0" w:left="0" w:right="0"/>
            </w:pPr>
            <w:r>
              <w:t>2046</w:t>
            </w:r>
          </w:p>
        </w:tc>
      </w:tr>
      <w:tr>
        <w:trPr>
          <w:cnfStyle w:evenHBand="true" w:oddHBand="false" w:firstRow="false"/>
        </w:trPr>
        <w:tc>
          <w:tcPr>
            <w:cnfStyle w:evenVBand="false" w:oddVBand="true" w:firstColumn="false"/>
            <w:tcW w:w="25.000000%" w:type="pct"/>
          </w:tcPr>
          <w:p>
            <w:pPr>
              <w:ind w:leftChars="0" w:left="0" w:right="0"/>
            </w:pPr>
            <w:r>
              <w:t>XCME</w:t>
            </w:r>
          </w:p>
        </w:tc>
        <w:tc>
          <w:tcPr>
            <w:cnfStyle w:evenVBand="true" w:oddVBand="false" w:firstColumn="false"/>
            <w:tcW w:w="25.000000%" w:type="pct"/>
          </w:tcPr>
          <w:p>
            <w:pPr>
              <w:ind w:leftChars="0" w:left="0" w:right="0"/>
            </w:pPr>
            <w:r>
              <w:t>XCME</w:t>
            </w:r>
          </w:p>
        </w:tc>
        <w:tc>
          <w:tcPr>
            <w:cnfStyle w:evenVBand="false" w:oddVBand="true" w:firstColumn="false"/>
            <w:tcW w:w="25.000000%" w:type="pct"/>
          </w:tcPr>
          <w:p>
            <w:pPr>
              <w:ind w:leftChars="0" w:left="0" w:right="0"/>
            </w:pPr>
            <w:r>
              <w:t>CHICAGO MERCANTILE EXCHANGE</w:t>
            </w:r>
          </w:p>
        </w:tc>
        <w:tc>
          <w:tcPr>
            <w:cnfStyle w:evenVBand="true" w:oddVBand="false" w:firstColumn="false"/>
            <w:tcW w:w="25.000000%" w:type="pct"/>
          </w:tcPr>
          <w:p>
            <w:pPr>
              <w:ind w:leftChars="0" w:left="0" w:right="0"/>
            </w:pPr>
            <w:r>
              <w:t>2047</w:t>
            </w:r>
          </w:p>
        </w:tc>
      </w:tr>
      <w:tr>
        <w:trPr>
          <w:cnfStyle w:evenHBand="false" w:oddHBand="true" w:firstRow="false"/>
        </w:trPr>
        <w:tc>
          <w:tcPr>
            <w:cnfStyle w:evenVBand="false" w:oddVBand="true" w:firstColumn="false"/>
            <w:tcW w:w="25.000000%" w:type="pct"/>
          </w:tcPr>
          <w:p>
            <w:pPr>
              <w:ind w:leftChars="0" w:left="0" w:right="0"/>
            </w:pPr>
            <w:r>
              <w:t>XCNF</w:t>
            </w:r>
          </w:p>
        </w:tc>
        <w:tc>
          <w:tcPr>
            <w:cnfStyle w:evenVBand="true" w:oddVBand="false" w:firstColumn="false"/>
            <w:tcW w:w="25.000000%" w:type="pct"/>
          </w:tcPr>
          <w:p>
            <w:pPr>
              <w:ind w:leftChars="0" w:left="0" w:right="0"/>
            </w:pPr>
            <w:r>
              <w:t>XCNF</w:t>
            </w:r>
          </w:p>
        </w:tc>
        <w:tc>
          <w:tcPr>
            <w:cnfStyle w:evenVBand="false" w:oddVBand="true" w:firstColumn="false"/>
            <w:tcW w:w="25.000000%" w:type="pct"/>
          </w:tcPr>
          <w:p>
            <w:pPr>
              <w:ind w:leftChars="0" w:left="0" w:right="0"/>
            </w:pPr>
            <w:r>
              <w:t>BOLSA DE COMERCIO CONFEDERADA S.A.</w:t>
            </w:r>
          </w:p>
        </w:tc>
        <w:tc>
          <w:tcPr>
            <w:cnfStyle w:evenVBand="true" w:oddVBand="false" w:firstColumn="false"/>
            <w:tcW w:w="25.000000%" w:type="pct"/>
          </w:tcPr>
          <w:p>
            <w:pPr>
              <w:ind w:leftChars="0" w:left="0" w:right="0"/>
            </w:pPr>
            <w:r>
              <w:t>2048</w:t>
            </w:r>
          </w:p>
        </w:tc>
      </w:tr>
      <w:tr>
        <w:trPr>
          <w:cnfStyle w:evenHBand="true" w:oddHBand="false" w:firstRow="false"/>
        </w:trPr>
        <w:tc>
          <w:tcPr>
            <w:cnfStyle w:evenVBand="false" w:oddVBand="true" w:firstColumn="false"/>
            <w:tcW w:w="25.000000%" w:type="pct"/>
          </w:tcPr>
          <w:p>
            <w:pPr>
              <w:ind w:leftChars="0" w:left="0" w:right="0"/>
            </w:pPr>
            <w:r>
              <w:t>XCNQ</w:t>
            </w:r>
          </w:p>
        </w:tc>
        <w:tc>
          <w:tcPr>
            <w:cnfStyle w:evenVBand="true" w:oddVBand="false" w:firstColumn="false"/>
            <w:tcW w:w="25.000000%" w:type="pct"/>
          </w:tcPr>
          <w:p>
            <w:pPr>
              <w:ind w:leftChars="0" w:left="0" w:right="0"/>
            </w:pPr>
            <w:r>
              <w:t>XCNQ</w:t>
            </w:r>
          </w:p>
        </w:tc>
        <w:tc>
          <w:tcPr>
            <w:cnfStyle w:evenVBand="false" w:oddVBand="true" w:firstColumn="false"/>
            <w:tcW w:w="25.000000%" w:type="pct"/>
          </w:tcPr>
          <w:p>
            <w:pPr>
              <w:ind w:leftChars="0" w:left="0" w:right="0"/>
            </w:pPr>
            <w:r>
              <w:t>CANADIAN SECURITIES EXCHANGE</w:t>
            </w:r>
          </w:p>
        </w:tc>
        <w:tc>
          <w:tcPr>
            <w:cnfStyle w:evenVBand="true" w:oddVBand="false" w:firstColumn="false"/>
            <w:tcW w:w="25.000000%" w:type="pct"/>
          </w:tcPr>
          <w:p>
            <w:pPr>
              <w:ind w:leftChars="0" w:left="0" w:right="0"/>
            </w:pPr>
            <w:r>
              <w:t>2049</w:t>
            </w:r>
          </w:p>
        </w:tc>
      </w:tr>
      <w:tr>
        <w:trPr>
          <w:cnfStyle w:evenHBand="false" w:oddHBand="true" w:firstRow="false"/>
        </w:trPr>
        <w:tc>
          <w:tcPr>
            <w:cnfStyle w:evenVBand="false" w:oddVBand="true" w:firstColumn="false"/>
            <w:tcW w:w="25.000000%" w:type="pct"/>
          </w:tcPr>
          <w:p>
            <w:pPr>
              <w:ind w:leftChars="0" w:left="0" w:right="0"/>
            </w:pPr>
            <w:r>
              <w:t>XCOL</w:t>
            </w:r>
          </w:p>
        </w:tc>
        <w:tc>
          <w:tcPr>
            <w:cnfStyle w:evenVBand="true" w:oddVBand="false" w:firstColumn="false"/>
            <w:tcW w:w="25.000000%" w:type="pct"/>
          </w:tcPr>
          <w:p>
            <w:pPr>
              <w:ind w:leftChars="0" w:left="0" w:right="0"/>
            </w:pPr>
            <w:r>
              <w:t>XCOL</w:t>
            </w:r>
          </w:p>
        </w:tc>
        <w:tc>
          <w:tcPr>
            <w:cnfStyle w:evenVBand="false" w:oddVBand="true" w:firstColumn="false"/>
            <w:tcW w:w="25.000000%" w:type="pct"/>
          </w:tcPr>
          <w:p>
            <w:pPr>
              <w:ind w:leftChars="0" w:left="0" w:right="0"/>
            </w:pPr>
            <w:r>
              <w:t>COLOMBO STOCK EXCHANGE</w:t>
            </w:r>
          </w:p>
        </w:tc>
        <w:tc>
          <w:tcPr>
            <w:cnfStyle w:evenVBand="true" w:oddVBand="false" w:firstColumn="false"/>
            <w:tcW w:w="25.000000%" w:type="pct"/>
          </w:tcPr>
          <w:p>
            <w:pPr>
              <w:ind w:leftChars="0" w:left="0" w:right="0"/>
            </w:pPr>
            <w:r>
              <w:t>2050</w:t>
            </w:r>
          </w:p>
        </w:tc>
      </w:tr>
      <w:tr>
        <w:trPr>
          <w:cnfStyle w:evenHBand="true" w:oddHBand="false" w:firstRow="false"/>
        </w:trPr>
        <w:tc>
          <w:tcPr>
            <w:cnfStyle w:evenVBand="false" w:oddVBand="true" w:firstColumn="false"/>
            <w:tcW w:w="25.000000%" w:type="pct"/>
          </w:tcPr>
          <w:p>
            <w:pPr>
              <w:ind w:leftChars="0" w:left="0" w:right="0"/>
            </w:pPr>
            <w:r>
              <w:t>XCOR</w:t>
            </w:r>
          </w:p>
        </w:tc>
        <w:tc>
          <w:tcPr>
            <w:cnfStyle w:evenVBand="true" w:oddVBand="false" w:firstColumn="false"/>
            <w:tcW w:w="25.000000%" w:type="pct"/>
          </w:tcPr>
          <w:p>
            <w:pPr>
              <w:ind w:leftChars="0" w:left="0" w:right="0"/>
            </w:pPr>
            <w:r>
              <w:t>XCOR</w:t>
            </w:r>
          </w:p>
        </w:tc>
        <w:tc>
          <w:tcPr>
            <w:cnfStyle w:evenVBand="false" w:oddVBand="true" w:firstColumn="false"/>
            <w:tcW w:w="25.000000%" w:type="pct"/>
          </w:tcPr>
          <w:p>
            <w:pPr>
              <w:ind w:leftChars="0" w:left="0" w:right="0"/>
            </w:pPr>
            <w:r>
              <w:t>ICMA</w:t>
            </w:r>
          </w:p>
        </w:tc>
        <w:tc>
          <w:tcPr>
            <w:cnfStyle w:evenVBand="true" w:oddVBand="false" w:firstColumn="false"/>
            <w:tcW w:w="25.000000%" w:type="pct"/>
          </w:tcPr>
          <w:p>
            <w:pPr>
              <w:ind w:leftChars="0" w:left="0" w:right="0"/>
            </w:pPr>
            <w:r>
              <w:t>2051</w:t>
            </w:r>
          </w:p>
        </w:tc>
      </w:tr>
      <w:tr>
        <w:trPr>
          <w:cnfStyle w:evenHBand="false" w:oddHBand="true" w:firstRow="false"/>
        </w:trPr>
        <w:tc>
          <w:tcPr>
            <w:cnfStyle w:evenVBand="false" w:oddVBand="true" w:firstColumn="false"/>
            <w:tcW w:w="25.000000%" w:type="pct"/>
          </w:tcPr>
          <w:p>
            <w:pPr>
              <w:ind w:leftChars="0" w:left="0" w:right="0"/>
            </w:pPr>
            <w:r>
              <w:t>XCRC</w:t>
            </w:r>
          </w:p>
        </w:tc>
        <w:tc>
          <w:tcPr>
            <w:cnfStyle w:evenVBand="true" w:oddVBand="false" w:firstColumn="false"/>
            <w:tcW w:w="25.000000%" w:type="pct"/>
          </w:tcPr>
          <w:p>
            <w:pPr>
              <w:ind w:leftChars="0" w:left="0" w:right="0"/>
            </w:pPr>
            <w:r>
              <w:t>XCRC</w:t>
            </w:r>
          </w:p>
        </w:tc>
        <w:tc>
          <w:tcPr>
            <w:cnfStyle w:evenVBand="false" w:oddVBand="true" w:firstColumn="false"/>
            <w:tcW w:w="25.000000%" w:type="pct"/>
          </w:tcPr>
          <w:p>
            <w:pPr>
              <w:ind w:leftChars="0" w:left="0" w:right="0"/>
            </w:pPr>
            <w:r>
              <w:t>CHICAGO RICE AND COTTON EXCHANGE</w:t>
            </w:r>
          </w:p>
        </w:tc>
        <w:tc>
          <w:tcPr>
            <w:cnfStyle w:evenVBand="true" w:oddVBand="false" w:firstColumn="false"/>
            <w:tcW w:w="25.000000%" w:type="pct"/>
          </w:tcPr>
          <w:p>
            <w:pPr>
              <w:ind w:leftChars="0" w:left="0" w:right="0"/>
            </w:pPr>
            <w:r>
              <w:t>2052</w:t>
            </w:r>
          </w:p>
        </w:tc>
      </w:tr>
      <w:tr>
        <w:trPr>
          <w:cnfStyle w:evenHBand="true" w:oddHBand="false" w:firstRow="false"/>
        </w:trPr>
        <w:tc>
          <w:tcPr>
            <w:cnfStyle w:evenVBand="false" w:oddVBand="true" w:firstColumn="false"/>
            <w:tcW w:w="25.000000%" w:type="pct"/>
          </w:tcPr>
          <w:p>
            <w:pPr>
              <w:ind w:leftChars="0" w:left="0" w:right="0"/>
            </w:pPr>
            <w:r>
              <w:t>XCRO</w:t>
            </w:r>
          </w:p>
        </w:tc>
        <w:tc>
          <w:tcPr>
            <w:cnfStyle w:evenVBand="true" w:oddVBand="false" w:firstColumn="false"/>
            <w:tcW w:w="25.000000%" w:type="pct"/>
          </w:tcPr>
          <w:p>
            <w:pPr>
              <w:ind w:leftChars="0" w:left="0" w:right="0"/>
            </w:pPr>
            <w:r>
              <w:t>XCRO</w:t>
            </w:r>
          </w:p>
        </w:tc>
        <w:tc>
          <w:tcPr>
            <w:cnfStyle w:evenVBand="false" w:oddVBand="true" w:firstColumn="false"/>
            <w:tcW w:w="25.000000%" w:type="pct"/>
          </w:tcPr>
          <w:p>
            <w:pPr>
              <w:ind w:leftChars="0" w:left="0" w:right="0"/>
            </w:pPr>
            <w:r>
              <w:t>CROATIAN POWER EXCHANGE</w:t>
            </w:r>
          </w:p>
        </w:tc>
        <w:tc>
          <w:tcPr>
            <w:cnfStyle w:evenVBand="true" w:oddVBand="false" w:firstColumn="false"/>
            <w:tcW w:w="25.000000%" w:type="pct"/>
          </w:tcPr>
          <w:p>
            <w:pPr>
              <w:ind w:leftChars="0" w:left="0" w:right="0"/>
            </w:pPr>
            <w:r>
              <w:t>2053</w:t>
            </w:r>
          </w:p>
        </w:tc>
      </w:tr>
      <w:tr>
        <w:trPr>
          <w:cnfStyle w:evenHBand="false" w:oddHBand="true" w:firstRow="false"/>
        </w:trPr>
        <w:tc>
          <w:tcPr>
            <w:cnfStyle w:evenVBand="false" w:oddVBand="true" w:firstColumn="false"/>
            <w:tcW w:w="25.000000%" w:type="pct"/>
          </w:tcPr>
          <w:p>
            <w:pPr>
              <w:ind w:leftChars="0" w:left="0" w:right="0"/>
            </w:pPr>
            <w:r>
              <w:t>XCSC</w:t>
            </w:r>
          </w:p>
        </w:tc>
        <w:tc>
          <w:tcPr>
            <w:cnfStyle w:evenVBand="true" w:oddVBand="false" w:firstColumn="false"/>
            <w:tcW w:w="25.000000%" w:type="pct"/>
          </w:tcPr>
          <w:p>
            <w:pPr>
              <w:ind w:leftChars="0" w:left="0" w:right="0"/>
            </w:pPr>
            <w:r>
              <w:t>XCSC</w:t>
            </w:r>
          </w:p>
        </w:tc>
        <w:tc>
          <w:tcPr>
            <w:cnfStyle w:evenVBand="false" w:oddVBand="true" w:firstColumn="false"/>
            <w:tcW w:w="25.000000%" w:type="pct"/>
          </w:tcPr>
          <w:p>
            <w:pPr>
              <w:ind w:leftChars="0" w:left="0" w:right="0"/>
            </w:pPr>
            <w:r>
              <w:t>NEW YORK COCOA, COFFEE AND SUGAR EXCHANGE</w:t>
            </w:r>
          </w:p>
        </w:tc>
        <w:tc>
          <w:tcPr>
            <w:cnfStyle w:evenVBand="true" w:oddVBand="false" w:firstColumn="false"/>
            <w:tcW w:w="25.000000%" w:type="pct"/>
          </w:tcPr>
          <w:p>
            <w:pPr>
              <w:ind w:leftChars="0" w:left="0" w:right="0"/>
            </w:pPr>
            <w:r>
              <w:t>2054</w:t>
            </w:r>
          </w:p>
        </w:tc>
      </w:tr>
      <w:tr>
        <w:trPr>
          <w:cnfStyle w:evenHBand="true" w:oddHBand="false" w:firstRow="false"/>
        </w:trPr>
        <w:tc>
          <w:tcPr>
            <w:cnfStyle w:evenVBand="false" w:oddVBand="true" w:firstColumn="false"/>
            <w:tcW w:w="25.000000%" w:type="pct"/>
          </w:tcPr>
          <w:p>
            <w:pPr>
              <w:ind w:leftChars="0" w:left="0" w:right="0"/>
            </w:pPr>
            <w:r>
              <w:t>XCSE</w:t>
            </w:r>
          </w:p>
        </w:tc>
        <w:tc>
          <w:tcPr>
            <w:cnfStyle w:evenVBand="true" w:oddVBand="false" w:firstColumn="false"/>
            <w:tcW w:w="25.000000%" w:type="pct"/>
          </w:tcPr>
          <w:p>
            <w:pPr>
              <w:ind w:leftChars="0" w:left="0" w:right="0"/>
            </w:pPr>
            <w:r>
              <w:t>XCSE</w:t>
            </w:r>
          </w:p>
        </w:tc>
        <w:tc>
          <w:tcPr>
            <w:cnfStyle w:evenVBand="false" w:oddVBand="true" w:firstColumn="false"/>
            <w:tcW w:w="25.000000%" w:type="pct"/>
          </w:tcPr>
          <w:p>
            <w:pPr>
              <w:ind w:leftChars="0" w:left="0" w:right="0"/>
            </w:pPr>
            <w:r>
              <w:t>NASDAQ COPENHAGEN A/S</w:t>
            </w:r>
          </w:p>
        </w:tc>
        <w:tc>
          <w:tcPr>
            <w:cnfStyle w:evenVBand="true" w:oddVBand="false" w:firstColumn="false"/>
            <w:tcW w:w="25.000000%" w:type="pct"/>
          </w:tcPr>
          <w:p>
            <w:pPr>
              <w:ind w:leftChars="0" w:left="0" w:right="0"/>
            </w:pPr>
            <w:r>
              <w:t>2055</w:t>
            </w:r>
          </w:p>
        </w:tc>
      </w:tr>
      <w:tr>
        <w:trPr>
          <w:cnfStyle w:evenHBand="false" w:oddHBand="true" w:firstRow="false"/>
        </w:trPr>
        <w:tc>
          <w:tcPr>
            <w:cnfStyle w:evenVBand="false" w:oddVBand="true" w:firstColumn="false"/>
            <w:tcW w:w="25.000000%" w:type="pct"/>
          </w:tcPr>
          <w:p>
            <w:pPr>
              <w:ind w:leftChars="0" w:left="0" w:right="0"/>
            </w:pPr>
            <w:r>
              <w:t>XCSX</w:t>
            </w:r>
          </w:p>
        </w:tc>
        <w:tc>
          <w:tcPr>
            <w:cnfStyle w:evenVBand="true" w:oddVBand="false" w:firstColumn="false"/>
            <w:tcW w:w="25.000000%" w:type="pct"/>
          </w:tcPr>
          <w:p>
            <w:pPr>
              <w:ind w:leftChars="0" w:left="0" w:right="0"/>
            </w:pPr>
            <w:r>
              <w:t>XCSX</w:t>
            </w:r>
          </w:p>
        </w:tc>
        <w:tc>
          <w:tcPr>
            <w:cnfStyle w:evenVBand="false" w:oddVBand="true" w:firstColumn="false"/>
            <w:tcW w:w="25.000000%" w:type="pct"/>
          </w:tcPr>
          <w:p>
            <w:pPr>
              <w:ind w:leftChars="0" w:left="0" w:right="0"/>
            </w:pPr>
            <w:r>
              <w:t>CAMBODIA SECURITIES EXCHANGE</w:t>
            </w:r>
          </w:p>
        </w:tc>
        <w:tc>
          <w:tcPr>
            <w:cnfStyle w:evenVBand="true" w:oddVBand="false" w:firstColumn="false"/>
            <w:tcW w:w="25.000000%" w:type="pct"/>
          </w:tcPr>
          <w:p>
            <w:pPr>
              <w:ind w:leftChars="0" w:left="0" w:right="0"/>
            </w:pPr>
            <w:r>
              <w:t>2056</w:t>
            </w:r>
          </w:p>
        </w:tc>
      </w:tr>
      <w:tr>
        <w:trPr>
          <w:cnfStyle w:evenHBand="true" w:oddHBand="false" w:firstRow="false"/>
        </w:trPr>
        <w:tc>
          <w:tcPr>
            <w:cnfStyle w:evenVBand="false" w:oddVBand="true" w:firstColumn="false"/>
            <w:tcW w:w="25.000000%" w:type="pct"/>
          </w:tcPr>
          <w:p>
            <w:pPr>
              <w:ind w:leftChars="0" w:left="0" w:right="0"/>
            </w:pPr>
            <w:r>
              <w:t>XCUE</w:t>
            </w:r>
          </w:p>
        </w:tc>
        <w:tc>
          <w:tcPr>
            <w:cnfStyle w:evenVBand="true" w:oddVBand="false" w:firstColumn="false"/>
            <w:tcW w:w="25.000000%" w:type="pct"/>
          </w:tcPr>
          <w:p>
            <w:pPr>
              <w:ind w:leftChars="0" w:left="0" w:right="0"/>
            </w:pPr>
            <w:r>
              <w:t>XCUE</w:t>
            </w:r>
          </w:p>
        </w:tc>
        <w:tc>
          <w:tcPr>
            <w:cnfStyle w:evenVBand="false" w:oddVBand="true" w:firstColumn="false"/>
            <w:tcW w:w="25.000000%" w:type="pct"/>
          </w:tcPr>
          <w:p>
            <w:pPr>
              <w:ind w:leftChars="0" w:left="0" w:right="0"/>
            </w:pPr>
            <w:r>
              <w:t>UZBEKISTAN REPUBLICAN CURRENCY EXCHANGE</w:t>
            </w:r>
          </w:p>
        </w:tc>
        <w:tc>
          <w:tcPr>
            <w:cnfStyle w:evenVBand="true" w:oddVBand="false" w:firstColumn="false"/>
            <w:tcW w:w="25.000000%" w:type="pct"/>
          </w:tcPr>
          <w:p>
            <w:pPr>
              <w:ind w:leftChars="0" w:left="0" w:right="0"/>
            </w:pPr>
            <w:r>
              <w:t>2057</w:t>
            </w:r>
          </w:p>
        </w:tc>
      </w:tr>
      <w:tr>
        <w:trPr>
          <w:cnfStyle w:evenHBand="false" w:oddHBand="true" w:firstRow="false"/>
        </w:trPr>
        <w:tc>
          <w:tcPr>
            <w:cnfStyle w:evenVBand="false" w:oddVBand="true" w:firstColumn="false"/>
            <w:tcW w:w="25.000000%" w:type="pct"/>
          </w:tcPr>
          <w:p>
            <w:pPr>
              <w:ind w:leftChars="0" w:left="0" w:right="0"/>
            </w:pPr>
            <w:r>
              <w:t>XCUR</w:t>
            </w:r>
          </w:p>
        </w:tc>
        <w:tc>
          <w:tcPr>
            <w:cnfStyle w:evenVBand="true" w:oddVBand="false" w:firstColumn="false"/>
            <w:tcW w:w="25.000000%" w:type="pct"/>
          </w:tcPr>
          <w:p>
            <w:pPr>
              <w:ind w:leftChars="0" w:left="0" w:right="0"/>
            </w:pPr>
            <w:r>
              <w:t>XCUR</w:t>
            </w:r>
          </w:p>
        </w:tc>
        <w:tc>
          <w:tcPr>
            <w:cnfStyle w:evenVBand="false" w:oddVBand="true" w:firstColumn="false"/>
            <w:tcW w:w="25.000000%" w:type="pct"/>
          </w:tcPr>
          <w:p>
            <w:pPr>
              <w:ind w:leftChars="0" w:left="0" w:right="0"/>
            </w:pPr>
            <w:r>
              <w:t>CURRENEX</w:t>
            </w:r>
          </w:p>
        </w:tc>
        <w:tc>
          <w:tcPr>
            <w:cnfStyle w:evenVBand="true" w:oddVBand="false" w:firstColumn="false"/>
            <w:tcW w:w="25.000000%" w:type="pct"/>
          </w:tcPr>
          <w:p>
            <w:pPr>
              <w:ind w:leftChars="0" w:left="0" w:right="0"/>
            </w:pPr>
            <w:r>
              <w:t>2058</w:t>
            </w:r>
          </w:p>
        </w:tc>
      </w:tr>
      <w:tr>
        <w:trPr>
          <w:cnfStyle w:evenHBand="true" w:oddHBand="false" w:firstRow="false"/>
        </w:trPr>
        <w:tc>
          <w:tcPr>
            <w:cnfStyle w:evenVBand="false" w:oddVBand="true" w:firstColumn="false"/>
            <w:tcW w:w="25.000000%" w:type="pct"/>
          </w:tcPr>
          <w:p>
            <w:pPr>
              <w:ind w:leftChars="0" w:left="0" w:right="0"/>
            </w:pPr>
            <w:r>
              <w:t>XCX2</w:t>
            </w:r>
          </w:p>
        </w:tc>
        <w:tc>
          <w:tcPr>
            <w:cnfStyle w:evenVBand="true" w:oddVBand="false" w:firstColumn="false"/>
            <w:tcW w:w="25.000000%" w:type="pct"/>
          </w:tcPr>
          <w:p>
            <w:pPr>
              <w:ind w:leftChars="0" w:left="0" w:right="0"/>
            </w:pPr>
            <w:r>
              <w:t>XCX2</w:t>
            </w:r>
          </w:p>
        </w:tc>
        <w:tc>
          <w:tcPr>
            <w:cnfStyle w:evenVBand="false" w:oddVBand="true" w:firstColumn="false"/>
            <w:tcW w:w="25.000000%" w:type="pct"/>
          </w:tcPr>
          <w:p>
            <w:pPr>
              <w:ind w:leftChars="0" w:left="0" w:right="0"/>
            </w:pPr>
            <w:r>
              <w:t>CX2</w:t>
            </w:r>
          </w:p>
        </w:tc>
        <w:tc>
          <w:tcPr>
            <w:cnfStyle w:evenVBand="true" w:oddVBand="false" w:firstColumn="false"/>
            <w:tcW w:w="25.000000%" w:type="pct"/>
          </w:tcPr>
          <w:p>
            <w:pPr>
              <w:ind w:leftChars="0" w:left="0" w:right="0"/>
            </w:pPr>
            <w:r>
              <w:t>2059</w:t>
            </w:r>
          </w:p>
        </w:tc>
      </w:tr>
      <w:tr>
        <w:trPr>
          <w:cnfStyle w:evenHBand="false" w:oddHBand="true" w:firstRow="false"/>
        </w:trPr>
        <w:tc>
          <w:tcPr>
            <w:cnfStyle w:evenVBand="false" w:oddVBand="true" w:firstColumn="false"/>
            <w:tcW w:w="25.000000%" w:type="pct"/>
          </w:tcPr>
          <w:p>
            <w:pPr>
              <w:ind w:leftChars="0" w:left="0" w:right="0"/>
            </w:pPr>
            <w:r>
              <w:t>XCXD</w:t>
            </w:r>
          </w:p>
        </w:tc>
        <w:tc>
          <w:tcPr>
            <w:cnfStyle w:evenVBand="true" w:oddVBand="false" w:firstColumn="false"/>
            <w:tcW w:w="25.000000%" w:type="pct"/>
          </w:tcPr>
          <w:p>
            <w:pPr>
              <w:ind w:leftChars="0" w:left="0" w:right="0"/>
            </w:pPr>
            <w:r>
              <w:t>XCXD</w:t>
            </w:r>
          </w:p>
        </w:tc>
        <w:tc>
          <w:tcPr>
            <w:cnfStyle w:evenVBand="false" w:oddVBand="true" w:firstColumn="false"/>
            <w:tcW w:w="25.000000%" w:type="pct"/>
          </w:tcPr>
          <w:p>
            <w:pPr>
              <w:ind w:leftChars="0" w:left="0" w:right="0"/>
            </w:pPr>
            <w:r>
              <w:t>NASDAQ CXD</w:t>
            </w:r>
          </w:p>
        </w:tc>
        <w:tc>
          <w:tcPr>
            <w:cnfStyle w:evenVBand="true" w:oddVBand="false" w:firstColumn="false"/>
            <w:tcW w:w="25.000000%" w:type="pct"/>
          </w:tcPr>
          <w:p>
            <w:pPr>
              <w:ind w:leftChars="0" w:left="0" w:right="0"/>
            </w:pPr>
            <w:r>
              <w:t>2060</w:t>
            </w:r>
          </w:p>
        </w:tc>
      </w:tr>
      <w:tr>
        <w:trPr>
          <w:cnfStyle w:evenHBand="true" w:oddHBand="false" w:firstRow="false"/>
        </w:trPr>
        <w:tc>
          <w:tcPr>
            <w:cnfStyle w:evenVBand="false" w:oddVBand="true" w:firstColumn="false"/>
            <w:tcW w:w="25.000000%" w:type="pct"/>
          </w:tcPr>
          <w:p>
            <w:pPr>
              <w:ind w:leftChars="0" w:left="0" w:right="0"/>
            </w:pPr>
            <w:r>
              <w:t>XCYO</w:t>
            </w:r>
          </w:p>
        </w:tc>
        <w:tc>
          <w:tcPr>
            <w:cnfStyle w:evenVBand="true" w:oddVBand="false" w:firstColumn="false"/>
            <w:tcW w:w="25.000000%" w:type="pct"/>
          </w:tcPr>
          <w:p>
            <w:pPr>
              <w:ind w:leftChars="0" w:left="0" w:right="0"/>
            </w:pPr>
            <w:r>
              <w:t>XCYO</w:t>
            </w:r>
          </w:p>
        </w:tc>
        <w:tc>
          <w:tcPr>
            <w:cnfStyle w:evenVBand="false" w:oddVBand="true" w:firstColumn="false"/>
            <w:tcW w:w="25.000000%" w:type="pct"/>
          </w:tcPr>
          <w:p>
            <w:pPr>
              <w:ind w:leftChars="0" w:left="0" w:right="0"/>
            </w:pPr>
            <w:r>
              <w:t>CYPRUS STOCK EXCHANGE - OTC</w:t>
            </w:r>
          </w:p>
        </w:tc>
        <w:tc>
          <w:tcPr>
            <w:cnfStyle w:evenVBand="true" w:oddVBand="false" w:firstColumn="false"/>
            <w:tcW w:w="25.000000%" w:type="pct"/>
          </w:tcPr>
          <w:p>
            <w:pPr>
              <w:ind w:leftChars="0" w:left="0" w:right="0"/>
            </w:pPr>
            <w:r>
              <w:t>2061</w:t>
            </w:r>
          </w:p>
        </w:tc>
      </w:tr>
      <w:tr>
        <w:trPr>
          <w:cnfStyle w:evenHBand="false" w:oddHBand="true" w:firstRow="false"/>
        </w:trPr>
        <w:tc>
          <w:tcPr>
            <w:cnfStyle w:evenVBand="false" w:oddVBand="true" w:firstColumn="false"/>
            <w:tcW w:w="25.000000%" w:type="pct"/>
          </w:tcPr>
          <w:p>
            <w:pPr>
              <w:ind w:leftChars="0" w:left="0" w:right="0"/>
            </w:pPr>
            <w:r>
              <w:t>XCYS</w:t>
            </w:r>
          </w:p>
        </w:tc>
        <w:tc>
          <w:tcPr>
            <w:cnfStyle w:evenVBand="true" w:oddVBand="false" w:firstColumn="false"/>
            <w:tcW w:w="25.000000%" w:type="pct"/>
          </w:tcPr>
          <w:p>
            <w:pPr>
              <w:ind w:leftChars="0" w:left="0" w:right="0"/>
            </w:pPr>
            <w:r>
              <w:t>XCYS</w:t>
            </w:r>
          </w:p>
        </w:tc>
        <w:tc>
          <w:tcPr>
            <w:cnfStyle w:evenVBand="false" w:oddVBand="true" w:firstColumn="false"/>
            <w:tcW w:w="25.000000%" w:type="pct"/>
          </w:tcPr>
          <w:p>
            <w:pPr>
              <w:ind w:leftChars="0" w:left="0" w:right="0"/>
            </w:pPr>
            <w:r>
              <w:t>CYPRUS STOCK EXCHANGE</w:t>
            </w:r>
          </w:p>
        </w:tc>
        <w:tc>
          <w:tcPr>
            <w:cnfStyle w:evenVBand="true" w:oddVBand="false" w:firstColumn="false"/>
            <w:tcW w:w="25.000000%" w:type="pct"/>
          </w:tcPr>
          <w:p>
            <w:pPr>
              <w:ind w:leftChars="0" w:left="0" w:right="0"/>
            </w:pPr>
            <w:r>
              <w:t>2062</w:t>
            </w:r>
          </w:p>
        </w:tc>
      </w:tr>
      <w:tr>
        <w:trPr>
          <w:cnfStyle w:evenHBand="true" w:oddHBand="false" w:firstRow="false"/>
        </w:trPr>
        <w:tc>
          <w:tcPr>
            <w:cnfStyle w:evenVBand="false" w:oddVBand="true" w:firstColumn="false"/>
            <w:tcW w:w="25.000000%" w:type="pct"/>
          </w:tcPr>
          <w:p>
            <w:pPr>
              <w:ind w:leftChars="0" w:left="0" w:right="0"/>
            </w:pPr>
            <w:r>
              <w:t>XDAR</w:t>
            </w:r>
          </w:p>
        </w:tc>
        <w:tc>
          <w:tcPr>
            <w:cnfStyle w:evenVBand="true" w:oddVBand="false" w:firstColumn="false"/>
            <w:tcW w:w="25.000000%" w:type="pct"/>
          </w:tcPr>
          <w:p>
            <w:pPr>
              <w:ind w:leftChars="0" w:left="0" w:right="0"/>
            </w:pPr>
            <w:r>
              <w:t>XDAR</w:t>
            </w:r>
          </w:p>
        </w:tc>
        <w:tc>
          <w:tcPr>
            <w:cnfStyle w:evenVBand="false" w:oddVBand="true" w:firstColumn="false"/>
            <w:tcW w:w="25.000000%" w:type="pct"/>
          </w:tcPr>
          <w:p>
            <w:pPr>
              <w:ind w:leftChars="0" w:left="0" w:right="0"/>
            </w:pPr>
            <w:r>
              <w:t>DAR ES  SALAAM STOCK EXCHANGE</w:t>
            </w:r>
          </w:p>
        </w:tc>
        <w:tc>
          <w:tcPr>
            <w:cnfStyle w:evenVBand="true" w:oddVBand="false" w:firstColumn="false"/>
            <w:tcW w:w="25.000000%" w:type="pct"/>
          </w:tcPr>
          <w:p>
            <w:pPr>
              <w:ind w:leftChars="0" w:left="0" w:right="0"/>
            </w:pPr>
            <w:r>
              <w:t>2063</w:t>
            </w:r>
          </w:p>
        </w:tc>
      </w:tr>
      <w:tr>
        <w:trPr>
          <w:cnfStyle w:evenHBand="false" w:oddHBand="true" w:firstRow="false"/>
        </w:trPr>
        <w:tc>
          <w:tcPr>
            <w:cnfStyle w:evenVBand="false" w:oddVBand="true" w:firstColumn="false"/>
            <w:tcW w:w="25.000000%" w:type="pct"/>
          </w:tcPr>
          <w:p>
            <w:pPr>
              <w:ind w:leftChars="0" w:left="0" w:right="0"/>
            </w:pPr>
            <w:r>
              <w:t>XDBC</w:t>
            </w:r>
          </w:p>
        </w:tc>
        <w:tc>
          <w:tcPr>
            <w:cnfStyle w:evenVBand="true" w:oddVBand="false" w:firstColumn="false"/>
            <w:tcW w:w="25.000000%" w:type="pct"/>
          </w:tcPr>
          <w:p>
            <w:pPr>
              <w:ind w:leftChars="0" w:left="0" w:right="0"/>
            </w:pPr>
            <w:r>
              <w:t>XDBC</w:t>
            </w:r>
          </w:p>
        </w:tc>
        <w:tc>
          <w:tcPr>
            <w:cnfStyle w:evenVBand="false" w:oddVBand="true" w:firstColumn="false"/>
            <w:tcW w:w="25.000000%" w:type="pct"/>
          </w:tcPr>
          <w:p>
            <w:pPr>
              <w:ind w:leftChars="0" w:left="0" w:right="0"/>
            </w:pPr>
            <w:r>
              <w:t>DEUTSCHE BOERSE AG - CUSTOMIZED INDICES</w:t>
            </w:r>
          </w:p>
        </w:tc>
        <w:tc>
          <w:tcPr>
            <w:cnfStyle w:evenVBand="true" w:oddVBand="false" w:firstColumn="false"/>
            <w:tcW w:w="25.000000%" w:type="pct"/>
          </w:tcPr>
          <w:p>
            <w:pPr>
              <w:ind w:leftChars="0" w:left="0" w:right="0"/>
            </w:pPr>
            <w:r>
              <w:t>2064</w:t>
            </w:r>
          </w:p>
        </w:tc>
      </w:tr>
      <w:tr>
        <w:trPr>
          <w:cnfStyle w:evenHBand="true" w:oddHBand="false" w:firstRow="false"/>
        </w:trPr>
        <w:tc>
          <w:tcPr>
            <w:cnfStyle w:evenVBand="false" w:oddVBand="true" w:firstColumn="false"/>
            <w:tcW w:w="25.000000%" w:type="pct"/>
          </w:tcPr>
          <w:p>
            <w:pPr>
              <w:ind w:leftChars="0" w:left="0" w:right="0"/>
            </w:pPr>
            <w:r>
              <w:t>XDBV</w:t>
            </w:r>
          </w:p>
        </w:tc>
        <w:tc>
          <w:tcPr>
            <w:cnfStyle w:evenVBand="true" w:oddVBand="false" w:firstColumn="false"/>
            <w:tcW w:w="25.000000%" w:type="pct"/>
          </w:tcPr>
          <w:p>
            <w:pPr>
              <w:ind w:leftChars="0" w:left="0" w:right="0"/>
            </w:pPr>
            <w:r>
              <w:t>XDBV</w:t>
            </w:r>
          </w:p>
        </w:tc>
        <w:tc>
          <w:tcPr>
            <w:cnfStyle w:evenVBand="false" w:oddVBand="true" w:firstColumn="false"/>
            <w:tcW w:w="25.000000%" w:type="pct"/>
          </w:tcPr>
          <w:p>
            <w:pPr>
              <w:ind w:leftChars="0" w:left="0" w:right="0"/>
            </w:pPr>
            <w:r>
              <w:t>DEUTSCHE BOERSE AG - VOLATILITY INDICES</w:t>
            </w:r>
          </w:p>
        </w:tc>
        <w:tc>
          <w:tcPr>
            <w:cnfStyle w:evenVBand="true" w:oddVBand="false" w:firstColumn="false"/>
            <w:tcW w:w="25.000000%" w:type="pct"/>
          </w:tcPr>
          <w:p>
            <w:pPr>
              <w:ind w:leftChars="0" w:left="0" w:right="0"/>
            </w:pPr>
            <w:r>
              <w:t>2065</w:t>
            </w:r>
          </w:p>
        </w:tc>
      </w:tr>
      <w:tr>
        <w:trPr>
          <w:cnfStyle w:evenHBand="false" w:oddHBand="true" w:firstRow="false"/>
        </w:trPr>
        <w:tc>
          <w:tcPr>
            <w:cnfStyle w:evenVBand="false" w:oddVBand="true" w:firstColumn="false"/>
            <w:tcW w:w="25.000000%" w:type="pct"/>
          </w:tcPr>
          <w:p>
            <w:pPr>
              <w:ind w:leftChars="0" w:left="0" w:right="0"/>
            </w:pPr>
            <w:r>
              <w:t>XDBX</w:t>
            </w:r>
          </w:p>
        </w:tc>
        <w:tc>
          <w:tcPr>
            <w:cnfStyle w:evenVBand="true" w:oddVBand="false" w:firstColumn="false"/>
            <w:tcW w:w="25.000000%" w:type="pct"/>
          </w:tcPr>
          <w:p>
            <w:pPr>
              <w:ind w:leftChars="0" w:left="0" w:right="0"/>
            </w:pPr>
            <w:r>
              <w:t>XDBX</w:t>
            </w:r>
          </w:p>
        </w:tc>
        <w:tc>
          <w:tcPr>
            <w:cnfStyle w:evenVBand="false" w:oddVBand="true" w:firstColumn="false"/>
            <w:tcW w:w="25.000000%" w:type="pct"/>
          </w:tcPr>
          <w:p>
            <w:pPr>
              <w:ind w:leftChars="0" w:left="0" w:right="0"/>
            </w:pPr>
            <w:r>
              <w:t>DEUTSCHE BOERSE AG - INDICES</w:t>
            </w:r>
          </w:p>
        </w:tc>
        <w:tc>
          <w:tcPr>
            <w:cnfStyle w:evenVBand="true" w:oddVBand="false" w:firstColumn="false"/>
            <w:tcW w:w="25.000000%" w:type="pct"/>
          </w:tcPr>
          <w:p>
            <w:pPr>
              <w:ind w:leftChars="0" w:left="0" w:right="0"/>
            </w:pPr>
            <w:r>
              <w:t>2066</w:t>
            </w:r>
          </w:p>
        </w:tc>
      </w:tr>
      <w:tr>
        <w:trPr>
          <w:cnfStyle w:evenHBand="true" w:oddHBand="false" w:firstRow="false"/>
        </w:trPr>
        <w:tc>
          <w:tcPr>
            <w:cnfStyle w:evenVBand="false" w:oddVBand="true" w:firstColumn="false"/>
            <w:tcW w:w="25.000000%" w:type="pct"/>
          </w:tcPr>
          <w:p>
            <w:pPr>
              <w:ind w:leftChars="0" w:left="0" w:right="0"/>
            </w:pPr>
            <w:r>
              <w:t>XDCE</w:t>
            </w:r>
          </w:p>
        </w:tc>
        <w:tc>
          <w:tcPr>
            <w:cnfStyle w:evenVBand="true" w:oddVBand="false" w:firstColumn="false"/>
            <w:tcW w:w="25.000000%" w:type="pct"/>
          </w:tcPr>
          <w:p>
            <w:pPr>
              <w:ind w:leftChars="0" w:left="0" w:right="0"/>
            </w:pPr>
            <w:r>
              <w:t>XDCE</w:t>
            </w:r>
          </w:p>
        </w:tc>
        <w:tc>
          <w:tcPr>
            <w:cnfStyle w:evenVBand="false" w:oddVBand="true" w:firstColumn="false"/>
            <w:tcW w:w="25.000000%" w:type="pct"/>
          </w:tcPr>
          <w:p>
            <w:pPr>
              <w:ind w:leftChars="0" w:left="0" w:right="0"/>
            </w:pPr>
            <w:r>
              <w:t>DALIAN COMMODITY EXCHANGE</w:t>
            </w:r>
          </w:p>
        </w:tc>
        <w:tc>
          <w:tcPr>
            <w:cnfStyle w:evenVBand="true" w:oddVBand="false" w:firstColumn="false"/>
            <w:tcW w:w="25.000000%" w:type="pct"/>
          </w:tcPr>
          <w:p>
            <w:pPr>
              <w:ind w:leftChars="0" w:left="0" w:right="0"/>
            </w:pPr>
            <w:r>
              <w:t>2067</w:t>
            </w:r>
          </w:p>
        </w:tc>
      </w:tr>
      <w:tr>
        <w:trPr>
          <w:cnfStyle w:evenHBand="false" w:oddHBand="true" w:firstRow="false"/>
        </w:trPr>
        <w:tc>
          <w:tcPr>
            <w:cnfStyle w:evenVBand="false" w:oddVBand="true" w:firstColumn="false"/>
            <w:tcW w:w="25.000000%" w:type="pct"/>
          </w:tcPr>
          <w:p>
            <w:pPr>
              <w:ind w:leftChars="0" w:left="0" w:right="0"/>
            </w:pPr>
            <w:r>
              <w:t>XDES</w:t>
            </w:r>
          </w:p>
        </w:tc>
        <w:tc>
          <w:tcPr>
            <w:cnfStyle w:evenVBand="true" w:oddVBand="false" w:firstColumn="false"/>
            <w:tcW w:w="25.000000%" w:type="pct"/>
          </w:tcPr>
          <w:p>
            <w:pPr>
              <w:ind w:leftChars="0" w:left="0" w:right="0"/>
            </w:pPr>
            <w:r>
              <w:t>XDES</w:t>
            </w:r>
          </w:p>
        </w:tc>
        <w:tc>
          <w:tcPr>
            <w:cnfStyle w:evenVBand="false" w:oddVBand="true" w:firstColumn="false"/>
            <w:tcW w:w="25.000000%" w:type="pct"/>
          </w:tcPr>
          <w:p>
            <w:pPr>
              <w:ind w:leftChars="0" w:left="0" w:right="0"/>
            </w:pPr>
            <w:r>
              <w:t>DELHI STOCK EXCHANGE</w:t>
            </w:r>
          </w:p>
        </w:tc>
        <w:tc>
          <w:tcPr>
            <w:cnfStyle w:evenVBand="true" w:oddVBand="false" w:firstColumn="false"/>
            <w:tcW w:w="25.000000%" w:type="pct"/>
          </w:tcPr>
          <w:p>
            <w:pPr>
              <w:ind w:leftChars="0" w:left="0" w:right="0"/>
            </w:pPr>
            <w:r>
              <w:t>2068</w:t>
            </w:r>
          </w:p>
        </w:tc>
      </w:tr>
      <w:tr>
        <w:trPr>
          <w:cnfStyle w:evenHBand="true" w:oddHBand="false" w:firstRow="false"/>
        </w:trPr>
        <w:tc>
          <w:tcPr>
            <w:cnfStyle w:evenVBand="false" w:oddVBand="true" w:firstColumn="false"/>
            <w:tcW w:w="25.000000%" w:type="pct"/>
          </w:tcPr>
          <w:p>
            <w:pPr>
              <w:ind w:leftChars="0" w:left="0" w:right="0"/>
            </w:pPr>
            <w:r>
              <w:t>XDEX</w:t>
            </w:r>
          </w:p>
        </w:tc>
        <w:tc>
          <w:tcPr>
            <w:cnfStyle w:evenVBand="true" w:oddVBand="false" w:firstColumn="false"/>
            <w:tcW w:w="25.000000%" w:type="pct"/>
          </w:tcPr>
          <w:p>
            <w:pPr>
              <w:ind w:leftChars="0" w:left="0" w:right="0"/>
            </w:pPr>
            <w:r>
              <w:t>XDEX</w:t>
            </w:r>
          </w:p>
        </w:tc>
        <w:tc>
          <w:tcPr>
            <w:cnfStyle w:evenVBand="false" w:oddVBand="true" w:firstColumn="false"/>
            <w:tcW w:w="25.000000%" w:type="pct"/>
          </w:tcPr>
          <w:p>
            <w:pPr>
              <w:ind w:leftChars="0" w:left="0" w:right="0"/>
            </w:pPr>
            <w:r>
              <w:t>BOERSE STUTTGART - DIGITAL EXCHANGE</w:t>
            </w:r>
          </w:p>
        </w:tc>
        <w:tc>
          <w:tcPr>
            <w:cnfStyle w:evenVBand="true" w:oddVBand="false" w:firstColumn="false"/>
            <w:tcW w:w="25.000000%" w:type="pct"/>
          </w:tcPr>
          <w:p>
            <w:pPr>
              <w:ind w:leftChars="0" w:left="0" w:right="0"/>
            </w:pPr>
            <w:r>
              <w:t>2069</w:t>
            </w:r>
          </w:p>
        </w:tc>
      </w:tr>
      <w:tr>
        <w:trPr>
          <w:cnfStyle w:evenHBand="false" w:oddHBand="true" w:firstRow="false"/>
        </w:trPr>
        <w:tc>
          <w:tcPr>
            <w:cnfStyle w:evenVBand="false" w:oddVBand="true" w:firstColumn="false"/>
            <w:tcW w:w="25.000000%" w:type="pct"/>
          </w:tcPr>
          <w:p>
            <w:pPr>
              <w:ind w:leftChars="0" w:left="0" w:right="0"/>
            </w:pPr>
            <w:r>
              <w:t>XDFB</w:t>
            </w:r>
          </w:p>
        </w:tc>
        <w:tc>
          <w:tcPr>
            <w:cnfStyle w:evenVBand="true" w:oddVBand="false" w:firstColumn="false"/>
            <w:tcW w:w="25.000000%" w:type="pct"/>
          </w:tcPr>
          <w:p>
            <w:pPr>
              <w:ind w:leftChars="0" w:left="0" w:right="0"/>
            </w:pPr>
            <w:r>
              <w:t>XDFB</w:t>
            </w:r>
          </w:p>
        </w:tc>
        <w:tc>
          <w:tcPr>
            <w:cnfStyle w:evenVBand="false" w:oddVBand="true" w:firstColumn="false"/>
            <w:tcW w:w="25.000000%" w:type="pct"/>
          </w:tcPr>
          <w:p>
            <w:pPr>
              <w:ind w:leftChars="0" w:left="0" w:right="0"/>
            </w:pPr>
            <w:r>
              <w:t>JOINT-STOCK COMPANY “STOCK EXCHANGE INNEX”</w:t>
            </w:r>
          </w:p>
        </w:tc>
        <w:tc>
          <w:tcPr>
            <w:cnfStyle w:evenVBand="true" w:oddVBand="false" w:firstColumn="false"/>
            <w:tcW w:w="25.000000%" w:type="pct"/>
          </w:tcPr>
          <w:p>
            <w:pPr>
              <w:ind w:leftChars="0" w:left="0" w:right="0"/>
            </w:pPr>
            <w:r>
              <w:t>2070</w:t>
            </w:r>
          </w:p>
        </w:tc>
      </w:tr>
      <w:tr>
        <w:trPr>
          <w:cnfStyle w:evenHBand="true" w:oddHBand="false" w:firstRow="false"/>
        </w:trPr>
        <w:tc>
          <w:tcPr>
            <w:cnfStyle w:evenVBand="false" w:oddVBand="true" w:firstColumn="false"/>
            <w:tcW w:w="25.000000%" w:type="pct"/>
          </w:tcPr>
          <w:p>
            <w:pPr>
              <w:ind w:leftChars="0" w:left="0" w:right="0"/>
            </w:pPr>
            <w:r>
              <w:t>XDFM</w:t>
            </w:r>
          </w:p>
        </w:tc>
        <w:tc>
          <w:tcPr>
            <w:cnfStyle w:evenVBand="true" w:oddVBand="false" w:firstColumn="false"/>
            <w:tcW w:w="25.000000%" w:type="pct"/>
          </w:tcPr>
          <w:p>
            <w:pPr>
              <w:ind w:leftChars="0" w:left="0" w:right="0"/>
            </w:pPr>
            <w:r>
              <w:t>XDFM</w:t>
            </w:r>
          </w:p>
        </w:tc>
        <w:tc>
          <w:tcPr>
            <w:cnfStyle w:evenVBand="false" w:oddVBand="true" w:firstColumn="false"/>
            <w:tcW w:w="25.000000%" w:type="pct"/>
          </w:tcPr>
          <w:p>
            <w:pPr>
              <w:ind w:leftChars="0" w:left="0" w:right="0"/>
            </w:pPr>
            <w:r>
              <w:t>DUBAI FINANCIAL MARKET</w:t>
            </w:r>
          </w:p>
        </w:tc>
        <w:tc>
          <w:tcPr>
            <w:cnfStyle w:evenVBand="true" w:oddVBand="false" w:firstColumn="false"/>
            <w:tcW w:w="25.000000%" w:type="pct"/>
          </w:tcPr>
          <w:p>
            <w:pPr>
              <w:ind w:leftChars="0" w:left="0" w:right="0"/>
            </w:pPr>
            <w:r>
              <w:t>2071</w:t>
            </w:r>
          </w:p>
        </w:tc>
      </w:tr>
      <w:tr>
        <w:trPr>
          <w:cnfStyle w:evenHBand="false" w:oddHBand="true" w:firstRow="false"/>
        </w:trPr>
        <w:tc>
          <w:tcPr>
            <w:cnfStyle w:evenVBand="false" w:oddVBand="true" w:firstColumn="false"/>
            <w:tcW w:w="25.000000%" w:type="pct"/>
          </w:tcPr>
          <w:p>
            <w:pPr>
              <w:ind w:leftChars="0" w:left="0" w:right="0"/>
            </w:pPr>
            <w:r>
              <w:t>XDHA</w:t>
            </w:r>
          </w:p>
        </w:tc>
        <w:tc>
          <w:tcPr>
            <w:cnfStyle w:evenVBand="true" w:oddVBand="false" w:firstColumn="false"/>
            <w:tcW w:w="25.000000%" w:type="pct"/>
          </w:tcPr>
          <w:p>
            <w:pPr>
              <w:ind w:leftChars="0" w:left="0" w:right="0"/>
            </w:pPr>
            <w:r>
              <w:t>XDHA</w:t>
            </w:r>
          </w:p>
        </w:tc>
        <w:tc>
          <w:tcPr>
            <w:cnfStyle w:evenVBand="false" w:oddVBand="true" w:firstColumn="false"/>
            <w:tcW w:w="25.000000%" w:type="pct"/>
          </w:tcPr>
          <w:p>
            <w:pPr>
              <w:ind w:leftChars="0" w:left="0" w:right="0"/>
            </w:pPr>
            <w:r>
              <w:t>DHAKA STOCK EXCHANGE LTD</w:t>
            </w:r>
          </w:p>
        </w:tc>
        <w:tc>
          <w:tcPr>
            <w:cnfStyle w:evenVBand="true" w:oddVBand="false" w:firstColumn="false"/>
            <w:tcW w:w="25.000000%" w:type="pct"/>
          </w:tcPr>
          <w:p>
            <w:pPr>
              <w:ind w:leftChars="0" w:left="0" w:right="0"/>
            </w:pPr>
            <w:r>
              <w:t>2072</w:t>
            </w:r>
          </w:p>
        </w:tc>
      </w:tr>
      <w:tr>
        <w:trPr>
          <w:cnfStyle w:evenHBand="true" w:oddHBand="false" w:firstRow="false"/>
        </w:trPr>
        <w:tc>
          <w:tcPr>
            <w:cnfStyle w:evenVBand="false" w:oddVBand="true" w:firstColumn="false"/>
            <w:tcW w:w="25.000000%" w:type="pct"/>
          </w:tcPr>
          <w:p>
            <w:pPr>
              <w:ind w:leftChars="0" w:left="0" w:right="0"/>
            </w:pPr>
            <w:r>
              <w:t>XDLP</w:t>
            </w:r>
          </w:p>
        </w:tc>
        <w:tc>
          <w:tcPr>
            <w:cnfStyle w:evenVBand="true" w:oddVBand="false" w:firstColumn="false"/>
            <w:tcW w:w="25.000000%" w:type="pct"/>
          </w:tcPr>
          <w:p>
            <w:pPr>
              <w:ind w:leftChars="0" w:left="0" w:right="0"/>
            </w:pPr>
            <w:r>
              <w:t>XDLP</w:t>
            </w:r>
          </w:p>
        </w:tc>
        <w:tc>
          <w:tcPr>
            <w:cnfStyle w:evenVBand="false" w:oddVBand="true" w:firstColumn="false"/>
            <w:tcW w:w="25.000000%" w:type="pct"/>
          </w:tcPr>
          <w:p>
            <w:pPr>
              <w:ind w:leftChars="0" w:left="0" w:right="0"/>
            </w:pPr>
            <w:r>
              <w:t>SIX SWISS EXCHANGE - DEAL POOL - BOOK BUILDING AND ANNOUNCEMENT PLATFORM</w:t>
            </w:r>
          </w:p>
        </w:tc>
        <w:tc>
          <w:tcPr>
            <w:cnfStyle w:evenVBand="true" w:oddVBand="false" w:firstColumn="false"/>
            <w:tcW w:w="25.000000%" w:type="pct"/>
          </w:tcPr>
          <w:p>
            <w:pPr>
              <w:ind w:leftChars="0" w:left="0" w:right="0"/>
            </w:pPr>
            <w:r>
              <w:t>2073</w:t>
            </w:r>
          </w:p>
        </w:tc>
      </w:tr>
      <w:tr>
        <w:trPr>
          <w:cnfStyle w:evenHBand="false" w:oddHBand="true" w:firstRow="false"/>
        </w:trPr>
        <w:tc>
          <w:tcPr>
            <w:cnfStyle w:evenVBand="false" w:oddVBand="true" w:firstColumn="false"/>
            <w:tcW w:w="25.000000%" w:type="pct"/>
          </w:tcPr>
          <w:p>
            <w:pPr>
              <w:ind w:leftChars="0" w:left="0" w:right="0"/>
            </w:pPr>
            <w:r>
              <w:t>XDMI</w:t>
            </w:r>
          </w:p>
        </w:tc>
        <w:tc>
          <w:tcPr>
            <w:cnfStyle w:evenVBand="true" w:oddVBand="false" w:firstColumn="false"/>
            <w:tcW w:w="25.000000%" w:type="pct"/>
          </w:tcPr>
          <w:p>
            <w:pPr>
              <w:ind w:leftChars="0" w:left="0" w:right="0"/>
            </w:pPr>
            <w:r>
              <w:t>XDMI</w:t>
            </w:r>
          </w:p>
        </w:tc>
        <w:tc>
          <w:tcPr>
            <w:cnfStyle w:evenVBand="false" w:oddVBand="true" w:firstColumn="false"/>
            <w:tcW w:w="25.000000%" w:type="pct"/>
          </w:tcPr>
          <w:p>
            <w:pPr>
              <w:ind w:leftChars="0" w:left="0" w:right="0"/>
            </w:pPr>
            <w:r>
              <w:t>ITALIAN DERIVATIVES MARKET</w:t>
            </w:r>
          </w:p>
        </w:tc>
        <w:tc>
          <w:tcPr>
            <w:cnfStyle w:evenVBand="true" w:oddVBand="false" w:firstColumn="false"/>
            <w:tcW w:w="25.000000%" w:type="pct"/>
          </w:tcPr>
          <w:p>
            <w:pPr>
              <w:ind w:leftChars="0" w:left="0" w:right="0"/>
            </w:pPr>
            <w:r>
              <w:t>2074</w:t>
            </w:r>
          </w:p>
        </w:tc>
      </w:tr>
      <w:tr>
        <w:trPr>
          <w:cnfStyle w:evenHBand="true" w:oddHBand="false" w:firstRow="false"/>
        </w:trPr>
        <w:tc>
          <w:tcPr>
            <w:cnfStyle w:evenVBand="false" w:oddVBand="true" w:firstColumn="false"/>
            <w:tcW w:w="25.000000%" w:type="pct"/>
          </w:tcPr>
          <w:p>
            <w:pPr>
              <w:ind w:leftChars="0" w:left="0" w:right="0"/>
            </w:pPr>
            <w:r>
              <w:t>XDNB</w:t>
            </w:r>
          </w:p>
        </w:tc>
        <w:tc>
          <w:tcPr>
            <w:cnfStyle w:evenVBand="true" w:oddVBand="false" w:firstColumn="false"/>
            <w:tcW w:w="25.000000%" w:type="pct"/>
          </w:tcPr>
          <w:p>
            <w:pPr>
              <w:ind w:leftChars="0" w:left="0" w:right="0"/>
            </w:pPr>
            <w:r>
              <w:t>XDNB</w:t>
            </w:r>
          </w:p>
        </w:tc>
        <w:tc>
          <w:tcPr>
            <w:cnfStyle w:evenVBand="false" w:oddVBand="true" w:firstColumn="false"/>
            <w:tcW w:w="25.000000%" w:type="pct"/>
          </w:tcPr>
          <w:p>
            <w:pPr>
              <w:ind w:leftChars="0" w:left="0" w:right="0"/>
            </w:pPr>
            <w:r>
              <w:t>DNB BANK ASA - SYSTEMATIC INTERNALISER</w:t>
            </w:r>
          </w:p>
        </w:tc>
        <w:tc>
          <w:tcPr>
            <w:cnfStyle w:evenVBand="true" w:oddVBand="false" w:firstColumn="false"/>
            <w:tcW w:w="25.000000%" w:type="pct"/>
          </w:tcPr>
          <w:p>
            <w:pPr>
              <w:ind w:leftChars="0" w:left="0" w:right="0"/>
            </w:pPr>
            <w:r>
              <w:t>2075</w:t>
            </w:r>
          </w:p>
        </w:tc>
      </w:tr>
      <w:tr>
        <w:trPr>
          <w:cnfStyle w:evenHBand="false" w:oddHBand="true" w:firstRow="false"/>
        </w:trPr>
        <w:tc>
          <w:tcPr>
            <w:cnfStyle w:evenVBand="false" w:oddVBand="true" w:firstColumn="false"/>
            <w:tcW w:w="25.000000%" w:type="pct"/>
          </w:tcPr>
          <w:p>
            <w:pPr>
              <w:ind w:leftChars="0" w:left="0" w:right="0"/>
            </w:pPr>
            <w:r>
              <w:t>XDPA</w:t>
            </w:r>
          </w:p>
        </w:tc>
        <w:tc>
          <w:tcPr>
            <w:cnfStyle w:evenVBand="true" w:oddVBand="false" w:firstColumn="false"/>
            <w:tcW w:w="25.000000%" w:type="pct"/>
          </w:tcPr>
          <w:p>
            <w:pPr>
              <w:ind w:leftChars="0" w:left="0" w:right="0"/>
            </w:pPr>
            <w:r>
              <w:t>XDPA</w:t>
            </w:r>
          </w:p>
        </w:tc>
        <w:tc>
          <w:tcPr>
            <w:cnfStyle w:evenVBand="false" w:oddVBand="true" w:firstColumn="false"/>
            <w:tcW w:w="25.000000%" w:type="pct"/>
          </w:tcPr>
          <w:p>
            <w:pPr>
              <w:ind w:leftChars="0" w:left="0" w:right="0"/>
            </w:pPr>
            <w:r>
              <w:t>CADE - MERCADO DE DEUDA PUBLICA ANOTADA</w:t>
            </w:r>
          </w:p>
        </w:tc>
        <w:tc>
          <w:tcPr>
            <w:cnfStyle w:evenVBand="true" w:oddVBand="false" w:firstColumn="false"/>
            <w:tcW w:w="25.000000%" w:type="pct"/>
          </w:tcPr>
          <w:p>
            <w:pPr>
              <w:ind w:leftChars="0" w:left="0" w:right="0"/>
            </w:pPr>
            <w:r>
              <w:t>2076</w:t>
            </w:r>
          </w:p>
        </w:tc>
      </w:tr>
      <w:tr>
        <w:trPr>
          <w:cnfStyle w:evenHBand="true" w:oddHBand="false" w:firstRow="false"/>
        </w:trPr>
        <w:tc>
          <w:tcPr>
            <w:cnfStyle w:evenVBand="false" w:oddVBand="true" w:firstColumn="false"/>
            <w:tcW w:w="25.000000%" w:type="pct"/>
          </w:tcPr>
          <w:p>
            <w:pPr>
              <w:ind w:leftChars="0" w:left="0" w:right="0"/>
            </w:pPr>
            <w:r>
              <w:t>XDRF</w:t>
            </w:r>
          </w:p>
        </w:tc>
        <w:tc>
          <w:tcPr>
            <w:cnfStyle w:evenVBand="true" w:oddVBand="false" w:firstColumn="false"/>
            <w:tcW w:w="25.000000%" w:type="pct"/>
          </w:tcPr>
          <w:p>
            <w:pPr>
              <w:ind w:leftChars="0" w:left="0" w:right="0"/>
            </w:pPr>
            <w:r>
              <w:t>XDRF</w:t>
            </w:r>
          </w:p>
        </w:tc>
        <w:tc>
          <w:tcPr>
            <w:cnfStyle w:evenVBand="false" w:oddVBand="true" w:firstColumn="false"/>
            <w:tcW w:w="25.000000%" w:type="pct"/>
          </w:tcPr>
          <w:p>
            <w:pPr>
              <w:ind w:leftChars="0" w:left="0" w:right="0"/>
            </w:pPr>
            <w:r>
              <w:t>AIAF - MERCADO DE RENTA FIJA</w:t>
            </w:r>
          </w:p>
        </w:tc>
        <w:tc>
          <w:tcPr>
            <w:cnfStyle w:evenVBand="true" w:oddVBand="false" w:firstColumn="false"/>
            <w:tcW w:w="25.000000%" w:type="pct"/>
          </w:tcPr>
          <w:p>
            <w:pPr>
              <w:ind w:leftChars="0" w:left="0" w:right="0"/>
            </w:pPr>
            <w:r>
              <w:t>2077</w:t>
            </w:r>
          </w:p>
        </w:tc>
      </w:tr>
      <w:tr>
        <w:trPr>
          <w:cnfStyle w:evenHBand="false" w:oddHBand="true" w:firstRow="false"/>
        </w:trPr>
        <w:tc>
          <w:tcPr>
            <w:cnfStyle w:evenVBand="false" w:oddVBand="true" w:firstColumn="false"/>
            <w:tcW w:w="25.000000%" w:type="pct"/>
          </w:tcPr>
          <w:p>
            <w:pPr>
              <w:ind w:leftChars="0" w:left="0" w:right="0"/>
            </w:pPr>
            <w:r>
              <w:t>XDRK</w:t>
            </w:r>
          </w:p>
        </w:tc>
        <w:tc>
          <w:tcPr>
            <w:cnfStyle w:evenVBand="true" w:oddVBand="false" w:firstColumn="false"/>
            <w:tcW w:w="25.000000%" w:type="pct"/>
          </w:tcPr>
          <w:p>
            <w:pPr>
              <w:ind w:leftChars="0" w:left="0" w:right="0"/>
            </w:pPr>
            <w:r>
              <w:t>XDRK</w:t>
            </w:r>
          </w:p>
        </w:tc>
        <w:tc>
          <w:tcPr>
            <w:cnfStyle w:evenVBand="false" w:oddVBand="true" w:firstColumn="false"/>
            <w:tcW w:w="25.000000%" w:type="pct"/>
          </w:tcPr>
          <w:p>
            <w:pPr>
              <w:ind w:leftChars="0" w:left="0" w:right="0"/>
            </w:pPr>
            <w:r>
              <w:t>TORONTO STOCK EXCHANGE - DRK</w:t>
            </w:r>
          </w:p>
        </w:tc>
        <w:tc>
          <w:tcPr>
            <w:cnfStyle w:evenVBand="true" w:oddVBand="false" w:firstColumn="false"/>
            <w:tcW w:w="25.000000%" w:type="pct"/>
          </w:tcPr>
          <w:p>
            <w:pPr>
              <w:ind w:leftChars="0" w:left="0" w:right="0"/>
            </w:pPr>
            <w:r>
              <w:t>2078</w:t>
            </w:r>
          </w:p>
        </w:tc>
      </w:tr>
      <w:tr>
        <w:trPr>
          <w:cnfStyle w:evenHBand="true" w:oddHBand="false" w:firstRow="false"/>
        </w:trPr>
        <w:tc>
          <w:tcPr>
            <w:cnfStyle w:evenVBand="false" w:oddVBand="true" w:firstColumn="false"/>
            <w:tcW w:w="25.000000%" w:type="pct"/>
          </w:tcPr>
          <w:p>
            <w:pPr>
              <w:ind w:leftChars="0" w:left="0" w:right="0"/>
            </w:pPr>
            <w:r>
              <w:t>XDSE</w:t>
            </w:r>
          </w:p>
        </w:tc>
        <w:tc>
          <w:tcPr>
            <w:cnfStyle w:evenVBand="true" w:oddVBand="false" w:firstColumn="false"/>
            <w:tcW w:w="25.000000%" w:type="pct"/>
          </w:tcPr>
          <w:p>
            <w:pPr>
              <w:ind w:leftChars="0" w:left="0" w:right="0"/>
            </w:pPr>
            <w:r>
              <w:t>XDSE</w:t>
            </w:r>
          </w:p>
        </w:tc>
        <w:tc>
          <w:tcPr>
            <w:cnfStyle w:evenVBand="false" w:oddVBand="true" w:firstColumn="false"/>
            <w:tcW w:w="25.000000%" w:type="pct"/>
          </w:tcPr>
          <w:p>
            <w:pPr>
              <w:ind w:leftChars="0" w:left="0" w:right="0"/>
            </w:pPr>
            <w:r>
              <w:t>DAMASCUS SECURITIES EXCHANGE</w:t>
            </w:r>
          </w:p>
        </w:tc>
        <w:tc>
          <w:tcPr>
            <w:cnfStyle w:evenVBand="true" w:oddVBand="false" w:firstColumn="false"/>
            <w:tcW w:w="25.000000%" w:type="pct"/>
          </w:tcPr>
          <w:p>
            <w:pPr>
              <w:ind w:leftChars="0" w:left="0" w:right="0"/>
            </w:pPr>
            <w:r>
              <w:t>2079</w:t>
            </w:r>
          </w:p>
        </w:tc>
      </w:tr>
      <w:tr>
        <w:trPr>
          <w:cnfStyle w:evenHBand="false" w:oddHBand="true" w:firstRow="false"/>
        </w:trPr>
        <w:tc>
          <w:tcPr>
            <w:cnfStyle w:evenVBand="false" w:oddVBand="true" w:firstColumn="false"/>
            <w:tcW w:w="25.000000%" w:type="pct"/>
          </w:tcPr>
          <w:p>
            <w:pPr>
              <w:ind w:leftChars="0" w:left="0" w:right="0"/>
            </w:pPr>
            <w:r>
              <w:t>XDSM</w:t>
            </w:r>
          </w:p>
        </w:tc>
        <w:tc>
          <w:tcPr>
            <w:cnfStyle w:evenVBand="true" w:oddVBand="false" w:firstColumn="false"/>
            <w:tcW w:w="25.000000%" w:type="pct"/>
          </w:tcPr>
          <w:p>
            <w:pPr>
              <w:ind w:leftChars="0" w:left="0" w:right="0"/>
            </w:pPr>
            <w:r>
              <w:t>XDSM</w:t>
            </w:r>
          </w:p>
        </w:tc>
        <w:tc>
          <w:tcPr>
            <w:cnfStyle w:evenVBand="false" w:oddVBand="true" w:firstColumn="false"/>
            <w:tcW w:w="25.000000%" w:type="pct"/>
          </w:tcPr>
          <w:p>
            <w:pPr>
              <w:ind w:leftChars="0" w:left="0" w:right="0"/>
            </w:pPr>
            <w:r>
              <w:t>BORSA ISTANBUL - DEBT SECURITIES MARKET</w:t>
            </w:r>
          </w:p>
        </w:tc>
        <w:tc>
          <w:tcPr>
            <w:cnfStyle w:evenVBand="true" w:oddVBand="false" w:firstColumn="false"/>
            <w:tcW w:w="25.000000%" w:type="pct"/>
          </w:tcPr>
          <w:p>
            <w:pPr>
              <w:ind w:leftChars="0" w:left="0" w:right="0"/>
            </w:pPr>
            <w:r>
              <w:t>2080</w:t>
            </w:r>
          </w:p>
        </w:tc>
      </w:tr>
      <w:tr>
        <w:trPr>
          <w:cnfStyle w:evenHBand="true" w:oddHBand="false" w:firstRow="false"/>
        </w:trPr>
        <w:tc>
          <w:tcPr>
            <w:cnfStyle w:evenVBand="false" w:oddVBand="true" w:firstColumn="false"/>
            <w:tcW w:w="25.000000%" w:type="pct"/>
          </w:tcPr>
          <w:p>
            <w:pPr>
              <w:ind w:leftChars="0" w:left="0" w:right="0"/>
            </w:pPr>
            <w:r>
              <w:t>XDSX</w:t>
            </w:r>
          </w:p>
        </w:tc>
        <w:tc>
          <w:tcPr>
            <w:cnfStyle w:evenVBand="true" w:oddVBand="false" w:firstColumn="false"/>
            <w:tcW w:w="25.000000%" w:type="pct"/>
          </w:tcPr>
          <w:p>
            <w:pPr>
              <w:ind w:leftChars="0" w:left="0" w:right="0"/>
            </w:pPr>
            <w:r>
              <w:t>XDSX</w:t>
            </w:r>
          </w:p>
        </w:tc>
        <w:tc>
          <w:tcPr>
            <w:cnfStyle w:evenVBand="false" w:oddVBand="true" w:firstColumn="false"/>
            <w:tcW w:w="25.000000%" w:type="pct"/>
          </w:tcPr>
          <w:p>
            <w:pPr>
              <w:ind w:leftChars="0" w:left="0" w:right="0"/>
            </w:pPr>
            <w:r>
              <w:t>DOUALA STOCK EXCHANGE</w:t>
            </w:r>
          </w:p>
        </w:tc>
        <w:tc>
          <w:tcPr>
            <w:cnfStyle w:evenVBand="true" w:oddVBand="false" w:firstColumn="false"/>
            <w:tcW w:w="25.000000%" w:type="pct"/>
          </w:tcPr>
          <w:p>
            <w:pPr>
              <w:ind w:leftChars="0" w:left="0" w:right="0"/>
            </w:pPr>
            <w:r>
              <w:t>2081</w:t>
            </w:r>
          </w:p>
        </w:tc>
      </w:tr>
      <w:tr>
        <w:trPr>
          <w:cnfStyle w:evenHBand="false" w:oddHBand="true" w:firstRow="false"/>
        </w:trPr>
        <w:tc>
          <w:tcPr>
            <w:cnfStyle w:evenVBand="false" w:oddVBand="true" w:firstColumn="false"/>
            <w:tcW w:w="25.000000%" w:type="pct"/>
          </w:tcPr>
          <w:p>
            <w:pPr>
              <w:ind w:leftChars="0" w:left="0" w:right="0"/>
            </w:pPr>
            <w:r>
              <w:t>XDTB</w:t>
            </w:r>
          </w:p>
        </w:tc>
        <w:tc>
          <w:tcPr>
            <w:cnfStyle w:evenVBand="true" w:oddVBand="false" w:firstColumn="false"/>
            <w:tcW w:w="25.000000%" w:type="pct"/>
          </w:tcPr>
          <w:p>
            <w:pPr>
              <w:ind w:leftChars="0" w:left="0" w:right="0"/>
            </w:pPr>
            <w:r>
              <w:t>XDTB</w:t>
            </w:r>
          </w:p>
        </w:tc>
        <w:tc>
          <w:tcPr>
            <w:cnfStyle w:evenVBand="false" w:oddVBand="true" w:firstColumn="false"/>
            <w:tcW w:w="25.000000%" w:type="pct"/>
          </w:tcPr>
          <w:p>
            <w:pPr>
              <w:ind w:leftChars="0" w:left="0" w:right="0"/>
            </w:pPr>
            <w:r>
              <w:t>DTB DEUTSCHE TERMINBOERSE GMBH</w:t>
            </w:r>
          </w:p>
        </w:tc>
        <w:tc>
          <w:tcPr>
            <w:cnfStyle w:evenVBand="true" w:oddVBand="false" w:firstColumn="false"/>
            <w:tcW w:w="25.000000%" w:type="pct"/>
          </w:tcPr>
          <w:p>
            <w:pPr>
              <w:ind w:leftChars="0" w:left="0" w:right="0"/>
            </w:pPr>
            <w:r>
              <w:t>2082</w:t>
            </w:r>
          </w:p>
        </w:tc>
      </w:tr>
      <w:tr>
        <w:trPr>
          <w:cnfStyle w:evenHBand="true" w:oddHBand="false" w:firstRow="false"/>
        </w:trPr>
        <w:tc>
          <w:tcPr>
            <w:cnfStyle w:evenVBand="false" w:oddVBand="true" w:firstColumn="false"/>
            <w:tcW w:w="25.000000%" w:type="pct"/>
          </w:tcPr>
          <w:p>
            <w:pPr>
              <w:ind w:leftChars="0" w:left="0" w:right="0"/>
            </w:pPr>
            <w:r>
              <w:t>XDUB</w:t>
            </w:r>
          </w:p>
        </w:tc>
        <w:tc>
          <w:tcPr>
            <w:cnfStyle w:evenVBand="true" w:oddVBand="false" w:firstColumn="false"/>
            <w:tcW w:w="25.000000%" w:type="pct"/>
          </w:tcPr>
          <w:p>
            <w:pPr>
              <w:ind w:leftChars="0" w:left="0" w:right="0"/>
            </w:pPr>
            <w:r>
              <w:t>XDUB</w:t>
            </w:r>
          </w:p>
        </w:tc>
        <w:tc>
          <w:tcPr>
            <w:cnfStyle w:evenVBand="false" w:oddVBand="true" w:firstColumn="false"/>
            <w:tcW w:w="25.000000%" w:type="pct"/>
          </w:tcPr>
          <w:p>
            <w:pPr>
              <w:ind w:leftChars="0" w:left="0" w:right="0"/>
            </w:pPr>
            <w:r>
              <w:t>IRISH STOCK EXCHANGE - ALL MARKET</w:t>
            </w:r>
          </w:p>
        </w:tc>
        <w:tc>
          <w:tcPr>
            <w:cnfStyle w:evenVBand="true" w:oddVBand="false" w:firstColumn="false"/>
            <w:tcW w:w="25.000000%" w:type="pct"/>
          </w:tcPr>
          <w:p>
            <w:pPr>
              <w:ind w:leftChars="0" w:left="0" w:right="0"/>
            </w:pPr>
            <w:r>
              <w:t>2083</w:t>
            </w:r>
          </w:p>
        </w:tc>
      </w:tr>
      <w:tr>
        <w:trPr>
          <w:cnfStyle w:evenHBand="false" w:oddHBand="true" w:firstRow="false"/>
        </w:trPr>
        <w:tc>
          <w:tcPr>
            <w:cnfStyle w:evenVBand="false" w:oddVBand="true" w:firstColumn="false"/>
            <w:tcW w:w="25.000000%" w:type="pct"/>
          </w:tcPr>
          <w:p>
            <w:pPr>
              <w:ind w:leftChars="0" w:left="0" w:right="0"/>
            </w:pPr>
            <w:r>
              <w:t>XDUS</w:t>
            </w:r>
          </w:p>
        </w:tc>
        <w:tc>
          <w:tcPr>
            <w:cnfStyle w:evenVBand="true" w:oddVBand="false" w:firstColumn="false"/>
            <w:tcW w:w="25.000000%" w:type="pct"/>
          </w:tcPr>
          <w:p>
            <w:pPr>
              <w:ind w:leftChars="0" w:left="0" w:right="0"/>
            </w:pPr>
            <w:r>
              <w:t>XDUS</w:t>
            </w:r>
          </w:p>
        </w:tc>
        <w:tc>
          <w:tcPr>
            <w:cnfStyle w:evenVBand="false" w:oddVBand="true" w:firstColumn="false"/>
            <w:tcW w:w="25.000000%" w:type="pct"/>
          </w:tcPr>
          <w:p>
            <w:pPr>
              <w:ind w:leftChars="0" w:left="0" w:right="0"/>
            </w:pPr>
            <w:r>
              <w:t>BOERSE DUESSELDORF</w:t>
            </w:r>
          </w:p>
        </w:tc>
        <w:tc>
          <w:tcPr>
            <w:cnfStyle w:evenVBand="true" w:oddVBand="false" w:firstColumn="false"/>
            <w:tcW w:w="25.000000%" w:type="pct"/>
          </w:tcPr>
          <w:p>
            <w:pPr>
              <w:ind w:leftChars="0" w:left="0" w:right="0"/>
            </w:pPr>
            <w:r>
              <w:t>2084</w:t>
            </w:r>
          </w:p>
        </w:tc>
      </w:tr>
      <w:tr>
        <w:trPr>
          <w:cnfStyle w:evenHBand="true" w:oddHBand="false" w:firstRow="false"/>
        </w:trPr>
        <w:tc>
          <w:tcPr>
            <w:cnfStyle w:evenVBand="false" w:oddVBand="true" w:firstColumn="false"/>
            <w:tcW w:w="25.000000%" w:type="pct"/>
          </w:tcPr>
          <w:p>
            <w:pPr>
              <w:ind w:leftChars="0" w:left="0" w:right="0"/>
            </w:pPr>
            <w:r>
              <w:t>XDWZ</w:t>
            </w:r>
          </w:p>
        </w:tc>
        <w:tc>
          <w:tcPr>
            <w:cnfStyle w:evenVBand="true" w:oddVBand="false" w:firstColumn="false"/>
            <w:tcW w:w="25.000000%" w:type="pct"/>
          </w:tcPr>
          <w:p>
            <w:pPr>
              <w:ind w:leftChars="0" w:left="0" w:right="0"/>
            </w:pPr>
            <w:r>
              <w:t>XDWZ</w:t>
            </w:r>
          </w:p>
        </w:tc>
        <w:tc>
          <w:tcPr>
            <w:cnfStyle w:evenVBand="false" w:oddVBand="true" w:firstColumn="false"/>
            <w:tcW w:w="25.000000%" w:type="pct"/>
          </w:tcPr>
          <w:p>
            <w:pPr>
              <w:ind w:leftChars="0" w:left="0" w:right="0"/>
            </w:pPr>
            <w:r>
              <w:t>DEUTSCHE BOERSE AG, FRANKFURT AM MAIN</w:t>
            </w:r>
          </w:p>
        </w:tc>
        <w:tc>
          <w:tcPr>
            <w:cnfStyle w:evenVBand="true" w:oddVBand="false" w:firstColumn="false"/>
            <w:tcW w:w="25.000000%" w:type="pct"/>
          </w:tcPr>
          <w:p>
            <w:pPr>
              <w:ind w:leftChars="0" w:left="0" w:right="0"/>
            </w:pPr>
            <w:r>
              <w:t>2085</w:t>
            </w:r>
          </w:p>
        </w:tc>
      </w:tr>
      <w:tr>
        <w:trPr>
          <w:cnfStyle w:evenHBand="false" w:oddHBand="true" w:firstRow="false"/>
        </w:trPr>
        <w:tc>
          <w:tcPr>
            <w:cnfStyle w:evenVBand="false" w:oddVBand="true" w:firstColumn="false"/>
            <w:tcW w:w="25.000000%" w:type="pct"/>
          </w:tcPr>
          <w:p>
            <w:pPr>
              <w:ind w:leftChars="0" w:left="0" w:right="0"/>
            </w:pPr>
            <w:r>
              <w:t>XEAS</w:t>
            </w:r>
          </w:p>
        </w:tc>
        <w:tc>
          <w:tcPr>
            <w:cnfStyle w:evenVBand="true" w:oddVBand="false" w:firstColumn="false"/>
            <w:tcW w:w="25.000000%" w:type="pct"/>
          </w:tcPr>
          <w:p>
            <w:pPr>
              <w:ind w:leftChars="0" w:left="0" w:right="0"/>
            </w:pPr>
            <w:r>
              <w:t>XEAS</w:t>
            </w:r>
          </w:p>
        </w:tc>
        <w:tc>
          <w:tcPr>
            <w:cnfStyle w:evenVBand="false" w:oddVBand="true" w:firstColumn="false"/>
            <w:tcW w:w="25.000000%" w:type="pct"/>
          </w:tcPr>
          <w:p>
            <w:pPr>
              <w:ind w:leftChars="0" w:left="0" w:right="0"/>
            </w:pPr>
            <w:r>
              <w:t>EQUIDUCT</w:t>
            </w:r>
          </w:p>
        </w:tc>
        <w:tc>
          <w:tcPr>
            <w:cnfStyle w:evenVBand="true" w:oddVBand="false" w:firstColumn="false"/>
            <w:tcW w:w="25.000000%" w:type="pct"/>
          </w:tcPr>
          <w:p>
            <w:pPr>
              <w:ind w:leftChars="0" w:left="0" w:right="0"/>
            </w:pPr>
            <w:r>
              <w:t>2086</w:t>
            </w:r>
          </w:p>
        </w:tc>
      </w:tr>
      <w:tr>
        <w:trPr>
          <w:cnfStyle w:evenHBand="true" w:oddHBand="false" w:firstRow="false"/>
        </w:trPr>
        <w:tc>
          <w:tcPr>
            <w:cnfStyle w:evenVBand="false" w:oddVBand="true" w:firstColumn="false"/>
            <w:tcW w:w="25.000000%" w:type="pct"/>
          </w:tcPr>
          <w:p>
            <w:pPr>
              <w:ind w:leftChars="0" w:left="0" w:right="0"/>
            </w:pPr>
            <w:r>
              <w:t>XEBI</w:t>
            </w:r>
          </w:p>
        </w:tc>
        <w:tc>
          <w:tcPr>
            <w:cnfStyle w:evenVBand="true" w:oddVBand="false" w:firstColumn="false"/>
            <w:tcW w:w="25.000000%" w:type="pct"/>
          </w:tcPr>
          <w:p>
            <w:pPr>
              <w:ind w:leftChars="0" w:left="0" w:right="0"/>
            </w:pPr>
            <w:r>
              <w:t>XEBI</w:t>
            </w:r>
          </w:p>
        </w:tc>
        <w:tc>
          <w:tcPr>
            <w:cnfStyle w:evenVBand="false" w:oddVBand="true" w:firstColumn="false"/>
            <w:tcW w:w="25.000000%" w:type="pct"/>
          </w:tcPr>
          <w:p>
            <w:pPr>
              <w:ind w:leftChars="0" w:left="0" w:right="0"/>
            </w:pPr>
            <w:r>
              <w:t>ENERGY BROKING IRELAND GAS TRADING PLATFORM</w:t>
            </w:r>
          </w:p>
        </w:tc>
        <w:tc>
          <w:tcPr>
            <w:cnfStyle w:evenVBand="true" w:oddVBand="false" w:firstColumn="false"/>
            <w:tcW w:w="25.000000%" w:type="pct"/>
          </w:tcPr>
          <w:p>
            <w:pPr>
              <w:ind w:leftChars="0" w:left="0" w:right="0"/>
            </w:pPr>
            <w:r>
              <w:t>2087</w:t>
            </w:r>
          </w:p>
        </w:tc>
      </w:tr>
      <w:tr>
        <w:trPr>
          <w:cnfStyle w:evenHBand="false" w:oddHBand="true" w:firstRow="false"/>
        </w:trPr>
        <w:tc>
          <w:tcPr>
            <w:cnfStyle w:evenVBand="false" w:oddVBand="true" w:firstColumn="false"/>
            <w:tcW w:w="25.000000%" w:type="pct"/>
          </w:tcPr>
          <w:p>
            <w:pPr>
              <w:ind w:leftChars="0" w:left="0" w:right="0"/>
            </w:pPr>
            <w:r>
              <w:t>XEBS</w:t>
            </w:r>
          </w:p>
        </w:tc>
        <w:tc>
          <w:tcPr>
            <w:cnfStyle w:evenVBand="true" w:oddVBand="false" w:firstColumn="false"/>
            <w:tcW w:w="25.000000%" w:type="pct"/>
          </w:tcPr>
          <w:p>
            <w:pPr>
              <w:ind w:leftChars="0" w:left="0" w:right="0"/>
            </w:pPr>
            <w:r>
              <w:t>XEBS</w:t>
            </w:r>
          </w:p>
        </w:tc>
        <w:tc>
          <w:tcPr>
            <w:cnfStyle w:evenVBand="false" w:oddVBand="true" w:firstColumn="false"/>
            <w:tcW w:w="25.000000%" w:type="pct"/>
          </w:tcPr>
          <w:p>
            <w:pPr>
              <w:ind w:leftChars="0" w:left="0" w:right="0"/>
            </w:pPr>
            <w:r>
              <w:t>EBS UK MULTILATERAL TRADING FACILITY</w:t>
            </w:r>
          </w:p>
        </w:tc>
        <w:tc>
          <w:tcPr>
            <w:cnfStyle w:evenVBand="true" w:oddVBand="false" w:firstColumn="false"/>
            <w:tcW w:w="25.000000%" w:type="pct"/>
          </w:tcPr>
          <w:p>
            <w:pPr>
              <w:ind w:leftChars="0" w:left="0" w:right="0"/>
            </w:pPr>
            <w:r>
              <w:t>2088</w:t>
            </w:r>
          </w:p>
        </w:tc>
      </w:tr>
      <w:tr>
        <w:trPr>
          <w:cnfStyle w:evenHBand="true" w:oddHBand="false" w:firstRow="false"/>
        </w:trPr>
        <w:tc>
          <w:tcPr>
            <w:cnfStyle w:evenVBand="false" w:oddVBand="true" w:firstColumn="false"/>
            <w:tcW w:w="25.000000%" w:type="pct"/>
          </w:tcPr>
          <w:p>
            <w:pPr>
              <w:ind w:leftChars="0" w:left="0" w:right="0"/>
            </w:pPr>
            <w:r>
              <w:t>XECB</w:t>
            </w:r>
          </w:p>
        </w:tc>
        <w:tc>
          <w:tcPr>
            <w:cnfStyle w:evenVBand="true" w:oddVBand="false" w:firstColumn="false"/>
            <w:tcW w:w="25.000000%" w:type="pct"/>
          </w:tcPr>
          <w:p>
            <w:pPr>
              <w:ind w:leftChars="0" w:left="0" w:right="0"/>
            </w:pPr>
            <w:r>
              <w:t>XECB</w:t>
            </w:r>
          </w:p>
        </w:tc>
        <w:tc>
          <w:tcPr>
            <w:cnfStyle w:evenVBand="false" w:oddVBand="true" w:firstColumn="false"/>
            <w:tcW w:w="25.000000%" w:type="pct"/>
          </w:tcPr>
          <w:p>
            <w:pPr>
              <w:ind w:leftChars="0" w:left="0" w:right="0"/>
            </w:pPr>
            <w:r>
              <w:t>ECB EXCHANGE RATES</w:t>
            </w:r>
          </w:p>
        </w:tc>
        <w:tc>
          <w:tcPr>
            <w:cnfStyle w:evenVBand="true" w:oddVBand="false" w:firstColumn="false"/>
            <w:tcW w:w="25.000000%" w:type="pct"/>
          </w:tcPr>
          <w:p>
            <w:pPr>
              <w:ind w:leftChars="0" w:left="0" w:right="0"/>
            </w:pPr>
            <w:r>
              <w:t>2089</w:t>
            </w:r>
          </w:p>
        </w:tc>
      </w:tr>
      <w:tr>
        <w:trPr>
          <w:cnfStyle w:evenHBand="false" w:oddHBand="true" w:firstRow="false"/>
        </w:trPr>
        <w:tc>
          <w:tcPr>
            <w:cnfStyle w:evenVBand="false" w:oddVBand="true" w:firstColumn="false"/>
            <w:tcW w:w="25.000000%" w:type="pct"/>
          </w:tcPr>
          <w:p>
            <w:pPr>
              <w:ind w:leftChars="0" w:left="0" w:right="0"/>
            </w:pPr>
            <w:r>
              <w:t>XECC</w:t>
            </w:r>
          </w:p>
        </w:tc>
        <w:tc>
          <w:tcPr>
            <w:cnfStyle w:evenVBand="true" w:oddVBand="false" w:firstColumn="false"/>
            <w:tcW w:w="25.000000%" w:type="pct"/>
          </w:tcPr>
          <w:p>
            <w:pPr>
              <w:ind w:leftChars="0" w:left="0" w:right="0"/>
            </w:pPr>
            <w:r>
              <w:t>XECC</w:t>
            </w:r>
          </w:p>
        </w:tc>
        <w:tc>
          <w:tcPr>
            <w:cnfStyle w:evenVBand="false" w:oddVBand="true" w:firstColumn="false"/>
            <w:tcW w:w="25.000000%" w:type="pct"/>
          </w:tcPr>
          <w:p>
            <w:pPr>
              <w:ind w:leftChars="0" w:left="0" w:right="0"/>
            </w:pPr>
            <w:r>
              <w:t>EUROPEAN COMMODITY CLEARING AG</w:t>
            </w:r>
          </w:p>
        </w:tc>
        <w:tc>
          <w:tcPr>
            <w:cnfStyle w:evenVBand="true" w:oddVBand="false" w:firstColumn="false"/>
            <w:tcW w:w="25.000000%" w:type="pct"/>
          </w:tcPr>
          <w:p>
            <w:pPr>
              <w:ind w:leftChars="0" w:left="0" w:right="0"/>
            </w:pPr>
            <w:r>
              <w:t>2090</w:t>
            </w:r>
          </w:p>
        </w:tc>
      </w:tr>
      <w:tr>
        <w:trPr>
          <w:cnfStyle w:evenHBand="true" w:oddHBand="false" w:firstRow="false"/>
        </w:trPr>
        <w:tc>
          <w:tcPr>
            <w:cnfStyle w:evenVBand="false" w:oddVBand="true" w:firstColumn="false"/>
            <w:tcW w:w="25.000000%" w:type="pct"/>
          </w:tcPr>
          <w:p>
            <w:pPr>
              <w:ind w:leftChars="0" w:left="0" w:right="0"/>
            </w:pPr>
            <w:r>
              <w:t>XECM</w:t>
            </w:r>
          </w:p>
        </w:tc>
        <w:tc>
          <w:tcPr>
            <w:cnfStyle w:evenVBand="true" w:oddVBand="false" w:firstColumn="false"/>
            <w:tcW w:w="25.000000%" w:type="pct"/>
          </w:tcPr>
          <w:p>
            <w:pPr>
              <w:ind w:leftChars="0" w:left="0" w:right="0"/>
            </w:pPr>
            <w:r>
              <w:t>XECM</w:t>
            </w:r>
          </w:p>
        </w:tc>
        <w:tc>
          <w:tcPr>
            <w:cnfStyle w:evenVBand="false" w:oddVBand="true" w:firstColumn="false"/>
            <w:tcW w:w="25.000000%" w:type="pct"/>
          </w:tcPr>
          <w:p>
            <w:pPr>
              <w:ind w:leftChars="0" w:left="0" w:right="0"/>
            </w:pPr>
            <w:r>
              <w:t>MTF - CYPRUS EXCHANGE</w:t>
            </w:r>
          </w:p>
        </w:tc>
        <w:tc>
          <w:tcPr>
            <w:cnfStyle w:evenVBand="true" w:oddVBand="false" w:firstColumn="false"/>
            <w:tcW w:w="25.000000%" w:type="pct"/>
          </w:tcPr>
          <w:p>
            <w:pPr>
              <w:ind w:leftChars="0" w:left="0" w:right="0"/>
            </w:pPr>
            <w:r>
              <w:t>2091</w:t>
            </w:r>
          </w:p>
        </w:tc>
      </w:tr>
      <w:tr>
        <w:trPr>
          <w:cnfStyle w:evenHBand="false" w:oddHBand="true" w:firstRow="false"/>
        </w:trPr>
        <w:tc>
          <w:tcPr>
            <w:cnfStyle w:evenVBand="false" w:oddVBand="true" w:firstColumn="false"/>
            <w:tcW w:w="25.000000%" w:type="pct"/>
          </w:tcPr>
          <w:p>
            <w:pPr>
              <w:ind w:leftChars="0" w:left="0" w:right="0"/>
            </w:pPr>
            <w:r>
              <w:t>XECS</w:t>
            </w:r>
          </w:p>
        </w:tc>
        <w:tc>
          <w:tcPr>
            <w:cnfStyle w:evenVBand="true" w:oddVBand="false" w:firstColumn="false"/>
            <w:tcW w:w="25.000000%" w:type="pct"/>
          </w:tcPr>
          <w:p>
            <w:pPr>
              <w:ind w:leftChars="0" w:left="0" w:right="0"/>
            </w:pPr>
            <w:r>
              <w:t>XECS</w:t>
            </w:r>
          </w:p>
        </w:tc>
        <w:tc>
          <w:tcPr>
            <w:cnfStyle w:evenVBand="false" w:oddVBand="true" w:firstColumn="false"/>
            <w:tcW w:w="25.000000%" w:type="pct"/>
          </w:tcPr>
          <w:p>
            <w:pPr>
              <w:ind w:leftChars="0" w:left="0" w:right="0"/>
            </w:pPr>
            <w:r>
              <w:t>EASTERN CARIBBEAN SECURITIES EXCHANGE</w:t>
            </w:r>
          </w:p>
        </w:tc>
        <w:tc>
          <w:tcPr>
            <w:cnfStyle w:evenVBand="true" w:oddVBand="false" w:firstColumn="false"/>
            <w:tcW w:w="25.000000%" w:type="pct"/>
          </w:tcPr>
          <w:p>
            <w:pPr>
              <w:ind w:leftChars="0" w:left="0" w:right="0"/>
            </w:pPr>
            <w:r>
              <w:t>2092</w:t>
            </w:r>
          </w:p>
        </w:tc>
      </w:tr>
      <w:tr>
        <w:trPr>
          <w:cnfStyle w:evenHBand="true" w:oddHBand="false" w:firstRow="false"/>
        </w:trPr>
        <w:tc>
          <w:tcPr>
            <w:cnfStyle w:evenVBand="false" w:oddVBand="true" w:firstColumn="false"/>
            <w:tcW w:w="25.000000%" w:type="pct"/>
          </w:tcPr>
          <w:p>
            <w:pPr>
              <w:ind w:leftChars="0" w:left="0" w:right="0"/>
            </w:pPr>
            <w:r>
              <w:t>XEDA</w:t>
            </w:r>
          </w:p>
        </w:tc>
        <w:tc>
          <w:tcPr>
            <w:cnfStyle w:evenVBand="true" w:oddVBand="false" w:firstColumn="false"/>
            <w:tcW w:w="25.000000%" w:type="pct"/>
          </w:tcPr>
          <w:p>
            <w:pPr>
              <w:ind w:leftChars="0" w:left="0" w:right="0"/>
            </w:pPr>
            <w:r>
              <w:t>XEDA</w:t>
            </w:r>
          </w:p>
        </w:tc>
        <w:tc>
          <w:tcPr>
            <w:cnfStyle w:evenVBand="false" w:oddVBand="true" w:firstColumn="false"/>
            <w:tcW w:w="25.000000%" w:type="pct"/>
          </w:tcPr>
          <w:p>
            <w:pPr>
              <w:ind w:leftChars="0" w:left="0" w:right="0"/>
            </w:pPr>
            <w:r>
              <w:t>ELECTRICITY DAY-AHEAD MARKET</w:t>
            </w:r>
          </w:p>
        </w:tc>
        <w:tc>
          <w:tcPr>
            <w:cnfStyle w:evenVBand="true" w:oddVBand="false" w:firstColumn="false"/>
            <w:tcW w:w="25.000000%" w:type="pct"/>
          </w:tcPr>
          <w:p>
            <w:pPr>
              <w:ind w:leftChars="0" w:left="0" w:right="0"/>
            </w:pPr>
            <w:r>
              <w:t>2093</w:t>
            </w:r>
          </w:p>
        </w:tc>
      </w:tr>
      <w:tr>
        <w:trPr>
          <w:cnfStyle w:evenHBand="false" w:oddHBand="true" w:firstRow="false"/>
        </w:trPr>
        <w:tc>
          <w:tcPr>
            <w:cnfStyle w:evenVBand="false" w:oddVBand="true" w:firstColumn="false"/>
            <w:tcW w:w="25.000000%" w:type="pct"/>
          </w:tcPr>
          <w:p>
            <w:pPr>
              <w:ind w:leftChars="0" w:left="0" w:right="0"/>
            </w:pPr>
            <w:r>
              <w:t>XEDX</w:t>
            </w:r>
          </w:p>
        </w:tc>
        <w:tc>
          <w:tcPr>
            <w:cnfStyle w:evenVBand="true" w:oddVBand="false" w:firstColumn="false"/>
            <w:tcW w:w="25.000000%" w:type="pct"/>
          </w:tcPr>
          <w:p>
            <w:pPr>
              <w:ind w:leftChars="0" w:left="0" w:right="0"/>
            </w:pPr>
            <w:r>
              <w:t>XEDX</w:t>
            </w:r>
          </w:p>
        </w:tc>
        <w:tc>
          <w:tcPr>
            <w:cnfStyle w:evenVBand="false" w:oddVBand="true" w:firstColumn="false"/>
            <w:tcW w:w="25.000000%" w:type="pct"/>
          </w:tcPr>
          <w:p>
            <w:pPr>
              <w:ind w:leftChars="0" w:left="0" w:right="0"/>
            </w:pPr>
            <w:r>
              <w:t>EDX LONDON LIMITED</w:t>
            </w:r>
          </w:p>
        </w:tc>
        <w:tc>
          <w:tcPr>
            <w:cnfStyle w:evenVBand="true" w:oddVBand="false" w:firstColumn="false"/>
            <w:tcW w:w="25.000000%" w:type="pct"/>
          </w:tcPr>
          <w:p>
            <w:pPr>
              <w:ind w:leftChars="0" w:left="0" w:right="0"/>
            </w:pPr>
            <w:r>
              <w:t>2094</w:t>
            </w:r>
          </w:p>
        </w:tc>
      </w:tr>
      <w:tr>
        <w:trPr>
          <w:cnfStyle w:evenHBand="true" w:oddHBand="false" w:firstRow="false"/>
        </w:trPr>
        <w:tc>
          <w:tcPr>
            <w:cnfStyle w:evenVBand="false" w:oddVBand="true" w:firstColumn="false"/>
            <w:tcW w:w="25.000000%" w:type="pct"/>
          </w:tcPr>
          <w:p>
            <w:pPr>
              <w:ind w:leftChars="0" w:left="0" w:right="0"/>
            </w:pPr>
            <w:r>
              <w:t>XEEE</w:t>
            </w:r>
          </w:p>
        </w:tc>
        <w:tc>
          <w:tcPr>
            <w:cnfStyle w:evenVBand="true" w:oddVBand="false" w:firstColumn="false"/>
            <w:tcW w:w="25.000000%" w:type="pct"/>
          </w:tcPr>
          <w:p>
            <w:pPr>
              <w:ind w:leftChars="0" w:left="0" w:right="0"/>
            </w:pPr>
            <w:r>
              <w:t>XEEE</w:t>
            </w:r>
          </w:p>
        </w:tc>
        <w:tc>
          <w:tcPr>
            <w:cnfStyle w:evenVBand="false" w:oddVBand="true" w:firstColumn="false"/>
            <w:tcW w:w="25.000000%" w:type="pct"/>
          </w:tcPr>
          <w:p>
            <w:pPr>
              <w:ind w:leftChars="0" w:left="0" w:right="0"/>
            </w:pPr>
            <w:r>
              <w:t>EUROPEAN ENERGY EXCHANGE</w:t>
            </w:r>
          </w:p>
        </w:tc>
        <w:tc>
          <w:tcPr>
            <w:cnfStyle w:evenVBand="true" w:oddVBand="false" w:firstColumn="false"/>
            <w:tcW w:w="25.000000%" w:type="pct"/>
          </w:tcPr>
          <w:p>
            <w:pPr>
              <w:ind w:leftChars="0" w:left="0" w:right="0"/>
            </w:pPr>
            <w:r>
              <w:t>2095</w:t>
            </w:r>
          </w:p>
        </w:tc>
      </w:tr>
      <w:tr>
        <w:trPr>
          <w:cnfStyle w:evenHBand="false" w:oddHBand="true" w:firstRow="false"/>
        </w:trPr>
        <w:tc>
          <w:tcPr>
            <w:cnfStyle w:evenVBand="false" w:oddVBand="true" w:firstColumn="false"/>
            <w:tcW w:w="25.000000%" w:type="pct"/>
          </w:tcPr>
          <w:p>
            <w:pPr>
              <w:ind w:leftChars="0" w:left="0" w:right="0"/>
            </w:pPr>
            <w:r>
              <w:t>XEEO</w:t>
            </w:r>
          </w:p>
        </w:tc>
        <w:tc>
          <w:tcPr>
            <w:cnfStyle w:evenVBand="true" w:oddVBand="false" w:firstColumn="false"/>
            <w:tcW w:w="25.000000%" w:type="pct"/>
          </w:tcPr>
          <w:p>
            <w:pPr>
              <w:ind w:leftChars="0" w:left="0" w:right="0"/>
            </w:pPr>
            <w:r>
              <w:t>XEEO</w:t>
            </w:r>
          </w:p>
        </w:tc>
        <w:tc>
          <w:tcPr>
            <w:cnfStyle w:evenVBand="false" w:oddVBand="true" w:firstColumn="false"/>
            <w:tcW w:w="25.000000%" w:type="pct"/>
          </w:tcPr>
          <w:p>
            <w:pPr>
              <w:ind w:leftChars="0" w:left="0" w:right="0"/>
            </w:pPr>
            <w:r>
              <w:t>EUROPEAN ENERGY EXCHANGE - NON-MTF MARKET</w:t>
            </w:r>
          </w:p>
        </w:tc>
        <w:tc>
          <w:tcPr>
            <w:cnfStyle w:evenVBand="true" w:oddVBand="false" w:firstColumn="false"/>
            <w:tcW w:w="25.000000%" w:type="pct"/>
          </w:tcPr>
          <w:p>
            <w:pPr>
              <w:ind w:leftChars="0" w:left="0" w:right="0"/>
            </w:pPr>
            <w:r>
              <w:t>2096</w:t>
            </w:r>
          </w:p>
        </w:tc>
      </w:tr>
      <w:tr>
        <w:trPr>
          <w:cnfStyle w:evenHBand="true" w:oddHBand="false" w:firstRow="false"/>
        </w:trPr>
        <w:tc>
          <w:tcPr>
            <w:cnfStyle w:evenVBand="false" w:oddVBand="true" w:firstColumn="false"/>
            <w:tcW w:w="25.000000%" w:type="pct"/>
          </w:tcPr>
          <w:p>
            <w:pPr>
              <w:ind w:leftChars="0" w:left="0" w:right="0"/>
            </w:pPr>
            <w:r>
              <w:t>XEER</w:t>
            </w:r>
          </w:p>
        </w:tc>
        <w:tc>
          <w:tcPr>
            <w:cnfStyle w:evenVBand="true" w:oddVBand="false" w:firstColumn="false"/>
            <w:tcW w:w="25.000000%" w:type="pct"/>
          </w:tcPr>
          <w:p>
            <w:pPr>
              <w:ind w:leftChars="0" w:left="0" w:right="0"/>
            </w:pPr>
            <w:r>
              <w:t>XEER</w:t>
            </w:r>
          </w:p>
        </w:tc>
        <w:tc>
          <w:tcPr>
            <w:cnfStyle w:evenVBand="false" w:oddVBand="true" w:firstColumn="false"/>
            <w:tcW w:w="25.000000%" w:type="pct"/>
          </w:tcPr>
          <w:p>
            <w:pPr>
              <w:ind w:leftChars="0" w:left="0" w:right="0"/>
            </w:pPr>
            <w:r>
              <w:t>EUROPEAN ENERGY EXCHANGE - REGULATED MARKET</w:t>
            </w:r>
          </w:p>
        </w:tc>
        <w:tc>
          <w:tcPr>
            <w:cnfStyle w:evenVBand="true" w:oddVBand="false" w:firstColumn="false"/>
            <w:tcW w:w="25.000000%" w:type="pct"/>
          </w:tcPr>
          <w:p>
            <w:pPr>
              <w:ind w:leftChars="0" w:left="0" w:right="0"/>
            </w:pPr>
            <w:r>
              <w:t>2097</w:t>
            </w:r>
          </w:p>
        </w:tc>
      </w:tr>
      <w:tr>
        <w:trPr>
          <w:cnfStyle w:evenHBand="false" w:oddHBand="true" w:firstRow="false"/>
        </w:trPr>
        <w:tc>
          <w:tcPr>
            <w:cnfStyle w:evenVBand="false" w:oddVBand="true" w:firstColumn="false"/>
            <w:tcW w:w="25.000000%" w:type="pct"/>
          </w:tcPr>
          <w:p>
            <w:pPr>
              <w:ind w:leftChars="0" w:left="0" w:right="0"/>
            </w:pPr>
            <w:r>
              <w:t>XEHQ</w:t>
            </w:r>
          </w:p>
        </w:tc>
        <w:tc>
          <w:tcPr>
            <w:cnfStyle w:evenVBand="true" w:oddVBand="false" w:firstColumn="false"/>
            <w:tcW w:w="25.000000%" w:type="pct"/>
          </w:tcPr>
          <w:p>
            <w:pPr>
              <w:ind w:leftChars="0" w:left="0" w:right="0"/>
            </w:pPr>
            <w:r>
              <w:t>XEHQ</w:t>
            </w:r>
          </w:p>
        </w:tc>
        <w:tc>
          <w:tcPr>
            <w:cnfStyle w:evenVBand="false" w:oddVBand="true" w:firstColumn="false"/>
            <w:tcW w:w="25.000000%" w:type="pct"/>
          </w:tcPr>
          <w:p>
            <w:pPr>
              <w:ind w:leftChars="0" w:left="0" w:right="0"/>
            </w:pPr>
            <w:r>
              <w:t>EUREX REPO - HQLA MARKET</w:t>
            </w:r>
          </w:p>
        </w:tc>
        <w:tc>
          <w:tcPr>
            <w:cnfStyle w:evenVBand="true" w:oddVBand="false" w:firstColumn="false"/>
            <w:tcW w:w="25.000000%" w:type="pct"/>
          </w:tcPr>
          <w:p>
            <w:pPr>
              <w:ind w:leftChars="0" w:left="0" w:right="0"/>
            </w:pPr>
            <w:r>
              <w:t>2098</w:t>
            </w:r>
          </w:p>
        </w:tc>
      </w:tr>
      <w:tr>
        <w:trPr>
          <w:cnfStyle w:evenHBand="true" w:oddHBand="false" w:firstRow="false"/>
        </w:trPr>
        <w:tc>
          <w:tcPr>
            <w:cnfStyle w:evenVBand="false" w:oddVBand="true" w:firstColumn="false"/>
            <w:tcW w:w="25.000000%" w:type="pct"/>
          </w:tcPr>
          <w:p>
            <w:pPr>
              <w:ind w:leftChars="0" w:left="0" w:right="0"/>
            </w:pPr>
            <w:r>
              <w:t>XEID</w:t>
            </w:r>
          </w:p>
        </w:tc>
        <w:tc>
          <w:tcPr>
            <w:cnfStyle w:evenVBand="true" w:oddVBand="false" w:firstColumn="false"/>
            <w:tcW w:w="25.000000%" w:type="pct"/>
          </w:tcPr>
          <w:p>
            <w:pPr>
              <w:ind w:leftChars="0" w:left="0" w:right="0"/>
            </w:pPr>
            <w:r>
              <w:t>XEID</w:t>
            </w:r>
          </w:p>
        </w:tc>
        <w:tc>
          <w:tcPr>
            <w:cnfStyle w:evenVBand="false" w:oddVBand="true" w:firstColumn="false"/>
            <w:tcW w:w="25.000000%" w:type="pct"/>
          </w:tcPr>
          <w:p>
            <w:pPr>
              <w:ind w:leftChars="0" w:left="0" w:right="0"/>
            </w:pPr>
            <w:r>
              <w:t>ELECTRICITY INTRA-DAY MARKET</w:t>
            </w:r>
          </w:p>
        </w:tc>
        <w:tc>
          <w:tcPr>
            <w:cnfStyle w:evenVBand="true" w:oddVBand="false" w:firstColumn="false"/>
            <w:tcW w:w="25.000000%" w:type="pct"/>
          </w:tcPr>
          <w:p>
            <w:pPr>
              <w:ind w:leftChars="0" w:left="0" w:right="0"/>
            </w:pPr>
            <w:r>
              <w:t>2099</w:t>
            </w:r>
          </w:p>
        </w:tc>
      </w:tr>
      <w:tr>
        <w:trPr>
          <w:cnfStyle w:evenHBand="false" w:oddHBand="true" w:firstRow="false"/>
        </w:trPr>
        <w:tc>
          <w:tcPr>
            <w:cnfStyle w:evenVBand="false" w:oddVBand="true" w:firstColumn="false"/>
            <w:tcW w:w="25.000000%" w:type="pct"/>
          </w:tcPr>
          <w:p>
            <w:pPr>
              <w:ind w:leftChars="0" w:left="0" w:right="0"/>
            </w:pPr>
            <w:r>
              <w:t>XELX</w:t>
            </w:r>
          </w:p>
        </w:tc>
        <w:tc>
          <w:tcPr>
            <w:cnfStyle w:evenVBand="true" w:oddVBand="false" w:firstColumn="false"/>
            <w:tcW w:w="25.000000%" w:type="pct"/>
          </w:tcPr>
          <w:p>
            <w:pPr>
              <w:ind w:leftChars="0" w:left="0" w:right="0"/>
            </w:pPr>
            <w:r>
              <w:t>XELX</w:t>
            </w:r>
          </w:p>
        </w:tc>
        <w:tc>
          <w:tcPr>
            <w:cnfStyle w:evenVBand="false" w:oddVBand="true" w:firstColumn="false"/>
            <w:tcW w:w="25.000000%" w:type="pct"/>
          </w:tcPr>
          <w:p>
            <w:pPr>
              <w:ind w:leftChars="0" w:left="0" w:right="0"/>
            </w:pPr>
            <w:r>
              <w:t>ELX</w:t>
            </w:r>
          </w:p>
        </w:tc>
        <w:tc>
          <w:tcPr>
            <w:cnfStyle w:evenVBand="true" w:oddVBand="false" w:firstColumn="false"/>
            <w:tcW w:w="25.000000%" w:type="pct"/>
          </w:tcPr>
          <w:p>
            <w:pPr>
              <w:ind w:leftChars="0" w:left="0" w:right="0"/>
            </w:pPr>
            <w:r>
              <w:t>2100</w:t>
            </w:r>
          </w:p>
        </w:tc>
      </w:tr>
      <w:tr>
        <w:trPr>
          <w:cnfStyle w:evenHBand="true" w:oddHBand="false" w:firstRow="false"/>
        </w:trPr>
        <w:tc>
          <w:tcPr>
            <w:cnfStyle w:evenVBand="false" w:oddVBand="true" w:firstColumn="false"/>
            <w:tcW w:w="25.000000%" w:type="pct"/>
          </w:tcPr>
          <w:p>
            <w:pPr>
              <w:ind w:leftChars="0" w:left="0" w:right="0"/>
            </w:pPr>
            <w:r>
              <w:t>XEMD</w:t>
            </w:r>
          </w:p>
        </w:tc>
        <w:tc>
          <w:tcPr>
            <w:cnfStyle w:evenVBand="true" w:oddVBand="false" w:firstColumn="false"/>
            <w:tcW w:w="25.000000%" w:type="pct"/>
          </w:tcPr>
          <w:p>
            <w:pPr>
              <w:ind w:leftChars="0" w:left="0" w:right="0"/>
            </w:pPr>
            <w:r>
              <w:t>XEMD</w:t>
            </w:r>
          </w:p>
        </w:tc>
        <w:tc>
          <w:tcPr>
            <w:cnfStyle w:evenVBand="false" w:oddVBand="true" w:firstColumn="false"/>
            <w:tcW w:w="25.000000%" w:type="pct"/>
          </w:tcPr>
          <w:p>
            <w:pPr>
              <w:ind w:leftChars="0" w:left="0" w:right="0"/>
            </w:pPr>
            <w:r>
              <w:t>MERCADO MEXICANO DE DERIVADOS</w:t>
            </w:r>
          </w:p>
        </w:tc>
        <w:tc>
          <w:tcPr>
            <w:cnfStyle w:evenVBand="true" w:oddVBand="false" w:firstColumn="false"/>
            <w:tcW w:w="25.000000%" w:type="pct"/>
          </w:tcPr>
          <w:p>
            <w:pPr>
              <w:ind w:leftChars="0" w:left="0" w:right="0"/>
            </w:pPr>
            <w:r>
              <w:t>2101</w:t>
            </w:r>
          </w:p>
        </w:tc>
      </w:tr>
      <w:tr>
        <w:trPr>
          <w:cnfStyle w:evenHBand="false" w:oddHBand="true" w:firstRow="false"/>
        </w:trPr>
        <w:tc>
          <w:tcPr>
            <w:cnfStyle w:evenVBand="false" w:oddVBand="true" w:firstColumn="false"/>
            <w:tcW w:w="25.000000%" w:type="pct"/>
          </w:tcPr>
          <w:p>
            <w:pPr>
              <w:ind w:leftChars="0" w:left="0" w:right="0"/>
            </w:pPr>
            <w:r>
              <w:t>XEMS</w:t>
            </w:r>
          </w:p>
        </w:tc>
        <w:tc>
          <w:tcPr>
            <w:cnfStyle w:evenVBand="true" w:oddVBand="false" w:firstColumn="false"/>
            <w:tcW w:w="25.000000%" w:type="pct"/>
          </w:tcPr>
          <w:p>
            <w:pPr>
              <w:ind w:leftChars="0" w:left="0" w:right="0"/>
            </w:pPr>
            <w:r>
              <w:t>XEMS</w:t>
            </w:r>
          </w:p>
        </w:tc>
        <w:tc>
          <w:tcPr>
            <w:cnfStyle w:evenVBand="false" w:oddVBand="true" w:firstColumn="false"/>
            <w:tcW w:w="25.000000%" w:type="pct"/>
          </w:tcPr>
          <w:p>
            <w:pPr>
              <w:ind w:leftChars="0" w:left="0" w:right="0"/>
            </w:pPr>
            <w:r>
              <w:t>EMS EXCHANGE</w:t>
            </w:r>
          </w:p>
        </w:tc>
        <w:tc>
          <w:tcPr>
            <w:cnfStyle w:evenVBand="true" w:oddVBand="false" w:firstColumn="false"/>
            <w:tcW w:w="25.000000%" w:type="pct"/>
          </w:tcPr>
          <w:p>
            <w:pPr>
              <w:ind w:leftChars="0" w:left="0" w:right="0"/>
            </w:pPr>
            <w:r>
              <w:t>2102</w:t>
            </w:r>
          </w:p>
        </w:tc>
      </w:tr>
      <w:tr>
        <w:trPr>
          <w:cnfStyle w:evenHBand="true" w:oddHBand="false" w:firstRow="false"/>
        </w:trPr>
        <w:tc>
          <w:tcPr>
            <w:cnfStyle w:evenVBand="false" w:oddVBand="true" w:firstColumn="false"/>
            <w:tcW w:w="25.000000%" w:type="pct"/>
          </w:tcPr>
          <w:p>
            <w:pPr>
              <w:ind w:leftChars="0" w:left="0" w:right="0"/>
            </w:pPr>
            <w:r>
              <w:t>XEQT</w:t>
            </w:r>
          </w:p>
        </w:tc>
        <w:tc>
          <w:tcPr>
            <w:cnfStyle w:evenVBand="true" w:oddVBand="false" w:firstColumn="false"/>
            <w:tcW w:w="25.000000%" w:type="pct"/>
          </w:tcPr>
          <w:p>
            <w:pPr>
              <w:ind w:leftChars="0" w:left="0" w:right="0"/>
            </w:pPr>
            <w:r>
              <w:t>XEQT</w:t>
            </w:r>
          </w:p>
        </w:tc>
        <w:tc>
          <w:tcPr>
            <w:cnfStyle w:evenVBand="false" w:oddVBand="true" w:firstColumn="false"/>
            <w:tcW w:w="25.000000%" w:type="pct"/>
          </w:tcPr>
          <w:p>
            <w:pPr>
              <w:ind w:leftChars="0" w:left="0" w:right="0"/>
            </w:pPr>
            <w:r>
              <w:t>BOERSE BERLIN EQUIDUCT TRADING</w:t>
            </w:r>
          </w:p>
        </w:tc>
        <w:tc>
          <w:tcPr>
            <w:cnfStyle w:evenVBand="true" w:oddVBand="false" w:firstColumn="false"/>
            <w:tcW w:w="25.000000%" w:type="pct"/>
          </w:tcPr>
          <w:p>
            <w:pPr>
              <w:ind w:leftChars="0" w:left="0" w:right="0"/>
            </w:pPr>
            <w:r>
              <w:t>2103</w:t>
            </w:r>
          </w:p>
        </w:tc>
      </w:tr>
      <w:tr>
        <w:trPr>
          <w:cnfStyle w:evenHBand="false" w:oddHBand="true" w:firstRow="false"/>
        </w:trPr>
        <w:tc>
          <w:tcPr>
            <w:cnfStyle w:evenVBand="false" w:oddVBand="true" w:firstColumn="false"/>
            <w:tcW w:w="25.000000%" w:type="pct"/>
          </w:tcPr>
          <w:p>
            <w:pPr>
              <w:ind w:leftChars="0" w:left="0" w:right="0"/>
            </w:pPr>
            <w:r>
              <w:t>XEQY</w:t>
            </w:r>
          </w:p>
        </w:tc>
        <w:tc>
          <w:tcPr>
            <w:cnfStyle w:evenVBand="true" w:oddVBand="false" w:firstColumn="false"/>
            <w:tcW w:w="25.000000%" w:type="pct"/>
          </w:tcPr>
          <w:p>
            <w:pPr>
              <w:ind w:leftChars="0" w:left="0" w:right="0"/>
            </w:pPr>
            <w:r>
              <w:t>XEQY</w:t>
            </w:r>
          </w:p>
        </w:tc>
        <w:tc>
          <w:tcPr>
            <w:cnfStyle w:evenVBand="false" w:oddVBand="true" w:firstColumn="false"/>
            <w:tcW w:w="25.000000%" w:type="pct"/>
          </w:tcPr>
          <w:p>
            <w:pPr>
              <w:ind w:leftChars="0" w:left="0" w:right="0"/>
            </w:pPr>
            <w:r>
              <w:t>BORSA ISTANBUL - EQUITY MARKET</w:t>
            </w:r>
          </w:p>
        </w:tc>
        <w:tc>
          <w:tcPr>
            <w:cnfStyle w:evenVBand="true" w:oddVBand="false" w:firstColumn="false"/>
            <w:tcW w:w="25.000000%" w:type="pct"/>
          </w:tcPr>
          <w:p>
            <w:pPr>
              <w:ind w:leftChars="0" w:left="0" w:right="0"/>
            </w:pPr>
            <w:r>
              <w:t>2104</w:t>
            </w:r>
          </w:p>
        </w:tc>
      </w:tr>
      <w:tr>
        <w:trPr>
          <w:cnfStyle w:evenHBand="true" w:oddHBand="false" w:firstRow="false"/>
        </w:trPr>
        <w:tc>
          <w:tcPr>
            <w:cnfStyle w:evenVBand="false" w:oddVBand="true" w:firstColumn="false"/>
            <w:tcW w:w="25.000000%" w:type="pct"/>
          </w:tcPr>
          <w:p>
            <w:pPr>
              <w:ind w:leftChars="0" w:left="0" w:right="0"/>
            </w:pPr>
            <w:r>
              <w:t>XERE</w:t>
            </w:r>
          </w:p>
        </w:tc>
        <w:tc>
          <w:tcPr>
            <w:cnfStyle w:evenVBand="true" w:oddVBand="false" w:firstColumn="false"/>
            <w:tcW w:w="25.000000%" w:type="pct"/>
          </w:tcPr>
          <w:p>
            <w:pPr>
              <w:ind w:leftChars="0" w:left="0" w:right="0"/>
            </w:pPr>
            <w:r>
              <w:t>XERE</w:t>
            </w:r>
          </w:p>
        </w:tc>
        <w:tc>
          <w:tcPr>
            <w:cnfStyle w:evenVBand="false" w:oddVBand="true" w:firstColumn="false"/>
            <w:tcW w:w="25.000000%" w:type="pct"/>
          </w:tcPr>
          <w:p>
            <w:pPr>
              <w:ind w:leftChars="0" w:left="0" w:right="0"/>
            </w:pPr>
            <w:r>
              <w:t>EUREX REPO - FUNDING AND FINANCING PRODUCTS</w:t>
            </w:r>
          </w:p>
        </w:tc>
        <w:tc>
          <w:tcPr>
            <w:cnfStyle w:evenVBand="true" w:oddVBand="false" w:firstColumn="false"/>
            <w:tcW w:w="25.000000%" w:type="pct"/>
          </w:tcPr>
          <w:p>
            <w:pPr>
              <w:ind w:leftChars="0" w:left="0" w:right="0"/>
            </w:pPr>
            <w:r>
              <w:t>2105</w:t>
            </w:r>
          </w:p>
        </w:tc>
      </w:tr>
      <w:tr>
        <w:trPr>
          <w:cnfStyle w:evenHBand="false" w:oddHBand="true" w:firstRow="false"/>
        </w:trPr>
        <w:tc>
          <w:tcPr>
            <w:cnfStyle w:evenVBand="false" w:oddVBand="true" w:firstColumn="false"/>
            <w:tcW w:w="25.000000%" w:type="pct"/>
          </w:tcPr>
          <w:p>
            <w:pPr>
              <w:ind w:leftChars="0" w:left="0" w:right="0"/>
            </w:pPr>
            <w:r>
              <w:t>XERT</w:t>
            </w:r>
          </w:p>
        </w:tc>
        <w:tc>
          <w:tcPr>
            <w:cnfStyle w:evenVBand="true" w:oddVBand="false" w:firstColumn="false"/>
            <w:tcW w:w="25.000000%" w:type="pct"/>
          </w:tcPr>
          <w:p>
            <w:pPr>
              <w:ind w:leftChars="0" w:left="0" w:right="0"/>
            </w:pPr>
            <w:r>
              <w:t>XERT</w:t>
            </w:r>
          </w:p>
        </w:tc>
        <w:tc>
          <w:tcPr>
            <w:cnfStyle w:evenVBand="false" w:oddVBand="true" w:firstColumn="false"/>
            <w:tcW w:w="25.000000%" w:type="pct"/>
          </w:tcPr>
          <w:p>
            <w:pPr>
              <w:ind w:leftChars="0" w:left="0" w:right="0"/>
            </w:pPr>
            <w:r>
              <w:t>EUREX REPO - TRIPARTY</w:t>
            </w:r>
          </w:p>
        </w:tc>
        <w:tc>
          <w:tcPr>
            <w:cnfStyle w:evenVBand="true" w:oddVBand="false" w:firstColumn="false"/>
            <w:tcW w:w="25.000000%" w:type="pct"/>
          </w:tcPr>
          <w:p>
            <w:pPr>
              <w:ind w:leftChars="0" w:left="0" w:right="0"/>
            </w:pPr>
            <w:r>
              <w:t>2106</w:t>
            </w:r>
          </w:p>
        </w:tc>
      </w:tr>
      <w:tr>
        <w:trPr>
          <w:cnfStyle w:evenHBand="true" w:oddHBand="false" w:firstRow="false"/>
        </w:trPr>
        <w:tc>
          <w:tcPr>
            <w:cnfStyle w:evenVBand="false" w:oddVBand="true" w:firstColumn="false"/>
            <w:tcW w:w="25.000000%" w:type="pct"/>
          </w:tcPr>
          <w:p>
            <w:pPr>
              <w:ind w:leftChars="0" w:left="0" w:right="0"/>
            </w:pPr>
            <w:r>
              <w:t>XESM</w:t>
            </w:r>
          </w:p>
        </w:tc>
        <w:tc>
          <w:tcPr>
            <w:cnfStyle w:evenVBand="true" w:oddVBand="false" w:firstColumn="false"/>
            <w:tcW w:w="25.000000%" w:type="pct"/>
          </w:tcPr>
          <w:p>
            <w:pPr>
              <w:ind w:leftChars="0" w:left="0" w:right="0"/>
            </w:pPr>
            <w:r>
              <w:t>XESM</w:t>
            </w:r>
          </w:p>
        </w:tc>
        <w:tc>
          <w:tcPr>
            <w:cnfStyle w:evenVBand="false" w:oddVBand="true" w:firstColumn="false"/>
            <w:tcW w:w="25.000000%" w:type="pct"/>
          </w:tcPr>
          <w:p>
            <w:pPr>
              <w:ind w:leftChars="0" w:left="0" w:right="0"/>
            </w:pPr>
            <w:r>
              <w:t>EURONEXT GROWTH DUBLIN</w:t>
            </w:r>
          </w:p>
        </w:tc>
        <w:tc>
          <w:tcPr>
            <w:cnfStyle w:evenVBand="true" w:oddVBand="false" w:firstColumn="false"/>
            <w:tcW w:w="25.000000%" w:type="pct"/>
          </w:tcPr>
          <w:p>
            <w:pPr>
              <w:ind w:leftChars="0" w:left="0" w:right="0"/>
            </w:pPr>
            <w:r>
              <w:t>2107</w:t>
            </w:r>
          </w:p>
        </w:tc>
      </w:tr>
      <w:tr>
        <w:trPr>
          <w:cnfStyle w:evenHBand="false" w:oddHBand="true" w:firstRow="false"/>
        </w:trPr>
        <w:tc>
          <w:tcPr>
            <w:cnfStyle w:evenVBand="false" w:oddVBand="true" w:firstColumn="false"/>
            <w:tcW w:w="25.000000%" w:type="pct"/>
          </w:tcPr>
          <w:p>
            <w:pPr>
              <w:ind w:leftChars="0" w:left="0" w:right="0"/>
            </w:pPr>
            <w:r>
              <w:t>XETA</w:t>
            </w:r>
          </w:p>
        </w:tc>
        <w:tc>
          <w:tcPr>
            <w:cnfStyle w:evenVBand="true" w:oddVBand="false" w:firstColumn="false"/>
            <w:tcW w:w="25.000000%" w:type="pct"/>
          </w:tcPr>
          <w:p>
            <w:pPr>
              <w:ind w:leftChars="0" w:left="0" w:right="0"/>
            </w:pPr>
            <w:r>
              <w:t>XETA</w:t>
            </w:r>
          </w:p>
        </w:tc>
        <w:tc>
          <w:tcPr>
            <w:cnfStyle w:evenVBand="false" w:oddVBand="true" w:firstColumn="false"/>
            <w:tcW w:w="25.000000%" w:type="pct"/>
          </w:tcPr>
          <w:p>
            <w:pPr>
              <w:ind w:leftChars="0" w:left="0" w:right="0"/>
            </w:pPr>
            <w:r>
              <w:t>XETRA - REGULIERTER MARKT</w:t>
            </w:r>
          </w:p>
        </w:tc>
        <w:tc>
          <w:tcPr>
            <w:cnfStyle w:evenVBand="true" w:oddVBand="false" w:firstColumn="false"/>
            <w:tcW w:w="25.000000%" w:type="pct"/>
          </w:tcPr>
          <w:p>
            <w:pPr>
              <w:ind w:leftChars="0" w:left="0" w:right="0"/>
            </w:pPr>
            <w:r>
              <w:t>2108</w:t>
            </w:r>
          </w:p>
        </w:tc>
      </w:tr>
      <w:tr>
        <w:trPr>
          <w:cnfStyle w:evenHBand="true" w:oddHBand="false" w:firstRow="false"/>
        </w:trPr>
        <w:tc>
          <w:tcPr>
            <w:cnfStyle w:evenVBand="false" w:oddVBand="true" w:firstColumn="false"/>
            <w:tcW w:w="25.000000%" w:type="pct"/>
          </w:tcPr>
          <w:p>
            <w:pPr>
              <w:ind w:leftChars="0" w:left="0" w:right="0"/>
            </w:pPr>
            <w:r>
              <w:t>XETB</w:t>
            </w:r>
          </w:p>
        </w:tc>
        <w:tc>
          <w:tcPr>
            <w:cnfStyle w:evenVBand="true" w:oddVBand="false" w:firstColumn="false"/>
            <w:tcW w:w="25.000000%" w:type="pct"/>
          </w:tcPr>
          <w:p>
            <w:pPr>
              <w:ind w:leftChars="0" w:left="0" w:right="0"/>
            </w:pPr>
            <w:r>
              <w:t>XETB</w:t>
            </w:r>
          </w:p>
        </w:tc>
        <w:tc>
          <w:tcPr>
            <w:cnfStyle w:evenVBand="false" w:oddVBand="true" w:firstColumn="false"/>
            <w:tcW w:w="25.000000%" w:type="pct"/>
          </w:tcPr>
          <w:p>
            <w:pPr>
              <w:ind w:leftChars="0" w:left="0" w:right="0"/>
            </w:pPr>
            <w:r>
              <w:t>XETRA - FREIVERKEHR</w:t>
            </w:r>
          </w:p>
        </w:tc>
        <w:tc>
          <w:tcPr>
            <w:cnfStyle w:evenVBand="true" w:oddVBand="false" w:firstColumn="false"/>
            <w:tcW w:w="25.000000%" w:type="pct"/>
          </w:tcPr>
          <w:p>
            <w:pPr>
              <w:ind w:leftChars="0" w:left="0" w:right="0"/>
            </w:pPr>
            <w:r>
              <w:t>2109</w:t>
            </w:r>
          </w:p>
        </w:tc>
      </w:tr>
      <w:tr>
        <w:trPr>
          <w:cnfStyle w:evenHBand="false" w:oddHBand="true" w:firstRow="false"/>
        </w:trPr>
        <w:tc>
          <w:tcPr>
            <w:cnfStyle w:evenVBand="false" w:oddVBand="true" w:firstColumn="false"/>
            <w:tcW w:w="25.000000%" w:type="pct"/>
          </w:tcPr>
          <w:p>
            <w:pPr>
              <w:ind w:leftChars="0" w:left="0" w:right="0"/>
            </w:pPr>
            <w:r>
              <w:t>XETC</w:t>
            </w:r>
          </w:p>
        </w:tc>
        <w:tc>
          <w:tcPr>
            <w:cnfStyle w:evenVBand="true" w:oddVBand="false" w:firstColumn="false"/>
            <w:tcW w:w="25.000000%" w:type="pct"/>
          </w:tcPr>
          <w:p>
            <w:pPr>
              <w:ind w:leftChars="0" w:left="0" w:right="0"/>
            </w:pPr>
            <w:r>
              <w:t>XETC</w:t>
            </w:r>
          </w:p>
        </w:tc>
        <w:tc>
          <w:tcPr>
            <w:cnfStyle w:evenVBand="false" w:oddVBand="true" w:firstColumn="false"/>
            <w:tcW w:w="25.000000%" w:type="pct"/>
          </w:tcPr>
          <w:p>
            <w:pPr>
              <w:ind w:leftChars="0" w:left="0" w:right="0"/>
            </w:pPr>
            <w:r>
              <w:t>XETRA INTERNATIONAL MARKET - REGULATED MARKET</w:t>
            </w:r>
          </w:p>
        </w:tc>
        <w:tc>
          <w:tcPr>
            <w:cnfStyle w:evenVBand="true" w:oddVBand="false" w:firstColumn="false"/>
            <w:tcW w:w="25.000000%" w:type="pct"/>
          </w:tcPr>
          <w:p>
            <w:pPr>
              <w:ind w:leftChars="0" w:left="0" w:right="0"/>
            </w:pPr>
            <w:r>
              <w:t>2110</w:t>
            </w:r>
          </w:p>
        </w:tc>
      </w:tr>
      <w:tr>
        <w:trPr>
          <w:cnfStyle w:evenHBand="true" w:oddHBand="false" w:firstRow="false"/>
        </w:trPr>
        <w:tc>
          <w:tcPr>
            <w:cnfStyle w:evenVBand="false" w:oddVBand="true" w:firstColumn="false"/>
            <w:tcW w:w="25.000000%" w:type="pct"/>
          </w:tcPr>
          <w:p>
            <w:pPr>
              <w:ind w:leftChars="0" w:left="0" w:right="0"/>
            </w:pPr>
            <w:r>
              <w:t>XETD</w:t>
            </w:r>
          </w:p>
        </w:tc>
        <w:tc>
          <w:tcPr>
            <w:cnfStyle w:evenVBand="true" w:oddVBand="false" w:firstColumn="false"/>
            <w:tcW w:w="25.000000%" w:type="pct"/>
          </w:tcPr>
          <w:p>
            <w:pPr>
              <w:ind w:leftChars="0" w:left="0" w:right="0"/>
            </w:pPr>
            <w:r>
              <w:t>XETD</w:t>
            </w:r>
          </w:p>
        </w:tc>
        <w:tc>
          <w:tcPr>
            <w:cnfStyle w:evenVBand="false" w:oddVBand="true" w:firstColumn="false"/>
            <w:tcW w:w="25.000000%" w:type="pct"/>
          </w:tcPr>
          <w:p>
            <w:pPr>
              <w:ind w:leftChars="0" w:left="0" w:right="0"/>
            </w:pPr>
            <w:r>
              <w:t>XETRA INTERNATIONAL MARKET - OPEN MARKET</w:t>
            </w:r>
          </w:p>
        </w:tc>
        <w:tc>
          <w:tcPr>
            <w:cnfStyle w:evenVBand="true" w:oddVBand="false" w:firstColumn="false"/>
            <w:tcW w:w="25.000000%" w:type="pct"/>
          </w:tcPr>
          <w:p>
            <w:pPr>
              <w:ind w:leftChars="0" w:left="0" w:right="0"/>
            </w:pPr>
            <w:r>
              <w:t>2111</w:t>
            </w:r>
          </w:p>
        </w:tc>
      </w:tr>
      <w:tr>
        <w:trPr>
          <w:cnfStyle w:evenHBand="false" w:oddHBand="true" w:firstRow="false"/>
        </w:trPr>
        <w:tc>
          <w:tcPr>
            <w:cnfStyle w:evenVBand="false" w:oddVBand="true" w:firstColumn="false"/>
            <w:tcW w:w="25.000000%" w:type="pct"/>
          </w:tcPr>
          <w:p>
            <w:pPr>
              <w:ind w:leftChars="0" w:left="0" w:right="0"/>
            </w:pPr>
            <w:r>
              <w:t>XETE</w:t>
            </w:r>
          </w:p>
        </w:tc>
        <w:tc>
          <w:tcPr>
            <w:cnfStyle w:evenVBand="true" w:oddVBand="false" w:firstColumn="false"/>
            <w:tcW w:w="25.000000%" w:type="pct"/>
          </w:tcPr>
          <w:p>
            <w:pPr>
              <w:ind w:leftChars="0" w:left="0" w:right="0"/>
            </w:pPr>
            <w:r>
              <w:t>XETE</w:t>
            </w:r>
          </w:p>
        </w:tc>
        <w:tc>
          <w:tcPr>
            <w:cnfStyle w:evenVBand="false" w:oddVBand="true" w:firstColumn="false"/>
            <w:tcW w:w="25.000000%" w:type="pct"/>
          </w:tcPr>
          <w:p>
            <w:pPr>
              <w:ind w:leftChars="0" w:left="0" w:right="0"/>
            </w:pPr>
            <w:r>
              <w:t>XETRA - NON-FINANCIAL INSTRUMENTS</w:t>
            </w:r>
          </w:p>
        </w:tc>
        <w:tc>
          <w:tcPr>
            <w:cnfStyle w:evenVBand="true" w:oddVBand="false" w:firstColumn="false"/>
            <w:tcW w:w="25.000000%" w:type="pct"/>
          </w:tcPr>
          <w:p>
            <w:pPr>
              <w:ind w:leftChars="0" w:left="0" w:right="0"/>
            </w:pPr>
            <w:r>
              <w:t>2112</w:t>
            </w:r>
          </w:p>
        </w:tc>
      </w:tr>
      <w:tr>
        <w:trPr>
          <w:cnfStyle w:evenHBand="true" w:oddHBand="false" w:firstRow="false"/>
        </w:trPr>
        <w:tc>
          <w:tcPr>
            <w:cnfStyle w:evenVBand="false" w:oddVBand="true" w:firstColumn="false"/>
            <w:tcW w:w="25.000000%" w:type="pct"/>
          </w:tcPr>
          <w:p>
            <w:pPr>
              <w:ind w:leftChars="0" w:left="0" w:right="0"/>
            </w:pPr>
            <w:r>
              <w:t>XETF</w:t>
            </w:r>
          </w:p>
        </w:tc>
        <w:tc>
          <w:tcPr>
            <w:cnfStyle w:evenVBand="true" w:oddVBand="false" w:firstColumn="false"/>
            <w:tcW w:w="25.000000%" w:type="pct"/>
          </w:tcPr>
          <w:p>
            <w:pPr>
              <w:ind w:leftChars="0" w:left="0" w:right="0"/>
            </w:pPr>
            <w:r>
              <w:t>XETF</w:t>
            </w:r>
          </w:p>
        </w:tc>
        <w:tc>
          <w:tcPr>
            <w:cnfStyle w:evenVBand="false" w:oddVBand="true" w:firstColumn="false"/>
            <w:tcW w:w="25.000000%" w:type="pct"/>
          </w:tcPr>
          <w:p>
            <w:pPr>
              <w:ind w:leftChars="0" w:left="0" w:right="0"/>
            </w:pPr>
            <w:r>
              <w:t>EURONEXT ETF ACCESS</w:t>
            </w:r>
          </w:p>
        </w:tc>
        <w:tc>
          <w:tcPr>
            <w:cnfStyle w:evenVBand="true" w:oddVBand="false" w:firstColumn="false"/>
            <w:tcW w:w="25.000000%" w:type="pct"/>
          </w:tcPr>
          <w:p>
            <w:pPr>
              <w:ind w:leftChars="0" w:left="0" w:right="0"/>
            </w:pPr>
            <w:r>
              <w:t>2113</w:t>
            </w:r>
          </w:p>
        </w:tc>
      </w:tr>
      <w:tr>
        <w:trPr>
          <w:cnfStyle w:evenHBand="false" w:oddHBand="true" w:firstRow="false"/>
        </w:trPr>
        <w:tc>
          <w:tcPr>
            <w:cnfStyle w:evenVBand="false" w:oddVBand="true" w:firstColumn="false"/>
            <w:tcW w:w="25.000000%" w:type="pct"/>
          </w:tcPr>
          <w:p>
            <w:pPr>
              <w:ind w:leftChars="0" w:left="0" w:right="0"/>
            </w:pPr>
            <w:r>
              <w:t>XETI</w:t>
            </w:r>
          </w:p>
        </w:tc>
        <w:tc>
          <w:tcPr>
            <w:cnfStyle w:evenVBand="true" w:oddVBand="false" w:firstColumn="false"/>
            <w:tcW w:w="25.000000%" w:type="pct"/>
          </w:tcPr>
          <w:p>
            <w:pPr>
              <w:ind w:leftChars="0" w:left="0" w:right="0"/>
            </w:pPr>
            <w:r>
              <w:t>XETI</w:t>
            </w:r>
          </w:p>
        </w:tc>
        <w:tc>
          <w:tcPr>
            <w:cnfStyle w:evenVBand="false" w:oddVBand="true" w:firstColumn="false"/>
            <w:tcW w:w="25.000000%" w:type="pct"/>
          </w:tcPr>
          <w:p>
            <w:pPr>
              <w:ind w:leftChars="0" w:left="0" w:right="0"/>
            </w:pPr>
            <w:r>
              <w:t>XETRA INTERNATIONAL MARKET</w:t>
            </w:r>
          </w:p>
        </w:tc>
        <w:tc>
          <w:tcPr>
            <w:cnfStyle w:evenVBand="true" w:oddVBand="false" w:firstColumn="false"/>
            <w:tcW w:w="25.000000%" w:type="pct"/>
          </w:tcPr>
          <w:p>
            <w:pPr>
              <w:ind w:leftChars="0" w:left="0" w:right="0"/>
            </w:pPr>
            <w:r>
              <w:t>2114</w:t>
            </w:r>
          </w:p>
        </w:tc>
      </w:tr>
      <w:tr>
        <w:trPr>
          <w:cnfStyle w:evenHBand="true" w:oddHBand="false" w:firstRow="false"/>
        </w:trPr>
        <w:tc>
          <w:tcPr>
            <w:cnfStyle w:evenVBand="false" w:oddVBand="true" w:firstColumn="false"/>
            <w:tcW w:w="25.000000%" w:type="pct"/>
          </w:tcPr>
          <w:p>
            <w:pPr>
              <w:ind w:leftChars="0" w:left="0" w:right="0"/>
            </w:pPr>
            <w:r>
              <w:t>XETR</w:t>
            </w:r>
          </w:p>
        </w:tc>
        <w:tc>
          <w:tcPr>
            <w:cnfStyle w:evenVBand="true" w:oddVBand="false" w:firstColumn="false"/>
            <w:tcW w:w="25.000000%" w:type="pct"/>
          </w:tcPr>
          <w:p>
            <w:pPr>
              <w:ind w:leftChars="0" w:left="0" w:right="0"/>
            </w:pPr>
            <w:r>
              <w:t>XETR</w:t>
            </w:r>
          </w:p>
        </w:tc>
        <w:tc>
          <w:tcPr>
            <w:cnfStyle w:evenVBand="false" w:oddVBand="true" w:firstColumn="false"/>
            <w:tcW w:w="25.000000%" w:type="pct"/>
          </w:tcPr>
          <w:p>
            <w:pPr>
              <w:ind w:leftChars="0" w:left="0" w:right="0"/>
            </w:pPr>
            <w:r>
              <w:t>XETRA</w:t>
            </w:r>
          </w:p>
        </w:tc>
        <w:tc>
          <w:tcPr>
            <w:cnfStyle w:evenVBand="true" w:oddVBand="false" w:firstColumn="false"/>
            <w:tcW w:w="25.000000%" w:type="pct"/>
          </w:tcPr>
          <w:p>
            <w:pPr>
              <w:ind w:leftChars="0" w:left="0" w:right="0"/>
            </w:pPr>
            <w:r>
              <w:t>2115</w:t>
            </w:r>
          </w:p>
        </w:tc>
      </w:tr>
      <w:tr>
        <w:trPr>
          <w:cnfStyle w:evenHBand="false" w:oddHBand="true" w:firstRow="false"/>
        </w:trPr>
        <w:tc>
          <w:tcPr>
            <w:cnfStyle w:evenVBand="false" w:oddVBand="true" w:firstColumn="false"/>
            <w:tcW w:w="25.000000%" w:type="pct"/>
          </w:tcPr>
          <w:p>
            <w:pPr>
              <w:ind w:leftChars="0" w:left="0" w:right="0"/>
            </w:pPr>
            <w:r>
              <w:t>XETS</w:t>
            </w:r>
          </w:p>
        </w:tc>
        <w:tc>
          <w:tcPr>
            <w:cnfStyle w:evenVBand="true" w:oddVBand="false" w:firstColumn="false"/>
            <w:tcW w:w="25.000000%" w:type="pct"/>
          </w:tcPr>
          <w:p>
            <w:pPr>
              <w:ind w:leftChars="0" w:left="0" w:right="0"/>
            </w:pPr>
            <w:r>
              <w:t>XETS</w:t>
            </w:r>
          </w:p>
        </w:tc>
        <w:tc>
          <w:tcPr>
            <w:cnfStyle w:evenVBand="false" w:oddVBand="true" w:firstColumn="false"/>
            <w:tcW w:w="25.000000%" w:type="pct"/>
          </w:tcPr>
          <w:p>
            <w:pPr>
              <w:ind w:leftChars="0" w:left="0" w:right="0"/>
            </w:pPr>
            <w:r>
              <w:t>XETRA - SCALE</w:t>
            </w:r>
          </w:p>
        </w:tc>
        <w:tc>
          <w:tcPr>
            <w:cnfStyle w:evenVBand="true" w:oddVBand="false" w:firstColumn="false"/>
            <w:tcW w:w="25.000000%" w:type="pct"/>
          </w:tcPr>
          <w:p>
            <w:pPr>
              <w:ind w:leftChars="0" w:left="0" w:right="0"/>
            </w:pPr>
            <w:r>
              <w:t>2116</w:t>
            </w:r>
          </w:p>
        </w:tc>
      </w:tr>
      <w:tr>
        <w:trPr>
          <w:cnfStyle w:evenHBand="true" w:oddHBand="false" w:firstRow="false"/>
        </w:trPr>
        <w:tc>
          <w:tcPr>
            <w:cnfStyle w:evenVBand="false" w:oddVBand="true" w:firstColumn="false"/>
            <w:tcW w:w="25.000000%" w:type="pct"/>
          </w:tcPr>
          <w:p>
            <w:pPr>
              <w:ind w:leftChars="0" w:left="0" w:right="0"/>
            </w:pPr>
            <w:r>
              <w:t>XETU</w:t>
            </w:r>
          </w:p>
        </w:tc>
        <w:tc>
          <w:tcPr>
            <w:cnfStyle w:evenVBand="true" w:oddVBand="false" w:firstColumn="false"/>
            <w:tcW w:w="25.000000%" w:type="pct"/>
          </w:tcPr>
          <w:p>
            <w:pPr>
              <w:ind w:leftChars="0" w:left="0" w:right="0"/>
            </w:pPr>
            <w:r>
              <w:t>XETU</w:t>
            </w:r>
          </w:p>
        </w:tc>
        <w:tc>
          <w:tcPr>
            <w:cnfStyle w:evenVBand="false" w:oddVBand="true" w:firstColumn="false"/>
            <w:tcW w:w="25.000000%" w:type="pct"/>
          </w:tcPr>
          <w:p>
            <w:pPr>
              <w:ind w:leftChars="0" w:left="0" w:right="0"/>
            </w:pPr>
            <w:r>
              <w:t>XETRA - REGULIERTERMARKT - OFF-BOOK</w:t>
            </w:r>
          </w:p>
        </w:tc>
        <w:tc>
          <w:tcPr>
            <w:cnfStyle w:evenVBand="true" w:oddVBand="false" w:firstColumn="false"/>
            <w:tcW w:w="25.000000%" w:type="pct"/>
          </w:tcPr>
          <w:p>
            <w:pPr>
              <w:ind w:leftChars="0" w:left="0" w:right="0"/>
            </w:pPr>
            <w:r>
              <w:t>2117</w:t>
            </w:r>
          </w:p>
        </w:tc>
      </w:tr>
      <w:tr>
        <w:trPr>
          <w:cnfStyle w:evenHBand="false" w:oddHBand="true" w:firstRow="false"/>
        </w:trPr>
        <w:tc>
          <w:tcPr>
            <w:cnfStyle w:evenVBand="false" w:oddVBand="true" w:firstColumn="false"/>
            <w:tcW w:w="25.000000%" w:type="pct"/>
          </w:tcPr>
          <w:p>
            <w:pPr>
              <w:ind w:leftChars="0" w:left="0" w:right="0"/>
            </w:pPr>
            <w:r>
              <w:t>XETV</w:t>
            </w:r>
          </w:p>
        </w:tc>
        <w:tc>
          <w:tcPr>
            <w:cnfStyle w:evenVBand="true" w:oddVBand="false" w:firstColumn="false"/>
            <w:tcW w:w="25.000000%" w:type="pct"/>
          </w:tcPr>
          <w:p>
            <w:pPr>
              <w:ind w:leftChars="0" w:left="0" w:right="0"/>
            </w:pPr>
            <w:r>
              <w:t>XETV</w:t>
            </w:r>
          </w:p>
        </w:tc>
        <w:tc>
          <w:tcPr>
            <w:cnfStyle w:evenVBand="false" w:oddVBand="true" w:firstColumn="false"/>
            <w:tcW w:w="25.000000%" w:type="pct"/>
          </w:tcPr>
          <w:p>
            <w:pPr>
              <w:ind w:leftChars="0" w:left="0" w:right="0"/>
            </w:pPr>
            <w:r>
              <w:t>XETRA - FREIVERKEHR - OFF-BOOK</w:t>
            </w:r>
          </w:p>
        </w:tc>
        <w:tc>
          <w:tcPr>
            <w:cnfStyle w:evenVBand="true" w:oddVBand="false" w:firstColumn="false"/>
            <w:tcW w:w="25.000000%" w:type="pct"/>
          </w:tcPr>
          <w:p>
            <w:pPr>
              <w:ind w:leftChars="0" w:left="0" w:right="0"/>
            </w:pPr>
            <w:r>
              <w:t>2118</w:t>
            </w:r>
          </w:p>
        </w:tc>
      </w:tr>
      <w:tr>
        <w:trPr>
          <w:cnfStyle w:evenHBand="true" w:oddHBand="false" w:firstRow="false"/>
        </w:trPr>
        <w:tc>
          <w:tcPr>
            <w:cnfStyle w:evenVBand="false" w:oddVBand="true" w:firstColumn="false"/>
            <w:tcW w:w="25.000000%" w:type="pct"/>
          </w:tcPr>
          <w:p>
            <w:pPr>
              <w:ind w:leftChars="0" w:left="0" w:right="0"/>
            </w:pPr>
            <w:r>
              <w:t>XETW</w:t>
            </w:r>
          </w:p>
        </w:tc>
        <w:tc>
          <w:tcPr>
            <w:cnfStyle w:evenVBand="true" w:oddVBand="false" w:firstColumn="false"/>
            <w:tcW w:w="25.000000%" w:type="pct"/>
          </w:tcPr>
          <w:p>
            <w:pPr>
              <w:ind w:leftChars="0" w:left="0" w:right="0"/>
            </w:pPr>
            <w:r>
              <w:t>XETW</w:t>
            </w:r>
          </w:p>
        </w:tc>
        <w:tc>
          <w:tcPr>
            <w:cnfStyle w:evenVBand="false" w:oddVBand="true" w:firstColumn="false"/>
            <w:tcW w:w="25.000000%" w:type="pct"/>
          </w:tcPr>
          <w:p>
            <w:pPr>
              <w:ind w:leftChars="0" w:left="0" w:right="0"/>
            </w:pPr>
            <w:r>
              <w:t>XETRA - SCALE - OFF-BOOK</w:t>
            </w:r>
          </w:p>
        </w:tc>
        <w:tc>
          <w:tcPr>
            <w:cnfStyle w:evenVBand="true" w:oddVBand="false" w:firstColumn="false"/>
            <w:tcW w:w="25.000000%" w:type="pct"/>
          </w:tcPr>
          <w:p>
            <w:pPr>
              <w:ind w:leftChars="0" w:left="0" w:right="0"/>
            </w:pPr>
            <w:r>
              <w:t>2119</w:t>
            </w:r>
          </w:p>
        </w:tc>
      </w:tr>
      <w:tr>
        <w:trPr>
          <w:cnfStyle w:evenHBand="false" w:oddHBand="true" w:firstRow="false"/>
        </w:trPr>
        <w:tc>
          <w:tcPr>
            <w:cnfStyle w:evenVBand="false" w:oddVBand="true" w:firstColumn="false"/>
            <w:tcW w:w="25.000000%" w:type="pct"/>
          </w:tcPr>
          <w:p>
            <w:pPr>
              <w:ind w:leftChars="0" w:left="0" w:right="0"/>
            </w:pPr>
            <w:r>
              <w:t>XETX</w:t>
            </w:r>
          </w:p>
        </w:tc>
        <w:tc>
          <w:tcPr>
            <w:cnfStyle w:evenVBand="true" w:oddVBand="false" w:firstColumn="false"/>
            <w:tcW w:w="25.000000%" w:type="pct"/>
          </w:tcPr>
          <w:p>
            <w:pPr>
              <w:ind w:leftChars="0" w:left="0" w:right="0"/>
            </w:pPr>
            <w:r>
              <w:t>XETX</w:t>
            </w:r>
          </w:p>
        </w:tc>
        <w:tc>
          <w:tcPr>
            <w:cnfStyle w:evenVBand="false" w:oddVBand="true" w:firstColumn="false"/>
            <w:tcW w:w="25.000000%" w:type="pct"/>
          </w:tcPr>
          <w:p>
            <w:pPr>
              <w:ind w:leftChars="0" w:left="0" w:right="0"/>
            </w:pPr>
            <w:r>
              <w:t>XETRA - NON-FINANCIAL INSTRUMENTS - OFF-BOOK</w:t>
            </w:r>
          </w:p>
        </w:tc>
        <w:tc>
          <w:tcPr>
            <w:cnfStyle w:evenVBand="true" w:oddVBand="false" w:firstColumn="false"/>
            <w:tcW w:w="25.000000%" w:type="pct"/>
          </w:tcPr>
          <w:p>
            <w:pPr>
              <w:ind w:leftChars="0" w:left="0" w:right="0"/>
            </w:pPr>
            <w:r>
              <w:t>2120</w:t>
            </w:r>
          </w:p>
        </w:tc>
      </w:tr>
      <w:tr>
        <w:trPr>
          <w:cnfStyle w:evenHBand="true" w:oddHBand="false" w:firstRow="false"/>
        </w:trPr>
        <w:tc>
          <w:tcPr>
            <w:cnfStyle w:evenVBand="false" w:oddVBand="true" w:firstColumn="false"/>
            <w:tcW w:w="25.000000%" w:type="pct"/>
          </w:tcPr>
          <w:p>
            <w:pPr>
              <w:ind w:leftChars="0" w:left="0" w:right="0"/>
            </w:pPr>
            <w:r>
              <w:t>XEUB</w:t>
            </w:r>
          </w:p>
        </w:tc>
        <w:tc>
          <w:tcPr>
            <w:cnfStyle w:evenVBand="true" w:oddVBand="false" w:firstColumn="false"/>
            <w:tcW w:w="25.000000%" w:type="pct"/>
          </w:tcPr>
          <w:p>
            <w:pPr>
              <w:ind w:leftChars="0" w:left="0" w:right="0"/>
            </w:pPr>
            <w:r>
              <w:t>XEUB</w:t>
            </w:r>
          </w:p>
        </w:tc>
        <w:tc>
          <w:tcPr>
            <w:cnfStyle w:evenVBand="false" w:oddVBand="true" w:firstColumn="false"/>
            <w:tcW w:w="25.000000%" w:type="pct"/>
          </w:tcPr>
          <w:p>
            <w:pPr>
              <w:ind w:leftChars="0" w:left="0" w:right="0"/>
            </w:pPr>
            <w:r>
              <w:t>EUREX BONDS</w:t>
            </w:r>
          </w:p>
        </w:tc>
        <w:tc>
          <w:tcPr>
            <w:cnfStyle w:evenVBand="true" w:oddVBand="false" w:firstColumn="false"/>
            <w:tcW w:w="25.000000%" w:type="pct"/>
          </w:tcPr>
          <w:p>
            <w:pPr>
              <w:ind w:leftChars="0" w:left="0" w:right="0"/>
            </w:pPr>
            <w:r>
              <w:t>2121</w:t>
            </w:r>
          </w:p>
        </w:tc>
      </w:tr>
      <w:tr>
        <w:trPr>
          <w:cnfStyle w:evenHBand="false" w:oddHBand="true" w:firstRow="false"/>
        </w:trPr>
        <w:tc>
          <w:tcPr>
            <w:cnfStyle w:evenVBand="false" w:oddVBand="true" w:firstColumn="false"/>
            <w:tcW w:w="25.000000%" w:type="pct"/>
          </w:tcPr>
          <w:p>
            <w:pPr>
              <w:ind w:leftChars="0" w:left="0" w:right="0"/>
            </w:pPr>
            <w:r>
              <w:t>XEUC</w:t>
            </w:r>
          </w:p>
        </w:tc>
        <w:tc>
          <w:tcPr>
            <w:cnfStyle w:evenVBand="true" w:oddVBand="false" w:firstColumn="false"/>
            <w:tcW w:w="25.000000%" w:type="pct"/>
          </w:tcPr>
          <w:p>
            <w:pPr>
              <w:ind w:leftChars="0" w:left="0" w:right="0"/>
            </w:pPr>
            <w:r>
              <w:t>XEUC</w:t>
            </w:r>
          </w:p>
        </w:tc>
        <w:tc>
          <w:tcPr>
            <w:cnfStyle w:evenVBand="false" w:oddVBand="true" w:firstColumn="false"/>
            <w:tcW w:w="25.000000%" w:type="pct"/>
          </w:tcPr>
          <w:p>
            <w:pPr>
              <w:ind w:leftChars="0" w:left="0" w:right="0"/>
            </w:pPr>
            <w:r>
              <w:t>EURONEXT COM, COMMODITIES FUTURES AND OPTIONS</w:t>
            </w:r>
          </w:p>
        </w:tc>
        <w:tc>
          <w:tcPr>
            <w:cnfStyle w:evenVBand="true" w:oddVBand="false" w:firstColumn="false"/>
            <w:tcW w:w="25.000000%" w:type="pct"/>
          </w:tcPr>
          <w:p>
            <w:pPr>
              <w:ind w:leftChars="0" w:left="0" w:right="0"/>
            </w:pPr>
            <w:r>
              <w:t>2122</w:t>
            </w:r>
          </w:p>
        </w:tc>
      </w:tr>
      <w:tr>
        <w:trPr>
          <w:cnfStyle w:evenHBand="true" w:oddHBand="false" w:firstRow="false"/>
        </w:trPr>
        <w:tc>
          <w:tcPr>
            <w:cnfStyle w:evenVBand="false" w:oddVBand="true" w:firstColumn="false"/>
            <w:tcW w:w="25.000000%" w:type="pct"/>
          </w:tcPr>
          <w:p>
            <w:pPr>
              <w:ind w:leftChars="0" w:left="0" w:right="0"/>
            </w:pPr>
            <w:r>
              <w:t>XEUE</w:t>
            </w:r>
          </w:p>
        </w:tc>
        <w:tc>
          <w:tcPr>
            <w:cnfStyle w:evenVBand="true" w:oddVBand="false" w:firstColumn="false"/>
            <w:tcW w:w="25.000000%" w:type="pct"/>
          </w:tcPr>
          <w:p>
            <w:pPr>
              <w:ind w:leftChars="0" w:left="0" w:right="0"/>
            </w:pPr>
            <w:r>
              <w:t>XEUE</w:t>
            </w:r>
          </w:p>
        </w:tc>
        <w:tc>
          <w:tcPr>
            <w:cnfStyle w:evenVBand="false" w:oddVBand="true" w:firstColumn="false"/>
            <w:tcW w:w="25.000000%" w:type="pct"/>
          </w:tcPr>
          <w:p>
            <w:pPr>
              <w:ind w:leftChars="0" w:left="0" w:right="0"/>
            </w:pPr>
            <w:r>
              <w:t>EURONEXT EQF, EQUITIES AND INDICES DERIVATIVES</w:t>
            </w:r>
          </w:p>
        </w:tc>
        <w:tc>
          <w:tcPr>
            <w:cnfStyle w:evenVBand="true" w:oddVBand="false" w:firstColumn="false"/>
            <w:tcW w:w="25.000000%" w:type="pct"/>
          </w:tcPr>
          <w:p>
            <w:pPr>
              <w:ind w:leftChars="0" w:left="0" w:right="0"/>
            </w:pPr>
            <w:r>
              <w:t>2123</w:t>
            </w:r>
          </w:p>
        </w:tc>
      </w:tr>
      <w:tr>
        <w:trPr>
          <w:cnfStyle w:evenHBand="false" w:oddHBand="true" w:firstRow="false"/>
        </w:trPr>
        <w:tc>
          <w:tcPr>
            <w:cnfStyle w:evenVBand="false" w:oddVBand="true" w:firstColumn="false"/>
            <w:tcW w:w="25.000000%" w:type="pct"/>
          </w:tcPr>
          <w:p>
            <w:pPr>
              <w:ind w:leftChars="0" w:left="0" w:right="0"/>
            </w:pPr>
            <w:r>
              <w:t>XEUI</w:t>
            </w:r>
          </w:p>
        </w:tc>
        <w:tc>
          <w:tcPr>
            <w:cnfStyle w:evenVBand="true" w:oddVBand="false" w:firstColumn="false"/>
            <w:tcW w:w="25.000000%" w:type="pct"/>
          </w:tcPr>
          <w:p>
            <w:pPr>
              <w:ind w:leftChars="0" w:left="0" w:right="0"/>
            </w:pPr>
            <w:r>
              <w:t>XEUI</w:t>
            </w:r>
          </w:p>
        </w:tc>
        <w:tc>
          <w:tcPr>
            <w:cnfStyle w:evenVBand="false" w:oddVBand="true" w:firstColumn="false"/>
            <w:tcW w:w="25.000000%" w:type="pct"/>
          </w:tcPr>
          <w:p>
            <w:pPr>
              <w:ind w:leftChars="0" w:left="0" w:right="0"/>
            </w:pPr>
            <w:r>
              <w:t>EURONEXT IRF, INTEREST RATE FUTURE AND OPTIONS</w:t>
            </w:r>
          </w:p>
        </w:tc>
        <w:tc>
          <w:tcPr>
            <w:cnfStyle w:evenVBand="true" w:oddVBand="false" w:firstColumn="false"/>
            <w:tcW w:w="25.000000%" w:type="pct"/>
          </w:tcPr>
          <w:p>
            <w:pPr>
              <w:ind w:leftChars="0" w:left="0" w:right="0"/>
            </w:pPr>
            <w:r>
              <w:t>2124</w:t>
            </w:r>
          </w:p>
        </w:tc>
      </w:tr>
      <w:tr>
        <w:trPr>
          <w:cnfStyle w:evenHBand="true" w:oddHBand="false" w:firstRow="false"/>
        </w:trPr>
        <w:tc>
          <w:tcPr>
            <w:cnfStyle w:evenVBand="false" w:oddVBand="true" w:firstColumn="false"/>
            <w:tcW w:w="25.000000%" w:type="pct"/>
          </w:tcPr>
          <w:p>
            <w:pPr>
              <w:ind w:leftChars="0" w:left="0" w:right="0"/>
            </w:pPr>
            <w:r>
              <w:t>XEUM</w:t>
            </w:r>
          </w:p>
        </w:tc>
        <w:tc>
          <w:tcPr>
            <w:cnfStyle w:evenVBand="true" w:oddVBand="false" w:firstColumn="false"/>
            <w:tcW w:w="25.000000%" w:type="pct"/>
          </w:tcPr>
          <w:p>
            <w:pPr>
              <w:ind w:leftChars="0" w:left="0" w:right="0"/>
            </w:pPr>
            <w:r>
              <w:t>XEUM</w:t>
            </w:r>
          </w:p>
        </w:tc>
        <w:tc>
          <w:tcPr>
            <w:cnfStyle w:evenVBand="false" w:oddVBand="true" w:firstColumn="false"/>
            <w:tcW w:w="25.000000%" w:type="pct"/>
          </w:tcPr>
          <w:p>
            <w:pPr>
              <w:ind w:leftChars="0" w:left="0" w:right="0"/>
            </w:pPr>
            <w:r>
              <w:t>EUREX REPO SECLEND MARKET</w:t>
            </w:r>
          </w:p>
        </w:tc>
        <w:tc>
          <w:tcPr>
            <w:cnfStyle w:evenVBand="true" w:oddVBand="false" w:firstColumn="false"/>
            <w:tcW w:w="25.000000%" w:type="pct"/>
          </w:tcPr>
          <w:p>
            <w:pPr>
              <w:ind w:leftChars="0" w:left="0" w:right="0"/>
            </w:pPr>
            <w:r>
              <w:t>2125</w:t>
            </w:r>
          </w:p>
        </w:tc>
      </w:tr>
      <w:tr>
        <w:trPr>
          <w:cnfStyle w:evenHBand="false" w:oddHBand="true" w:firstRow="false"/>
        </w:trPr>
        <w:tc>
          <w:tcPr>
            <w:cnfStyle w:evenVBand="false" w:oddVBand="true" w:firstColumn="false"/>
            <w:tcW w:w="25.000000%" w:type="pct"/>
          </w:tcPr>
          <w:p>
            <w:pPr>
              <w:ind w:leftChars="0" w:left="0" w:right="0"/>
            </w:pPr>
            <w:r>
              <w:t>XEUP</w:t>
            </w:r>
          </w:p>
        </w:tc>
        <w:tc>
          <w:tcPr>
            <w:cnfStyle w:evenVBand="true" w:oddVBand="false" w:firstColumn="false"/>
            <w:tcW w:w="25.000000%" w:type="pct"/>
          </w:tcPr>
          <w:p>
            <w:pPr>
              <w:ind w:leftChars="0" w:left="0" w:right="0"/>
            </w:pPr>
            <w:r>
              <w:t>XEUP</w:t>
            </w:r>
          </w:p>
        </w:tc>
        <w:tc>
          <w:tcPr>
            <w:cnfStyle w:evenVBand="false" w:oddVBand="true" w:firstColumn="false"/>
            <w:tcW w:w="25.000000%" w:type="pct"/>
          </w:tcPr>
          <w:p>
            <w:pPr>
              <w:ind w:leftChars="0" w:left="0" w:right="0"/>
            </w:pPr>
            <w:r>
              <w:t>EUREX REPO GMBH</w:t>
            </w:r>
          </w:p>
        </w:tc>
        <w:tc>
          <w:tcPr>
            <w:cnfStyle w:evenVBand="true" w:oddVBand="false" w:firstColumn="false"/>
            <w:tcW w:w="25.000000%" w:type="pct"/>
          </w:tcPr>
          <w:p>
            <w:pPr>
              <w:ind w:leftChars="0" w:left="0" w:right="0"/>
            </w:pPr>
            <w:r>
              <w:t>2126</w:t>
            </w:r>
          </w:p>
        </w:tc>
      </w:tr>
      <w:tr>
        <w:trPr>
          <w:cnfStyle w:evenHBand="true" w:oddHBand="false" w:firstRow="false"/>
        </w:trPr>
        <w:tc>
          <w:tcPr>
            <w:cnfStyle w:evenVBand="false" w:oddVBand="true" w:firstColumn="false"/>
            <w:tcW w:w="25.000000%" w:type="pct"/>
          </w:tcPr>
          <w:p>
            <w:pPr>
              <w:ind w:leftChars="0" w:left="0" w:right="0"/>
            </w:pPr>
            <w:r>
              <w:t>XEUR</w:t>
            </w:r>
          </w:p>
        </w:tc>
        <w:tc>
          <w:tcPr>
            <w:cnfStyle w:evenVBand="true" w:oddVBand="false" w:firstColumn="false"/>
            <w:tcW w:w="25.000000%" w:type="pct"/>
          </w:tcPr>
          <w:p>
            <w:pPr>
              <w:ind w:leftChars="0" w:left="0" w:right="0"/>
            </w:pPr>
            <w:r>
              <w:t>XEUR</w:t>
            </w:r>
          </w:p>
        </w:tc>
        <w:tc>
          <w:tcPr>
            <w:cnfStyle w:evenVBand="false" w:oddVBand="true" w:firstColumn="false"/>
            <w:tcW w:w="25.000000%" w:type="pct"/>
          </w:tcPr>
          <w:p>
            <w:pPr>
              <w:ind w:leftChars="0" w:left="0" w:right="0"/>
            </w:pPr>
            <w:r>
              <w:t>EUREX DEUTSCHLAND</w:t>
            </w:r>
          </w:p>
        </w:tc>
        <w:tc>
          <w:tcPr>
            <w:cnfStyle w:evenVBand="true" w:oddVBand="false" w:firstColumn="false"/>
            <w:tcW w:w="25.000000%" w:type="pct"/>
          </w:tcPr>
          <w:p>
            <w:pPr>
              <w:ind w:leftChars="0" w:left="0" w:right="0"/>
            </w:pPr>
            <w:r>
              <w:t>2127</w:t>
            </w:r>
          </w:p>
        </w:tc>
      </w:tr>
      <w:tr>
        <w:trPr>
          <w:cnfStyle w:evenHBand="false" w:oddHBand="true" w:firstRow="false"/>
        </w:trPr>
        <w:tc>
          <w:tcPr>
            <w:cnfStyle w:evenVBand="false" w:oddVBand="true" w:firstColumn="false"/>
            <w:tcW w:w="25.000000%" w:type="pct"/>
          </w:tcPr>
          <w:p>
            <w:pPr>
              <w:ind w:leftChars="0" w:left="0" w:right="0"/>
            </w:pPr>
            <w:r>
              <w:t>XEUS</w:t>
            </w:r>
          </w:p>
        </w:tc>
        <w:tc>
          <w:tcPr>
            <w:cnfStyle w:evenVBand="true" w:oddVBand="false" w:firstColumn="false"/>
            <w:tcW w:w="25.000000%" w:type="pct"/>
          </w:tcPr>
          <w:p>
            <w:pPr>
              <w:ind w:leftChars="0" w:left="0" w:right="0"/>
            </w:pPr>
            <w:r>
              <w:t>XEUS</w:t>
            </w:r>
          </w:p>
        </w:tc>
        <w:tc>
          <w:tcPr>
            <w:cnfStyle w:evenVBand="false" w:oddVBand="true" w:firstColumn="false"/>
            <w:tcW w:w="25.000000%" w:type="pct"/>
          </w:tcPr>
          <w:p>
            <w:pPr>
              <w:ind w:leftChars="0" w:left="0" w:right="0"/>
            </w:pPr>
            <w:r>
              <w:t>US FUTURES EXCHANGE</w:t>
            </w:r>
          </w:p>
        </w:tc>
        <w:tc>
          <w:tcPr>
            <w:cnfStyle w:evenVBand="true" w:oddVBand="false" w:firstColumn="false"/>
            <w:tcW w:w="25.000000%" w:type="pct"/>
          </w:tcPr>
          <w:p>
            <w:pPr>
              <w:ind w:leftChars="0" w:left="0" w:right="0"/>
            </w:pPr>
            <w:r>
              <w:t>2128</w:t>
            </w:r>
          </w:p>
        </w:tc>
      </w:tr>
      <w:tr>
        <w:trPr>
          <w:cnfStyle w:evenHBand="true" w:oddHBand="false" w:firstRow="false"/>
        </w:trPr>
        <w:tc>
          <w:tcPr>
            <w:cnfStyle w:evenVBand="false" w:oddVBand="true" w:firstColumn="false"/>
            <w:tcW w:w="25.000000%" w:type="pct"/>
          </w:tcPr>
          <w:p>
            <w:pPr>
              <w:ind w:leftChars="0" w:left="0" w:right="0"/>
            </w:pPr>
            <w:r>
              <w:t>XEYE</w:t>
            </w:r>
          </w:p>
        </w:tc>
        <w:tc>
          <w:tcPr>
            <w:cnfStyle w:evenVBand="true" w:oddVBand="false" w:firstColumn="false"/>
            <w:tcW w:w="25.000000%" w:type="pct"/>
          </w:tcPr>
          <w:p>
            <w:pPr>
              <w:ind w:leftChars="0" w:left="0" w:right="0"/>
            </w:pPr>
            <w:r>
              <w:t>XEYE</w:t>
            </w:r>
          </w:p>
        </w:tc>
        <w:tc>
          <w:tcPr>
            <w:cnfStyle w:evenVBand="false" w:oddVBand="true" w:firstColumn="false"/>
            <w:tcW w:w="25.000000%" w:type="pct"/>
          </w:tcPr>
          <w:p>
            <w:pPr>
              <w:ind w:leftChars="0" w:left="0" w:right="0"/>
            </w:pPr>
            <w:r>
              <w:t>IRISH STOCK EXCHANGE  - GLOBAL EXCHANGE MARKET</w:t>
            </w:r>
          </w:p>
        </w:tc>
        <w:tc>
          <w:tcPr>
            <w:cnfStyle w:evenVBand="true" w:oddVBand="false" w:firstColumn="false"/>
            <w:tcW w:w="25.000000%" w:type="pct"/>
          </w:tcPr>
          <w:p>
            <w:pPr>
              <w:ind w:leftChars="0" w:left="0" w:right="0"/>
            </w:pPr>
            <w:r>
              <w:t>2129</w:t>
            </w:r>
          </w:p>
        </w:tc>
      </w:tr>
      <w:tr>
        <w:trPr>
          <w:cnfStyle w:evenHBand="false" w:oddHBand="true" w:firstRow="false"/>
        </w:trPr>
        <w:tc>
          <w:tcPr>
            <w:cnfStyle w:evenVBand="false" w:oddVBand="true" w:firstColumn="false"/>
            <w:tcW w:w="25.000000%" w:type="pct"/>
          </w:tcPr>
          <w:p>
            <w:pPr>
              <w:ind w:leftChars="0" w:left="0" w:right="0"/>
            </w:pPr>
            <w:r>
              <w:t>XFCI</w:t>
            </w:r>
          </w:p>
        </w:tc>
        <w:tc>
          <w:tcPr>
            <w:cnfStyle w:evenVBand="true" w:oddVBand="false" w:firstColumn="false"/>
            <w:tcW w:w="25.000000%" w:type="pct"/>
          </w:tcPr>
          <w:p>
            <w:pPr>
              <w:ind w:leftChars="0" w:left="0" w:right="0"/>
            </w:pPr>
            <w:r>
              <w:t>XFCI</w:t>
            </w:r>
          </w:p>
        </w:tc>
        <w:tc>
          <w:tcPr>
            <w:cnfStyle w:evenVBand="false" w:oddVBand="true" w:firstColumn="false"/>
            <w:tcW w:w="25.000000%" w:type="pct"/>
          </w:tcPr>
          <w:p>
            <w:pPr>
              <w:ind w:leftChars="0" w:left="0" w:right="0"/>
            </w:pPr>
            <w:r>
              <w:t>FINANCIALCONTENT - INDEXES</w:t>
            </w:r>
          </w:p>
        </w:tc>
        <w:tc>
          <w:tcPr>
            <w:cnfStyle w:evenVBand="true" w:oddVBand="false" w:firstColumn="false"/>
            <w:tcW w:w="25.000000%" w:type="pct"/>
          </w:tcPr>
          <w:p>
            <w:pPr>
              <w:ind w:leftChars="0" w:left="0" w:right="0"/>
            </w:pPr>
            <w:r>
              <w:t>2130</w:t>
            </w:r>
          </w:p>
        </w:tc>
      </w:tr>
      <w:tr>
        <w:trPr>
          <w:cnfStyle w:evenHBand="true" w:oddHBand="false" w:firstRow="false"/>
        </w:trPr>
        <w:tc>
          <w:tcPr>
            <w:cnfStyle w:evenVBand="false" w:oddVBand="true" w:firstColumn="false"/>
            <w:tcW w:w="25.000000%" w:type="pct"/>
          </w:tcPr>
          <w:p>
            <w:pPr>
              <w:ind w:leftChars="0" w:left="0" w:right="0"/>
            </w:pPr>
            <w:r>
              <w:t>XFCM</w:t>
            </w:r>
          </w:p>
        </w:tc>
        <w:tc>
          <w:tcPr>
            <w:cnfStyle w:evenVBand="true" w:oddVBand="false" w:firstColumn="false"/>
            <w:tcW w:w="25.000000%" w:type="pct"/>
          </w:tcPr>
          <w:p>
            <w:pPr>
              <w:ind w:leftChars="0" w:left="0" w:right="0"/>
            </w:pPr>
            <w:r>
              <w:t>XFCM</w:t>
            </w:r>
          </w:p>
        </w:tc>
        <w:tc>
          <w:tcPr>
            <w:cnfStyle w:evenVBand="false" w:oddVBand="true" w:firstColumn="false"/>
            <w:tcW w:w="25.000000%" w:type="pct"/>
          </w:tcPr>
          <w:p>
            <w:pPr>
              <w:ind w:leftChars="0" w:left="0" w:right="0"/>
            </w:pPr>
            <w:r>
              <w:t>MERCADO DE FUTUROS Y OPCIONES SOBRE CITRICOS</w:t>
            </w:r>
          </w:p>
        </w:tc>
        <w:tc>
          <w:tcPr>
            <w:cnfStyle w:evenVBand="true" w:oddVBand="false" w:firstColumn="false"/>
            <w:tcW w:w="25.000000%" w:type="pct"/>
          </w:tcPr>
          <w:p>
            <w:pPr>
              <w:ind w:leftChars="0" w:left="0" w:right="0"/>
            </w:pPr>
            <w:r>
              <w:t>2131</w:t>
            </w:r>
          </w:p>
        </w:tc>
      </w:tr>
      <w:tr>
        <w:trPr>
          <w:cnfStyle w:evenHBand="false" w:oddHBand="true" w:firstRow="false"/>
        </w:trPr>
        <w:tc>
          <w:tcPr>
            <w:cnfStyle w:evenVBand="false" w:oddVBand="true" w:firstColumn="false"/>
            <w:tcW w:w="25.000000%" w:type="pct"/>
          </w:tcPr>
          <w:p>
            <w:pPr>
              <w:ind w:leftChars="0" w:left="0" w:right="0"/>
            </w:pPr>
            <w:r>
              <w:t>XFDA</w:t>
            </w:r>
          </w:p>
        </w:tc>
        <w:tc>
          <w:tcPr>
            <w:cnfStyle w:evenVBand="true" w:oddVBand="false" w:firstColumn="false"/>
            <w:tcW w:w="25.000000%" w:type="pct"/>
          </w:tcPr>
          <w:p>
            <w:pPr>
              <w:ind w:leftChars="0" w:left="0" w:right="0"/>
            </w:pPr>
            <w:r>
              <w:t>XFDA</w:t>
            </w:r>
          </w:p>
        </w:tc>
        <w:tc>
          <w:tcPr>
            <w:cnfStyle w:evenVBand="false" w:oddVBand="true" w:firstColumn="false"/>
            <w:tcW w:w="25.000000%" w:type="pct"/>
          </w:tcPr>
          <w:p>
            <w:pPr>
              <w:ind w:leftChars="0" w:left="0" w:right="0"/>
            </w:pPr>
            <w:r>
              <w:t>FINANCIALCONTENT - DIGITAL ASSET TRADE REPORTING FACILITY</w:t>
            </w:r>
          </w:p>
        </w:tc>
        <w:tc>
          <w:tcPr>
            <w:cnfStyle w:evenVBand="true" w:oddVBand="false" w:firstColumn="false"/>
            <w:tcW w:w="25.000000%" w:type="pct"/>
          </w:tcPr>
          <w:p>
            <w:pPr>
              <w:ind w:leftChars="0" w:left="0" w:right="0"/>
            </w:pPr>
            <w:r>
              <w:t>2132</w:t>
            </w:r>
          </w:p>
        </w:tc>
      </w:tr>
      <w:tr>
        <w:trPr>
          <w:cnfStyle w:evenHBand="true" w:oddHBand="false" w:firstRow="false"/>
        </w:trPr>
        <w:tc>
          <w:tcPr>
            <w:cnfStyle w:evenVBand="false" w:oddVBand="true" w:firstColumn="false"/>
            <w:tcW w:w="25.000000%" w:type="pct"/>
          </w:tcPr>
          <w:p>
            <w:pPr>
              <w:ind w:leftChars="0" w:left="0" w:right="0"/>
            </w:pPr>
            <w:r>
              <w:t>XFEX</w:t>
            </w:r>
          </w:p>
        </w:tc>
        <w:tc>
          <w:tcPr>
            <w:cnfStyle w:evenVBand="true" w:oddVBand="false" w:firstColumn="false"/>
            <w:tcW w:w="25.000000%" w:type="pct"/>
          </w:tcPr>
          <w:p>
            <w:pPr>
              <w:ind w:leftChars="0" w:left="0" w:right="0"/>
            </w:pPr>
            <w:r>
              <w:t>XFEX</w:t>
            </w:r>
          </w:p>
        </w:tc>
        <w:tc>
          <w:tcPr>
            <w:cnfStyle w:evenVBand="false" w:oddVBand="true" w:firstColumn="false"/>
            <w:tcW w:w="25.000000%" w:type="pct"/>
          </w:tcPr>
          <w:p>
            <w:pPr>
              <w:ind w:leftChars="0" w:left="0" w:right="0"/>
            </w:pPr>
            <w:r>
              <w:t>FEX GLOBAL</w:t>
            </w:r>
          </w:p>
        </w:tc>
        <w:tc>
          <w:tcPr>
            <w:cnfStyle w:evenVBand="true" w:oddVBand="false" w:firstColumn="false"/>
            <w:tcW w:w="25.000000%" w:type="pct"/>
          </w:tcPr>
          <w:p>
            <w:pPr>
              <w:ind w:leftChars="0" w:left="0" w:right="0"/>
            </w:pPr>
            <w:r>
              <w:t>2133</w:t>
            </w:r>
          </w:p>
        </w:tc>
      </w:tr>
      <w:tr>
        <w:trPr>
          <w:cnfStyle w:evenHBand="false" w:oddHBand="true" w:firstRow="false"/>
        </w:trPr>
        <w:tc>
          <w:tcPr>
            <w:cnfStyle w:evenVBand="false" w:oddVBand="true" w:firstColumn="false"/>
            <w:tcW w:w="25.000000%" w:type="pct"/>
          </w:tcPr>
          <w:p>
            <w:pPr>
              <w:ind w:leftChars="0" w:left="0" w:right="0"/>
            </w:pPr>
            <w:r>
              <w:t>XFFE</w:t>
            </w:r>
          </w:p>
        </w:tc>
        <w:tc>
          <w:tcPr>
            <w:cnfStyle w:evenVBand="true" w:oddVBand="false" w:firstColumn="false"/>
            <w:tcW w:w="25.000000%" w:type="pct"/>
          </w:tcPr>
          <w:p>
            <w:pPr>
              <w:ind w:leftChars="0" w:left="0" w:right="0"/>
            </w:pPr>
            <w:r>
              <w:t>XFFE</w:t>
            </w:r>
          </w:p>
        </w:tc>
        <w:tc>
          <w:tcPr>
            <w:cnfStyle w:evenVBand="false" w:oddVBand="true" w:firstColumn="false"/>
            <w:tcW w:w="25.000000%" w:type="pct"/>
          </w:tcPr>
          <w:p>
            <w:pPr>
              <w:ind w:leftChars="0" w:left="0" w:right="0"/>
            </w:pPr>
            <w:r>
              <w:t>FUKUOKA FUTURES EXCHANGE</w:t>
            </w:r>
          </w:p>
        </w:tc>
        <w:tc>
          <w:tcPr>
            <w:cnfStyle w:evenVBand="true" w:oddVBand="false" w:firstColumn="false"/>
            <w:tcW w:w="25.000000%" w:type="pct"/>
          </w:tcPr>
          <w:p>
            <w:pPr>
              <w:ind w:leftChars="0" w:left="0" w:right="0"/>
            </w:pPr>
            <w:r>
              <w:t>2134</w:t>
            </w:r>
          </w:p>
        </w:tc>
      </w:tr>
      <w:tr>
        <w:trPr>
          <w:cnfStyle w:evenHBand="true" w:oddHBand="false" w:firstRow="false"/>
        </w:trPr>
        <w:tc>
          <w:tcPr>
            <w:cnfStyle w:evenVBand="false" w:oddVBand="true" w:firstColumn="false"/>
            <w:tcW w:w="25.000000%" w:type="pct"/>
          </w:tcPr>
          <w:p>
            <w:pPr>
              <w:ind w:leftChars="0" w:left="0" w:right="0"/>
            </w:pPr>
            <w:r>
              <w:t>XFKA</w:t>
            </w:r>
          </w:p>
        </w:tc>
        <w:tc>
          <w:tcPr>
            <w:cnfStyle w:evenVBand="true" w:oddVBand="false" w:firstColumn="false"/>
            <w:tcW w:w="25.000000%" w:type="pct"/>
          </w:tcPr>
          <w:p>
            <w:pPr>
              <w:ind w:leftChars="0" w:left="0" w:right="0"/>
            </w:pPr>
            <w:r>
              <w:t>XFKA</w:t>
            </w:r>
          </w:p>
        </w:tc>
        <w:tc>
          <w:tcPr>
            <w:cnfStyle w:evenVBand="false" w:oddVBand="true" w:firstColumn="false"/>
            <w:tcW w:w="25.000000%" w:type="pct"/>
          </w:tcPr>
          <w:p>
            <w:pPr>
              <w:ind w:leftChars="0" w:left="0" w:right="0"/>
            </w:pPr>
            <w:r>
              <w:t>FUKUOKA STOCK EXCHANGE</w:t>
            </w:r>
          </w:p>
        </w:tc>
        <w:tc>
          <w:tcPr>
            <w:cnfStyle w:evenVBand="true" w:oddVBand="false" w:firstColumn="false"/>
            <w:tcW w:w="25.000000%" w:type="pct"/>
          </w:tcPr>
          <w:p>
            <w:pPr>
              <w:ind w:leftChars="0" w:left="0" w:right="0"/>
            </w:pPr>
            <w:r>
              <w:t>2135</w:t>
            </w:r>
          </w:p>
        </w:tc>
      </w:tr>
      <w:tr>
        <w:trPr>
          <w:cnfStyle w:evenHBand="false" w:oddHBand="true" w:firstRow="false"/>
        </w:trPr>
        <w:tc>
          <w:tcPr>
            <w:cnfStyle w:evenVBand="false" w:oddVBand="true" w:firstColumn="false"/>
            <w:tcW w:w="25.000000%" w:type="pct"/>
          </w:tcPr>
          <w:p>
            <w:pPr>
              <w:ind w:leftChars="0" w:left="0" w:right="0"/>
            </w:pPr>
            <w:r>
              <w:t>XFMN</w:t>
            </w:r>
          </w:p>
        </w:tc>
        <w:tc>
          <w:tcPr>
            <w:cnfStyle w:evenVBand="true" w:oddVBand="false" w:firstColumn="false"/>
            <w:tcW w:w="25.000000%" w:type="pct"/>
          </w:tcPr>
          <w:p>
            <w:pPr>
              <w:ind w:leftChars="0" w:left="0" w:right="0"/>
            </w:pPr>
            <w:r>
              <w:t>XFMN</w:t>
            </w:r>
          </w:p>
        </w:tc>
        <w:tc>
          <w:tcPr>
            <w:cnfStyle w:evenVBand="false" w:oddVBand="true" w:firstColumn="false"/>
            <w:tcW w:w="25.000000%" w:type="pct"/>
          </w:tcPr>
          <w:p>
            <w:pPr>
              <w:ind w:leftChars="0" w:left="0" w:right="0"/>
            </w:pPr>
            <w:r>
              <w:t>SOCIETE DU NOUVEAU MARCHE</w:t>
            </w:r>
          </w:p>
        </w:tc>
        <w:tc>
          <w:tcPr>
            <w:cnfStyle w:evenVBand="true" w:oddVBand="false" w:firstColumn="false"/>
            <w:tcW w:w="25.000000%" w:type="pct"/>
          </w:tcPr>
          <w:p>
            <w:pPr>
              <w:ind w:leftChars="0" w:left="0" w:right="0"/>
            </w:pPr>
            <w:r>
              <w:t>2136</w:t>
            </w:r>
          </w:p>
        </w:tc>
      </w:tr>
      <w:tr>
        <w:trPr>
          <w:cnfStyle w:evenHBand="true" w:oddHBand="false" w:firstRow="false"/>
        </w:trPr>
        <w:tc>
          <w:tcPr>
            <w:cnfStyle w:evenVBand="false" w:oddVBand="true" w:firstColumn="false"/>
            <w:tcW w:w="25.000000%" w:type="pct"/>
          </w:tcPr>
          <w:p>
            <w:pPr>
              <w:ind w:leftChars="0" w:left="0" w:right="0"/>
            </w:pPr>
            <w:r>
              <w:t>XFND</w:t>
            </w:r>
          </w:p>
        </w:tc>
        <w:tc>
          <w:tcPr>
            <w:cnfStyle w:evenVBand="true" w:oddVBand="false" w:firstColumn="false"/>
            <w:tcW w:w="25.000000%" w:type="pct"/>
          </w:tcPr>
          <w:p>
            <w:pPr>
              <w:ind w:leftChars="0" w:left="0" w:right="0"/>
            </w:pPr>
            <w:r>
              <w:t>XFND</w:t>
            </w:r>
          </w:p>
        </w:tc>
        <w:tc>
          <w:tcPr>
            <w:cnfStyle w:evenVBand="false" w:oddVBand="true" w:firstColumn="false"/>
            <w:tcW w:w="25.000000%" w:type="pct"/>
          </w:tcPr>
          <w:p>
            <w:pPr>
              <w:ind w:leftChars="0" w:left="0" w:right="0"/>
            </w:pPr>
            <w:r>
              <w:t>FIRST NORTH DENMARK</w:t>
            </w:r>
          </w:p>
        </w:tc>
        <w:tc>
          <w:tcPr>
            <w:cnfStyle w:evenVBand="true" w:oddVBand="false" w:firstColumn="false"/>
            <w:tcW w:w="25.000000%" w:type="pct"/>
          </w:tcPr>
          <w:p>
            <w:pPr>
              <w:ind w:leftChars="0" w:left="0" w:right="0"/>
            </w:pPr>
            <w:r>
              <w:t>2137</w:t>
            </w:r>
          </w:p>
        </w:tc>
      </w:tr>
      <w:tr>
        <w:trPr>
          <w:cnfStyle w:evenHBand="false" w:oddHBand="true" w:firstRow="false"/>
        </w:trPr>
        <w:tc>
          <w:tcPr>
            <w:cnfStyle w:evenVBand="false" w:oddVBand="true" w:firstColumn="false"/>
            <w:tcW w:w="25.000000%" w:type="pct"/>
          </w:tcPr>
          <w:p>
            <w:pPr>
              <w:ind w:leftChars="0" w:left="0" w:right="0"/>
            </w:pPr>
            <w:r>
              <w:t>XFNO</w:t>
            </w:r>
          </w:p>
        </w:tc>
        <w:tc>
          <w:tcPr>
            <w:cnfStyle w:evenVBand="true" w:oddVBand="false" w:firstColumn="false"/>
            <w:tcW w:w="25.000000%" w:type="pct"/>
          </w:tcPr>
          <w:p>
            <w:pPr>
              <w:ind w:leftChars="0" w:left="0" w:right="0"/>
            </w:pPr>
            <w:r>
              <w:t>XFNO</w:t>
            </w:r>
          </w:p>
        </w:tc>
        <w:tc>
          <w:tcPr>
            <w:cnfStyle w:evenVBand="false" w:oddVBand="true" w:firstColumn="false"/>
            <w:tcW w:w="25.000000%" w:type="pct"/>
          </w:tcPr>
          <w:p>
            <w:pPr>
              <w:ind w:leftChars="0" w:left="0" w:right="0"/>
            </w:pPr>
            <w:r>
              <w:t>BORSA ISTANBUL - FUTURES AND OPTIONS MARKET</w:t>
            </w:r>
          </w:p>
        </w:tc>
        <w:tc>
          <w:tcPr>
            <w:cnfStyle w:evenVBand="true" w:oddVBand="false" w:firstColumn="false"/>
            <w:tcW w:w="25.000000%" w:type="pct"/>
          </w:tcPr>
          <w:p>
            <w:pPr>
              <w:ind w:leftChars="0" w:left="0" w:right="0"/>
            </w:pPr>
            <w:r>
              <w:t>2138</w:t>
            </w:r>
          </w:p>
        </w:tc>
      </w:tr>
      <w:tr>
        <w:trPr>
          <w:cnfStyle w:evenHBand="true" w:oddHBand="false" w:firstRow="false"/>
        </w:trPr>
        <w:tc>
          <w:tcPr>
            <w:cnfStyle w:evenVBand="false" w:oddVBand="true" w:firstColumn="false"/>
            <w:tcW w:w="25.000000%" w:type="pct"/>
          </w:tcPr>
          <w:p>
            <w:pPr>
              <w:ind w:leftChars="0" w:left="0" w:right="0"/>
            </w:pPr>
            <w:r>
              <w:t>XFNX</w:t>
            </w:r>
          </w:p>
        </w:tc>
        <w:tc>
          <w:tcPr>
            <w:cnfStyle w:evenVBand="true" w:oddVBand="false" w:firstColumn="false"/>
            <w:tcW w:w="25.000000%" w:type="pct"/>
          </w:tcPr>
          <w:p>
            <w:pPr>
              <w:ind w:leftChars="0" w:left="0" w:right="0"/>
            </w:pPr>
            <w:r>
              <w:t>XFNX</w:t>
            </w:r>
          </w:p>
        </w:tc>
        <w:tc>
          <w:tcPr>
            <w:cnfStyle w:evenVBand="false" w:oddVBand="true" w:firstColumn="false"/>
            <w:tcW w:w="25.000000%" w:type="pct"/>
          </w:tcPr>
          <w:p>
            <w:pPr>
              <w:ind w:leftChars="0" w:left="0" w:right="0"/>
            </w:pPr>
            <w:r>
              <w:t>FINEX (NEW YORK AND DUBLIN)</w:t>
            </w:r>
          </w:p>
        </w:tc>
        <w:tc>
          <w:tcPr>
            <w:cnfStyle w:evenVBand="true" w:oddVBand="false" w:firstColumn="false"/>
            <w:tcW w:w="25.000000%" w:type="pct"/>
          </w:tcPr>
          <w:p>
            <w:pPr>
              <w:ind w:leftChars="0" w:left="0" w:right="0"/>
            </w:pPr>
            <w:r>
              <w:t>2139</w:t>
            </w:r>
          </w:p>
        </w:tc>
      </w:tr>
      <w:tr>
        <w:trPr>
          <w:cnfStyle w:evenHBand="false" w:oddHBand="true" w:firstRow="false"/>
        </w:trPr>
        <w:tc>
          <w:tcPr>
            <w:cnfStyle w:evenVBand="false" w:oddVBand="true" w:firstColumn="false"/>
            <w:tcW w:w="25.000000%" w:type="pct"/>
          </w:tcPr>
          <w:p>
            <w:pPr>
              <w:ind w:leftChars="0" w:left="0" w:right="0"/>
            </w:pPr>
            <w:r>
              <w:t>XFOM</w:t>
            </w:r>
          </w:p>
        </w:tc>
        <w:tc>
          <w:tcPr>
            <w:cnfStyle w:evenVBand="true" w:oddVBand="false" w:firstColumn="false"/>
            <w:tcW w:w="25.000000%" w:type="pct"/>
          </w:tcPr>
          <w:p>
            <w:pPr>
              <w:ind w:leftChars="0" w:left="0" w:right="0"/>
            </w:pPr>
            <w:r>
              <w:t>XFOM</w:t>
            </w:r>
          </w:p>
        </w:tc>
        <w:tc>
          <w:tcPr>
            <w:cnfStyle w:evenVBand="false" w:oddVBand="true" w:firstColumn="false"/>
            <w:tcW w:w="25.000000%" w:type="pct"/>
          </w:tcPr>
          <w:p>
            <w:pPr>
              <w:ind w:leftChars="0" w:left="0" w:right="0"/>
            </w:pPr>
            <w:r>
              <w:t>FINNISH OPTIONS MARKET</w:t>
            </w:r>
          </w:p>
        </w:tc>
        <w:tc>
          <w:tcPr>
            <w:cnfStyle w:evenVBand="true" w:oddVBand="false" w:firstColumn="false"/>
            <w:tcW w:w="25.000000%" w:type="pct"/>
          </w:tcPr>
          <w:p>
            <w:pPr>
              <w:ind w:leftChars="0" w:left="0" w:right="0"/>
            </w:pPr>
            <w:r>
              <w:t>2140</w:t>
            </w:r>
          </w:p>
        </w:tc>
      </w:tr>
      <w:tr>
        <w:trPr>
          <w:cnfStyle w:evenHBand="true" w:oddHBand="false" w:firstRow="false"/>
        </w:trPr>
        <w:tc>
          <w:tcPr>
            <w:cnfStyle w:evenVBand="false" w:oddVBand="true" w:firstColumn="false"/>
            <w:tcW w:w="25.000000%" w:type="pct"/>
          </w:tcPr>
          <w:p>
            <w:pPr>
              <w:ind w:leftChars="0" w:left="0" w:right="0"/>
            </w:pPr>
            <w:r>
              <w:t>XFRA</w:t>
            </w:r>
          </w:p>
        </w:tc>
        <w:tc>
          <w:tcPr>
            <w:cnfStyle w:evenVBand="true" w:oddVBand="false" w:firstColumn="false"/>
            <w:tcW w:w="25.000000%" w:type="pct"/>
          </w:tcPr>
          <w:p>
            <w:pPr>
              <w:ind w:leftChars="0" w:left="0" w:right="0"/>
            </w:pPr>
            <w:r>
              <w:t>XFRA</w:t>
            </w:r>
          </w:p>
        </w:tc>
        <w:tc>
          <w:tcPr>
            <w:cnfStyle w:evenVBand="false" w:oddVBand="true" w:firstColumn="false"/>
            <w:tcW w:w="25.000000%" w:type="pct"/>
          </w:tcPr>
          <w:p>
            <w:pPr>
              <w:ind w:leftChars="0" w:left="0" w:right="0"/>
            </w:pPr>
            <w:r>
              <w:t>DEUTSCHE BOERSE AG</w:t>
            </w:r>
          </w:p>
        </w:tc>
        <w:tc>
          <w:tcPr>
            <w:cnfStyle w:evenVBand="true" w:oddVBand="false" w:firstColumn="false"/>
            <w:tcW w:w="25.000000%" w:type="pct"/>
          </w:tcPr>
          <w:p>
            <w:pPr>
              <w:ind w:leftChars="0" w:left="0" w:right="0"/>
            </w:pPr>
            <w:r>
              <w:t>2141</w:t>
            </w:r>
          </w:p>
        </w:tc>
      </w:tr>
      <w:tr>
        <w:trPr>
          <w:cnfStyle w:evenHBand="false" w:oddHBand="true" w:firstRow="false"/>
        </w:trPr>
        <w:tc>
          <w:tcPr>
            <w:cnfStyle w:evenVBand="false" w:oddVBand="true" w:firstColumn="false"/>
            <w:tcW w:w="25.000000%" w:type="pct"/>
          </w:tcPr>
          <w:p>
            <w:pPr>
              <w:ind w:leftChars="0" w:left="0" w:right="0"/>
            </w:pPr>
            <w:r>
              <w:t>XFTA</w:t>
            </w:r>
          </w:p>
        </w:tc>
        <w:tc>
          <w:tcPr>
            <w:cnfStyle w:evenVBand="true" w:oddVBand="false" w:firstColumn="false"/>
            <w:tcW w:w="25.000000%" w:type="pct"/>
          </w:tcPr>
          <w:p>
            <w:pPr>
              <w:ind w:leftChars="0" w:left="0" w:right="0"/>
            </w:pPr>
            <w:r>
              <w:t>XFTA</w:t>
            </w:r>
          </w:p>
        </w:tc>
        <w:tc>
          <w:tcPr>
            <w:cnfStyle w:evenVBand="false" w:oddVBand="true" w:firstColumn="false"/>
            <w:tcW w:w="25.000000%" w:type="pct"/>
          </w:tcPr>
          <w:p>
            <w:pPr>
              <w:ind w:leftChars="0" w:left="0" w:right="0"/>
            </w:pPr>
            <w:r>
              <w:t>FINANCIELE TERMIJNMARKET AMSTERDAM</w:t>
            </w:r>
          </w:p>
        </w:tc>
        <w:tc>
          <w:tcPr>
            <w:cnfStyle w:evenVBand="true" w:oddVBand="false" w:firstColumn="false"/>
            <w:tcW w:w="25.000000%" w:type="pct"/>
          </w:tcPr>
          <w:p>
            <w:pPr>
              <w:ind w:leftChars="0" w:left="0" w:right="0"/>
            </w:pPr>
            <w:r>
              <w:t>2142</w:t>
            </w:r>
          </w:p>
        </w:tc>
      </w:tr>
      <w:tr>
        <w:trPr>
          <w:cnfStyle w:evenHBand="true" w:oddHBand="false" w:firstRow="false"/>
        </w:trPr>
        <w:tc>
          <w:tcPr>
            <w:cnfStyle w:evenVBand="false" w:oddVBand="true" w:firstColumn="false"/>
            <w:tcW w:w="25.000000%" w:type="pct"/>
          </w:tcPr>
          <w:p>
            <w:pPr>
              <w:ind w:leftChars="0" w:left="0" w:right="0"/>
            </w:pPr>
            <w:r>
              <w:t>XFTX</w:t>
            </w:r>
          </w:p>
        </w:tc>
        <w:tc>
          <w:tcPr>
            <w:cnfStyle w:evenVBand="true" w:oddVBand="false" w:firstColumn="false"/>
            <w:tcW w:w="25.000000%" w:type="pct"/>
          </w:tcPr>
          <w:p>
            <w:pPr>
              <w:ind w:leftChars="0" w:left="0" w:right="0"/>
            </w:pPr>
            <w:r>
              <w:t>XFTX</w:t>
            </w:r>
          </w:p>
        </w:tc>
        <w:tc>
          <w:tcPr>
            <w:cnfStyle w:evenVBand="false" w:oddVBand="true" w:firstColumn="false"/>
            <w:tcW w:w="25.000000%" w:type="pct"/>
          </w:tcPr>
          <w:p>
            <w:pPr>
              <w:ind w:leftChars="0" w:left="0" w:right="0"/>
            </w:pPr>
            <w:r>
              <w:t>FTX</w:t>
            </w:r>
          </w:p>
        </w:tc>
        <w:tc>
          <w:tcPr>
            <w:cnfStyle w:evenVBand="true" w:oddVBand="false" w:firstColumn="false"/>
            <w:tcW w:w="25.000000%" w:type="pct"/>
          </w:tcPr>
          <w:p>
            <w:pPr>
              <w:ind w:leftChars="0" w:left="0" w:right="0"/>
            </w:pPr>
            <w:r>
              <w:t>2143</w:t>
            </w:r>
          </w:p>
        </w:tc>
      </w:tr>
      <w:tr>
        <w:trPr>
          <w:cnfStyle w:evenHBand="false" w:oddHBand="true" w:firstRow="false"/>
        </w:trPr>
        <w:tc>
          <w:tcPr>
            <w:cnfStyle w:evenVBand="false" w:oddVBand="true" w:firstColumn="false"/>
            <w:tcW w:w="25.000000%" w:type="pct"/>
          </w:tcPr>
          <w:p>
            <w:pPr>
              <w:ind w:leftChars="0" w:left="0" w:right="0"/>
            </w:pPr>
            <w:r>
              <w:t>XGAS</w:t>
            </w:r>
          </w:p>
        </w:tc>
        <w:tc>
          <w:tcPr>
            <w:cnfStyle w:evenVBand="true" w:oddVBand="false" w:firstColumn="false"/>
            <w:tcW w:w="25.000000%" w:type="pct"/>
          </w:tcPr>
          <w:p>
            <w:pPr>
              <w:ind w:leftChars="0" w:left="0" w:right="0"/>
            </w:pPr>
            <w:r>
              <w:t>XGAS</w:t>
            </w:r>
          </w:p>
        </w:tc>
        <w:tc>
          <w:tcPr>
            <w:cnfStyle w:evenVBand="false" w:oddVBand="true" w:firstColumn="false"/>
            <w:tcW w:w="25.000000%" w:type="pct"/>
          </w:tcPr>
          <w:p>
            <w:pPr>
              <w:ind w:leftChars="0" w:left="0" w:right="0"/>
            </w:pPr>
            <w:r>
              <w:t>CENTRAL EASTERN EUROPEAN GAS EXCHANGE LTD</w:t>
            </w:r>
          </w:p>
        </w:tc>
        <w:tc>
          <w:tcPr>
            <w:cnfStyle w:evenVBand="true" w:oddVBand="false" w:firstColumn="false"/>
            <w:tcW w:w="25.000000%" w:type="pct"/>
          </w:tcPr>
          <w:p>
            <w:pPr>
              <w:ind w:leftChars="0" w:left="0" w:right="0"/>
            </w:pPr>
            <w:r>
              <w:t>2144</w:t>
            </w:r>
          </w:p>
        </w:tc>
      </w:tr>
      <w:tr>
        <w:trPr>
          <w:cnfStyle w:evenHBand="true" w:oddHBand="false" w:firstRow="false"/>
        </w:trPr>
        <w:tc>
          <w:tcPr>
            <w:cnfStyle w:evenVBand="false" w:oddVBand="true" w:firstColumn="false"/>
            <w:tcW w:w="25.000000%" w:type="pct"/>
          </w:tcPr>
          <w:p>
            <w:pPr>
              <w:ind w:leftChars="0" w:left="0" w:right="0"/>
            </w:pPr>
            <w:r>
              <w:t>XGAT</w:t>
            </w:r>
          </w:p>
        </w:tc>
        <w:tc>
          <w:tcPr>
            <w:cnfStyle w:evenVBand="true" w:oddVBand="false" w:firstColumn="false"/>
            <w:tcW w:w="25.000000%" w:type="pct"/>
          </w:tcPr>
          <w:p>
            <w:pPr>
              <w:ind w:leftChars="0" w:left="0" w:right="0"/>
            </w:pPr>
            <w:r>
              <w:t>XGAT</w:t>
            </w:r>
          </w:p>
        </w:tc>
        <w:tc>
          <w:tcPr>
            <w:cnfStyle w:evenVBand="false" w:oddVBand="true" w:firstColumn="false"/>
            <w:tcW w:w="25.000000%" w:type="pct"/>
          </w:tcPr>
          <w:p>
            <w:pPr>
              <w:ind w:leftChars="0" w:left="0" w:right="0"/>
            </w:pPr>
            <w:r>
              <w:t>TRADEGATE EXCHANGE - FREIVERKEHR</w:t>
            </w:r>
          </w:p>
        </w:tc>
        <w:tc>
          <w:tcPr>
            <w:cnfStyle w:evenVBand="true" w:oddVBand="false" w:firstColumn="false"/>
            <w:tcW w:w="25.000000%" w:type="pct"/>
          </w:tcPr>
          <w:p>
            <w:pPr>
              <w:ind w:leftChars="0" w:left="0" w:right="0"/>
            </w:pPr>
            <w:r>
              <w:t>2145</w:t>
            </w:r>
          </w:p>
        </w:tc>
      </w:tr>
      <w:tr>
        <w:trPr>
          <w:cnfStyle w:evenHBand="false" w:oddHBand="true" w:firstRow="false"/>
        </w:trPr>
        <w:tc>
          <w:tcPr>
            <w:cnfStyle w:evenVBand="false" w:oddVBand="true" w:firstColumn="false"/>
            <w:tcW w:w="25.000000%" w:type="pct"/>
          </w:tcPr>
          <w:p>
            <w:pPr>
              <w:ind w:leftChars="0" w:left="0" w:right="0"/>
            </w:pPr>
            <w:r>
              <w:t>XGCL</w:t>
            </w:r>
          </w:p>
        </w:tc>
        <w:tc>
          <w:tcPr>
            <w:cnfStyle w:evenVBand="true" w:oddVBand="false" w:firstColumn="false"/>
            <w:tcW w:w="25.000000%" w:type="pct"/>
          </w:tcPr>
          <w:p>
            <w:pPr>
              <w:ind w:leftChars="0" w:left="0" w:right="0"/>
            </w:pPr>
            <w:r>
              <w:t>XGCL</w:t>
            </w:r>
          </w:p>
        </w:tc>
        <w:tc>
          <w:tcPr>
            <w:cnfStyle w:evenVBand="false" w:oddVBand="true" w:firstColumn="false"/>
            <w:tcW w:w="25.000000%" w:type="pct"/>
          </w:tcPr>
          <w:p>
            <w:pPr>
              <w:ind w:leftChars="0" w:left="0" w:right="0"/>
            </w:pPr>
            <w:r>
              <w:t>GLOBAL COAL LIMITED</w:t>
            </w:r>
          </w:p>
        </w:tc>
        <w:tc>
          <w:tcPr>
            <w:cnfStyle w:evenVBand="true" w:oddVBand="false" w:firstColumn="false"/>
            <w:tcW w:w="25.000000%" w:type="pct"/>
          </w:tcPr>
          <w:p>
            <w:pPr>
              <w:ind w:leftChars="0" w:left="0" w:right="0"/>
            </w:pPr>
            <w:r>
              <w:t>2146</w:t>
            </w:r>
          </w:p>
        </w:tc>
      </w:tr>
      <w:tr>
        <w:trPr>
          <w:cnfStyle w:evenHBand="true" w:oddHBand="false" w:firstRow="false"/>
        </w:trPr>
        <w:tc>
          <w:tcPr>
            <w:cnfStyle w:evenVBand="false" w:oddVBand="true" w:firstColumn="false"/>
            <w:tcW w:w="25.000000%" w:type="pct"/>
          </w:tcPr>
          <w:p>
            <w:pPr>
              <w:ind w:leftChars="0" w:left="0" w:right="0"/>
            </w:pPr>
            <w:r>
              <w:t>XGCX</w:t>
            </w:r>
          </w:p>
        </w:tc>
        <w:tc>
          <w:tcPr>
            <w:cnfStyle w:evenVBand="true" w:oddVBand="false" w:firstColumn="false"/>
            <w:tcW w:w="25.000000%" w:type="pct"/>
          </w:tcPr>
          <w:p>
            <w:pPr>
              <w:ind w:leftChars="0" w:left="0" w:right="0"/>
            </w:pPr>
            <w:r>
              <w:t>XGCX</w:t>
            </w:r>
          </w:p>
        </w:tc>
        <w:tc>
          <w:tcPr>
            <w:cnfStyle w:evenVBand="false" w:oddVBand="true" w:firstColumn="false"/>
            <w:tcW w:w="25.000000%" w:type="pct"/>
          </w:tcPr>
          <w:p>
            <w:pPr>
              <w:ind w:leftChars="0" w:left="0" w:right="0"/>
            </w:pPr>
            <w:r>
              <w:t>GLOBAL COMMODITIES EXCHANGE</w:t>
            </w:r>
          </w:p>
        </w:tc>
        <w:tc>
          <w:tcPr>
            <w:cnfStyle w:evenVBand="true" w:oddVBand="false" w:firstColumn="false"/>
            <w:tcW w:w="25.000000%" w:type="pct"/>
          </w:tcPr>
          <w:p>
            <w:pPr>
              <w:ind w:leftChars="0" w:left="0" w:right="0"/>
            </w:pPr>
            <w:r>
              <w:t>2147</w:t>
            </w:r>
          </w:p>
        </w:tc>
      </w:tr>
      <w:tr>
        <w:trPr>
          <w:cnfStyle w:evenHBand="false" w:oddHBand="true" w:firstRow="false"/>
        </w:trPr>
        <w:tc>
          <w:tcPr>
            <w:cnfStyle w:evenVBand="false" w:oddVBand="true" w:firstColumn="false"/>
            <w:tcW w:w="25.000000%" w:type="pct"/>
          </w:tcPr>
          <w:p>
            <w:pPr>
              <w:ind w:leftChars="0" w:left="0" w:right="0"/>
            </w:pPr>
            <w:r>
              <w:t>XGDX</w:t>
            </w:r>
          </w:p>
        </w:tc>
        <w:tc>
          <w:tcPr>
            <w:cnfStyle w:evenVBand="true" w:oddVBand="false" w:firstColumn="false"/>
            <w:tcW w:w="25.000000%" w:type="pct"/>
          </w:tcPr>
          <w:p>
            <w:pPr>
              <w:ind w:leftChars="0" w:left="0" w:right="0"/>
            </w:pPr>
            <w:r>
              <w:t>XGDX</w:t>
            </w:r>
          </w:p>
        </w:tc>
        <w:tc>
          <w:tcPr>
            <w:cnfStyle w:evenVBand="false" w:oddVBand="true" w:firstColumn="false"/>
            <w:tcW w:w="25.000000%" w:type="pct"/>
          </w:tcPr>
          <w:p>
            <w:pPr>
              <w:ind w:leftChars="0" w:left="0" w:right="0"/>
            </w:pPr>
            <w:r>
              <w:t>GLOBAL DERIVATIVES EXCHANGE</w:t>
            </w:r>
          </w:p>
        </w:tc>
        <w:tc>
          <w:tcPr>
            <w:cnfStyle w:evenVBand="true" w:oddVBand="false" w:firstColumn="false"/>
            <w:tcW w:w="25.000000%" w:type="pct"/>
          </w:tcPr>
          <w:p>
            <w:pPr>
              <w:ind w:leftChars="0" w:left="0" w:right="0"/>
            </w:pPr>
            <w:r>
              <w:t>2148</w:t>
            </w:r>
          </w:p>
        </w:tc>
      </w:tr>
      <w:tr>
        <w:trPr>
          <w:cnfStyle w:evenHBand="true" w:oddHBand="false" w:firstRow="false"/>
        </w:trPr>
        <w:tc>
          <w:tcPr>
            <w:cnfStyle w:evenVBand="false" w:oddVBand="true" w:firstColumn="false"/>
            <w:tcW w:w="25.000000%" w:type="pct"/>
          </w:tcPr>
          <w:p>
            <w:pPr>
              <w:ind w:leftChars="0" w:left="0" w:right="0"/>
            </w:pPr>
            <w:r>
              <w:t>XGEM</w:t>
            </w:r>
          </w:p>
        </w:tc>
        <w:tc>
          <w:tcPr>
            <w:cnfStyle w:evenVBand="true" w:oddVBand="false" w:firstColumn="false"/>
            <w:tcW w:w="25.000000%" w:type="pct"/>
          </w:tcPr>
          <w:p>
            <w:pPr>
              <w:ind w:leftChars="0" w:left="0" w:right="0"/>
            </w:pPr>
            <w:r>
              <w:t>XGEM</w:t>
            </w:r>
          </w:p>
        </w:tc>
        <w:tc>
          <w:tcPr>
            <w:cnfStyle w:evenVBand="false" w:oddVBand="true" w:firstColumn="false"/>
            <w:tcW w:w="25.000000%" w:type="pct"/>
          </w:tcPr>
          <w:p>
            <w:pPr>
              <w:ind w:leftChars="0" w:left="0" w:right="0"/>
            </w:pPr>
            <w:r>
              <w:t>HONG KONG GROWTH ENTERPRISES MARKET</w:t>
            </w:r>
          </w:p>
        </w:tc>
        <w:tc>
          <w:tcPr>
            <w:cnfStyle w:evenVBand="true" w:oddVBand="false" w:firstColumn="false"/>
            <w:tcW w:w="25.000000%" w:type="pct"/>
          </w:tcPr>
          <w:p>
            <w:pPr>
              <w:ind w:leftChars="0" w:left="0" w:right="0"/>
            </w:pPr>
            <w:r>
              <w:t>2149</w:t>
            </w:r>
          </w:p>
        </w:tc>
      </w:tr>
      <w:tr>
        <w:trPr>
          <w:cnfStyle w:evenHBand="false" w:oddHBand="true" w:firstRow="false"/>
        </w:trPr>
        <w:tc>
          <w:tcPr>
            <w:cnfStyle w:evenVBand="false" w:oddVBand="true" w:firstColumn="false"/>
            <w:tcW w:w="25.000000%" w:type="pct"/>
          </w:tcPr>
          <w:p>
            <w:pPr>
              <w:ind w:leftChars="0" w:left="0" w:right="0"/>
            </w:pPr>
            <w:r>
              <w:t>XGFI</w:t>
            </w:r>
          </w:p>
        </w:tc>
        <w:tc>
          <w:tcPr>
            <w:cnfStyle w:evenVBand="true" w:oddVBand="false" w:firstColumn="false"/>
            <w:tcW w:w="25.000000%" w:type="pct"/>
          </w:tcPr>
          <w:p>
            <w:pPr>
              <w:ind w:leftChars="0" w:left="0" w:right="0"/>
            </w:pPr>
            <w:r>
              <w:t>XGFI</w:t>
            </w:r>
          </w:p>
        </w:tc>
        <w:tc>
          <w:tcPr>
            <w:cnfStyle w:evenVBand="false" w:oddVBand="true" w:firstColumn="false"/>
            <w:tcW w:w="25.000000%" w:type="pct"/>
          </w:tcPr>
          <w:p>
            <w:pPr>
              <w:ind w:leftChars="0" w:left="0" w:right="0"/>
            </w:pPr>
            <w:r>
              <w:t>GFI BASISMATCH</w:t>
            </w:r>
          </w:p>
        </w:tc>
        <w:tc>
          <w:tcPr>
            <w:cnfStyle w:evenVBand="true" w:oddVBand="false" w:firstColumn="false"/>
            <w:tcW w:w="25.000000%" w:type="pct"/>
          </w:tcPr>
          <w:p>
            <w:pPr>
              <w:ind w:leftChars="0" w:left="0" w:right="0"/>
            </w:pPr>
            <w:r>
              <w:t>2150</w:t>
            </w:r>
          </w:p>
        </w:tc>
      </w:tr>
      <w:tr>
        <w:trPr>
          <w:cnfStyle w:evenHBand="true" w:oddHBand="false" w:firstRow="false"/>
        </w:trPr>
        <w:tc>
          <w:tcPr>
            <w:cnfStyle w:evenVBand="false" w:oddVBand="true" w:firstColumn="false"/>
            <w:tcW w:w="25.000000%" w:type="pct"/>
          </w:tcPr>
          <w:p>
            <w:pPr>
              <w:ind w:leftChars="0" w:left="0" w:right="0"/>
            </w:pPr>
            <w:r>
              <w:t>XGHA</w:t>
            </w:r>
          </w:p>
        </w:tc>
        <w:tc>
          <w:tcPr>
            <w:cnfStyle w:evenVBand="true" w:oddVBand="false" w:firstColumn="false"/>
            <w:tcW w:w="25.000000%" w:type="pct"/>
          </w:tcPr>
          <w:p>
            <w:pPr>
              <w:ind w:leftChars="0" w:left="0" w:right="0"/>
            </w:pPr>
            <w:r>
              <w:t>XGHA</w:t>
            </w:r>
          </w:p>
        </w:tc>
        <w:tc>
          <w:tcPr>
            <w:cnfStyle w:evenVBand="false" w:oddVBand="true" w:firstColumn="false"/>
            <w:tcW w:w="25.000000%" w:type="pct"/>
          </w:tcPr>
          <w:p>
            <w:pPr>
              <w:ind w:leftChars="0" w:left="0" w:right="0"/>
            </w:pPr>
            <w:r>
              <w:t>GHANA STOCK EXCHANGE</w:t>
            </w:r>
          </w:p>
        </w:tc>
        <w:tc>
          <w:tcPr>
            <w:cnfStyle w:evenVBand="true" w:oddVBand="false" w:firstColumn="false"/>
            <w:tcW w:w="25.000000%" w:type="pct"/>
          </w:tcPr>
          <w:p>
            <w:pPr>
              <w:ind w:leftChars="0" w:left="0" w:right="0"/>
            </w:pPr>
            <w:r>
              <w:t>2151</w:t>
            </w:r>
          </w:p>
        </w:tc>
      </w:tr>
      <w:tr>
        <w:trPr>
          <w:cnfStyle w:evenHBand="false" w:oddHBand="true" w:firstRow="false"/>
        </w:trPr>
        <w:tc>
          <w:tcPr>
            <w:cnfStyle w:evenVBand="false" w:oddVBand="true" w:firstColumn="false"/>
            <w:tcW w:w="25.000000%" w:type="pct"/>
          </w:tcPr>
          <w:p>
            <w:pPr>
              <w:ind w:leftChars="0" w:left="0" w:right="0"/>
            </w:pPr>
            <w:r>
              <w:t>XGLO</w:t>
            </w:r>
          </w:p>
        </w:tc>
        <w:tc>
          <w:tcPr>
            <w:cnfStyle w:evenVBand="true" w:oddVBand="false" w:firstColumn="false"/>
            <w:tcW w:w="25.000000%" w:type="pct"/>
          </w:tcPr>
          <w:p>
            <w:pPr>
              <w:ind w:leftChars="0" w:left="0" w:right="0"/>
            </w:pPr>
            <w:r>
              <w:t>XGLO</w:t>
            </w:r>
          </w:p>
        </w:tc>
        <w:tc>
          <w:tcPr>
            <w:cnfStyle w:evenVBand="false" w:oddVBand="true" w:firstColumn="false"/>
            <w:tcW w:w="25.000000%" w:type="pct"/>
          </w:tcPr>
          <w:p>
            <w:pPr>
              <w:ind w:leftChars="0" w:left="0" w:right="0"/>
            </w:pPr>
            <w:r>
              <w:t>WARSAW STOCK EXCHANGE/ EQUITIES/GLOBAL CONNECT - MTF</w:t>
            </w:r>
          </w:p>
        </w:tc>
        <w:tc>
          <w:tcPr>
            <w:cnfStyle w:evenVBand="true" w:oddVBand="false" w:firstColumn="false"/>
            <w:tcW w:w="25.000000%" w:type="pct"/>
          </w:tcPr>
          <w:p>
            <w:pPr>
              <w:ind w:leftChars="0" w:left="0" w:right="0"/>
            </w:pPr>
            <w:r>
              <w:t>2152</w:t>
            </w:r>
          </w:p>
        </w:tc>
      </w:tr>
      <w:tr>
        <w:trPr>
          <w:cnfStyle w:evenHBand="true" w:oddHBand="false" w:firstRow="false"/>
        </w:trPr>
        <w:tc>
          <w:tcPr>
            <w:cnfStyle w:evenVBand="false" w:oddVBand="true" w:firstColumn="false"/>
            <w:tcW w:w="25.000000%" w:type="pct"/>
          </w:tcPr>
          <w:p>
            <w:pPr>
              <w:ind w:leftChars="0" w:left="0" w:right="0"/>
            </w:pPr>
            <w:r>
              <w:t>XGME</w:t>
            </w:r>
          </w:p>
        </w:tc>
        <w:tc>
          <w:tcPr>
            <w:cnfStyle w:evenVBand="true" w:oddVBand="false" w:firstColumn="false"/>
            <w:tcW w:w="25.000000%" w:type="pct"/>
          </w:tcPr>
          <w:p>
            <w:pPr>
              <w:ind w:leftChars="0" w:left="0" w:right="0"/>
            </w:pPr>
            <w:r>
              <w:t>XGME</w:t>
            </w:r>
          </w:p>
        </w:tc>
        <w:tc>
          <w:tcPr>
            <w:cnfStyle w:evenVBand="false" w:oddVBand="true" w:firstColumn="false"/>
            <w:tcW w:w="25.000000%" w:type="pct"/>
          </w:tcPr>
          <w:p>
            <w:pPr>
              <w:ind w:leftChars="0" w:left="0" w:right="0"/>
            </w:pPr>
            <w:r>
              <w:t>GESTORE MERCATO ELETTRICO - ITALIAN POWER EXCHANGE</w:t>
            </w:r>
          </w:p>
        </w:tc>
        <w:tc>
          <w:tcPr>
            <w:cnfStyle w:evenVBand="true" w:oddVBand="false" w:firstColumn="false"/>
            <w:tcW w:w="25.000000%" w:type="pct"/>
          </w:tcPr>
          <w:p>
            <w:pPr>
              <w:ind w:leftChars="0" w:left="0" w:right="0"/>
            </w:pPr>
            <w:r>
              <w:t>2153</w:t>
            </w:r>
          </w:p>
        </w:tc>
      </w:tr>
      <w:tr>
        <w:trPr>
          <w:cnfStyle w:evenHBand="false" w:oddHBand="true" w:firstRow="false"/>
        </w:trPr>
        <w:tc>
          <w:tcPr>
            <w:cnfStyle w:evenVBand="false" w:oddVBand="true" w:firstColumn="false"/>
            <w:tcW w:w="25.000000%" w:type="pct"/>
          </w:tcPr>
          <w:p>
            <w:pPr>
              <w:ind w:leftChars="0" w:left="0" w:right="0"/>
            </w:pPr>
            <w:r>
              <w:t>XGMX</w:t>
            </w:r>
          </w:p>
        </w:tc>
        <w:tc>
          <w:tcPr>
            <w:cnfStyle w:evenVBand="true" w:oddVBand="false" w:firstColumn="false"/>
            <w:tcW w:w="25.000000%" w:type="pct"/>
          </w:tcPr>
          <w:p>
            <w:pPr>
              <w:ind w:leftChars="0" w:left="0" w:right="0"/>
            </w:pPr>
            <w:r>
              <w:t>XGMX</w:t>
            </w:r>
          </w:p>
        </w:tc>
        <w:tc>
          <w:tcPr>
            <w:cnfStyle w:evenVBand="false" w:oddVBand="true" w:firstColumn="false"/>
            <w:tcW w:w="25.000000%" w:type="pct"/>
          </w:tcPr>
          <w:p>
            <w:pPr>
              <w:ind w:leftChars="0" w:left="0" w:right="0"/>
            </w:pPr>
            <w:r>
              <w:t>GLOBALCLEAR MERCANTILE EXCHANGE</w:t>
            </w:r>
          </w:p>
        </w:tc>
        <w:tc>
          <w:tcPr>
            <w:cnfStyle w:evenVBand="true" w:oddVBand="false" w:firstColumn="false"/>
            <w:tcW w:w="25.000000%" w:type="pct"/>
          </w:tcPr>
          <w:p>
            <w:pPr>
              <w:ind w:leftChars="0" w:left="0" w:right="0"/>
            </w:pPr>
            <w:r>
              <w:t>2154</w:t>
            </w:r>
          </w:p>
        </w:tc>
      </w:tr>
      <w:tr>
        <w:trPr>
          <w:cnfStyle w:evenHBand="true" w:oddHBand="false" w:firstRow="false"/>
        </w:trPr>
        <w:tc>
          <w:tcPr>
            <w:cnfStyle w:evenVBand="false" w:oddVBand="true" w:firstColumn="false"/>
            <w:tcW w:w="25.000000%" w:type="pct"/>
          </w:tcPr>
          <w:p>
            <w:pPr>
              <w:ind w:leftChars="0" w:left="0" w:right="0"/>
            </w:pPr>
            <w:r>
              <w:t>XGRM</w:t>
            </w:r>
          </w:p>
        </w:tc>
        <w:tc>
          <w:tcPr>
            <w:cnfStyle w:evenVBand="true" w:oddVBand="false" w:firstColumn="false"/>
            <w:tcW w:w="25.000000%" w:type="pct"/>
          </w:tcPr>
          <w:p>
            <w:pPr>
              <w:ind w:leftChars="0" w:left="0" w:right="0"/>
            </w:pPr>
            <w:r>
              <w:t>XGRM</w:t>
            </w:r>
          </w:p>
        </w:tc>
        <w:tc>
          <w:tcPr>
            <w:cnfStyle w:evenVBand="false" w:oddVBand="true" w:firstColumn="false"/>
            <w:tcW w:w="25.000000%" w:type="pct"/>
          </w:tcPr>
          <w:p>
            <w:pPr>
              <w:ind w:leftChars="0" w:left="0" w:right="0"/>
            </w:pPr>
            <w:r>
              <w:t>TRADEGATE EXCHANGE - REGULIERTER MARKT</w:t>
            </w:r>
          </w:p>
        </w:tc>
        <w:tc>
          <w:tcPr>
            <w:cnfStyle w:evenVBand="true" w:oddVBand="false" w:firstColumn="false"/>
            <w:tcW w:w="25.000000%" w:type="pct"/>
          </w:tcPr>
          <w:p>
            <w:pPr>
              <w:ind w:leftChars="0" w:left="0" w:right="0"/>
            </w:pPr>
            <w:r>
              <w:t>2155</w:t>
            </w:r>
          </w:p>
        </w:tc>
      </w:tr>
      <w:tr>
        <w:trPr>
          <w:cnfStyle w:evenHBand="false" w:oddHBand="true" w:firstRow="false"/>
        </w:trPr>
        <w:tc>
          <w:tcPr>
            <w:cnfStyle w:evenVBand="false" w:oddVBand="true" w:firstColumn="false"/>
            <w:tcW w:w="25.000000%" w:type="pct"/>
          </w:tcPr>
          <w:p>
            <w:pPr>
              <w:ind w:leftChars="0" w:left="0" w:right="0"/>
            </w:pPr>
            <w:r>
              <w:t>XGSE</w:t>
            </w:r>
          </w:p>
        </w:tc>
        <w:tc>
          <w:tcPr>
            <w:cnfStyle w:evenVBand="true" w:oddVBand="false" w:firstColumn="false"/>
            <w:tcW w:w="25.000000%" w:type="pct"/>
          </w:tcPr>
          <w:p>
            <w:pPr>
              <w:ind w:leftChars="0" w:left="0" w:right="0"/>
            </w:pPr>
            <w:r>
              <w:t>XGSE</w:t>
            </w:r>
          </w:p>
        </w:tc>
        <w:tc>
          <w:tcPr>
            <w:cnfStyle w:evenVBand="false" w:oddVBand="true" w:firstColumn="false"/>
            <w:tcW w:w="25.000000%" w:type="pct"/>
          </w:tcPr>
          <w:p>
            <w:pPr>
              <w:ind w:leftChars="0" w:left="0" w:right="0"/>
            </w:pPr>
            <w:r>
              <w:t>GEORGIA STOCK EXCHANGE</w:t>
            </w:r>
          </w:p>
        </w:tc>
        <w:tc>
          <w:tcPr>
            <w:cnfStyle w:evenVBand="true" w:oddVBand="false" w:firstColumn="false"/>
            <w:tcW w:w="25.000000%" w:type="pct"/>
          </w:tcPr>
          <w:p>
            <w:pPr>
              <w:ind w:leftChars="0" w:left="0" w:right="0"/>
            </w:pPr>
            <w:r>
              <w:t>2156</w:t>
            </w:r>
          </w:p>
        </w:tc>
      </w:tr>
      <w:tr>
        <w:trPr>
          <w:cnfStyle w:evenHBand="true" w:oddHBand="false" w:firstRow="false"/>
        </w:trPr>
        <w:tc>
          <w:tcPr>
            <w:cnfStyle w:evenVBand="false" w:oddVBand="true" w:firstColumn="false"/>
            <w:tcW w:w="25.000000%" w:type="pct"/>
          </w:tcPr>
          <w:p>
            <w:pPr>
              <w:ind w:leftChars="0" w:left="0" w:right="0"/>
            </w:pPr>
            <w:r>
              <w:t>XGSX</w:t>
            </w:r>
          </w:p>
        </w:tc>
        <w:tc>
          <w:tcPr>
            <w:cnfStyle w:evenVBand="true" w:oddVBand="false" w:firstColumn="false"/>
            <w:tcW w:w="25.000000%" w:type="pct"/>
          </w:tcPr>
          <w:p>
            <w:pPr>
              <w:ind w:leftChars="0" w:left="0" w:right="0"/>
            </w:pPr>
            <w:r>
              <w:t>XGSX</w:t>
            </w:r>
          </w:p>
        </w:tc>
        <w:tc>
          <w:tcPr>
            <w:cnfStyle w:evenVBand="false" w:oddVBand="true" w:firstColumn="false"/>
            <w:tcW w:w="25.000000%" w:type="pct"/>
          </w:tcPr>
          <w:p>
            <w:pPr>
              <w:ind w:leftChars="0" w:left="0" w:right="0"/>
            </w:pPr>
            <w:r>
              <w:t>GLOBAL SECURITIES EXCHANGE</w:t>
            </w:r>
          </w:p>
        </w:tc>
        <w:tc>
          <w:tcPr>
            <w:cnfStyle w:evenVBand="true" w:oddVBand="false" w:firstColumn="false"/>
            <w:tcW w:w="25.000000%" w:type="pct"/>
          </w:tcPr>
          <w:p>
            <w:pPr>
              <w:ind w:leftChars="0" w:left="0" w:right="0"/>
            </w:pPr>
            <w:r>
              <w:t>2157</w:t>
            </w:r>
          </w:p>
        </w:tc>
      </w:tr>
      <w:tr>
        <w:trPr>
          <w:cnfStyle w:evenHBand="false" w:oddHBand="true" w:firstRow="false"/>
        </w:trPr>
        <w:tc>
          <w:tcPr>
            <w:cnfStyle w:evenVBand="false" w:oddVBand="true" w:firstColumn="false"/>
            <w:tcW w:w="25.000000%" w:type="pct"/>
          </w:tcPr>
          <w:p>
            <w:pPr>
              <w:ind w:leftChars="0" w:left="0" w:right="0"/>
            </w:pPr>
            <w:r>
              <w:t>XGTG</w:t>
            </w:r>
          </w:p>
        </w:tc>
        <w:tc>
          <w:tcPr>
            <w:cnfStyle w:evenVBand="true" w:oddVBand="false" w:firstColumn="false"/>
            <w:tcW w:w="25.000000%" w:type="pct"/>
          </w:tcPr>
          <w:p>
            <w:pPr>
              <w:ind w:leftChars="0" w:left="0" w:right="0"/>
            </w:pPr>
            <w:r>
              <w:t>XGTG</w:t>
            </w:r>
          </w:p>
        </w:tc>
        <w:tc>
          <w:tcPr>
            <w:cnfStyle w:evenVBand="false" w:oddVBand="true" w:firstColumn="false"/>
            <w:tcW w:w="25.000000%" w:type="pct"/>
          </w:tcPr>
          <w:p>
            <w:pPr>
              <w:ind w:leftChars="0" w:left="0" w:right="0"/>
            </w:pPr>
            <w:r>
              <w:t>BOLSA DE VALORES NACIONAL SA</w:t>
            </w:r>
          </w:p>
        </w:tc>
        <w:tc>
          <w:tcPr>
            <w:cnfStyle w:evenVBand="true" w:oddVBand="false" w:firstColumn="false"/>
            <w:tcW w:w="25.000000%" w:type="pct"/>
          </w:tcPr>
          <w:p>
            <w:pPr>
              <w:ind w:leftChars="0" w:left="0" w:right="0"/>
            </w:pPr>
            <w:r>
              <w:t>2158</w:t>
            </w:r>
          </w:p>
        </w:tc>
      </w:tr>
      <w:tr>
        <w:trPr>
          <w:cnfStyle w:evenHBand="true" w:oddHBand="false" w:firstRow="false"/>
        </w:trPr>
        <w:tc>
          <w:tcPr>
            <w:cnfStyle w:evenVBand="false" w:oddVBand="true" w:firstColumn="false"/>
            <w:tcW w:w="25.000000%" w:type="pct"/>
          </w:tcPr>
          <w:p>
            <w:pPr>
              <w:ind w:leftChars="0" w:left="0" w:right="0"/>
            </w:pPr>
            <w:r>
              <w:t>XGUA</w:t>
            </w:r>
          </w:p>
        </w:tc>
        <w:tc>
          <w:tcPr>
            <w:cnfStyle w:evenVBand="true" w:oddVBand="false" w:firstColumn="false"/>
            <w:tcW w:w="25.000000%" w:type="pct"/>
          </w:tcPr>
          <w:p>
            <w:pPr>
              <w:ind w:leftChars="0" w:left="0" w:right="0"/>
            </w:pPr>
            <w:r>
              <w:t>XGUA</w:t>
            </w:r>
          </w:p>
        </w:tc>
        <w:tc>
          <w:tcPr>
            <w:cnfStyle w:evenVBand="false" w:oddVBand="true" w:firstColumn="false"/>
            <w:tcW w:w="25.000000%" w:type="pct"/>
          </w:tcPr>
          <w:p>
            <w:pPr>
              <w:ind w:leftChars="0" w:left="0" w:right="0"/>
            </w:pPr>
            <w:r>
              <w:t>BOLSA DE VALORES DE GUAYAQUIL</w:t>
            </w:r>
          </w:p>
        </w:tc>
        <w:tc>
          <w:tcPr>
            <w:cnfStyle w:evenVBand="true" w:oddVBand="false" w:firstColumn="false"/>
            <w:tcW w:w="25.000000%" w:type="pct"/>
          </w:tcPr>
          <w:p>
            <w:pPr>
              <w:ind w:leftChars="0" w:left="0" w:right="0"/>
            </w:pPr>
            <w:r>
              <w:t>2159</w:t>
            </w:r>
          </w:p>
        </w:tc>
      </w:tr>
      <w:tr>
        <w:trPr>
          <w:cnfStyle w:evenHBand="false" w:oddHBand="true" w:firstRow="false"/>
        </w:trPr>
        <w:tc>
          <w:tcPr>
            <w:cnfStyle w:evenVBand="false" w:oddVBand="true" w:firstColumn="false"/>
            <w:tcW w:w="25.000000%" w:type="pct"/>
          </w:tcPr>
          <w:p>
            <w:pPr>
              <w:ind w:leftChars="0" w:left="0" w:right="0"/>
            </w:pPr>
            <w:r>
              <w:t>XHAM</w:t>
            </w:r>
          </w:p>
        </w:tc>
        <w:tc>
          <w:tcPr>
            <w:cnfStyle w:evenVBand="true" w:oddVBand="false" w:firstColumn="false"/>
            <w:tcW w:w="25.000000%" w:type="pct"/>
          </w:tcPr>
          <w:p>
            <w:pPr>
              <w:ind w:leftChars="0" w:left="0" w:right="0"/>
            </w:pPr>
            <w:r>
              <w:t>XHAM</w:t>
            </w:r>
          </w:p>
        </w:tc>
        <w:tc>
          <w:tcPr>
            <w:cnfStyle w:evenVBand="false" w:oddVBand="true" w:firstColumn="false"/>
            <w:tcW w:w="25.000000%" w:type="pct"/>
          </w:tcPr>
          <w:p>
            <w:pPr>
              <w:ind w:leftChars="0" w:left="0" w:right="0"/>
            </w:pPr>
            <w:r>
              <w:t>HANSEATISCHE WERTPAPIERBOERSE HAMBURG</w:t>
            </w:r>
          </w:p>
        </w:tc>
        <w:tc>
          <w:tcPr>
            <w:cnfStyle w:evenVBand="true" w:oddVBand="false" w:firstColumn="false"/>
            <w:tcW w:w="25.000000%" w:type="pct"/>
          </w:tcPr>
          <w:p>
            <w:pPr>
              <w:ind w:leftChars="0" w:left="0" w:right="0"/>
            </w:pPr>
            <w:r>
              <w:t>2160</w:t>
            </w:r>
          </w:p>
        </w:tc>
      </w:tr>
      <w:tr>
        <w:trPr>
          <w:cnfStyle w:evenHBand="true" w:oddHBand="false" w:firstRow="false"/>
        </w:trPr>
        <w:tc>
          <w:tcPr>
            <w:cnfStyle w:evenVBand="false" w:oddVBand="true" w:firstColumn="false"/>
            <w:tcW w:w="25.000000%" w:type="pct"/>
          </w:tcPr>
          <w:p>
            <w:pPr>
              <w:ind w:leftChars="0" w:left="0" w:right="0"/>
            </w:pPr>
            <w:r>
              <w:t>XHAN</w:t>
            </w:r>
          </w:p>
        </w:tc>
        <w:tc>
          <w:tcPr>
            <w:cnfStyle w:evenVBand="true" w:oddVBand="false" w:firstColumn="false"/>
            <w:tcW w:w="25.000000%" w:type="pct"/>
          </w:tcPr>
          <w:p>
            <w:pPr>
              <w:ind w:leftChars="0" w:left="0" w:right="0"/>
            </w:pPr>
            <w:r>
              <w:t>XHAN</w:t>
            </w:r>
          </w:p>
        </w:tc>
        <w:tc>
          <w:tcPr>
            <w:cnfStyle w:evenVBand="false" w:oddVBand="true" w:firstColumn="false"/>
            <w:tcW w:w="25.000000%" w:type="pct"/>
          </w:tcPr>
          <w:p>
            <w:pPr>
              <w:ind w:leftChars="0" w:left="0" w:right="0"/>
            </w:pPr>
            <w:r>
              <w:t>NIEDERSAECHSISCHE BOERSE ZU HANNOVER</w:t>
            </w:r>
          </w:p>
        </w:tc>
        <w:tc>
          <w:tcPr>
            <w:cnfStyle w:evenVBand="true" w:oddVBand="false" w:firstColumn="false"/>
            <w:tcW w:w="25.000000%" w:type="pct"/>
          </w:tcPr>
          <w:p>
            <w:pPr>
              <w:ind w:leftChars="0" w:left="0" w:right="0"/>
            </w:pPr>
            <w:r>
              <w:t>2161</w:t>
            </w:r>
          </w:p>
        </w:tc>
      </w:tr>
      <w:tr>
        <w:trPr>
          <w:cnfStyle w:evenHBand="false" w:oddHBand="true" w:firstRow="false"/>
        </w:trPr>
        <w:tc>
          <w:tcPr>
            <w:cnfStyle w:evenVBand="false" w:oddVBand="true" w:firstColumn="false"/>
            <w:tcW w:w="25.000000%" w:type="pct"/>
          </w:tcPr>
          <w:p>
            <w:pPr>
              <w:ind w:leftChars="0" w:left="0" w:right="0"/>
            </w:pPr>
            <w:r>
              <w:t>XHCE</w:t>
            </w:r>
          </w:p>
        </w:tc>
        <w:tc>
          <w:tcPr>
            <w:cnfStyle w:evenVBand="true" w:oddVBand="false" w:firstColumn="false"/>
            <w:tcW w:w="25.000000%" w:type="pct"/>
          </w:tcPr>
          <w:p>
            <w:pPr>
              <w:ind w:leftChars="0" w:left="0" w:right="0"/>
            </w:pPr>
            <w:r>
              <w:t>XHCE</w:t>
            </w:r>
          </w:p>
        </w:tc>
        <w:tc>
          <w:tcPr>
            <w:cnfStyle w:evenVBand="false" w:oddVBand="true" w:firstColumn="false"/>
            <w:tcW w:w="25.000000%" w:type="pct"/>
          </w:tcPr>
          <w:p>
            <w:pPr>
              <w:ind w:leftChars="0" w:left="0" w:right="0"/>
            </w:pPr>
            <w:r>
              <w:t>RISK MANAGEMENT EXCHANGE</w:t>
            </w:r>
          </w:p>
        </w:tc>
        <w:tc>
          <w:tcPr>
            <w:cnfStyle w:evenVBand="true" w:oddVBand="false" w:firstColumn="false"/>
            <w:tcW w:w="25.000000%" w:type="pct"/>
          </w:tcPr>
          <w:p>
            <w:pPr>
              <w:ind w:leftChars="0" w:left="0" w:right="0"/>
            </w:pPr>
            <w:r>
              <w:t>2162</w:t>
            </w:r>
          </w:p>
        </w:tc>
      </w:tr>
      <w:tr>
        <w:trPr>
          <w:cnfStyle w:evenHBand="true" w:oddHBand="false" w:firstRow="false"/>
        </w:trPr>
        <w:tc>
          <w:tcPr>
            <w:cnfStyle w:evenVBand="false" w:oddVBand="true" w:firstColumn="false"/>
            <w:tcW w:w="25.000000%" w:type="pct"/>
          </w:tcPr>
          <w:p>
            <w:pPr>
              <w:ind w:leftChars="0" w:left="0" w:right="0"/>
            </w:pPr>
            <w:r>
              <w:t>XHEL</w:t>
            </w:r>
          </w:p>
        </w:tc>
        <w:tc>
          <w:tcPr>
            <w:cnfStyle w:evenVBand="true" w:oddVBand="false" w:firstColumn="false"/>
            <w:tcW w:w="25.000000%" w:type="pct"/>
          </w:tcPr>
          <w:p>
            <w:pPr>
              <w:ind w:leftChars="0" w:left="0" w:right="0"/>
            </w:pPr>
            <w:r>
              <w:t>XHEL</w:t>
            </w:r>
          </w:p>
        </w:tc>
        <w:tc>
          <w:tcPr>
            <w:cnfStyle w:evenVBand="false" w:oddVBand="true" w:firstColumn="false"/>
            <w:tcW w:w="25.000000%" w:type="pct"/>
          </w:tcPr>
          <w:p>
            <w:pPr>
              <w:ind w:leftChars="0" w:left="0" w:right="0"/>
            </w:pPr>
            <w:r>
              <w:t>NASDAQ HELSINKI LTD</w:t>
            </w:r>
          </w:p>
        </w:tc>
        <w:tc>
          <w:tcPr>
            <w:cnfStyle w:evenVBand="true" w:oddVBand="false" w:firstColumn="false"/>
            <w:tcW w:w="25.000000%" w:type="pct"/>
          </w:tcPr>
          <w:p>
            <w:pPr>
              <w:ind w:leftChars="0" w:left="0" w:right="0"/>
            </w:pPr>
            <w:r>
              <w:t>2163</w:t>
            </w:r>
          </w:p>
        </w:tc>
      </w:tr>
      <w:tr>
        <w:trPr>
          <w:cnfStyle w:evenHBand="false" w:oddHBand="true" w:firstRow="false"/>
        </w:trPr>
        <w:tc>
          <w:tcPr>
            <w:cnfStyle w:evenVBand="false" w:oddVBand="true" w:firstColumn="false"/>
            <w:tcW w:w="25.000000%" w:type="pct"/>
          </w:tcPr>
          <w:p>
            <w:pPr>
              <w:ind w:leftChars="0" w:left="0" w:right="0"/>
            </w:pPr>
            <w:r>
              <w:t>XHER</w:t>
            </w:r>
          </w:p>
        </w:tc>
        <w:tc>
          <w:tcPr>
            <w:cnfStyle w:evenVBand="true" w:oddVBand="false" w:firstColumn="false"/>
            <w:tcW w:w="25.000000%" w:type="pct"/>
          </w:tcPr>
          <w:p>
            <w:pPr>
              <w:ind w:leftChars="0" w:left="0" w:right="0"/>
            </w:pPr>
            <w:r>
              <w:t>XHER</w:t>
            </w:r>
          </w:p>
        </w:tc>
        <w:tc>
          <w:tcPr>
            <w:cnfStyle w:evenVBand="false" w:oddVBand="true" w:firstColumn="false"/>
            <w:tcW w:w="25.000000%" w:type="pct"/>
          </w:tcPr>
          <w:p>
            <w:pPr>
              <w:ind w:leftChars="0" w:left="0" w:right="0"/>
            </w:pPr>
            <w:r>
              <w:t>NIPPON NEW MARKET - HERCULES</w:t>
            </w:r>
          </w:p>
        </w:tc>
        <w:tc>
          <w:tcPr>
            <w:cnfStyle w:evenVBand="true" w:oddVBand="false" w:firstColumn="false"/>
            <w:tcW w:w="25.000000%" w:type="pct"/>
          </w:tcPr>
          <w:p>
            <w:pPr>
              <w:ind w:leftChars="0" w:left="0" w:right="0"/>
            </w:pPr>
            <w:r>
              <w:t>2164</w:t>
            </w:r>
          </w:p>
        </w:tc>
      </w:tr>
      <w:tr>
        <w:trPr>
          <w:cnfStyle w:evenHBand="true" w:oddHBand="false" w:firstRow="false"/>
        </w:trPr>
        <w:tc>
          <w:tcPr>
            <w:cnfStyle w:evenVBand="false" w:oddVBand="true" w:firstColumn="false"/>
            <w:tcW w:w="25.000000%" w:type="pct"/>
          </w:tcPr>
          <w:p>
            <w:pPr>
              <w:ind w:leftChars="0" w:left="0" w:right="0"/>
            </w:pPr>
            <w:r>
              <w:t>XHFT</w:t>
            </w:r>
          </w:p>
        </w:tc>
        <w:tc>
          <w:tcPr>
            <w:cnfStyle w:evenVBand="true" w:oddVBand="false" w:firstColumn="false"/>
            <w:tcW w:w="25.000000%" w:type="pct"/>
          </w:tcPr>
          <w:p>
            <w:pPr>
              <w:ind w:leftChars="0" w:left="0" w:right="0"/>
            </w:pPr>
            <w:r>
              <w:t>XHFT</w:t>
            </w:r>
          </w:p>
        </w:tc>
        <w:tc>
          <w:tcPr>
            <w:cnfStyle w:evenVBand="false" w:oddVBand="true" w:firstColumn="false"/>
            <w:tcW w:w="25.000000%" w:type="pct"/>
          </w:tcPr>
          <w:p>
            <w:pPr>
              <w:ind w:leftChars="0" w:left="0" w:right="0"/>
            </w:pPr>
            <w:r>
              <w:t>ARCA EUROPE</w:t>
            </w:r>
          </w:p>
        </w:tc>
        <w:tc>
          <w:tcPr>
            <w:cnfStyle w:evenVBand="true" w:oddVBand="false" w:firstColumn="false"/>
            <w:tcW w:w="25.000000%" w:type="pct"/>
          </w:tcPr>
          <w:p>
            <w:pPr>
              <w:ind w:leftChars="0" w:left="0" w:right="0"/>
            </w:pPr>
            <w:r>
              <w:t>2165</w:t>
            </w:r>
          </w:p>
        </w:tc>
      </w:tr>
      <w:tr>
        <w:trPr>
          <w:cnfStyle w:evenHBand="false" w:oddHBand="true" w:firstRow="false"/>
        </w:trPr>
        <w:tc>
          <w:tcPr>
            <w:cnfStyle w:evenVBand="false" w:oddVBand="true" w:firstColumn="false"/>
            <w:tcW w:w="25.000000%" w:type="pct"/>
          </w:tcPr>
          <w:p>
            <w:pPr>
              <w:ind w:leftChars="0" w:left="0" w:right="0"/>
            </w:pPr>
            <w:r>
              <w:t>XHIR</w:t>
            </w:r>
          </w:p>
        </w:tc>
        <w:tc>
          <w:tcPr>
            <w:cnfStyle w:evenVBand="true" w:oddVBand="false" w:firstColumn="false"/>
            <w:tcW w:w="25.000000%" w:type="pct"/>
          </w:tcPr>
          <w:p>
            <w:pPr>
              <w:ind w:leftChars="0" w:left="0" w:right="0"/>
            </w:pPr>
            <w:r>
              <w:t>XHIR</w:t>
            </w:r>
          </w:p>
        </w:tc>
        <w:tc>
          <w:tcPr>
            <w:cnfStyle w:evenVBand="false" w:oddVBand="true" w:firstColumn="false"/>
            <w:tcW w:w="25.000000%" w:type="pct"/>
          </w:tcPr>
          <w:p>
            <w:pPr>
              <w:ind w:leftChars="0" w:left="0" w:right="0"/>
            </w:pPr>
            <w:r>
              <w:t>HIROSHIMA STOCK EXCHANGE</w:t>
            </w:r>
          </w:p>
        </w:tc>
        <w:tc>
          <w:tcPr>
            <w:cnfStyle w:evenVBand="true" w:oddVBand="false" w:firstColumn="false"/>
            <w:tcW w:w="25.000000%" w:type="pct"/>
          </w:tcPr>
          <w:p>
            <w:pPr>
              <w:ind w:leftChars="0" w:left="0" w:right="0"/>
            </w:pPr>
            <w:r>
              <w:t>2166</w:t>
            </w:r>
          </w:p>
        </w:tc>
      </w:tr>
      <w:tr>
        <w:trPr>
          <w:cnfStyle w:evenHBand="true" w:oddHBand="false" w:firstRow="false"/>
        </w:trPr>
        <w:tc>
          <w:tcPr>
            <w:cnfStyle w:evenVBand="false" w:oddVBand="true" w:firstColumn="false"/>
            <w:tcW w:w="25.000000%" w:type="pct"/>
          </w:tcPr>
          <w:p>
            <w:pPr>
              <w:ind w:leftChars="0" w:left="0" w:right="0"/>
            </w:pPr>
            <w:r>
              <w:t>XHKF</w:t>
            </w:r>
          </w:p>
        </w:tc>
        <w:tc>
          <w:tcPr>
            <w:cnfStyle w:evenVBand="true" w:oddVBand="false" w:firstColumn="false"/>
            <w:tcW w:w="25.000000%" w:type="pct"/>
          </w:tcPr>
          <w:p>
            <w:pPr>
              <w:ind w:leftChars="0" w:left="0" w:right="0"/>
            </w:pPr>
            <w:r>
              <w:t>XHKF</w:t>
            </w:r>
          </w:p>
        </w:tc>
        <w:tc>
          <w:tcPr>
            <w:cnfStyle w:evenVBand="false" w:oddVBand="true" w:firstColumn="false"/>
            <w:tcW w:w="25.000000%" w:type="pct"/>
          </w:tcPr>
          <w:p>
            <w:pPr>
              <w:ind w:leftChars="0" w:left="0" w:right="0"/>
            </w:pPr>
            <w:r>
              <w:t>HONG KONG FUTURES EXCHANGE LTD.</w:t>
            </w:r>
          </w:p>
        </w:tc>
        <w:tc>
          <w:tcPr>
            <w:cnfStyle w:evenVBand="true" w:oddVBand="false" w:firstColumn="false"/>
            <w:tcW w:w="25.000000%" w:type="pct"/>
          </w:tcPr>
          <w:p>
            <w:pPr>
              <w:ind w:leftChars="0" w:left="0" w:right="0"/>
            </w:pPr>
            <w:r>
              <w:t>2167</w:t>
            </w:r>
          </w:p>
        </w:tc>
      </w:tr>
      <w:tr>
        <w:trPr>
          <w:cnfStyle w:evenHBand="false" w:oddHBand="true" w:firstRow="false"/>
        </w:trPr>
        <w:tc>
          <w:tcPr>
            <w:cnfStyle w:evenVBand="false" w:oddVBand="true" w:firstColumn="false"/>
            <w:tcW w:w="25.000000%" w:type="pct"/>
          </w:tcPr>
          <w:p>
            <w:pPr>
              <w:ind w:leftChars="0" w:left="0" w:right="0"/>
            </w:pPr>
            <w:r>
              <w:t>XHKG</w:t>
            </w:r>
          </w:p>
        </w:tc>
        <w:tc>
          <w:tcPr>
            <w:cnfStyle w:evenVBand="true" w:oddVBand="false" w:firstColumn="false"/>
            <w:tcW w:w="25.000000%" w:type="pct"/>
          </w:tcPr>
          <w:p>
            <w:pPr>
              <w:ind w:leftChars="0" w:left="0" w:right="0"/>
            </w:pPr>
            <w:r>
              <w:t>XHKG</w:t>
            </w:r>
          </w:p>
        </w:tc>
        <w:tc>
          <w:tcPr>
            <w:cnfStyle w:evenVBand="false" w:oddVBand="true" w:firstColumn="false"/>
            <w:tcW w:w="25.000000%" w:type="pct"/>
          </w:tcPr>
          <w:p>
            <w:pPr>
              <w:ind w:leftChars="0" w:left="0" w:right="0"/>
            </w:pPr>
            <w:r>
              <w:t>HONG KONG EXCHANGES AND CLEARING LTD</w:t>
            </w:r>
          </w:p>
        </w:tc>
        <w:tc>
          <w:tcPr>
            <w:cnfStyle w:evenVBand="true" w:oddVBand="false" w:firstColumn="false"/>
            <w:tcW w:w="25.000000%" w:type="pct"/>
          </w:tcPr>
          <w:p>
            <w:pPr>
              <w:ind w:leftChars="0" w:left="0" w:right="0"/>
            </w:pPr>
            <w:r>
              <w:t>2168</w:t>
            </w:r>
          </w:p>
        </w:tc>
      </w:tr>
      <w:tr>
        <w:trPr>
          <w:cnfStyle w:evenHBand="true" w:oddHBand="false" w:firstRow="false"/>
        </w:trPr>
        <w:tc>
          <w:tcPr>
            <w:cnfStyle w:evenVBand="false" w:oddVBand="true" w:firstColumn="false"/>
            <w:tcW w:w="25.000000%" w:type="pct"/>
          </w:tcPr>
          <w:p>
            <w:pPr>
              <w:ind w:leftChars="0" w:left="0" w:right="0"/>
            </w:pPr>
            <w:r>
              <w:t>XHNF</w:t>
            </w:r>
          </w:p>
        </w:tc>
        <w:tc>
          <w:tcPr>
            <w:cnfStyle w:evenVBand="true" w:oddVBand="false" w:firstColumn="false"/>
            <w:tcW w:w="25.000000%" w:type="pct"/>
          </w:tcPr>
          <w:p>
            <w:pPr>
              <w:ind w:leftChars="0" w:left="0" w:right="0"/>
            </w:pPr>
            <w:r>
              <w:t>XHNF</w:t>
            </w:r>
          </w:p>
        </w:tc>
        <w:tc>
          <w:tcPr>
            <w:cnfStyle w:evenVBand="false" w:oddVBand="true" w:firstColumn="false"/>
            <w:tcW w:w="25.000000%" w:type="pct"/>
          </w:tcPr>
          <w:p>
            <w:pPr>
              <w:ind w:leftChars="0" w:left="0" w:right="0"/>
            </w:pPr>
            <w:r>
              <w:t>HANOI STOCK EXCHANGE - DERIVATIVES</w:t>
            </w:r>
          </w:p>
        </w:tc>
        <w:tc>
          <w:tcPr>
            <w:cnfStyle w:evenVBand="true" w:oddVBand="false" w:firstColumn="false"/>
            <w:tcW w:w="25.000000%" w:type="pct"/>
          </w:tcPr>
          <w:p>
            <w:pPr>
              <w:ind w:leftChars="0" w:left="0" w:right="0"/>
            </w:pPr>
            <w:r>
              <w:t>2169</w:t>
            </w:r>
          </w:p>
        </w:tc>
      </w:tr>
      <w:tr>
        <w:trPr>
          <w:cnfStyle w:evenHBand="false" w:oddHBand="true" w:firstRow="false"/>
        </w:trPr>
        <w:tc>
          <w:tcPr>
            <w:cnfStyle w:evenVBand="false" w:oddVBand="true" w:firstColumn="false"/>
            <w:tcW w:w="25.000000%" w:type="pct"/>
          </w:tcPr>
          <w:p>
            <w:pPr>
              <w:ind w:leftChars="0" w:left="0" w:right="0"/>
            </w:pPr>
            <w:r>
              <w:t>XHNX</w:t>
            </w:r>
          </w:p>
        </w:tc>
        <w:tc>
          <w:tcPr>
            <w:cnfStyle w:evenVBand="true" w:oddVBand="false" w:firstColumn="false"/>
            <w:tcW w:w="25.000000%" w:type="pct"/>
          </w:tcPr>
          <w:p>
            <w:pPr>
              <w:ind w:leftChars="0" w:left="0" w:right="0"/>
            </w:pPr>
            <w:r>
              <w:t>XHNX</w:t>
            </w:r>
          </w:p>
        </w:tc>
        <w:tc>
          <w:tcPr>
            <w:cnfStyle w:evenVBand="false" w:oddVBand="true" w:firstColumn="false"/>
            <w:tcW w:w="25.000000%" w:type="pct"/>
          </w:tcPr>
          <w:p>
            <w:pPr>
              <w:ind w:leftChars="0" w:left="0" w:right="0"/>
            </w:pPr>
            <w:r>
              <w:t>HANOI STOCK EXCHANGE (UNLISTED PUBLIC COMPANY TRADING PLATFORM)</w:t>
            </w:r>
          </w:p>
        </w:tc>
        <w:tc>
          <w:tcPr>
            <w:cnfStyle w:evenVBand="true" w:oddVBand="false" w:firstColumn="false"/>
            <w:tcW w:w="25.000000%" w:type="pct"/>
          </w:tcPr>
          <w:p>
            <w:pPr>
              <w:ind w:leftChars="0" w:left="0" w:right="0"/>
            </w:pPr>
            <w:r>
              <w:t>2170</w:t>
            </w:r>
          </w:p>
        </w:tc>
      </w:tr>
      <w:tr>
        <w:trPr>
          <w:cnfStyle w:evenHBand="true" w:oddHBand="false" w:firstRow="false"/>
        </w:trPr>
        <w:tc>
          <w:tcPr>
            <w:cnfStyle w:evenVBand="false" w:oddVBand="true" w:firstColumn="false"/>
            <w:tcW w:w="25.000000%" w:type="pct"/>
          </w:tcPr>
          <w:p>
            <w:pPr>
              <w:ind w:leftChars="0" w:left="0" w:right="0"/>
            </w:pPr>
            <w:r>
              <w:t>XHON</w:t>
            </w:r>
          </w:p>
        </w:tc>
        <w:tc>
          <w:tcPr>
            <w:cnfStyle w:evenVBand="true" w:oddVBand="false" w:firstColumn="false"/>
            <w:tcW w:w="25.000000%" w:type="pct"/>
          </w:tcPr>
          <w:p>
            <w:pPr>
              <w:ind w:leftChars="0" w:left="0" w:right="0"/>
            </w:pPr>
            <w:r>
              <w:t>XHON</w:t>
            </w:r>
          </w:p>
        </w:tc>
        <w:tc>
          <w:tcPr>
            <w:cnfStyle w:evenVBand="false" w:oddVBand="true" w:firstColumn="false"/>
            <w:tcW w:w="25.000000%" w:type="pct"/>
          </w:tcPr>
          <w:p>
            <w:pPr>
              <w:ind w:leftChars="0" w:left="0" w:right="0"/>
            </w:pPr>
            <w:r>
              <w:t>HONDURIAN STOCK EXCHANGE</w:t>
            </w:r>
          </w:p>
        </w:tc>
        <w:tc>
          <w:tcPr>
            <w:cnfStyle w:evenVBand="true" w:oddVBand="false" w:firstColumn="false"/>
            <w:tcW w:w="25.000000%" w:type="pct"/>
          </w:tcPr>
          <w:p>
            <w:pPr>
              <w:ind w:leftChars="0" w:left="0" w:right="0"/>
            </w:pPr>
            <w:r>
              <w:t>2171</w:t>
            </w:r>
          </w:p>
        </w:tc>
      </w:tr>
      <w:tr>
        <w:trPr>
          <w:cnfStyle w:evenHBand="false" w:oddHBand="true" w:firstRow="false"/>
        </w:trPr>
        <w:tc>
          <w:tcPr>
            <w:cnfStyle w:evenVBand="false" w:oddVBand="true" w:firstColumn="false"/>
            <w:tcW w:w="25.000000%" w:type="pct"/>
          </w:tcPr>
          <w:p>
            <w:pPr>
              <w:ind w:leftChars="0" w:left="0" w:right="0"/>
            </w:pPr>
            <w:r>
              <w:t>XIAB</w:t>
            </w:r>
          </w:p>
        </w:tc>
        <w:tc>
          <w:tcPr>
            <w:cnfStyle w:evenVBand="true" w:oddVBand="false" w:firstColumn="false"/>
            <w:tcW w:w="25.000000%" w:type="pct"/>
          </w:tcPr>
          <w:p>
            <w:pPr>
              <w:ind w:leftChars="0" w:left="0" w:right="0"/>
            </w:pPr>
            <w:r>
              <w:t>XIAB</w:t>
            </w:r>
          </w:p>
        </w:tc>
        <w:tc>
          <w:tcPr>
            <w:cnfStyle w:evenVBand="false" w:oddVBand="true" w:firstColumn="false"/>
            <w:tcW w:w="25.000000%" w:type="pct"/>
          </w:tcPr>
          <w:p>
            <w:pPr>
              <w:ind w:leftChars="0" w:left="0" w:right="0"/>
            </w:pPr>
            <w:r>
              <w:t>ISTANBUL GOLD EXCHANGE</w:t>
            </w:r>
          </w:p>
        </w:tc>
        <w:tc>
          <w:tcPr>
            <w:cnfStyle w:evenVBand="true" w:oddVBand="false" w:firstColumn="false"/>
            <w:tcW w:w="25.000000%" w:type="pct"/>
          </w:tcPr>
          <w:p>
            <w:pPr>
              <w:ind w:leftChars="0" w:left="0" w:right="0"/>
            </w:pPr>
            <w:r>
              <w:t>2172</w:t>
            </w:r>
          </w:p>
        </w:tc>
      </w:tr>
      <w:tr>
        <w:trPr>
          <w:cnfStyle w:evenHBand="true" w:oddHBand="false" w:firstRow="false"/>
        </w:trPr>
        <w:tc>
          <w:tcPr>
            <w:cnfStyle w:evenVBand="false" w:oddVBand="true" w:firstColumn="false"/>
            <w:tcW w:w="25.000000%" w:type="pct"/>
          </w:tcPr>
          <w:p>
            <w:pPr>
              <w:ind w:leftChars="0" w:left="0" w:right="0"/>
            </w:pPr>
            <w:r>
              <w:t>XIBE</w:t>
            </w:r>
          </w:p>
        </w:tc>
        <w:tc>
          <w:tcPr>
            <w:cnfStyle w:evenVBand="true" w:oddVBand="false" w:firstColumn="false"/>
            <w:tcW w:w="25.000000%" w:type="pct"/>
          </w:tcPr>
          <w:p>
            <w:pPr>
              <w:ind w:leftChars="0" w:left="0" w:right="0"/>
            </w:pPr>
            <w:r>
              <w:t>XIBE</w:t>
            </w:r>
          </w:p>
        </w:tc>
        <w:tc>
          <w:tcPr>
            <w:cnfStyle w:evenVBand="false" w:oddVBand="true" w:firstColumn="false"/>
            <w:tcW w:w="25.000000%" w:type="pct"/>
          </w:tcPr>
          <w:p>
            <w:pPr>
              <w:ind w:leftChars="0" w:left="0" w:right="0"/>
            </w:pPr>
            <w:r>
              <w:t>BAKU INTERBANK CURRENCY EXCHANGE</w:t>
            </w:r>
          </w:p>
        </w:tc>
        <w:tc>
          <w:tcPr>
            <w:cnfStyle w:evenVBand="true" w:oddVBand="false" w:firstColumn="false"/>
            <w:tcW w:w="25.000000%" w:type="pct"/>
          </w:tcPr>
          <w:p>
            <w:pPr>
              <w:ind w:leftChars="0" w:left="0" w:right="0"/>
            </w:pPr>
            <w:r>
              <w:t>2173</w:t>
            </w:r>
          </w:p>
        </w:tc>
      </w:tr>
      <w:tr>
        <w:trPr>
          <w:cnfStyle w:evenHBand="false" w:oddHBand="true" w:firstRow="false"/>
        </w:trPr>
        <w:tc>
          <w:tcPr>
            <w:cnfStyle w:evenVBand="false" w:oddVBand="true" w:firstColumn="false"/>
            <w:tcW w:w="25.000000%" w:type="pct"/>
          </w:tcPr>
          <w:p>
            <w:pPr>
              <w:ind w:leftChars="0" w:left="0" w:right="0"/>
            </w:pPr>
            <w:r>
              <w:t>XICB</w:t>
            </w:r>
          </w:p>
        </w:tc>
        <w:tc>
          <w:tcPr>
            <w:cnfStyle w:evenVBand="true" w:oddVBand="false" w:firstColumn="false"/>
            <w:tcW w:w="25.000000%" w:type="pct"/>
          </w:tcPr>
          <w:p>
            <w:pPr>
              <w:ind w:leftChars="0" w:left="0" w:right="0"/>
            </w:pPr>
            <w:r>
              <w:t>XICB</w:t>
            </w:r>
          </w:p>
        </w:tc>
        <w:tc>
          <w:tcPr>
            <w:cnfStyle w:evenVBand="false" w:oddVBand="true" w:firstColumn="false"/>
            <w:tcW w:w="25.000000%" w:type="pct"/>
          </w:tcPr>
          <w:p>
            <w:pPr>
              <w:ind w:leftChars="0" w:left="0" w:right="0"/>
            </w:pPr>
            <w:r>
              <w:t>SIX CORPORATE BONDS AG</w:t>
            </w:r>
          </w:p>
        </w:tc>
        <w:tc>
          <w:tcPr>
            <w:cnfStyle w:evenVBand="true" w:oddVBand="false" w:firstColumn="false"/>
            <w:tcW w:w="25.000000%" w:type="pct"/>
          </w:tcPr>
          <w:p>
            <w:pPr>
              <w:ind w:leftChars="0" w:left="0" w:right="0"/>
            </w:pPr>
            <w:r>
              <w:t>2174</w:t>
            </w:r>
          </w:p>
        </w:tc>
      </w:tr>
      <w:tr>
        <w:trPr>
          <w:cnfStyle w:evenHBand="true" w:oddHBand="false" w:firstRow="false"/>
        </w:trPr>
        <w:tc>
          <w:tcPr>
            <w:cnfStyle w:evenVBand="false" w:oddVBand="true" w:firstColumn="false"/>
            <w:tcW w:w="25.000000%" w:type="pct"/>
          </w:tcPr>
          <w:p>
            <w:pPr>
              <w:ind w:leftChars="0" w:left="0" w:right="0"/>
            </w:pPr>
            <w:r>
              <w:t>XICE</w:t>
            </w:r>
          </w:p>
        </w:tc>
        <w:tc>
          <w:tcPr>
            <w:cnfStyle w:evenVBand="true" w:oddVBand="false" w:firstColumn="false"/>
            <w:tcW w:w="25.000000%" w:type="pct"/>
          </w:tcPr>
          <w:p>
            <w:pPr>
              <w:ind w:leftChars="0" w:left="0" w:right="0"/>
            </w:pPr>
            <w:r>
              <w:t>XICE</w:t>
            </w:r>
          </w:p>
        </w:tc>
        <w:tc>
          <w:tcPr>
            <w:cnfStyle w:evenVBand="false" w:oddVBand="true" w:firstColumn="false"/>
            <w:tcW w:w="25.000000%" w:type="pct"/>
          </w:tcPr>
          <w:p>
            <w:pPr>
              <w:ind w:leftChars="0" w:left="0" w:right="0"/>
            </w:pPr>
            <w:r>
              <w:t>NASDAQ ICELAND HF.</w:t>
            </w:r>
          </w:p>
        </w:tc>
        <w:tc>
          <w:tcPr>
            <w:cnfStyle w:evenVBand="true" w:oddVBand="false" w:firstColumn="false"/>
            <w:tcW w:w="25.000000%" w:type="pct"/>
          </w:tcPr>
          <w:p>
            <w:pPr>
              <w:ind w:leftChars="0" w:left="0" w:right="0"/>
            </w:pPr>
            <w:r>
              <w:t>2175</w:t>
            </w:r>
          </w:p>
        </w:tc>
      </w:tr>
      <w:tr>
        <w:trPr>
          <w:cnfStyle w:evenHBand="false" w:oddHBand="true" w:firstRow="false"/>
        </w:trPr>
        <w:tc>
          <w:tcPr>
            <w:cnfStyle w:evenVBand="false" w:oddVBand="true" w:firstColumn="false"/>
            <w:tcW w:w="25.000000%" w:type="pct"/>
          </w:tcPr>
          <w:p>
            <w:pPr>
              <w:ind w:leftChars="0" w:left="0" w:right="0"/>
            </w:pPr>
            <w:r>
              <w:t>XICX</w:t>
            </w:r>
          </w:p>
        </w:tc>
        <w:tc>
          <w:tcPr>
            <w:cnfStyle w:evenVBand="true" w:oddVBand="false" w:firstColumn="false"/>
            <w:tcW w:w="25.000000%" w:type="pct"/>
          </w:tcPr>
          <w:p>
            <w:pPr>
              <w:ind w:leftChars="0" w:left="0" w:right="0"/>
            </w:pPr>
            <w:r>
              <w:t>XICX</w:t>
            </w:r>
          </w:p>
        </w:tc>
        <w:tc>
          <w:tcPr>
            <w:cnfStyle w:evenVBand="false" w:oddVBand="true" w:firstColumn="false"/>
            <w:tcW w:w="25.000000%" w:type="pct"/>
          </w:tcPr>
          <w:p>
            <w:pPr>
              <w:ind w:leftChars="0" w:left="0" w:right="0"/>
            </w:pPr>
            <w:r>
              <w:t>INSTINET CANADA CROSS</w:t>
            </w:r>
          </w:p>
        </w:tc>
        <w:tc>
          <w:tcPr>
            <w:cnfStyle w:evenVBand="true" w:oddVBand="false" w:firstColumn="false"/>
            <w:tcW w:w="25.000000%" w:type="pct"/>
          </w:tcPr>
          <w:p>
            <w:pPr>
              <w:ind w:leftChars="0" w:left="0" w:right="0"/>
            </w:pPr>
            <w:r>
              <w:t>2176</w:t>
            </w:r>
          </w:p>
        </w:tc>
      </w:tr>
      <w:tr>
        <w:trPr>
          <w:cnfStyle w:evenHBand="true" w:oddHBand="false" w:firstRow="false"/>
        </w:trPr>
        <w:tc>
          <w:tcPr>
            <w:cnfStyle w:evenVBand="false" w:oddVBand="true" w:firstColumn="false"/>
            <w:tcW w:w="25.000000%" w:type="pct"/>
          </w:tcPr>
          <w:p>
            <w:pPr>
              <w:ind w:leftChars="0" w:left="0" w:right="0"/>
            </w:pPr>
            <w:r>
              <w:t>XIDX</w:t>
            </w:r>
          </w:p>
        </w:tc>
        <w:tc>
          <w:tcPr>
            <w:cnfStyle w:evenVBand="true" w:oddVBand="false" w:firstColumn="false"/>
            <w:tcW w:w="25.000000%" w:type="pct"/>
          </w:tcPr>
          <w:p>
            <w:pPr>
              <w:ind w:leftChars="0" w:left="0" w:right="0"/>
            </w:pPr>
            <w:r>
              <w:t>XIDX</w:t>
            </w:r>
          </w:p>
        </w:tc>
        <w:tc>
          <w:tcPr>
            <w:cnfStyle w:evenVBand="false" w:oddVBand="true" w:firstColumn="false"/>
            <w:tcW w:w="25.000000%" w:type="pct"/>
          </w:tcPr>
          <w:p>
            <w:pPr>
              <w:ind w:leftChars="0" w:left="0" w:right="0"/>
            </w:pPr>
            <w:r>
              <w:t>INDONESIA STOCK EXCHANGE</w:t>
            </w:r>
          </w:p>
        </w:tc>
        <w:tc>
          <w:tcPr>
            <w:cnfStyle w:evenVBand="true" w:oddVBand="false" w:firstColumn="false"/>
            <w:tcW w:w="25.000000%" w:type="pct"/>
          </w:tcPr>
          <w:p>
            <w:pPr>
              <w:ind w:leftChars="0" w:left="0" w:right="0"/>
            </w:pPr>
            <w:r>
              <w:t>2177</w:t>
            </w:r>
          </w:p>
        </w:tc>
      </w:tr>
      <w:tr>
        <w:trPr>
          <w:cnfStyle w:evenHBand="false" w:oddHBand="true" w:firstRow="false"/>
        </w:trPr>
        <w:tc>
          <w:tcPr>
            <w:cnfStyle w:evenVBand="false" w:oddVBand="true" w:firstColumn="false"/>
            <w:tcW w:w="25.000000%" w:type="pct"/>
          </w:tcPr>
          <w:p>
            <w:pPr>
              <w:ind w:leftChars="0" w:left="0" w:right="0"/>
            </w:pPr>
            <w:r>
              <w:t>XIEL</w:t>
            </w:r>
          </w:p>
        </w:tc>
        <w:tc>
          <w:tcPr>
            <w:cnfStyle w:evenVBand="true" w:oddVBand="false" w:firstColumn="false"/>
            <w:tcW w:w="25.000000%" w:type="pct"/>
          </w:tcPr>
          <w:p>
            <w:pPr>
              <w:ind w:leftChars="0" w:left="0" w:right="0"/>
            </w:pPr>
            <w:r>
              <w:t>XIEL</w:t>
            </w:r>
          </w:p>
        </w:tc>
        <w:tc>
          <w:tcPr>
            <w:cnfStyle w:evenVBand="false" w:oddVBand="true" w:firstColumn="false"/>
            <w:tcW w:w="25.000000%" w:type="pct"/>
          </w:tcPr>
          <w:p>
            <w:pPr>
              <w:ind w:leftChars="0" w:left="0" w:right="0"/>
            </w:pPr>
            <w:r>
              <w:t>INSTINET EUROPE LIMITED</w:t>
            </w:r>
          </w:p>
        </w:tc>
        <w:tc>
          <w:tcPr>
            <w:cnfStyle w:evenVBand="true" w:oddVBand="false" w:firstColumn="false"/>
            <w:tcW w:w="25.000000%" w:type="pct"/>
          </w:tcPr>
          <w:p>
            <w:pPr>
              <w:ind w:leftChars="0" w:left="0" w:right="0"/>
            </w:pPr>
            <w:r>
              <w:t>2178</w:t>
            </w:r>
          </w:p>
        </w:tc>
      </w:tr>
      <w:tr>
        <w:trPr>
          <w:cnfStyle w:evenHBand="true" w:oddHBand="false" w:firstRow="false"/>
        </w:trPr>
        <w:tc>
          <w:tcPr>
            <w:cnfStyle w:evenVBand="false" w:oddVBand="true" w:firstColumn="false"/>
            <w:tcW w:w="25.000000%" w:type="pct"/>
          </w:tcPr>
          <w:p>
            <w:pPr>
              <w:ind w:leftChars="0" w:left="0" w:right="0"/>
            </w:pPr>
            <w:r>
              <w:t>XIEX</w:t>
            </w:r>
          </w:p>
        </w:tc>
        <w:tc>
          <w:tcPr>
            <w:cnfStyle w:evenVBand="true" w:oddVBand="false" w:firstColumn="false"/>
            <w:tcW w:w="25.000000%" w:type="pct"/>
          </w:tcPr>
          <w:p>
            <w:pPr>
              <w:ind w:leftChars="0" w:left="0" w:right="0"/>
            </w:pPr>
            <w:r>
              <w:t>XIEX</w:t>
            </w:r>
          </w:p>
        </w:tc>
        <w:tc>
          <w:tcPr>
            <w:cnfStyle w:evenVBand="false" w:oddVBand="true" w:firstColumn="false"/>
            <w:tcW w:w="25.000000%" w:type="pct"/>
          </w:tcPr>
          <w:p>
            <w:pPr>
              <w:ind w:leftChars="0" w:left="0" w:right="0"/>
            </w:pPr>
            <w:r>
              <w:t>IRISH STOCK EXCHANGE - ENTERPRISE SECURITIES MARKET</w:t>
            </w:r>
          </w:p>
        </w:tc>
        <w:tc>
          <w:tcPr>
            <w:cnfStyle w:evenVBand="true" w:oddVBand="false" w:firstColumn="false"/>
            <w:tcW w:w="25.000000%" w:type="pct"/>
          </w:tcPr>
          <w:p>
            <w:pPr>
              <w:ind w:leftChars="0" w:left="0" w:right="0"/>
            </w:pPr>
            <w:r>
              <w:t>2179</w:t>
            </w:r>
          </w:p>
        </w:tc>
      </w:tr>
      <w:tr>
        <w:trPr>
          <w:cnfStyle w:evenHBand="false" w:oddHBand="true" w:firstRow="false"/>
        </w:trPr>
        <w:tc>
          <w:tcPr>
            <w:cnfStyle w:evenVBand="false" w:oddVBand="true" w:firstColumn="false"/>
            <w:tcW w:w="25.000000%" w:type="pct"/>
          </w:tcPr>
          <w:p>
            <w:pPr>
              <w:ind w:leftChars="0" w:left="0" w:right="0"/>
            </w:pPr>
            <w:r>
              <w:t>XIGG</w:t>
            </w:r>
          </w:p>
        </w:tc>
        <w:tc>
          <w:tcPr>
            <w:cnfStyle w:evenVBand="true" w:oddVBand="false" w:firstColumn="false"/>
            <w:tcW w:w="25.000000%" w:type="pct"/>
          </w:tcPr>
          <w:p>
            <w:pPr>
              <w:ind w:leftChars="0" w:left="0" w:right="0"/>
            </w:pPr>
            <w:r>
              <w:t>XIGG</w:t>
            </w:r>
          </w:p>
        </w:tc>
        <w:tc>
          <w:tcPr>
            <w:cnfStyle w:evenVBand="false" w:oddVBand="true" w:firstColumn="false"/>
            <w:tcW w:w="25.000000%" w:type="pct"/>
          </w:tcPr>
          <w:p>
            <w:pPr>
              <w:ind w:leftChars="0" w:left="0" w:right="0"/>
            </w:pPr>
            <w:r>
              <w:t>BLOCKMATCH EUROPE</w:t>
            </w:r>
          </w:p>
        </w:tc>
        <w:tc>
          <w:tcPr>
            <w:cnfStyle w:evenVBand="true" w:oddVBand="false" w:firstColumn="false"/>
            <w:tcW w:w="25.000000%" w:type="pct"/>
          </w:tcPr>
          <w:p>
            <w:pPr>
              <w:ind w:leftChars="0" w:left="0" w:right="0"/>
            </w:pPr>
            <w:r>
              <w:t>2180</w:t>
            </w:r>
          </w:p>
        </w:tc>
      </w:tr>
      <w:tr>
        <w:trPr>
          <w:cnfStyle w:evenHBand="true" w:oddHBand="false" w:firstRow="false"/>
        </w:trPr>
        <w:tc>
          <w:tcPr>
            <w:cnfStyle w:evenVBand="false" w:oddVBand="true" w:firstColumn="false"/>
            <w:tcW w:w="25.000000%" w:type="pct"/>
          </w:tcPr>
          <w:p>
            <w:pPr>
              <w:ind w:leftChars="0" w:left="0" w:right="0"/>
            </w:pPr>
            <w:r>
              <w:t>XIHK</w:t>
            </w:r>
          </w:p>
        </w:tc>
        <w:tc>
          <w:tcPr>
            <w:cnfStyle w:evenVBand="true" w:oddVBand="false" w:firstColumn="false"/>
            <w:tcW w:w="25.000000%" w:type="pct"/>
          </w:tcPr>
          <w:p>
            <w:pPr>
              <w:ind w:leftChars="0" w:left="0" w:right="0"/>
            </w:pPr>
            <w:r>
              <w:t>XIHK</w:t>
            </w:r>
          </w:p>
        </w:tc>
        <w:tc>
          <w:tcPr>
            <w:cnfStyle w:evenVBand="false" w:oddVBand="true" w:firstColumn="false"/>
            <w:tcW w:w="25.000000%" w:type="pct"/>
          </w:tcPr>
          <w:p>
            <w:pPr>
              <w:ind w:leftChars="0" w:left="0" w:right="0"/>
            </w:pPr>
            <w:r>
              <w:t>INSTINET PACIFIC LTD</w:t>
            </w:r>
          </w:p>
        </w:tc>
        <w:tc>
          <w:tcPr>
            <w:cnfStyle w:evenVBand="true" w:oddVBand="false" w:firstColumn="false"/>
            <w:tcW w:w="25.000000%" w:type="pct"/>
          </w:tcPr>
          <w:p>
            <w:pPr>
              <w:ind w:leftChars="0" w:left="0" w:right="0"/>
            </w:pPr>
            <w:r>
              <w:t>2181</w:t>
            </w:r>
          </w:p>
        </w:tc>
      </w:tr>
      <w:tr>
        <w:trPr>
          <w:cnfStyle w:evenHBand="false" w:oddHBand="true" w:firstRow="false"/>
        </w:trPr>
        <w:tc>
          <w:tcPr>
            <w:cnfStyle w:evenVBand="false" w:oddVBand="true" w:firstColumn="false"/>
            <w:tcW w:w="25.000000%" w:type="pct"/>
          </w:tcPr>
          <w:p>
            <w:pPr>
              <w:ind w:leftChars="0" w:left="0" w:right="0"/>
            </w:pPr>
            <w:r>
              <w:t>XIJP</w:t>
            </w:r>
          </w:p>
        </w:tc>
        <w:tc>
          <w:tcPr>
            <w:cnfStyle w:evenVBand="true" w:oddVBand="false" w:firstColumn="false"/>
            <w:tcW w:w="25.000000%" w:type="pct"/>
          </w:tcPr>
          <w:p>
            <w:pPr>
              <w:ind w:leftChars="0" w:left="0" w:right="0"/>
            </w:pPr>
            <w:r>
              <w:t>XIJP</w:t>
            </w:r>
          </w:p>
        </w:tc>
        <w:tc>
          <w:tcPr>
            <w:cnfStyle w:evenVBand="false" w:oddVBand="true" w:firstColumn="false"/>
            <w:tcW w:w="25.000000%" w:type="pct"/>
          </w:tcPr>
          <w:p>
            <w:pPr>
              <w:ind w:leftChars="0" w:left="0" w:right="0"/>
            </w:pPr>
            <w:r>
              <w:t>INSTINET JAPAN</w:t>
            </w:r>
          </w:p>
        </w:tc>
        <w:tc>
          <w:tcPr>
            <w:cnfStyle w:evenVBand="true" w:oddVBand="false" w:firstColumn="false"/>
            <w:tcW w:w="25.000000%" w:type="pct"/>
          </w:tcPr>
          <w:p>
            <w:pPr>
              <w:ind w:leftChars="0" w:left="0" w:right="0"/>
            </w:pPr>
            <w:r>
              <w:t>2182</w:t>
            </w:r>
          </w:p>
        </w:tc>
      </w:tr>
      <w:tr>
        <w:trPr>
          <w:cnfStyle w:evenHBand="true" w:oddHBand="false" w:firstRow="false"/>
        </w:trPr>
        <w:tc>
          <w:tcPr>
            <w:cnfStyle w:evenVBand="false" w:oddVBand="true" w:firstColumn="false"/>
            <w:tcW w:w="25.000000%" w:type="pct"/>
          </w:tcPr>
          <w:p>
            <w:pPr>
              <w:ind w:leftChars="0" w:left="0" w:right="0"/>
            </w:pPr>
            <w:r>
              <w:t>XIMA</w:t>
            </w:r>
          </w:p>
        </w:tc>
        <w:tc>
          <w:tcPr>
            <w:cnfStyle w:evenVBand="true" w:oddVBand="false" w:firstColumn="false"/>
            <w:tcW w:w="25.000000%" w:type="pct"/>
          </w:tcPr>
          <w:p>
            <w:pPr>
              <w:ind w:leftChars="0" w:left="0" w:right="0"/>
            </w:pPr>
            <w:r>
              <w:t>XIMA</w:t>
            </w:r>
          </w:p>
        </w:tc>
        <w:tc>
          <w:tcPr>
            <w:cnfStyle w:evenVBand="false" w:oddVBand="true" w:firstColumn="false"/>
            <w:tcW w:w="25.000000%" w:type="pct"/>
          </w:tcPr>
          <w:p>
            <w:pPr>
              <w:ind w:leftChars="0" w:left="0" w:right="0"/>
            </w:pPr>
            <w:r>
              <w:t>INTERNATIONAL MARTIME EXCHANGE</w:t>
            </w:r>
          </w:p>
        </w:tc>
        <w:tc>
          <w:tcPr>
            <w:cnfStyle w:evenVBand="true" w:oddVBand="false" w:firstColumn="false"/>
            <w:tcW w:w="25.000000%" w:type="pct"/>
          </w:tcPr>
          <w:p>
            <w:pPr>
              <w:ind w:leftChars="0" w:left="0" w:right="0"/>
            </w:pPr>
            <w:r>
              <w:t>2183</w:t>
            </w:r>
          </w:p>
        </w:tc>
      </w:tr>
      <w:tr>
        <w:trPr>
          <w:cnfStyle w:evenHBand="false" w:oddHBand="true" w:firstRow="false"/>
        </w:trPr>
        <w:tc>
          <w:tcPr>
            <w:cnfStyle w:evenVBand="false" w:oddVBand="true" w:firstColumn="false"/>
            <w:tcW w:w="25.000000%" w:type="pct"/>
          </w:tcPr>
          <w:p>
            <w:pPr>
              <w:ind w:leftChars="0" w:left="0" w:right="0"/>
            </w:pPr>
            <w:r>
              <w:t>XIMC</w:t>
            </w:r>
          </w:p>
        </w:tc>
        <w:tc>
          <w:tcPr>
            <w:cnfStyle w:evenVBand="true" w:oddVBand="false" w:firstColumn="false"/>
            <w:tcW w:w="25.000000%" w:type="pct"/>
          </w:tcPr>
          <w:p>
            <w:pPr>
              <w:ind w:leftChars="0" w:left="0" w:right="0"/>
            </w:pPr>
            <w:r>
              <w:t>XIMC</w:t>
            </w:r>
          </w:p>
        </w:tc>
        <w:tc>
          <w:tcPr>
            <w:cnfStyle w:evenVBand="false" w:oddVBand="true" w:firstColumn="false"/>
            <w:tcW w:w="25.000000%" w:type="pct"/>
          </w:tcPr>
          <w:p>
            <w:pPr>
              <w:ind w:leftChars="0" w:left="0" w:right="0"/>
            </w:pPr>
            <w:r>
              <w:t>MULTI COMMODITY EXCHANGE OF INDIA LTD.</w:t>
            </w:r>
          </w:p>
        </w:tc>
        <w:tc>
          <w:tcPr>
            <w:cnfStyle w:evenVBand="true" w:oddVBand="false" w:firstColumn="false"/>
            <w:tcW w:w="25.000000%" w:type="pct"/>
          </w:tcPr>
          <w:p>
            <w:pPr>
              <w:ind w:leftChars="0" w:left="0" w:right="0"/>
            </w:pPr>
            <w:r>
              <w:t>2184</w:t>
            </w:r>
          </w:p>
        </w:tc>
      </w:tr>
      <w:tr>
        <w:trPr>
          <w:cnfStyle w:evenHBand="true" w:oddHBand="false" w:firstRow="false"/>
        </w:trPr>
        <w:tc>
          <w:tcPr>
            <w:cnfStyle w:evenVBand="false" w:oddVBand="true" w:firstColumn="false"/>
            <w:tcW w:w="25.000000%" w:type="pct"/>
          </w:tcPr>
          <w:p>
            <w:pPr>
              <w:ind w:leftChars="0" w:left="0" w:right="0"/>
            </w:pPr>
            <w:r>
              <w:t>XIME</w:t>
            </w:r>
          </w:p>
        </w:tc>
        <w:tc>
          <w:tcPr>
            <w:cnfStyle w:evenVBand="true" w:oddVBand="false" w:firstColumn="false"/>
            <w:tcW w:w="25.000000%" w:type="pct"/>
          </w:tcPr>
          <w:p>
            <w:pPr>
              <w:ind w:leftChars="0" w:left="0" w:right="0"/>
            </w:pPr>
            <w:r>
              <w:t>XIME</w:t>
            </w:r>
          </w:p>
        </w:tc>
        <w:tc>
          <w:tcPr>
            <w:cnfStyle w:evenVBand="false" w:oddVBand="true" w:firstColumn="false"/>
            <w:tcW w:w="25.000000%" w:type="pct"/>
          </w:tcPr>
          <w:p>
            <w:pPr>
              <w:ind w:leftChars="0" w:left="0" w:right="0"/>
            </w:pPr>
            <w:r>
              <w:t>TAIWAN INTERNATIONAL MERCANTILE EXCHANGE</w:t>
            </w:r>
          </w:p>
        </w:tc>
        <w:tc>
          <w:tcPr>
            <w:cnfStyle w:evenVBand="true" w:oddVBand="false" w:firstColumn="false"/>
            <w:tcW w:w="25.000000%" w:type="pct"/>
          </w:tcPr>
          <w:p>
            <w:pPr>
              <w:ind w:leftChars="0" w:left="0" w:right="0"/>
            </w:pPr>
            <w:r>
              <w:t>2185</w:t>
            </w:r>
          </w:p>
        </w:tc>
      </w:tr>
      <w:tr>
        <w:trPr>
          <w:cnfStyle w:evenHBand="false" w:oddHBand="true" w:firstRow="false"/>
        </w:trPr>
        <w:tc>
          <w:tcPr>
            <w:cnfStyle w:evenVBand="false" w:oddVBand="true" w:firstColumn="false"/>
            <w:tcW w:w="25.000000%" w:type="pct"/>
          </w:tcPr>
          <w:p>
            <w:pPr>
              <w:ind w:leftChars="0" w:left="0" w:right="0"/>
            </w:pPr>
            <w:r>
              <w:t>XIMM</w:t>
            </w:r>
          </w:p>
        </w:tc>
        <w:tc>
          <w:tcPr>
            <w:cnfStyle w:evenVBand="true" w:oddVBand="false" w:firstColumn="false"/>
            <w:tcW w:w="25.000000%" w:type="pct"/>
          </w:tcPr>
          <w:p>
            <w:pPr>
              <w:ind w:leftChars="0" w:left="0" w:right="0"/>
            </w:pPr>
            <w:r>
              <w:t>XIMM</w:t>
            </w:r>
          </w:p>
        </w:tc>
        <w:tc>
          <w:tcPr>
            <w:cnfStyle w:evenVBand="false" w:oddVBand="true" w:firstColumn="false"/>
            <w:tcW w:w="25.000000%" w:type="pct"/>
          </w:tcPr>
          <w:p>
            <w:pPr>
              <w:ind w:leftChars="0" w:left="0" w:right="0"/>
            </w:pPr>
            <w:r>
              <w:t>INTERNATIONAL MONETARY MARKET</w:t>
            </w:r>
          </w:p>
        </w:tc>
        <w:tc>
          <w:tcPr>
            <w:cnfStyle w:evenVBand="true" w:oddVBand="false" w:firstColumn="false"/>
            <w:tcW w:w="25.000000%" w:type="pct"/>
          </w:tcPr>
          <w:p>
            <w:pPr>
              <w:ind w:leftChars="0" w:left="0" w:right="0"/>
            </w:pPr>
            <w:r>
              <w:t>2186</w:t>
            </w:r>
          </w:p>
        </w:tc>
      </w:tr>
      <w:tr>
        <w:trPr>
          <w:cnfStyle w:evenHBand="true" w:oddHBand="false" w:firstRow="false"/>
        </w:trPr>
        <w:tc>
          <w:tcPr>
            <w:cnfStyle w:evenVBand="false" w:oddVBand="true" w:firstColumn="false"/>
            <w:tcW w:w="25.000000%" w:type="pct"/>
          </w:tcPr>
          <w:p>
            <w:pPr>
              <w:ind w:leftChars="0" w:left="0" w:right="0"/>
            </w:pPr>
            <w:r>
              <w:t>XINE</w:t>
            </w:r>
          </w:p>
        </w:tc>
        <w:tc>
          <w:tcPr>
            <w:cnfStyle w:evenVBand="true" w:oddVBand="false" w:firstColumn="false"/>
            <w:tcW w:w="25.000000%" w:type="pct"/>
          </w:tcPr>
          <w:p>
            <w:pPr>
              <w:ind w:leftChars="0" w:left="0" w:right="0"/>
            </w:pPr>
            <w:r>
              <w:t>XINE</w:t>
            </w:r>
          </w:p>
        </w:tc>
        <w:tc>
          <w:tcPr>
            <w:cnfStyle w:evenVBand="false" w:oddVBand="true" w:firstColumn="false"/>
            <w:tcW w:w="25.000000%" w:type="pct"/>
          </w:tcPr>
          <w:p>
            <w:pPr>
              <w:ind w:leftChars="0" w:left="0" w:right="0"/>
            </w:pPr>
            <w:r>
              <w:t>SHANGHAI INTERNATIONAL ENERGY EXCHANGE</w:t>
            </w:r>
          </w:p>
        </w:tc>
        <w:tc>
          <w:tcPr>
            <w:cnfStyle w:evenVBand="true" w:oddVBand="false" w:firstColumn="false"/>
            <w:tcW w:w="25.000000%" w:type="pct"/>
          </w:tcPr>
          <w:p>
            <w:pPr>
              <w:ind w:leftChars="0" w:left="0" w:right="0"/>
            </w:pPr>
            <w:r>
              <w:t>2187</w:t>
            </w:r>
          </w:p>
        </w:tc>
      </w:tr>
      <w:tr>
        <w:trPr>
          <w:cnfStyle w:evenHBand="false" w:oddHBand="true" w:firstRow="false"/>
        </w:trPr>
        <w:tc>
          <w:tcPr>
            <w:cnfStyle w:evenVBand="false" w:oddVBand="true" w:firstColumn="false"/>
            <w:tcW w:w="25.000000%" w:type="pct"/>
          </w:tcPr>
          <w:p>
            <w:pPr>
              <w:ind w:leftChars="0" w:left="0" w:right="0"/>
            </w:pPr>
            <w:r>
              <w:t>XINS</w:t>
            </w:r>
          </w:p>
        </w:tc>
        <w:tc>
          <w:tcPr>
            <w:cnfStyle w:evenVBand="true" w:oddVBand="false" w:firstColumn="false"/>
            <w:tcW w:w="25.000000%" w:type="pct"/>
          </w:tcPr>
          <w:p>
            <w:pPr>
              <w:ind w:leftChars="0" w:left="0" w:right="0"/>
            </w:pPr>
            <w:r>
              <w:t>XINS</w:t>
            </w:r>
          </w:p>
        </w:tc>
        <w:tc>
          <w:tcPr>
            <w:cnfStyle w:evenVBand="false" w:oddVBand="true" w:firstColumn="false"/>
            <w:tcW w:w="25.000000%" w:type="pct"/>
          </w:tcPr>
          <w:p>
            <w:pPr>
              <w:ind w:leftChars="0" w:left="0" w:right="0"/>
            </w:pPr>
            <w:r>
              <w:t>INSTINET</w:t>
            </w:r>
          </w:p>
        </w:tc>
        <w:tc>
          <w:tcPr>
            <w:cnfStyle w:evenVBand="true" w:oddVBand="false" w:firstColumn="false"/>
            <w:tcW w:w="25.000000%" w:type="pct"/>
          </w:tcPr>
          <w:p>
            <w:pPr>
              <w:ind w:leftChars="0" w:left="0" w:right="0"/>
            </w:pPr>
            <w:r>
              <w:t>2188</w:t>
            </w:r>
          </w:p>
        </w:tc>
      </w:tr>
      <w:tr>
        <w:trPr>
          <w:cnfStyle w:evenHBand="true" w:oddHBand="false" w:firstRow="false"/>
        </w:trPr>
        <w:tc>
          <w:tcPr>
            <w:cnfStyle w:evenVBand="false" w:oddVBand="true" w:firstColumn="false"/>
            <w:tcW w:w="25.000000%" w:type="pct"/>
          </w:tcPr>
          <w:p>
            <w:pPr>
              <w:ind w:leftChars="0" w:left="0" w:right="0"/>
            </w:pPr>
            <w:r>
              <w:t>XINV</w:t>
            </w:r>
          </w:p>
        </w:tc>
        <w:tc>
          <w:tcPr>
            <w:cnfStyle w:evenVBand="true" w:oddVBand="false" w:firstColumn="false"/>
            <w:tcW w:w="25.000000%" w:type="pct"/>
          </w:tcPr>
          <w:p>
            <w:pPr>
              <w:ind w:leftChars="0" w:left="0" w:right="0"/>
            </w:pPr>
            <w:r>
              <w:t>XINV</w:t>
            </w:r>
          </w:p>
        </w:tc>
        <w:tc>
          <w:tcPr>
            <w:cnfStyle w:evenVBand="false" w:oddVBand="true" w:firstColumn="false"/>
            <w:tcW w:w="25.000000%" w:type="pct"/>
          </w:tcPr>
          <w:p>
            <w:pPr>
              <w:ind w:leftChars="0" w:left="0" w:right="0"/>
            </w:pPr>
            <w:r>
              <w:t>INVESTRO</w:t>
            </w:r>
          </w:p>
        </w:tc>
        <w:tc>
          <w:tcPr>
            <w:cnfStyle w:evenVBand="true" w:oddVBand="false" w:firstColumn="false"/>
            <w:tcW w:w="25.000000%" w:type="pct"/>
          </w:tcPr>
          <w:p>
            <w:pPr>
              <w:ind w:leftChars="0" w:left="0" w:right="0"/>
            </w:pPr>
            <w:r>
              <w:t>2189</w:t>
            </w:r>
          </w:p>
        </w:tc>
      </w:tr>
      <w:tr>
        <w:trPr>
          <w:cnfStyle w:evenHBand="false" w:oddHBand="true" w:firstRow="false"/>
        </w:trPr>
        <w:tc>
          <w:tcPr>
            <w:cnfStyle w:evenVBand="false" w:oddVBand="true" w:firstColumn="false"/>
            <w:tcW w:w="25.000000%" w:type="pct"/>
          </w:tcPr>
          <w:p>
            <w:pPr>
              <w:ind w:leftChars="0" w:left="0" w:right="0"/>
            </w:pPr>
            <w:r>
              <w:t>XIOM</w:t>
            </w:r>
          </w:p>
        </w:tc>
        <w:tc>
          <w:tcPr>
            <w:cnfStyle w:evenVBand="true" w:oddVBand="false" w:firstColumn="false"/>
            <w:tcW w:w="25.000000%" w:type="pct"/>
          </w:tcPr>
          <w:p>
            <w:pPr>
              <w:ind w:leftChars="0" w:left="0" w:right="0"/>
            </w:pPr>
            <w:r>
              <w:t>XIOM</w:t>
            </w:r>
          </w:p>
        </w:tc>
        <w:tc>
          <w:tcPr>
            <w:cnfStyle w:evenVBand="false" w:oddVBand="true" w:firstColumn="false"/>
            <w:tcW w:w="25.000000%" w:type="pct"/>
          </w:tcPr>
          <w:p>
            <w:pPr>
              <w:ind w:leftChars="0" w:left="0" w:right="0"/>
            </w:pPr>
            <w:r>
              <w:t>INDEX AND OPTIONS MARKET</w:t>
            </w:r>
          </w:p>
        </w:tc>
        <w:tc>
          <w:tcPr>
            <w:cnfStyle w:evenVBand="true" w:oddVBand="false" w:firstColumn="false"/>
            <w:tcW w:w="25.000000%" w:type="pct"/>
          </w:tcPr>
          <w:p>
            <w:pPr>
              <w:ind w:leftChars="0" w:left="0" w:right="0"/>
            </w:pPr>
            <w:r>
              <w:t>2190</w:t>
            </w:r>
          </w:p>
        </w:tc>
      </w:tr>
      <w:tr>
        <w:trPr>
          <w:cnfStyle w:evenHBand="true" w:oddHBand="false" w:firstRow="false"/>
        </w:trPr>
        <w:tc>
          <w:tcPr>
            <w:cnfStyle w:evenVBand="false" w:oddVBand="true" w:firstColumn="false"/>
            <w:tcW w:w="25.000000%" w:type="pct"/>
          </w:tcPr>
          <w:p>
            <w:pPr>
              <w:ind w:leftChars="0" w:left="0" w:right="0"/>
            </w:pPr>
            <w:r>
              <w:t>XIPE</w:t>
            </w:r>
          </w:p>
        </w:tc>
        <w:tc>
          <w:tcPr>
            <w:cnfStyle w:evenVBand="true" w:oddVBand="false" w:firstColumn="false"/>
            <w:tcW w:w="25.000000%" w:type="pct"/>
          </w:tcPr>
          <w:p>
            <w:pPr>
              <w:ind w:leftChars="0" w:left="0" w:right="0"/>
            </w:pPr>
            <w:r>
              <w:t>XIPE</w:t>
            </w:r>
          </w:p>
        </w:tc>
        <w:tc>
          <w:tcPr>
            <w:cnfStyle w:evenVBand="false" w:oddVBand="true" w:firstColumn="false"/>
            <w:tcW w:w="25.000000%" w:type="pct"/>
          </w:tcPr>
          <w:p>
            <w:pPr>
              <w:ind w:leftChars="0" w:left="0" w:right="0"/>
            </w:pPr>
            <w:r>
              <w:t>INTERNATIONAL PETROLEUM EXCHANGE</w:t>
            </w:r>
          </w:p>
        </w:tc>
        <w:tc>
          <w:tcPr>
            <w:cnfStyle w:evenVBand="true" w:oddVBand="false" w:firstColumn="false"/>
            <w:tcW w:w="25.000000%" w:type="pct"/>
          </w:tcPr>
          <w:p>
            <w:pPr>
              <w:ind w:leftChars="0" w:left="0" w:right="0"/>
            </w:pPr>
            <w:r>
              <w:t>2191</w:t>
            </w:r>
          </w:p>
        </w:tc>
      </w:tr>
      <w:tr>
        <w:trPr>
          <w:cnfStyle w:evenHBand="false" w:oddHBand="true" w:firstRow="false"/>
        </w:trPr>
        <w:tc>
          <w:tcPr>
            <w:cnfStyle w:evenVBand="false" w:oddVBand="true" w:firstColumn="false"/>
            <w:tcW w:w="25.000000%" w:type="pct"/>
          </w:tcPr>
          <w:p>
            <w:pPr>
              <w:ind w:leftChars="0" w:left="0" w:right="0"/>
            </w:pPr>
            <w:r>
              <w:t>XIPO</w:t>
            </w:r>
          </w:p>
        </w:tc>
        <w:tc>
          <w:tcPr>
            <w:cnfStyle w:evenVBand="true" w:oddVBand="false" w:firstColumn="false"/>
            <w:tcW w:w="25.000000%" w:type="pct"/>
          </w:tcPr>
          <w:p>
            <w:pPr>
              <w:ind w:leftChars="0" w:left="0" w:right="0"/>
            </w:pPr>
            <w:r>
              <w:t>XIPO</w:t>
            </w:r>
          </w:p>
        </w:tc>
        <w:tc>
          <w:tcPr>
            <w:cnfStyle w:evenVBand="false" w:oddVBand="true" w:firstColumn="false"/>
            <w:tcW w:w="25.000000%" w:type="pct"/>
          </w:tcPr>
          <w:p>
            <w:pPr>
              <w:ind w:leftChars="0" w:left="0" w:right="0"/>
            </w:pPr>
            <w:r>
              <w:t>HELEX ELECTRONIC BOOK BUILDING</w:t>
            </w:r>
          </w:p>
        </w:tc>
        <w:tc>
          <w:tcPr>
            <w:cnfStyle w:evenVBand="true" w:oddVBand="false" w:firstColumn="false"/>
            <w:tcW w:w="25.000000%" w:type="pct"/>
          </w:tcPr>
          <w:p>
            <w:pPr>
              <w:ind w:leftChars="0" w:left="0" w:right="0"/>
            </w:pPr>
            <w:r>
              <w:t>2192</w:t>
            </w:r>
          </w:p>
        </w:tc>
      </w:tr>
      <w:tr>
        <w:trPr>
          <w:cnfStyle w:evenHBand="true" w:oddHBand="false" w:firstRow="false"/>
        </w:trPr>
        <w:tc>
          <w:tcPr>
            <w:cnfStyle w:evenVBand="false" w:oddVBand="true" w:firstColumn="false"/>
            <w:tcW w:w="25.000000%" w:type="pct"/>
          </w:tcPr>
          <w:p>
            <w:pPr>
              <w:ind w:leftChars="0" w:left="0" w:right="0"/>
            </w:pPr>
            <w:r>
              <w:t>XIQS</w:t>
            </w:r>
          </w:p>
        </w:tc>
        <w:tc>
          <w:tcPr>
            <w:cnfStyle w:evenVBand="true" w:oddVBand="false" w:firstColumn="false"/>
            <w:tcW w:w="25.000000%" w:type="pct"/>
          </w:tcPr>
          <w:p>
            <w:pPr>
              <w:ind w:leftChars="0" w:left="0" w:right="0"/>
            </w:pPr>
            <w:r>
              <w:t>XIQS</w:t>
            </w:r>
          </w:p>
        </w:tc>
        <w:tc>
          <w:tcPr>
            <w:cnfStyle w:evenVBand="false" w:oddVBand="true" w:firstColumn="false"/>
            <w:tcW w:w="25.000000%" w:type="pct"/>
          </w:tcPr>
          <w:p>
            <w:pPr>
              <w:ind w:leftChars="0" w:left="0" w:right="0"/>
            </w:pPr>
            <w:r>
              <w:t>IRAQ STOCK EXCHANGE</w:t>
            </w:r>
          </w:p>
        </w:tc>
        <w:tc>
          <w:tcPr>
            <w:cnfStyle w:evenVBand="true" w:oddVBand="false" w:firstColumn="false"/>
            <w:tcW w:w="25.000000%" w:type="pct"/>
          </w:tcPr>
          <w:p>
            <w:pPr>
              <w:ind w:leftChars="0" w:left="0" w:right="0"/>
            </w:pPr>
            <w:r>
              <w:t>2193</w:t>
            </w:r>
          </w:p>
        </w:tc>
      </w:tr>
      <w:tr>
        <w:trPr>
          <w:cnfStyle w:evenHBand="false" w:oddHBand="true" w:firstRow="false"/>
        </w:trPr>
        <w:tc>
          <w:tcPr>
            <w:cnfStyle w:evenVBand="false" w:oddVBand="true" w:firstColumn="false"/>
            <w:tcW w:w="25.000000%" w:type="pct"/>
          </w:tcPr>
          <w:p>
            <w:pPr>
              <w:ind w:leftChars="0" w:left="0" w:right="0"/>
            </w:pPr>
            <w:r>
              <w:t>XISA</w:t>
            </w:r>
          </w:p>
        </w:tc>
        <w:tc>
          <w:tcPr>
            <w:cnfStyle w:evenVBand="true" w:oddVBand="false" w:firstColumn="false"/>
            <w:tcW w:w="25.000000%" w:type="pct"/>
          </w:tcPr>
          <w:p>
            <w:pPr>
              <w:ind w:leftChars="0" w:left="0" w:right="0"/>
            </w:pPr>
            <w:r>
              <w:t>XISA</w:t>
            </w:r>
          </w:p>
        </w:tc>
        <w:tc>
          <w:tcPr>
            <w:cnfStyle w:evenVBand="false" w:oddVBand="true" w:firstColumn="false"/>
            <w:tcW w:w="25.000000%" w:type="pct"/>
          </w:tcPr>
          <w:p>
            <w:pPr>
              <w:ind w:leftChars="0" w:left="0" w:right="0"/>
            </w:pPr>
            <w:r>
              <w:t>INTERNATIONAL SECURITIES EXCHANGE, LLC -  ALTERNATIVE MARKETS</w:t>
            </w:r>
          </w:p>
        </w:tc>
        <w:tc>
          <w:tcPr>
            <w:cnfStyle w:evenVBand="true" w:oddVBand="false" w:firstColumn="false"/>
            <w:tcW w:w="25.000000%" w:type="pct"/>
          </w:tcPr>
          <w:p>
            <w:pPr>
              <w:ind w:leftChars="0" w:left="0" w:right="0"/>
            </w:pPr>
            <w:r>
              <w:t>2194</w:t>
            </w:r>
          </w:p>
        </w:tc>
      </w:tr>
      <w:tr>
        <w:trPr>
          <w:cnfStyle w:evenHBand="true" w:oddHBand="false" w:firstRow="false"/>
        </w:trPr>
        <w:tc>
          <w:tcPr>
            <w:cnfStyle w:evenVBand="false" w:oddVBand="true" w:firstColumn="false"/>
            <w:tcW w:w="25.000000%" w:type="pct"/>
          </w:tcPr>
          <w:p>
            <w:pPr>
              <w:ind w:leftChars="0" w:left="0" w:right="0"/>
            </w:pPr>
            <w:r>
              <w:t>XISE</w:t>
            </w:r>
          </w:p>
        </w:tc>
        <w:tc>
          <w:tcPr>
            <w:cnfStyle w:evenVBand="true" w:oddVBand="false" w:firstColumn="false"/>
            <w:tcW w:w="25.000000%" w:type="pct"/>
          </w:tcPr>
          <w:p>
            <w:pPr>
              <w:ind w:leftChars="0" w:left="0" w:right="0"/>
            </w:pPr>
            <w:r>
              <w:t>XISE</w:t>
            </w:r>
          </w:p>
        </w:tc>
        <w:tc>
          <w:tcPr>
            <w:cnfStyle w:evenVBand="false" w:oddVBand="true" w:firstColumn="false"/>
            <w:tcW w:w="25.000000%" w:type="pct"/>
          </w:tcPr>
          <w:p>
            <w:pPr>
              <w:ind w:leftChars="0" w:left="0" w:right="0"/>
            </w:pPr>
            <w:r>
              <w:t>INTERNATIONAL SECURITIES EXCHANGE, LLC - EQUITIES</w:t>
            </w:r>
          </w:p>
        </w:tc>
        <w:tc>
          <w:tcPr>
            <w:cnfStyle w:evenVBand="true" w:oddVBand="false" w:firstColumn="false"/>
            <w:tcW w:w="25.000000%" w:type="pct"/>
          </w:tcPr>
          <w:p>
            <w:pPr>
              <w:ind w:leftChars="0" w:left="0" w:right="0"/>
            </w:pPr>
            <w:r>
              <w:t>2195</w:t>
            </w:r>
          </w:p>
        </w:tc>
      </w:tr>
      <w:tr>
        <w:trPr>
          <w:cnfStyle w:evenHBand="false" w:oddHBand="true" w:firstRow="false"/>
        </w:trPr>
        <w:tc>
          <w:tcPr>
            <w:cnfStyle w:evenVBand="false" w:oddVBand="true" w:firstColumn="false"/>
            <w:tcW w:w="25.000000%" w:type="pct"/>
          </w:tcPr>
          <w:p>
            <w:pPr>
              <w:ind w:leftChars="0" w:left="0" w:right="0"/>
            </w:pPr>
            <w:r>
              <w:t>XISL</w:t>
            </w:r>
          </w:p>
        </w:tc>
        <w:tc>
          <w:tcPr>
            <w:cnfStyle w:evenVBand="true" w:oddVBand="false" w:firstColumn="false"/>
            <w:tcW w:w="25.000000%" w:type="pct"/>
          </w:tcPr>
          <w:p>
            <w:pPr>
              <w:ind w:leftChars="0" w:left="0" w:right="0"/>
            </w:pPr>
            <w:r>
              <w:t>XISL</w:t>
            </w:r>
          </w:p>
        </w:tc>
        <w:tc>
          <w:tcPr>
            <w:cnfStyle w:evenVBand="false" w:oddVBand="true" w:firstColumn="false"/>
            <w:tcW w:w="25.000000%" w:type="pct"/>
          </w:tcPr>
          <w:p>
            <w:pPr>
              <w:ind w:leftChars="0" w:left="0" w:right="0"/>
            </w:pPr>
            <w:r>
              <w:t>ISLAMABAD STOCK EXCHANGE</w:t>
            </w:r>
          </w:p>
        </w:tc>
        <w:tc>
          <w:tcPr>
            <w:cnfStyle w:evenVBand="true" w:oddVBand="false" w:firstColumn="false"/>
            <w:tcW w:w="25.000000%" w:type="pct"/>
          </w:tcPr>
          <w:p>
            <w:pPr>
              <w:ind w:leftChars="0" w:left="0" w:right="0"/>
            </w:pPr>
            <w:r>
              <w:t>2196</w:t>
            </w:r>
          </w:p>
        </w:tc>
      </w:tr>
      <w:tr>
        <w:trPr>
          <w:cnfStyle w:evenHBand="true" w:oddHBand="false" w:firstRow="false"/>
        </w:trPr>
        <w:tc>
          <w:tcPr>
            <w:cnfStyle w:evenVBand="false" w:oddVBand="true" w:firstColumn="false"/>
            <w:tcW w:w="25.000000%" w:type="pct"/>
          </w:tcPr>
          <w:p>
            <w:pPr>
              <w:ind w:leftChars="0" w:left="0" w:right="0"/>
            </w:pPr>
            <w:r>
              <w:t>XIST</w:t>
            </w:r>
          </w:p>
        </w:tc>
        <w:tc>
          <w:tcPr>
            <w:cnfStyle w:evenVBand="true" w:oddVBand="false" w:firstColumn="false"/>
            <w:tcW w:w="25.000000%" w:type="pct"/>
          </w:tcPr>
          <w:p>
            <w:pPr>
              <w:ind w:leftChars="0" w:left="0" w:right="0"/>
            </w:pPr>
            <w:r>
              <w:t>XIST</w:t>
            </w:r>
          </w:p>
        </w:tc>
        <w:tc>
          <w:tcPr>
            <w:cnfStyle w:evenVBand="false" w:oddVBand="true" w:firstColumn="false"/>
            <w:tcW w:w="25.000000%" w:type="pct"/>
          </w:tcPr>
          <w:p>
            <w:pPr>
              <w:ind w:leftChars="0" w:left="0" w:right="0"/>
            </w:pPr>
            <w:r>
              <w:t>BORSA ISTANBUL</w:t>
            </w:r>
          </w:p>
        </w:tc>
        <w:tc>
          <w:tcPr>
            <w:cnfStyle w:evenVBand="true" w:oddVBand="false" w:firstColumn="false"/>
            <w:tcW w:w="25.000000%" w:type="pct"/>
          </w:tcPr>
          <w:p>
            <w:pPr>
              <w:ind w:leftChars="0" w:left="0" w:right="0"/>
            </w:pPr>
            <w:r>
              <w:t>2197</w:t>
            </w:r>
          </w:p>
        </w:tc>
      </w:tr>
      <w:tr>
        <w:trPr>
          <w:cnfStyle w:evenHBand="false" w:oddHBand="true" w:firstRow="false"/>
        </w:trPr>
        <w:tc>
          <w:tcPr>
            <w:cnfStyle w:evenVBand="false" w:oddVBand="true" w:firstColumn="false"/>
            <w:tcW w:w="25.000000%" w:type="pct"/>
          </w:tcPr>
          <w:p>
            <w:pPr>
              <w:ind w:leftChars="0" w:left="0" w:right="0"/>
            </w:pPr>
            <w:r>
              <w:t>XISX</w:t>
            </w:r>
          </w:p>
        </w:tc>
        <w:tc>
          <w:tcPr>
            <w:cnfStyle w:evenVBand="true" w:oddVBand="false" w:firstColumn="false"/>
            <w:tcW w:w="25.000000%" w:type="pct"/>
          </w:tcPr>
          <w:p>
            <w:pPr>
              <w:ind w:leftChars="0" w:left="0" w:right="0"/>
            </w:pPr>
            <w:r>
              <w:t>XISX</w:t>
            </w:r>
          </w:p>
        </w:tc>
        <w:tc>
          <w:tcPr>
            <w:cnfStyle w:evenVBand="false" w:oddVBand="true" w:firstColumn="false"/>
            <w:tcW w:w="25.000000%" w:type="pct"/>
          </w:tcPr>
          <w:p>
            <w:pPr>
              <w:ind w:leftChars="0" w:left="0" w:right="0"/>
            </w:pPr>
            <w:r>
              <w:t>INTERNATIONAL SECURITIES EXCHANGE, LLC</w:t>
            </w:r>
          </w:p>
        </w:tc>
        <w:tc>
          <w:tcPr>
            <w:cnfStyle w:evenVBand="true" w:oddVBand="false" w:firstColumn="false"/>
            <w:tcW w:w="25.000000%" w:type="pct"/>
          </w:tcPr>
          <w:p>
            <w:pPr>
              <w:ind w:leftChars="0" w:left="0" w:right="0"/>
            </w:pPr>
            <w:r>
              <w:t>2198</w:t>
            </w:r>
          </w:p>
        </w:tc>
      </w:tr>
      <w:tr>
        <w:trPr>
          <w:cnfStyle w:evenHBand="true" w:oddHBand="false" w:firstRow="false"/>
        </w:trPr>
        <w:tc>
          <w:tcPr>
            <w:cnfStyle w:evenVBand="false" w:oddVBand="true" w:firstColumn="false"/>
            <w:tcW w:w="25.000000%" w:type="pct"/>
          </w:tcPr>
          <w:p>
            <w:pPr>
              <w:ind w:leftChars="0" w:left="0" w:right="0"/>
            </w:pPr>
            <w:r>
              <w:t>XJAM</w:t>
            </w:r>
          </w:p>
        </w:tc>
        <w:tc>
          <w:tcPr>
            <w:cnfStyle w:evenVBand="true" w:oddVBand="false" w:firstColumn="false"/>
            <w:tcW w:w="25.000000%" w:type="pct"/>
          </w:tcPr>
          <w:p>
            <w:pPr>
              <w:ind w:leftChars="0" w:left="0" w:right="0"/>
            </w:pPr>
            <w:r>
              <w:t>XJAM</w:t>
            </w:r>
          </w:p>
        </w:tc>
        <w:tc>
          <w:tcPr>
            <w:cnfStyle w:evenVBand="false" w:oddVBand="true" w:firstColumn="false"/>
            <w:tcW w:w="25.000000%" w:type="pct"/>
          </w:tcPr>
          <w:p>
            <w:pPr>
              <w:ind w:leftChars="0" w:left="0" w:right="0"/>
            </w:pPr>
            <w:r>
              <w:t>JAMAICA STOCK EXCHANGE</w:t>
            </w:r>
          </w:p>
        </w:tc>
        <w:tc>
          <w:tcPr>
            <w:cnfStyle w:evenVBand="true" w:oddVBand="false" w:firstColumn="false"/>
            <w:tcW w:w="25.000000%" w:type="pct"/>
          </w:tcPr>
          <w:p>
            <w:pPr>
              <w:ind w:leftChars="0" w:left="0" w:right="0"/>
            </w:pPr>
            <w:r>
              <w:t>2199</w:t>
            </w:r>
          </w:p>
        </w:tc>
      </w:tr>
      <w:tr>
        <w:trPr>
          <w:cnfStyle w:evenHBand="false" w:oddHBand="true" w:firstRow="false"/>
        </w:trPr>
        <w:tc>
          <w:tcPr>
            <w:cnfStyle w:evenVBand="false" w:oddVBand="true" w:firstColumn="false"/>
            <w:tcW w:w="25.000000%" w:type="pct"/>
          </w:tcPr>
          <w:p>
            <w:pPr>
              <w:ind w:leftChars="0" w:left="0" w:right="0"/>
            </w:pPr>
            <w:r>
              <w:t>XJAS</w:t>
            </w:r>
          </w:p>
        </w:tc>
        <w:tc>
          <w:tcPr>
            <w:cnfStyle w:evenVBand="true" w:oddVBand="false" w:firstColumn="false"/>
            <w:tcW w:w="25.000000%" w:type="pct"/>
          </w:tcPr>
          <w:p>
            <w:pPr>
              <w:ind w:leftChars="0" w:left="0" w:right="0"/>
            </w:pPr>
            <w:r>
              <w:t>XJAS</w:t>
            </w:r>
          </w:p>
        </w:tc>
        <w:tc>
          <w:tcPr>
            <w:cnfStyle w:evenVBand="false" w:oddVBand="true" w:firstColumn="false"/>
            <w:tcW w:w="25.000000%" w:type="pct"/>
          </w:tcPr>
          <w:p>
            <w:pPr>
              <w:ind w:leftChars="0" w:left="0" w:right="0"/>
            </w:pPr>
            <w:r>
              <w:t>TOKYO STOCK EXCHANGE JASDAQ</w:t>
            </w:r>
          </w:p>
        </w:tc>
        <w:tc>
          <w:tcPr>
            <w:cnfStyle w:evenVBand="true" w:oddVBand="false" w:firstColumn="false"/>
            <w:tcW w:w="25.000000%" w:type="pct"/>
          </w:tcPr>
          <w:p>
            <w:pPr>
              <w:ind w:leftChars="0" w:left="0" w:right="0"/>
            </w:pPr>
            <w:r>
              <w:t>2200</w:t>
            </w:r>
          </w:p>
        </w:tc>
      </w:tr>
      <w:tr>
        <w:trPr>
          <w:cnfStyle w:evenHBand="true" w:oddHBand="false" w:firstRow="false"/>
        </w:trPr>
        <w:tc>
          <w:tcPr>
            <w:cnfStyle w:evenVBand="false" w:oddVBand="true" w:firstColumn="false"/>
            <w:tcW w:w="25.000000%" w:type="pct"/>
          </w:tcPr>
          <w:p>
            <w:pPr>
              <w:ind w:leftChars="0" w:left="0" w:right="0"/>
            </w:pPr>
            <w:r>
              <w:t>XJKT</w:t>
            </w:r>
          </w:p>
        </w:tc>
        <w:tc>
          <w:tcPr>
            <w:cnfStyle w:evenVBand="true" w:oddVBand="false" w:firstColumn="false"/>
            <w:tcW w:w="25.000000%" w:type="pct"/>
          </w:tcPr>
          <w:p>
            <w:pPr>
              <w:ind w:leftChars="0" w:left="0" w:right="0"/>
            </w:pPr>
            <w:r>
              <w:t>XJKT</w:t>
            </w:r>
          </w:p>
        </w:tc>
        <w:tc>
          <w:tcPr>
            <w:cnfStyle w:evenVBand="false" w:oddVBand="true" w:firstColumn="false"/>
            <w:tcW w:w="25.000000%" w:type="pct"/>
          </w:tcPr>
          <w:p>
            <w:pPr>
              <w:ind w:leftChars="0" w:left="0" w:right="0"/>
            </w:pPr>
            <w:r>
              <w:t>JAKARTA STOCK EXCHANGE</w:t>
            </w:r>
          </w:p>
        </w:tc>
        <w:tc>
          <w:tcPr>
            <w:cnfStyle w:evenVBand="true" w:oddVBand="false" w:firstColumn="false"/>
            <w:tcW w:w="25.000000%" w:type="pct"/>
          </w:tcPr>
          <w:p>
            <w:pPr>
              <w:ind w:leftChars="0" w:left="0" w:right="0"/>
            </w:pPr>
            <w:r>
              <w:t>2201</w:t>
            </w:r>
          </w:p>
        </w:tc>
      </w:tr>
      <w:tr>
        <w:trPr>
          <w:cnfStyle w:evenHBand="false" w:oddHBand="true" w:firstRow="false"/>
        </w:trPr>
        <w:tc>
          <w:tcPr>
            <w:cnfStyle w:evenVBand="false" w:oddVBand="true" w:firstColumn="false"/>
            <w:tcW w:w="25.000000%" w:type="pct"/>
          </w:tcPr>
          <w:p>
            <w:pPr>
              <w:ind w:leftChars="0" w:left="0" w:right="0"/>
            </w:pPr>
            <w:r>
              <w:t>XJNB</w:t>
            </w:r>
          </w:p>
        </w:tc>
        <w:tc>
          <w:tcPr>
            <w:cnfStyle w:evenVBand="true" w:oddVBand="false" w:firstColumn="false"/>
            <w:tcW w:w="25.000000%" w:type="pct"/>
          </w:tcPr>
          <w:p>
            <w:pPr>
              <w:ind w:leftChars="0" w:left="0" w:right="0"/>
            </w:pPr>
            <w:r>
              <w:t>XJNB</w:t>
            </w:r>
          </w:p>
        </w:tc>
        <w:tc>
          <w:tcPr>
            <w:cnfStyle w:evenVBand="false" w:oddVBand="true" w:firstColumn="false"/>
            <w:tcW w:w="25.000000%" w:type="pct"/>
          </w:tcPr>
          <w:p>
            <w:pPr>
              <w:ind w:leftChars="0" w:left="0" w:right="0"/>
            </w:pPr>
            <w:r>
              <w:t>JAKARTA NEGOTIATED BOARD</w:t>
            </w:r>
          </w:p>
        </w:tc>
        <w:tc>
          <w:tcPr>
            <w:cnfStyle w:evenVBand="true" w:oddVBand="false" w:firstColumn="false"/>
            <w:tcW w:w="25.000000%" w:type="pct"/>
          </w:tcPr>
          <w:p>
            <w:pPr>
              <w:ind w:leftChars="0" w:left="0" w:right="0"/>
            </w:pPr>
            <w:r>
              <w:t>2202</w:t>
            </w:r>
          </w:p>
        </w:tc>
      </w:tr>
      <w:tr>
        <w:trPr>
          <w:cnfStyle w:evenHBand="true" w:oddHBand="false" w:firstRow="false"/>
        </w:trPr>
        <w:tc>
          <w:tcPr>
            <w:cnfStyle w:evenVBand="false" w:oddVBand="true" w:firstColumn="false"/>
            <w:tcW w:w="25.000000%" w:type="pct"/>
          </w:tcPr>
          <w:p>
            <w:pPr>
              <w:ind w:leftChars="0" w:left="0" w:right="0"/>
            </w:pPr>
            <w:r>
              <w:t>XJPX</w:t>
            </w:r>
          </w:p>
        </w:tc>
        <w:tc>
          <w:tcPr>
            <w:cnfStyle w:evenVBand="true" w:oddVBand="false" w:firstColumn="false"/>
            <w:tcW w:w="25.000000%" w:type="pct"/>
          </w:tcPr>
          <w:p>
            <w:pPr>
              <w:ind w:leftChars="0" w:left="0" w:right="0"/>
            </w:pPr>
            <w:r>
              <w:t>XJPX</w:t>
            </w:r>
          </w:p>
        </w:tc>
        <w:tc>
          <w:tcPr>
            <w:cnfStyle w:evenVBand="false" w:oddVBand="true" w:firstColumn="false"/>
            <w:tcW w:w="25.000000%" w:type="pct"/>
          </w:tcPr>
          <w:p>
            <w:pPr>
              <w:ind w:leftChars="0" w:left="0" w:right="0"/>
            </w:pPr>
            <w:r>
              <w:t>JAPAN EXCHANGE GROUP</w:t>
            </w:r>
          </w:p>
        </w:tc>
        <w:tc>
          <w:tcPr>
            <w:cnfStyle w:evenVBand="true" w:oddVBand="false" w:firstColumn="false"/>
            <w:tcW w:w="25.000000%" w:type="pct"/>
          </w:tcPr>
          <w:p>
            <w:pPr>
              <w:ind w:leftChars="0" w:left="0" w:right="0"/>
            </w:pPr>
            <w:r>
              <w:t>2203</w:t>
            </w:r>
          </w:p>
        </w:tc>
      </w:tr>
      <w:tr>
        <w:trPr>
          <w:cnfStyle w:evenHBand="false" w:oddHBand="true" w:firstRow="false"/>
        </w:trPr>
        <w:tc>
          <w:tcPr>
            <w:cnfStyle w:evenVBand="false" w:oddVBand="true" w:firstColumn="false"/>
            <w:tcW w:w="25.000000%" w:type="pct"/>
          </w:tcPr>
          <w:p>
            <w:pPr>
              <w:ind w:leftChars="0" w:left="0" w:right="0"/>
            </w:pPr>
            <w:r>
              <w:t>XJSE</w:t>
            </w:r>
          </w:p>
        </w:tc>
        <w:tc>
          <w:tcPr>
            <w:cnfStyle w:evenVBand="true" w:oddVBand="false" w:firstColumn="false"/>
            <w:tcW w:w="25.000000%" w:type="pct"/>
          </w:tcPr>
          <w:p>
            <w:pPr>
              <w:ind w:leftChars="0" w:left="0" w:right="0"/>
            </w:pPr>
            <w:r>
              <w:t>XJSE</w:t>
            </w:r>
          </w:p>
        </w:tc>
        <w:tc>
          <w:tcPr>
            <w:cnfStyle w:evenVBand="false" w:oddVBand="true" w:firstColumn="false"/>
            <w:tcW w:w="25.000000%" w:type="pct"/>
          </w:tcPr>
          <w:p>
            <w:pPr>
              <w:ind w:leftChars="0" w:left="0" w:right="0"/>
            </w:pPr>
            <w:r>
              <w:t>JOHANNESBURG STOCK EXCHANGE</w:t>
            </w:r>
          </w:p>
        </w:tc>
        <w:tc>
          <w:tcPr>
            <w:cnfStyle w:evenVBand="true" w:oddVBand="false" w:firstColumn="false"/>
            <w:tcW w:w="25.000000%" w:type="pct"/>
          </w:tcPr>
          <w:p>
            <w:pPr>
              <w:ind w:leftChars="0" w:left="0" w:right="0"/>
            </w:pPr>
            <w:r>
              <w:t>2204</w:t>
            </w:r>
          </w:p>
        </w:tc>
      </w:tr>
      <w:tr>
        <w:trPr>
          <w:cnfStyle w:evenHBand="true" w:oddHBand="false" w:firstRow="false"/>
        </w:trPr>
        <w:tc>
          <w:tcPr>
            <w:cnfStyle w:evenVBand="false" w:oddVBand="true" w:firstColumn="false"/>
            <w:tcW w:w="25.000000%" w:type="pct"/>
          </w:tcPr>
          <w:p>
            <w:pPr>
              <w:ind w:leftChars="0" w:left="0" w:right="0"/>
            </w:pPr>
            <w:r>
              <w:t>XJWY</w:t>
            </w:r>
          </w:p>
        </w:tc>
        <w:tc>
          <w:tcPr>
            <w:cnfStyle w:evenVBand="true" w:oddVBand="false" w:firstColumn="false"/>
            <w:tcW w:w="25.000000%" w:type="pct"/>
          </w:tcPr>
          <w:p>
            <w:pPr>
              <w:ind w:leftChars="0" w:left="0" w:right="0"/>
            </w:pPr>
            <w:r>
              <w:t>XJWY</w:t>
            </w:r>
          </w:p>
        </w:tc>
        <w:tc>
          <w:tcPr>
            <w:cnfStyle w:evenVBand="false" w:oddVBand="true" w:firstColumn="false"/>
            <w:tcW w:w="25.000000%" w:type="pct"/>
          </w:tcPr>
          <w:p>
            <w:pPr>
              <w:ind w:leftChars="0" w:left="0" w:right="0"/>
            </w:pPr>
            <w:r>
              <w:t>JIWAY EXCHANGE LTD</w:t>
            </w:r>
          </w:p>
        </w:tc>
        <w:tc>
          <w:tcPr>
            <w:cnfStyle w:evenVBand="true" w:oddVBand="false" w:firstColumn="false"/>
            <w:tcW w:w="25.000000%" w:type="pct"/>
          </w:tcPr>
          <w:p>
            <w:pPr>
              <w:ind w:leftChars="0" w:left="0" w:right="0"/>
            </w:pPr>
            <w:r>
              <w:t>2205</w:t>
            </w:r>
          </w:p>
        </w:tc>
      </w:tr>
      <w:tr>
        <w:trPr>
          <w:cnfStyle w:evenHBand="false" w:oddHBand="true" w:firstRow="false"/>
        </w:trPr>
        <w:tc>
          <w:tcPr>
            <w:cnfStyle w:evenVBand="false" w:oddVBand="true" w:firstColumn="false"/>
            <w:tcW w:w="25.000000%" w:type="pct"/>
          </w:tcPr>
          <w:p>
            <w:pPr>
              <w:ind w:leftChars="0" w:left="0" w:right="0"/>
            </w:pPr>
            <w:r>
              <w:t>XKAC</w:t>
            </w:r>
          </w:p>
        </w:tc>
        <w:tc>
          <w:tcPr>
            <w:cnfStyle w:evenVBand="true" w:oddVBand="false" w:firstColumn="false"/>
            <w:tcW w:w="25.000000%" w:type="pct"/>
          </w:tcPr>
          <w:p>
            <w:pPr>
              <w:ind w:leftChars="0" w:left="0" w:right="0"/>
            </w:pPr>
            <w:r>
              <w:t>XKAC</w:t>
            </w:r>
          </w:p>
        </w:tc>
        <w:tc>
          <w:tcPr>
            <w:cnfStyle w:evenVBand="false" w:oddVBand="true" w:firstColumn="false"/>
            <w:tcW w:w="25.000000%" w:type="pct"/>
          </w:tcPr>
          <w:p>
            <w:pPr>
              <w:ind w:leftChars="0" w:left="0" w:right="0"/>
            </w:pPr>
            <w:r>
              <w:t>OSAKA DOJIMA COMMODITY EXCHANGE</w:t>
            </w:r>
          </w:p>
        </w:tc>
        <w:tc>
          <w:tcPr>
            <w:cnfStyle w:evenVBand="true" w:oddVBand="false" w:firstColumn="false"/>
            <w:tcW w:w="25.000000%" w:type="pct"/>
          </w:tcPr>
          <w:p>
            <w:pPr>
              <w:ind w:leftChars="0" w:left="0" w:right="0"/>
            </w:pPr>
            <w:r>
              <w:t>2206</w:t>
            </w:r>
          </w:p>
        </w:tc>
      </w:tr>
      <w:tr>
        <w:trPr>
          <w:cnfStyle w:evenHBand="true" w:oddHBand="false" w:firstRow="false"/>
        </w:trPr>
        <w:tc>
          <w:tcPr>
            <w:cnfStyle w:evenVBand="false" w:oddVBand="true" w:firstColumn="false"/>
            <w:tcW w:w="25.000000%" w:type="pct"/>
          </w:tcPr>
          <w:p>
            <w:pPr>
              <w:ind w:leftChars="0" w:left="0" w:right="0"/>
            </w:pPr>
            <w:r>
              <w:t>XKAR</w:t>
            </w:r>
          </w:p>
        </w:tc>
        <w:tc>
          <w:tcPr>
            <w:cnfStyle w:evenVBand="true" w:oddVBand="false" w:firstColumn="false"/>
            <w:tcW w:w="25.000000%" w:type="pct"/>
          </w:tcPr>
          <w:p>
            <w:pPr>
              <w:ind w:leftChars="0" w:left="0" w:right="0"/>
            </w:pPr>
            <w:r>
              <w:t>XKAR</w:t>
            </w:r>
          </w:p>
        </w:tc>
        <w:tc>
          <w:tcPr>
            <w:cnfStyle w:evenVBand="false" w:oddVBand="true" w:firstColumn="false"/>
            <w:tcW w:w="25.000000%" w:type="pct"/>
          </w:tcPr>
          <w:p>
            <w:pPr>
              <w:ind w:leftChars="0" w:left="0" w:right="0"/>
            </w:pPr>
            <w:r>
              <w:t>THE PAKISTAN STOCK EXCHANGE LIMITED</w:t>
            </w:r>
          </w:p>
        </w:tc>
        <w:tc>
          <w:tcPr>
            <w:cnfStyle w:evenVBand="true" w:oddVBand="false" w:firstColumn="false"/>
            <w:tcW w:w="25.000000%" w:type="pct"/>
          </w:tcPr>
          <w:p>
            <w:pPr>
              <w:ind w:leftChars="0" w:left="0" w:right="0"/>
            </w:pPr>
            <w:r>
              <w:t>2207</w:t>
            </w:r>
          </w:p>
        </w:tc>
      </w:tr>
      <w:tr>
        <w:trPr>
          <w:cnfStyle w:evenHBand="false" w:oddHBand="true" w:firstRow="false"/>
        </w:trPr>
        <w:tc>
          <w:tcPr>
            <w:cnfStyle w:evenVBand="false" w:oddVBand="true" w:firstColumn="false"/>
            <w:tcW w:w="25.000000%" w:type="pct"/>
          </w:tcPr>
          <w:p>
            <w:pPr>
              <w:ind w:leftChars="0" w:left="0" w:right="0"/>
            </w:pPr>
            <w:r>
              <w:t>XKAZ</w:t>
            </w:r>
          </w:p>
        </w:tc>
        <w:tc>
          <w:tcPr>
            <w:cnfStyle w:evenVBand="true" w:oddVBand="false" w:firstColumn="false"/>
            <w:tcW w:w="25.000000%" w:type="pct"/>
          </w:tcPr>
          <w:p>
            <w:pPr>
              <w:ind w:leftChars="0" w:left="0" w:right="0"/>
            </w:pPr>
            <w:r>
              <w:t>XKAZ</w:t>
            </w:r>
          </w:p>
        </w:tc>
        <w:tc>
          <w:tcPr>
            <w:cnfStyle w:evenVBand="false" w:oddVBand="true" w:firstColumn="false"/>
            <w:tcW w:w="25.000000%" w:type="pct"/>
          </w:tcPr>
          <w:p>
            <w:pPr>
              <w:ind w:leftChars="0" w:left="0" w:right="0"/>
            </w:pPr>
            <w:r>
              <w:t>KAZAKHSTAN STOCK EXCHANGE</w:t>
            </w:r>
          </w:p>
        </w:tc>
        <w:tc>
          <w:tcPr>
            <w:cnfStyle w:evenVBand="true" w:oddVBand="false" w:firstColumn="false"/>
            <w:tcW w:w="25.000000%" w:type="pct"/>
          </w:tcPr>
          <w:p>
            <w:pPr>
              <w:ind w:leftChars="0" w:left="0" w:right="0"/>
            </w:pPr>
            <w:r>
              <w:t>2208</w:t>
            </w:r>
          </w:p>
        </w:tc>
      </w:tr>
      <w:tr>
        <w:trPr>
          <w:cnfStyle w:evenHBand="true" w:oddHBand="false" w:firstRow="false"/>
        </w:trPr>
        <w:tc>
          <w:tcPr>
            <w:cnfStyle w:evenVBand="false" w:oddVBand="true" w:firstColumn="false"/>
            <w:tcW w:w="25.000000%" w:type="pct"/>
          </w:tcPr>
          <w:p>
            <w:pPr>
              <w:ind w:leftChars="0" w:left="0" w:right="0"/>
            </w:pPr>
            <w:r>
              <w:t>XKBT</w:t>
            </w:r>
          </w:p>
        </w:tc>
        <w:tc>
          <w:tcPr>
            <w:cnfStyle w:evenVBand="true" w:oddVBand="false" w:firstColumn="false"/>
            <w:tcW w:w="25.000000%" w:type="pct"/>
          </w:tcPr>
          <w:p>
            <w:pPr>
              <w:ind w:leftChars="0" w:left="0" w:right="0"/>
            </w:pPr>
            <w:r>
              <w:t>XKBT</w:t>
            </w:r>
          </w:p>
        </w:tc>
        <w:tc>
          <w:tcPr>
            <w:cnfStyle w:evenVBand="false" w:oddVBand="true" w:firstColumn="false"/>
            <w:tcW w:w="25.000000%" w:type="pct"/>
          </w:tcPr>
          <w:p>
            <w:pPr>
              <w:ind w:leftChars="0" w:left="0" w:right="0"/>
            </w:pPr>
            <w:r>
              <w:t>KANSAS CITY BOARD OF TRADE</w:t>
            </w:r>
          </w:p>
        </w:tc>
        <w:tc>
          <w:tcPr>
            <w:cnfStyle w:evenVBand="true" w:oddVBand="false" w:firstColumn="false"/>
            <w:tcW w:w="25.000000%" w:type="pct"/>
          </w:tcPr>
          <w:p>
            <w:pPr>
              <w:ind w:leftChars="0" w:left="0" w:right="0"/>
            </w:pPr>
            <w:r>
              <w:t>2209</w:t>
            </w:r>
          </w:p>
        </w:tc>
      </w:tr>
      <w:tr>
        <w:trPr>
          <w:cnfStyle w:evenHBand="false" w:oddHBand="true" w:firstRow="false"/>
        </w:trPr>
        <w:tc>
          <w:tcPr>
            <w:cnfStyle w:evenVBand="false" w:oddVBand="true" w:firstColumn="false"/>
            <w:tcW w:w="25.000000%" w:type="pct"/>
          </w:tcPr>
          <w:p>
            <w:pPr>
              <w:ind w:leftChars="0" w:left="0" w:right="0"/>
            </w:pPr>
            <w:r>
              <w:t>XKCE</w:t>
            </w:r>
          </w:p>
        </w:tc>
        <w:tc>
          <w:tcPr>
            <w:cnfStyle w:evenVBand="true" w:oddVBand="false" w:firstColumn="false"/>
            <w:tcW w:w="25.000000%" w:type="pct"/>
          </w:tcPr>
          <w:p>
            <w:pPr>
              <w:ind w:leftChars="0" w:left="0" w:right="0"/>
            </w:pPr>
            <w:r>
              <w:t>XKCE</w:t>
            </w:r>
          </w:p>
        </w:tc>
        <w:tc>
          <w:tcPr>
            <w:cnfStyle w:evenVBand="false" w:oddVBand="true" w:firstColumn="false"/>
            <w:tcW w:w="25.000000%" w:type="pct"/>
          </w:tcPr>
          <w:p>
            <w:pPr>
              <w:ind w:leftChars="0" w:left="0" w:right="0"/>
            </w:pPr>
            <w:r>
              <w:t>KHOREZM INTERREGION COMMODITY EXCHANGE</w:t>
            </w:r>
          </w:p>
        </w:tc>
        <w:tc>
          <w:tcPr>
            <w:cnfStyle w:evenVBand="true" w:oddVBand="false" w:firstColumn="false"/>
            <w:tcW w:w="25.000000%" w:type="pct"/>
          </w:tcPr>
          <w:p>
            <w:pPr>
              <w:ind w:leftChars="0" w:left="0" w:right="0"/>
            </w:pPr>
            <w:r>
              <w:t>2210</w:t>
            </w:r>
          </w:p>
        </w:tc>
      </w:tr>
      <w:tr>
        <w:trPr>
          <w:cnfStyle w:evenHBand="true" w:oddHBand="false" w:firstRow="false"/>
        </w:trPr>
        <w:tc>
          <w:tcPr>
            <w:cnfStyle w:evenVBand="false" w:oddVBand="true" w:firstColumn="false"/>
            <w:tcW w:w="25.000000%" w:type="pct"/>
          </w:tcPr>
          <w:p>
            <w:pPr>
              <w:ind w:leftChars="0" w:left="0" w:right="0"/>
            </w:pPr>
            <w:r>
              <w:t>XKCM</w:t>
            </w:r>
          </w:p>
        </w:tc>
        <w:tc>
          <w:tcPr>
            <w:cnfStyle w:evenVBand="true" w:oddVBand="false" w:firstColumn="false"/>
            <w:tcW w:w="25.000000%" w:type="pct"/>
          </w:tcPr>
          <w:p>
            <w:pPr>
              <w:ind w:leftChars="0" w:left="0" w:right="0"/>
            </w:pPr>
            <w:r>
              <w:t>XKCM</w:t>
            </w:r>
          </w:p>
        </w:tc>
        <w:tc>
          <w:tcPr>
            <w:cnfStyle w:evenVBand="false" w:oddVBand="true" w:firstColumn="false"/>
            <w:tcW w:w="25.000000%" w:type="pct"/>
          </w:tcPr>
          <w:p>
            <w:pPr>
              <w:ind w:leftChars="0" w:left="0" w:right="0"/>
            </w:pPr>
            <w:r>
              <w:t>KOREA EXCHANGE COMMODITY MARKET</w:t>
            </w:r>
          </w:p>
        </w:tc>
        <w:tc>
          <w:tcPr>
            <w:cnfStyle w:evenVBand="true" w:oddVBand="false" w:firstColumn="false"/>
            <w:tcW w:w="25.000000%" w:type="pct"/>
          </w:tcPr>
          <w:p>
            <w:pPr>
              <w:ind w:leftChars="0" w:left="0" w:right="0"/>
            </w:pPr>
            <w:r>
              <w:t>2211</w:t>
            </w:r>
          </w:p>
        </w:tc>
      </w:tr>
      <w:tr>
        <w:trPr>
          <w:cnfStyle w:evenHBand="false" w:oddHBand="true" w:firstRow="false"/>
        </w:trPr>
        <w:tc>
          <w:tcPr>
            <w:cnfStyle w:evenVBand="false" w:oddVBand="true" w:firstColumn="false"/>
            <w:tcW w:w="25.000000%" w:type="pct"/>
          </w:tcPr>
          <w:p>
            <w:pPr>
              <w:ind w:leftChars="0" w:left="0" w:right="0"/>
            </w:pPr>
            <w:r>
              <w:t>XKEM</w:t>
            </w:r>
          </w:p>
        </w:tc>
        <w:tc>
          <w:tcPr>
            <w:cnfStyle w:evenVBand="true" w:oddVBand="false" w:firstColumn="false"/>
            <w:tcW w:w="25.000000%" w:type="pct"/>
          </w:tcPr>
          <w:p>
            <w:pPr>
              <w:ind w:leftChars="0" w:left="0" w:right="0"/>
            </w:pPr>
            <w:r>
              <w:t>XKEM</w:t>
            </w:r>
          </w:p>
        </w:tc>
        <w:tc>
          <w:tcPr>
            <w:cnfStyle w:evenVBand="false" w:oddVBand="true" w:firstColumn="false"/>
            <w:tcW w:w="25.000000%" w:type="pct"/>
          </w:tcPr>
          <w:p>
            <w:pPr>
              <w:ind w:leftChars="0" w:left="0" w:right="0"/>
            </w:pPr>
            <w:r>
              <w:t>KOREA EXCHANGE EMISSIONS MARKET</w:t>
            </w:r>
          </w:p>
        </w:tc>
        <w:tc>
          <w:tcPr>
            <w:cnfStyle w:evenVBand="true" w:oddVBand="false" w:firstColumn="false"/>
            <w:tcW w:w="25.000000%" w:type="pct"/>
          </w:tcPr>
          <w:p>
            <w:pPr>
              <w:ind w:leftChars="0" w:left="0" w:right="0"/>
            </w:pPr>
            <w:r>
              <w:t>2212</w:t>
            </w:r>
          </w:p>
        </w:tc>
      </w:tr>
      <w:tr>
        <w:trPr>
          <w:cnfStyle w:evenHBand="true" w:oddHBand="false" w:firstRow="false"/>
        </w:trPr>
        <w:tc>
          <w:tcPr>
            <w:cnfStyle w:evenVBand="false" w:oddVBand="true" w:firstColumn="false"/>
            <w:tcW w:w="25.000000%" w:type="pct"/>
          </w:tcPr>
          <w:p>
            <w:pPr>
              <w:ind w:leftChars="0" w:left="0" w:right="0"/>
            </w:pPr>
            <w:r>
              <w:t>XKFB</w:t>
            </w:r>
          </w:p>
        </w:tc>
        <w:tc>
          <w:tcPr>
            <w:cnfStyle w:evenVBand="true" w:oddVBand="false" w:firstColumn="false"/>
            <w:tcW w:w="25.000000%" w:type="pct"/>
          </w:tcPr>
          <w:p>
            <w:pPr>
              <w:ind w:leftChars="0" w:left="0" w:right="0"/>
            </w:pPr>
            <w:r>
              <w:t>XKFB</w:t>
            </w:r>
          </w:p>
        </w:tc>
        <w:tc>
          <w:tcPr>
            <w:cnfStyle w:evenVBand="false" w:oddVBand="true" w:firstColumn="false"/>
            <w:tcW w:w="25.000000%" w:type="pct"/>
          </w:tcPr>
          <w:p>
            <w:pPr>
              <w:ind w:leftChars="0" w:left="0" w:right="0"/>
            </w:pPr>
            <w:r>
              <w:t>KOREA FREEBOARD MARKET</w:t>
            </w:r>
          </w:p>
        </w:tc>
        <w:tc>
          <w:tcPr>
            <w:cnfStyle w:evenVBand="true" w:oddVBand="false" w:firstColumn="false"/>
            <w:tcW w:w="25.000000%" w:type="pct"/>
          </w:tcPr>
          <w:p>
            <w:pPr>
              <w:ind w:leftChars="0" w:left="0" w:right="0"/>
            </w:pPr>
            <w:r>
              <w:t>2213</w:t>
            </w:r>
          </w:p>
        </w:tc>
      </w:tr>
      <w:tr>
        <w:trPr>
          <w:cnfStyle w:evenHBand="false" w:oddHBand="true" w:firstRow="false"/>
        </w:trPr>
        <w:tc>
          <w:tcPr>
            <w:cnfStyle w:evenVBand="false" w:oddVBand="true" w:firstColumn="false"/>
            <w:tcW w:w="25.000000%" w:type="pct"/>
          </w:tcPr>
          <w:p>
            <w:pPr>
              <w:ind w:leftChars="0" w:left="0" w:right="0"/>
            </w:pPr>
            <w:r>
              <w:t>XKFE</w:t>
            </w:r>
          </w:p>
        </w:tc>
        <w:tc>
          <w:tcPr>
            <w:cnfStyle w:evenVBand="true" w:oddVBand="false" w:firstColumn="false"/>
            <w:tcW w:w="25.000000%" w:type="pct"/>
          </w:tcPr>
          <w:p>
            <w:pPr>
              <w:ind w:leftChars="0" w:left="0" w:right="0"/>
            </w:pPr>
            <w:r>
              <w:t>XKFE</w:t>
            </w:r>
          </w:p>
        </w:tc>
        <w:tc>
          <w:tcPr>
            <w:cnfStyle w:evenVBand="false" w:oddVBand="true" w:firstColumn="false"/>
            <w:tcW w:w="25.000000%" w:type="pct"/>
          </w:tcPr>
          <w:p>
            <w:pPr>
              <w:ind w:leftChars="0" w:left="0" w:right="0"/>
            </w:pPr>
            <w:r>
              <w:t>KOREA EXCHANGE (FUTURES MARKET)</w:t>
            </w:r>
          </w:p>
        </w:tc>
        <w:tc>
          <w:tcPr>
            <w:cnfStyle w:evenVBand="true" w:oddVBand="false" w:firstColumn="false"/>
            <w:tcW w:w="25.000000%" w:type="pct"/>
          </w:tcPr>
          <w:p>
            <w:pPr>
              <w:ind w:leftChars="0" w:left="0" w:right="0"/>
            </w:pPr>
            <w:r>
              <w:t>2214</w:t>
            </w:r>
          </w:p>
        </w:tc>
      </w:tr>
      <w:tr>
        <w:trPr>
          <w:cnfStyle w:evenHBand="true" w:oddHBand="false" w:firstRow="false"/>
        </w:trPr>
        <w:tc>
          <w:tcPr>
            <w:cnfStyle w:evenVBand="false" w:oddVBand="true" w:firstColumn="false"/>
            <w:tcW w:w="25.000000%" w:type="pct"/>
          </w:tcPr>
          <w:p>
            <w:pPr>
              <w:ind w:leftChars="0" w:left="0" w:right="0"/>
            </w:pPr>
            <w:r>
              <w:t>XKGT</w:t>
            </w:r>
          </w:p>
        </w:tc>
        <w:tc>
          <w:tcPr>
            <w:cnfStyle w:evenVBand="true" w:oddVBand="false" w:firstColumn="false"/>
            <w:tcW w:w="25.000000%" w:type="pct"/>
          </w:tcPr>
          <w:p>
            <w:pPr>
              <w:ind w:leftChars="0" w:left="0" w:right="0"/>
            </w:pPr>
            <w:r>
              <w:t>XKGT</w:t>
            </w:r>
          </w:p>
        </w:tc>
        <w:tc>
          <w:tcPr>
            <w:cnfStyle w:evenVBand="false" w:oddVBand="true" w:firstColumn="false"/>
            <w:tcW w:w="25.000000%" w:type="pct"/>
          </w:tcPr>
          <w:p>
            <w:pPr>
              <w:ind w:leftChars="0" w:left="0" w:right="0"/>
            </w:pPr>
            <w:r>
              <w:t>KOBE GOMU TORIHIKIJO (RUBBER EXCHANGE)</w:t>
            </w:r>
          </w:p>
        </w:tc>
        <w:tc>
          <w:tcPr>
            <w:cnfStyle w:evenVBand="true" w:oddVBand="false" w:firstColumn="false"/>
            <w:tcW w:w="25.000000%" w:type="pct"/>
          </w:tcPr>
          <w:p>
            <w:pPr>
              <w:ind w:leftChars="0" w:left="0" w:right="0"/>
            </w:pPr>
            <w:r>
              <w:t>2215</w:t>
            </w:r>
          </w:p>
        </w:tc>
      </w:tr>
      <w:tr>
        <w:trPr>
          <w:cnfStyle w:evenHBand="false" w:oddHBand="true" w:firstRow="false"/>
        </w:trPr>
        <w:tc>
          <w:tcPr>
            <w:cnfStyle w:evenVBand="false" w:oddVBand="true" w:firstColumn="false"/>
            <w:tcW w:w="25.000000%" w:type="pct"/>
          </w:tcPr>
          <w:p>
            <w:pPr>
              <w:ind w:leftChars="0" w:left="0" w:right="0"/>
            </w:pPr>
            <w:r>
              <w:t>XKHA</w:t>
            </w:r>
          </w:p>
        </w:tc>
        <w:tc>
          <w:tcPr>
            <w:cnfStyle w:evenVBand="true" w:oddVBand="false" w:firstColumn="false"/>
            <w:tcW w:w="25.000000%" w:type="pct"/>
          </w:tcPr>
          <w:p>
            <w:pPr>
              <w:ind w:leftChars="0" w:left="0" w:right="0"/>
            </w:pPr>
            <w:r>
              <w:t>XKHA</w:t>
            </w:r>
          </w:p>
        </w:tc>
        <w:tc>
          <w:tcPr>
            <w:cnfStyle w:evenVBand="false" w:oddVBand="true" w:firstColumn="false"/>
            <w:tcW w:w="25.000000%" w:type="pct"/>
          </w:tcPr>
          <w:p>
            <w:pPr>
              <w:ind w:leftChars="0" w:left="0" w:right="0"/>
            </w:pPr>
            <w:r>
              <w:t>KHARTOUM STOCK EXCHANGE</w:t>
            </w:r>
          </w:p>
        </w:tc>
        <w:tc>
          <w:tcPr>
            <w:cnfStyle w:evenVBand="true" w:oddVBand="false" w:firstColumn="false"/>
            <w:tcW w:w="25.000000%" w:type="pct"/>
          </w:tcPr>
          <w:p>
            <w:pPr>
              <w:ind w:leftChars="0" w:left="0" w:right="0"/>
            </w:pPr>
            <w:r>
              <w:t>2216</w:t>
            </w:r>
          </w:p>
        </w:tc>
      </w:tr>
      <w:tr>
        <w:trPr>
          <w:cnfStyle w:evenHBand="true" w:oddHBand="false" w:firstRow="false"/>
        </w:trPr>
        <w:tc>
          <w:tcPr>
            <w:cnfStyle w:evenVBand="false" w:oddVBand="true" w:firstColumn="false"/>
            <w:tcW w:w="25.000000%" w:type="pct"/>
          </w:tcPr>
          <w:p>
            <w:pPr>
              <w:ind w:leftChars="0" w:left="0" w:right="0"/>
            </w:pPr>
            <w:r>
              <w:t>XKHR</w:t>
            </w:r>
          </w:p>
        </w:tc>
        <w:tc>
          <w:tcPr>
            <w:cnfStyle w:evenVBand="true" w:oddVBand="false" w:firstColumn="false"/>
            <w:tcW w:w="25.000000%" w:type="pct"/>
          </w:tcPr>
          <w:p>
            <w:pPr>
              <w:ind w:leftChars="0" w:left="0" w:right="0"/>
            </w:pPr>
            <w:r>
              <w:t>XKHR</w:t>
            </w:r>
          </w:p>
        </w:tc>
        <w:tc>
          <w:tcPr>
            <w:cnfStyle w:evenVBand="false" w:oddVBand="true" w:firstColumn="false"/>
            <w:tcW w:w="25.000000%" w:type="pct"/>
          </w:tcPr>
          <w:p>
            <w:pPr>
              <w:ind w:leftChars="0" w:left="0" w:right="0"/>
            </w:pPr>
            <w:r>
              <w:t>KHARKOV COMMODITY EXCHANGE</w:t>
            </w:r>
          </w:p>
        </w:tc>
        <w:tc>
          <w:tcPr>
            <w:cnfStyle w:evenVBand="true" w:oddVBand="false" w:firstColumn="false"/>
            <w:tcW w:w="25.000000%" w:type="pct"/>
          </w:tcPr>
          <w:p>
            <w:pPr>
              <w:ind w:leftChars="0" w:left="0" w:right="0"/>
            </w:pPr>
            <w:r>
              <w:t>2217</w:t>
            </w:r>
          </w:p>
        </w:tc>
      </w:tr>
      <w:tr>
        <w:trPr>
          <w:cnfStyle w:evenHBand="false" w:oddHBand="true" w:firstRow="false"/>
        </w:trPr>
        <w:tc>
          <w:tcPr>
            <w:cnfStyle w:evenVBand="false" w:oddVBand="true" w:firstColumn="false"/>
            <w:tcW w:w="25.000000%" w:type="pct"/>
          </w:tcPr>
          <w:p>
            <w:pPr>
              <w:ind w:leftChars="0" w:left="0" w:right="0"/>
            </w:pPr>
            <w:r>
              <w:t>XKIE</w:t>
            </w:r>
          </w:p>
        </w:tc>
        <w:tc>
          <w:tcPr>
            <w:cnfStyle w:evenVBand="true" w:oddVBand="false" w:firstColumn="false"/>
            <w:tcW w:w="25.000000%" w:type="pct"/>
          </w:tcPr>
          <w:p>
            <w:pPr>
              <w:ind w:leftChars="0" w:left="0" w:right="0"/>
            </w:pPr>
            <w:r>
              <w:t>XKIE</w:t>
            </w:r>
          </w:p>
        </w:tc>
        <w:tc>
          <w:tcPr>
            <w:cnfStyle w:evenVBand="false" w:oddVBand="true" w:firstColumn="false"/>
            <w:tcW w:w="25.000000%" w:type="pct"/>
          </w:tcPr>
          <w:p>
            <w:pPr>
              <w:ind w:leftChars="0" w:left="0" w:right="0"/>
            </w:pPr>
            <w:r>
              <w:t>KIEV UNIVERSAL EXCHANGE</w:t>
            </w:r>
          </w:p>
        </w:tc>
        <w:tc>
          <w:tcPr>
            <w:cnfStyle w:evenVBand="true" w:oddVBand="false" w:firstColumn="false"/>
            <w:tcW w:w="25.000000%" w:type="pct"/>
          </w:tcPr>
          <w:p>
            <w:pPr>
              <w:ind w:leftChars="0" w:left="0" w:right="0"/>
            </w:pPr>
            <w:r>
              <w:t>2218</w:t>
            </w:r>
          </w:p>
        </w:tc>
      </w:tr>
      <w:tr>
        <w:trPr>
          <w:cnfStyle w:evenHBand="true" w:oddHBand="false" w:firstRow="false"/>
        </w:trPr>
        <w:tc>
          <w:tcPr>
            <w:cnfStyle w:evenVBand="false" w:oddVBand="true" w:firstColumn="false"/>
            <w:tcW w:w="25.000000%" w:type="pct"/>
          </w:tcPr>
          <w:p>
            <w:pPr>
              <w:ind w:leftChars="0" w:left="0" w:right="0"/>
            </w:pPr>
            <w:r>
              <w:t>XKIS</w:t>
            </w:r>
          </w:p>
        </w:tc>
        <w:tc>
          <w:tcPr>
            <w:cnfStyle w:evenVBand="true" w:oddVBand="false" w:firstColumn="false"/>
            <w:tcW w:w="25.000000%" w:type="pct"/>
          </w:tcPr>
          <w:p>
            <w:pPr>
              <w:ind w:leftChars="0" w:left="0" w:right="0"/>
            </w:pPr>
            <w:r>
              <w:t>XKIS</w:t>
            </w:r>
          </w:p>
        </w:tc>
        <w:tc>
          <w:tcPr>
            <w:cnfStyle w:evenVBand="false" w:oddVBand="true" w:firstColumn="false"/>
            <w:tcW w:w="25.000000%" w:type="pct"/>
          </w:tcPr>
          <w:p>
            <w:pPr>
              <w:ind w:leftChars="0" w:left="0" w:right="0"/>
            </w:pPr>
            <w:r>
              <w:t>KIEV INTERNATIONAL STOCK EXCHANGE</w:t>
            </w:r>
          </w:p>
        </w:tc>
        <w:tc>
          <w:tcPr>
            <w:cnfStyle w:evenVBand="true" w:oddVBand="false" w:firstColumn="false"/>
            <w:tcW w:w="25.000000%" w:type="pct"/>
          </w:tcPr>
          <w:p>
            <w:pPr>
              <w:ind w:leftChars="0" w:left="0" w:right="0"/>
            </w:pPr>
            <w:r>
              <w:t>2219</w:t>
            </w:r>
          </w:p>
        </w:tc>
      </w:tr>
      <w:tr>
        <w:trPr>
          <w:cnfStyle w:evenHBand="false" w:oddHBand="true" w:firstRow="false"/>
        </w:trPr>
        <w:tc>
          <w:tcPr>
            <w:cnfStyle w:evenVBand="false" w:oddVBand="true" w:firstColumn="false"/>
            <w:tcW w:w="25.000000%" w:type="pct"/>
          </w:tcPr>
          <w:p>
            <w:pPr>
              <w:ind w:leftChars="0" w:left="0" w:right="0"/>
            </w:pPr>
            <w:r>
              <w:t>XKKT</w:t>
            </w:r>
          </w:p>
        </w:tc>
        <w:tc>
          <w:tcPr>
            <w:cnfStyle w:evenVBand="true" w:oddVBand="false" w:firstColumn="false"/>
            <w:tcW w:w="25.000000%" w:type="pct"/>
          </w:tcPr>
          <w:p>
            <w:pPr>
              <w:ind w:leftChars="0" w:left="0" w:right="0"/>
            </w:pPr>
            <w:r>
              <w:t>XKKT</w:t>
            </w:r>
          </w:p>
        </w:tc>
        <w:tc>
          <w:tcPr>
            <w:cnfStyle w:evenVBand="false" w:oddVBand="true" w:firstColumn="false"/>
            <w:tcW w:w="25.000000%" w:type="pct"/>
          </w:tcPr>
          <w:p>
            <w:pPr>
              <w:ind w:leftChars="0" w:left="0" w:right="0"/>
            </w:pPr>
            <w:r>
              <w:t>KOBE KIITO TORIHIKIJO (RAW SILK EXCHANGE)</w:t>
            </w:r>
          </w:p>
        </w:tc>
        <w:tc>
          <w:tcPr>
            <w:cnfStyle w:evenVBand="true" w:oddVBand="false" w:firstColumn="false"/>
            <w:tcW w:w="25.000000%" w:type="pct"/>
          </w:tcPr>
          <w:p>
            <w:pPr>
              <w:ind w:leftChars="0" w:left="0" w:right="0"/>
            </w:pPr>
            <w:r>
              <w:t>2220</w:t>
            </w:r>
          </w:p>
        </w:tc>
      </w:tr>
      <w:tr>
        <w:trPr>
          <w:cnfStyle w:evenHBand="true" w:oddHBand="false" w:firstRow="false"/>
        </w:trPr>
        <w:tc>
          <w:tcPr>
            <w:cnfStyle w:evenVBand="false" w:oddVBand="true" w:firstColumn="false"/>
            <w:tcW w:w="25.000000%" w:type="pct"/>
          </w:tcPr>
          <w:p>
            <w:pPr>
              <w:ind w:leftChars="0" w:left="0" w:right="0"/>
            </w:pPr>
            <w:r>
              <w:t>XKLS</w:t>
            </w:r>
          </w:p>
        </w:tc>
        <w:tc>
          <w:tcPr>
            <w:cnfStyle w:evenVBand="true" w:oddVBand="false" w:firstColumn="false"/>
            <w:tcW w:w="25.000000%" w:type="pct"/>
          </w:tcPr>
          <w:p>
            <w:pPr>
              <w:ind w:leftChars="0" w:left="0" w:right="0"/>
            </w:pPr>
            <w:r>
              <w:t>XKLS</w:t>
            </w:r>
          </w:p>
        </w:tc>
        <w:tc>
          <w:tcPr>
            <w:cnfStyle w:evenVBand="false" w:oddVBand="true" w:firstColumn="false"/>
            <w:tcW w:w="25.000000%" w:type="pct"/>
          </w:tcPr>
          <w:p>
            <w:pPr>
              <w:ind w:leftChars="0" w:left="0" w:right="0"/>
            </w:pPr>
            <w:r>
              <w:t>BURSA MALAYSIA</w:t>
            </w:r>
          </w:p>
        </w:tc>
        <w:tc>
          <w:tcPr>
            <w:cnfStyle w:evenVBand="true" w:oddVBand="false" w:firstColumn="false"/>
            <w:tcW w:w="25.000000%" w:type="pct"/>
          </w:tcPr>
          <w:p>
            <w:pPr>
              <w:ind w:leftChars="0" w:left="0" w:right="0"/>
            </w:pPr>
            <w:r>
              <w:t>2221</w:t>
            </w:r>
          </w:p>
        </w:tc>
      </w:tr>
      <w:tr>
        <w:trPr>
          <w:cnfStyle w:evenHBand="false" w:oddHBand="true" w:firstRow="false"/>
        </w:trPr>
        <w:tc>
          <w:tcPr>
            <w:cnfStyle w:evenVBand="false" w:oddVBand="true" w:firstColumn="false"/>
            <w:tcW w:w="25.000000%" w:type="pct"/>
          </w:tcPr>
          <w:p>
            <w:pPr>
              <w:ind w:leftChars="0" w:left="0" w:right="0"/>
            </w:pPr>
            <w:r>
              <w:t>XKON</w:t>
            </w:r>
          </w:p>
        </w:tc>
        <w:tc>
          <w:tcPr>
            <w:cnfStyle w:evenVBand="true" w:oddVBand="false" w:firstColumn="false"/>
            <w:tcW w:w="25.000000%" w:type="pct"/>
          </w:tcPr>
          <w:p>
            <w:pPr>
              <w:ind w:leftChars="0" w:left="0" w:right="0"/>
            </w:pPr>
            <w:r>
              <w:t>XKON</w:t>
            </w:r>
          </w:p>
        </w:tc>
        <w:tc>
          <w:tcPr>
            <w:cnfStyle w:evenVBand="false" w:oddVBand="true" w:firstColumn="false"/>
            <w:tcW w:w="25.000000%" w:type="pct"/>
          </w:tcPr>
          <w:p>
            <w:pPr>
              <w:ind w:leftChars="0" w:left="0" w:right="0"/>
            </w:pPr>
            <w:r>
              <w:t>KOREA NEW EXCHANGE</w:t>
            </w:r>
          </w:p>
        </w:tc>
        <w:tc>
          <w:tcPr>
            <w:cnfStyle w:evenVBand="true" w:oddVBand="false" w:firstColumn="false"/>
            <w:tcW w:w="25.000000%" w:type="pct"/>
          </w:tcPr>
          <w:p>
            <w:pPr>
              <w:ind w:leftChars="0" w:left="0" w:right="0"/>
            </w:pPr>
            <w:r>
              <w:t>2222</w:t>
            </w:r>
          </w:p>
        </w:tc>
      </w:tr>
      <w:tr>
        <w:trPr>
          <w:cnfStyle w:evenHBand="true" w:oddHBand="false" w:firstRow="false"/>
        </w:trPr>
        <w:tc>
          <w:tcPr>
            <w:cnfStyle w:evenVBand="false" w:oddVBand="true" w:firstColumn="false"/>
            <w:tcW w:w="25.000000%" w:type="pct"/>
          </w:tcPr>
          <w:p>
            <w:pPr>
              <w:ind w:leftChars="0" w:left="0" w:right="0"/>
            </w:pPr>
            <w:r>
              <w:t>XKOR</w:t>
            </w:r>
          </w:p>
        </w:tc>
        <w:tc>
          <w:tcPr>
            <w:cnfStyle w:evenVBand="true" w:oddVBand="false" w:firstColumn="false"/>
            <w:tcW w:w="25.000000%" w:type="pct"/>
          </w:tcPr>
          <w:p>
            <w:pPr>
              <w:ind w:leftChars="0" w:left="0" w:right="0"/>
            </w:pPr>
            <w:r>
              <w:t>XKOR</w:t>
            </w:r>
          </w:p>
        </w:tc>
        <w:tc>
          <w:tcPr>
            <w:cnfStyle w:evenVBand="false" w:oddVBand="true" w:firstColumn="false"/>
            <w:tcW w:w="25.000000%" w:type="pct"/>
          </w:tcPr>
          <w:p>
            <w:pPr>
              <w:ind w:leftChars="0" w:left="0" w:right="0"/>
            </w:pPr>
            <w:r>
              <w:t>KOREA STOCK EXCHANGE</w:t>
            </w:r>
          </w:p>
        </w:tc>
        <w:tc>
          <w:tcPr>
            <w:cnfStyle w:evenVBand="true" w:oddVBand="false" w:firstColumn="false"/>
            <w:tcW w:w="25.000000%" w:type="pct"/>
          </w:tcPr>
          <w:p>
            <w:pPr>
              <w:ind w:leftChars="0" w:left="0" w:right="0"/>
            </w:pPr>
            <w:r>
              <w:t>2223</w:t>
            </w:r>
          </w:p>
        </w:tc>
      </w:tr>
      <w:tr>
        <w:trPr>
          <w:cnfStyle w:evenHBand="false" w:oddHBand="true" w:firstRow="false"/>
        </w:trPr>
        <w:tc>
          <w:tcPr>
            <w:cnfStyle w:evenVBand="false" w:oddVBand="true" w:firstColumn="false"/>
            <w:tcW w:w="25.000000%" w:type="pct"/>
          </w:tcPr>
          <w:p>
            <w:pPr>
              <w:ind w:leftChars="0" w:left="0" w:right="0"/>
            </w:pPr>
            <w:r>
              <w:t>XKOS</w:t>
            </w:r>
          </w:p>
        </w:tc>
        <w:tc>
          <w:tcPr>
            <w:cnfStyle w:evenVBand="true" w:oddVBand="false" w:firstColumn="false"/>
            <w:tcW w:w="25.000000%" w:type="pct"/>
          </w:tcPr>
          <w:p>
            <w:pPr>
              <w:ind w:leftChars="0" w:left="0" w:right="0"/>
            </w:pPr>
            <w:r>
              <w:t>XKOS</w:t>
            </w:r>
          </w:p>
        </w:tc>
        <w:tc>
          <w:tcPr>
            <w:cnfStyle w:evenVBand="false" w:oddVBand="true" w:firstColumn="false"/>
            <w:tcW w:w="25.000000%" w:type="pct"/>
          </w:tcPr>
          <w:p>
            <w:pPr>
              <w:ind w:leftChars="0" w:left="0" w:right="0"/>
            </w:pPr>
            <w:r>
              <w:t>KOREA EXCHANGE (KOSDAQ)</w:t>
            </w:r>
          </w:p>
        </w:tc>
        <w:tc>
          <w:tcPr>
            <w:cnfStyle w:evenVBand="true" w:oddVBand="false" w:firstColumn="false"/>
            <w:tcW w:w="25.000000%" w:type="pct"/>
          </w:tcPr>
          <w:p>
            <w:pPr>
              <w:ind w:leftChars="0" w:left="0" w:right="0"/>
            </w:pPr>
            <w:r>
              <w:t>2224</w:t>
            </w:r>
          </w:p>
        </w:tc>
      </w:tr>
      <w:tr>
        <w:trPr>
          <w:cnfStyle w:evenHBand="true" w:oddHBand="false" w:firstRow="false"/>
        </w:trPr>
        <w:tc>
          <w:tcPr>
            <w:cnfStyle w:evenVBand="false" w:oddVBand="true" w:firstColumn="false"/>
            <w:tcW w:w="25.000000%" w:type="pct"/>
          </w:tcPr>
          <w:p>
            <w:pPr>
              <w:ind w:leftChars="0" w:left="0" w:right="0"/>
            </w:pPr>
            <w:r>
              <w:t>XKRX</w:t>
            </w:r>
          </w:p>
        </w:tc>
        <w:tc>
          <w:tcPr>
            <w:cnfStyle w:evenVBand="true" w:oddVBand="false" w:firstColumn="false"/>
            <w:tcW w:w="25.000000%" w:type="pct"/>
          </w:tcPr>
          <w:p>
            <w:pPr>
              <w:ind w:leftChars="0" w:left="0" w:right="0"/>
            </w:pPr>
            <w:r>
              <w:t>XKRX</w:t>
            </w:r>
          </w:p>
        </w:tc>
        <w:tc>
          <w:tcPr>
            <w:cnfStyle w:evenVBand="false" w:oddVBand="true" w:firstColumn="false"/>
            <w:tcW w:w="25.000000%" w:type="pct"/>
          </w:tcPr>
          <w:p>
            <w:pPr>
              <w:ind w:leftChars="0" w:left="0" w:right="0"/>
            </w:pPr>
            <w:r>
              <w:t>KOREA EXCHANGE (STOCK MARKET)</w:t>
            </w:r>
          </w:p>
        </w:tc>
        <w:tc>
          <w:tcPr>
            <w:cnfStyle w:evenVBand="true" w:oddVBand="false" w:firstColumn="false"/>
            <w:tcW w:w="25.000000%" w:type="pct"/>
          </w:tcPr>
          <w:p>
            <w:pPr>
              <w:ind w:leftChars="0" w:left="0" w:right="0"/>
            </w:pPr>
            <w:r>
              <w:t>2225</w:t>
            </w:r>
          </w:p>
        </w:tc>
      </w:tr>
      <w:tr>
        <w:trPr>
          <w:cnfStyle w:evenHBand="false" w:oddHBand="true" w:firstRow="false"/>
        </w:trPr>
        <w:tc>
          <w:tcPr>
            <w:cnfStyle w:evenVBand="false" w:oddVBand="true" w:firstColumn="false"/>
            <w:tcW w:w="25.000000%" w:type="pct"/>
          </w:tcPr>
          <w:p>
            <w:pPr>
              <w:ind w:leftChars="0" w:left="0" w:right="0"/>
            </w:pPr>
            <w:r>
              <w:t>XKSE</w:t>
            </w:r>
          </w:p>
        </w:tc>
        <w:tc>
          <w:tcPr>
            <w:cnfStyle w:evenVBand="true" w:oddVBand="false" w:firstColumn="false"/>
            <w:tcW w:w="25.000000%" w:type="pct"/>
          </w:tcPr>
          <w:p>
            <w:pPr>
              <w:ind w:leftChars="0" w:left="0" w:right="0"/>
            </w:pPr>
            <w:r>
              <w:t>XKSE</w:t>
            </w:r>
          </w:p>
        </w:tc>
        <w:tc>
          <w:tcPr>
            <w:cnfStyle w:evenVBand="false" w:oddVBand="true" w:firstColumn="false"/>
            <w:tcW w:w="25.000000%" w:type="pct"/>
          </w:tcPr>
          <w:p>
            <w:pPr>
              <w:ind w:leftChars="0" w:left="0" w:right="0"/>
            </w:pPr>
            <w:r>
              <w:t>KYRGYZ STOCK EXCHANGE</w:t>
            </w:r>
          </w:p>
        </w:tc>
        <w:tc>
          <w:tcPr>
            <w:cnfStyle w:evenVBand="true" w:oddVBand="false" w:firstColumn="false"/>
            <w:tcW w:w="25.000000%" w:type="pct"/>
          </w:tcPr>
          <w:p>
            <w:pPr>
              <w:ind w:leftChars="0" w:left="0" w:right="0"/>
            </w:pPr>
            <w:r>
              <w:t>2226</w:t>
            </w:r>
          </w:p>
        </w:tc>
      </w:tr>
      <w:tr>
        <w:trPr>
          <w:cnfStyle w:evenHBand="true" w:oddHBand="false" w:firstRow="false"/>
        </w:trPr>
        <w:tc>
          <w:tcPr>
            <w:cnfStyle w:evenVBand="false" w:oddVBand="true" w:firstColumn="false"/>
            <w:tcW w:w="25.000000%" w:type="pct"/>
          </w:tcPr>
          <w:p>
            <w:pPr>
              <w:ind w:leftChars="0" w:left="0" w:right="0"/>
            </w:pPr>
            <w:r>
              <w:t>XKST</w:t>
            </w:r>
          </w:p>
        </w:tc>
        <w:tc>
          <w:tcPr>
            <w:cnfStyle w:evenVBand="true" w:oddVBand="false" w:firstColumn="false"/>
            <w:tcW w:w="25.000000%" w:type="pct"/>
          </w:tcPr>
          <w:p>
            <w:pPr>
              <w:ind w:leftChars="0" w:left="0" w:right="0"/>
            </w:pPr>
            <w:r>
              <w:t>XKST</w:t>
            </w:r>
          </w:p>
        </w:tc>
        <w:tc>
          <w:tcPr>
            <w:cnfStyle w:evenVBand="false" w:oddVBand="true" w:firstColumn="false"/>
            <w:tcW w:w="25.000000%" w:type="pct"/>
          </w:tcPr>
          <w:p>
            <w:pPr>
              <w:ind w:leftChars="0" w:left="0" w:right="0"/>
            </w:pPr>
            <w:r>
              <w:t>KANMON SHOHIN TORIHIKIJO (COMMODITY EXCHANGE)</w:t>
            </w:r>
          </w:p>
        </w:tc>
        <w:tc>
          <w:tcPr>
            <w:cnfStyle w:evenVBand="true" w:oddVBand="false" w:firstColumn="false"/>
            <w:tcW w:w="25.000000%" w:type="pct"/>
          </w:tcPr>
          <w:p>
            <w:pPr>
              <w:ind w:leftChars="0" w:left="0" w:right="0"/>
            </w:pPr>
            <w:r>
              <w:t>2227</w:t>
            </w:r>
          </w:p>
        </w:tc>
      </w:tr>
      <w:tr>
        <w:trPr>
          <w:cnfStyle w:evenHBand="false" w:oddHBand="true" w:firstRow="false"/>
        </w:trPr>
        <w:tc>
          <w:tcPr>
            <w:cnfStyle w:evenVBand="false" w:oddVBand="true" w:firstColumn="false"/>
            <w:tcW w:w="25.000000%" w:type="pct"/>
          </w:tcPr>
          <w:p>
            <w:pPr>
              <w:ind w:leftChars="0" w:left="0" w:right="0"/>
            </w:pPr>
            <w:r>
              <w:t>XKUW</w:t>
            </w:r>
          </w:p>
        </w:tc>
        <w:tc>
          <w:tcPr>
            <w:cnfStyle w:evenVBand="true" w:oddVBand="false" w:firstColumn="false"/>
            <w:tcW w:w="25.000000%" w:type="pct"/>
          </w:tcPr>
          <w:p>
            <w:pPr>
              <w:ind w:leftChars="0" w:left="0" w:right="0"/>
            </w:pPr>
            <w:r>
              <w:t>XKUW</w:t>
            </w:r>
          </w:p>
        </w:tc>
        <w:tc>
          <w:tcPr>
            <w:cnfStyle w:evenVBand="false" w:oddVBand="true" w:firstColumn="false"/>
            <w:tcW w:w="25.000000%" w:type="pct"/>
          </w:tcPr>
          <w:p>
            <w:pPr>
              <w:ind w:leftChars="0" w:left="0" w:right="0"/>
            </w:pPr>
            <w:r>
              <w:t>KUWAIT STOCK EXCHANGE</w:t>
            </w:r>
          </w:p>
        </w:tc>
        <w:tc>
          <w:tcPr>
            <w:cnfStyle w:evenVBand="true" w:oddVBand="false" w:firstColumn="false"/>
            <w:tcW w:w="25.000000%" w:type="pct"/>
          </w:tcPr>
          <w:p>
            <w:pPr>
              <w:ind w:leftChars="0" w:left="0" w:right="0"/>
            </w:pPr>
            <w:r>
              <w:t>2228</w:t>
            </w:r>
          </w:p>
        </w:tc>
      </w:tr>
      <w:tr>
        <w:trPr>
          <w:cnfStyle w:evenHBand="true" w:oddHBand="false" w:firstRow="false"/>
        </w:trPr>
        <w:tc>
          <w:tcPr>
            <w:cnfStyle w:evenVBand="false" w:oddVBand="true" w:firstColumn="false"/>
            <w:tcW w:w="25.000000%" w:type="pct"/>
          </w:tcPr>
          <w:p>
            <w:pPr>
              <w:ind w:leftChars="0" w:left="0" w:right="0"/>
            </w:pPr>
            <w:r>
              <w:t>XKYO</w:t>
            </w:r>
          </w:p>
        </w:tc>
        <w:tc>
          <w:tcPr>
            <w:cnfStyle w:evenVBand="true" w:oddVBand="false" w:firstColumn="false"/>
            <w:tcW w:w="25.000000%" w:type="pct"/>
          </w:tcPr>
          <w:p>
            <w:pPr>
              <w:ind w:leftChars="0" w:left="0" w:right="0"/>
            </w:pPr>
            <w:r>
              <w:t>XKYO</w:t>
            </w:r>
          </w:p>
        </w:tc>
        <w:tc>
          <w:tcPr>
            <w:cnfStyle w:evenVBand="false" w:oddVBand="true" w:firstColumn="false"/>
            <w:tcW w:w="25.000000%" w:type="pct"/>
          </w:tcPr>
          <w:p>
            <w:pPr>
              <w:ind w:leftChars="0" w:left="0" w:right="0"/>
            </w:pPr>
            <w:r>
              <w:t>KYOTO STOCK EXCHANGE</w:t>
            </w:r>
          </w:p>
        </w:tc>
        <w:tc>
          <w:tcPr>
            <w:cnfStyle w:evenVBand="true" w:oddVBand="false" w:firstColumn="false"/>
            <w:tcW w:w="25.000000%" w:type="pct"/>
          </w:tcPr>
          <w:p>
            <w:pPr>
              <w:ind w:leftChars="0" w:left="0" w:right="0"/>
            </w:pPr>
            <w:r>
              <w:t>2229</w:t>
            </w:r>
          </w:p>
        </w:tc>
      </w:tr>
      <w:tr>
        <w:trPr>
          <w:cnfStyle w:evenHBand="false" w:oddHBand="true" w:firstRow="false"/>
        </w:trPr>
        <w:tc>
          <w:tcPr>
            <w:cnfStyle w:evenVBand="false" w:oddVBand="true" w:firstColumn="false"/>
            <w:tcW w:w="25.000000%" w:type="pct"/>
          </w:tcPr>
          <w:p>
            <w:pPr>
              <w:ind w:leftChars="0" w:left="0" w:right="0"/>
            </w:pPr>
            <w:r>
              <w:t>XLAH</w:t>
            </w:r>
          </w:p>
        </w:tc>
        <w:tc>
          <w:tcPr>
            <w:cnfStyle w:evenVBand="true" w:oddVBand="false" w:firstColumn="false"/>
            <w:tcW w:w="25.000000%" w:type="pct"/>
          </w:tcPr>
          <w:p>
            <w:pPr>
              <w:ind w:leftChars="0" w:left="0" w:right="0"/>
            </w:pPr>
            <w:r>
              <w:t>XLAH</w:t>
            </w:r>
          </w:p>
        </w:tc>
        <w:tc>
          <w:tcPr>
            <w:cnfStyle w:evenVBand="false" w:oddVBand="true" w:firstColumn="false"/>
            <w:tcW w:w="25.000000%" w:type="pct"/>
          </w:tcPr>
          <w:p>
            <w:pPr>
              <w:ind w:leftChars="0" w:left="0" w:right="0"/>
            </w:pPr>
            <w:r>
              <w:t>LAHORE STOCK EXCHANGE</w:t>
            </w:r>
          </w:p>
        </w:tc>
        <w:tc>
          <w:tcPr>
            <w:cnfStyle w:evenVBand="true" w:oddVBand="false" w:firstColumn="false"/>
            <w:tcW w:w="25.000000%" w:type="pct"/>
          </w:tcPr>
          <w:p>
            <w:pPr>
              <w:ind w:leftChars="0" w:left="0" w:right="0"/>
            </w:pPr>
            <w:r>
              <w:t>2230</w:t>
            </w:r>
          </w:p>
        </w:tc>
      </w:tr>
      <w:tr>
        <w:trPr>
          <w:cnfStyle w:evenHBand="true" w:oddHBand="false" w:firstRow="false"/>
        </w:trPr>
        <w:tc>
          <w:tcPr>
            <w:cnfStyle w:evenVBand="false" w:oddVBand="true" w:firstColumn="false"/>
            <w:tcW w:w="25.000000%" w:type="pct"/>
          </w:tcPr>
          <w:p>
            <w:pPr>
              <w:ind w:leftChars="0" w:left="0" w:right="0"/>
            </w:pPr>
            <w:r>
              <w:t>XLAO</w:t>
            </w:r>
          </w:p>
        </w:tc>
        <w:tc>
          <w:tcPr>
            <w:cnfStyle w:evenVBand="true" w:oddVBand="false" w:firstColumn="false"/>
            <w:tcW w:w="25.000000%" w:type="pct"/>
          </w:tcPr>
          <w:p>
            <w:pPr>
              <w:ind w:leftChars="0" w:left="0" w:right="0"/>
            </w:pPr>
            <w:r>
              <w:t>XLAO</w:t>
            </w:r>
          </w:p>
        </w:tc>
        <w:tc>
          <w:tcPr>
            <w:cnfStyle w:evenVBand="false" w:oddVBand="true" w:firstColumn="false"/>
            <w:tcW w:w="25.000000%" w:type="pct"/>
          </w:tcPr>
          <w:p>
            <w:pPr>
              <w:ind w:leftChars="0" w:left="0" w:right="0"/>
            </w:pPr>
            <w:r>
              <w:t>LAO SECURITIES EXCHANGE</w:t>
            </w:r>
          </w:p>
        </w:tc>
        <w:tc>
          <w:tcPr>
            <w:cnfStyle w:evenVBand="true" w:oddVBand="false" w:firstColumn="false"/>
            <w:tcW w:w="25.000000%" w:type="pct"/>
          </w:tcPr>
          <w:p>
            <w:pPr>
              <w:ind w:leftChars="0" w:left="0" w:right="0"/>
            </w:pPr>
            <w:r>
              <w:t>2231</w:t>
            </w:r>
          </w:p>
        </w:tc>
      </w:tr>
      <w:tr>
        <w:trPr>
          <w:cnfStyle w:evenHBand="false" w:oddHBand="true" w:firstRow="false"/>
        </w:trPr>
        <w:tc>
          <w:tcPr>
            <w:cnfStyle w:evenVBand="false" w:oddVBand="true" w:firstColumn="false"/>
            <w:tcW w:w="25.000000%" w:type="pct"/>
          </w:tcPr>
          <w:p>
            <w:pPr>
              <w:ind w:leftChars="0" w:left="0" w:right="0"/>
            </w:pPr>
            <w:r>
              <w:t>XLAT</w:t>
            </w:r>
          </w:p>
        </w:tc>
        <w:tc>
          <w:tcPr>
            <w:cnfStyle w:evenVBand="true" w:oddVBand="false" w:firstColumn="false"/>
            <w:tcW w:w="25.000000%" w:type="pct"/>
          </w:tcPr>
          <w:p>
            <w:pPr>
              <w:ind w:leftChars="0" w:left="0" w:right="0"/>
            </w:pPr>
            <w:r>
              <w:t>XLAT</w:t>
            </w:r>
          </w:p>
        </w:tc>
        <w:tc>
          <w:tcPr>
            <w:cnfStyle w:evenVBand="false" w:oddVBand="true" w:firstColumn="false"/>
            <w:tcW w:w="25.000000%" w:type="pct"/>
          </w:tcPr>
          <w:p>
            <w:pPr>
              <w:ind w:leftChars="0" w:left="0" w:right="0"/>
            </w:pPr>
            <w:r>
              <w:t>LATIBEX</w:t>
            </w:r>
          </w:p>
        </w:tc>
        <w:tc>
          <w:tcPr>
            <w:cnfStyle w:evenVBand="true" w:oddVBand="false" w:firstColumn="false"/>
            <w:tcW w:w="25.000000%" w:type="pct"/>
          </w:tcPr>
          <w:p>
            <w:pPr>
              <w:ind w:leftChars="0" w:left="0" w:right="0"/>
            </w:pPr>
            <w:r>
              <w:t>2232</w:t>
            </w:r>
          </w:p>
        </w:tc>
      </w:tr>
      <w:tr>
        <w:trPr>
          <w:cnfStyle w:evenHBand="true" w:oddHBand="false" w:firstRow="false"/>
        </w:trPr>
        <w:tc>
          <w:tcPr>
            <w:cnfStyle w:evenVBand="false" w:oddVBand="true" w:firstColumn="false"/>
            <w:tcW w:w="25.000000%" w:type="pct"/>
          </w:tcPr>
          <w:p>
            <w:pPr>
              <w:ind w:leftChars="0" w:left="0" w:right="0"/>
            </w:pPr>
            <w:r>
              <w:t>XLBM</w:t>
            </w:r>
          </w:p>
        </w:tc>
        <w:tc>
          <w:tcPr>
            <w:cnfStyle w:evenVBand="true" w:oddVBand="false" w:firstColumn="false"/>
            <w:tcW w:w="25.000000%" w:type="pct"/>
          </w:tcPr>
          <w:p>
            <w:pPr>
              <w:ind w:leftChars="0" w:left="0" w:right="0"/>
            </w:pPr>
            <w:r>
              <w:t>XLBM</w:t>
            </w:r>
          </w:p>
        </w:tc>
        <w:tc>
          <w:tcPr>
            <w:cnfStyle w:evenVBand="false" w:oddVBand="true" w:firstColumn="false"/>
            <w:tcW w:w="25.000000%" w:type="pct"/>
          </w:tcPr>
          <w:p>
            <w:pPr>
              <w:ind w:leftChars="0" w:left="0" w:right="0"/>
            </w:pPr>
            <w:r>
              <w:t>LONDON BULLION MARKET</w:t>
            </w:r>
          </w:p>
        </w:tc>
        <w:tc>
          <w:tcPr>
            <w:cnfStyle w:evenVBand="true" w:oddVBand="false" w:firstColumn="false"/>
            <w:tcW w:w="25.000000%" w:type="pct"/>
          </w:tcPr>
          <w:p>
            <w:pPr>
              <w:ind w:leftChars="0" w:left="0" w:right="0"/>
            </w:pPr>
            <w:r>
              <w:t>2233</w:t>
            </w:r>
          </w:p>
        </w:tc>
      </w:tr>
      <w:tr>
        <w:trPr>
          <w:cnfStyle w:evenHBand="false" w:oddHBand="true" w:firstRow="false"/>
        </w:trPr>
        <w:tc>
          <w:tcPr>
            <w:cnfStyle w:evenVBand="false" w:oddVBand="true" w:firstColumn="false"/>
            <w:tcW w:w="25.000000%" w:type="pct"/>
          </w:tcPr>
          <w:p>
            <w:pPr>
              <w:ind w:leftChars="0" w:left="0" w:right="0"/>
            </w:pPr>
            <w:r>
              <w:t>XLCE</w:t>
            </w:r>
          </w:p>
        </w:tc>
        <w:tc>
          <w:tcPr>
            <w:cnfStyle w:evenVBand="true" w:oddVBand="false" w:firstColumn="false"/>
            <w:tcW w:w="25.000000%" w:type="pct"/>
          </w:tcPr>
          <w:p>
            <w:pPr>
              <w:ind w:leftChars="0" w:left="0" w:right="0"/>
            </w:pPr>
            <w:r>
              <w:t>XLCE</w:t>
            </w:r>
          </w:p>
        </w:tc>
        <w:tc>
          <w:tcPr>
            <w:cnfStyle w:evenVBand="false" w:oddVBand="true" w:firstColumn="false"/>
            <w:tcW w:w="25.000000%" w:type="pct"/>
          </w:tcPr>
          <w:p>
            <w:pPr>
              <w:ind w:leftChars="0" w:left="0" w:right="0"/>
            </w:pPr>
            <w:r>
              <w:t>LONDON COMMODITY EXCHANGE, THE</w:t>
            </w:r>
          </w:p>
        </w:tc>
        <w:tc>
          <w:tcPr>
            <w:cnfStyle w:evenVBand="true" w:oddVBand="false" w:firstColumn="false"/>
            <w:tcW w:w="25.000000%" w:type="pct"/>
          </w:tcPr>
          <w:p>
            <w:pPr>
              <w:ind w:leftChars="0" w:left="0" w:right="0"/>
            </w:pPr>
            <w:r>
              <w:t>2234</w:t>
            </w:r>
          </w:p>
        </w:tc>
      </w:tr>
      <w:tr>
        <w:trPr>
          <w:cnfStyle w:evenHBand="true" w:oddHBand="false" w:firstRow="false"/>
        </w:trPr>
        <w:tc>
          <w:tcPr>
            <w:cnfStyle w:evenVBand="false" w:oddVBand="true" w:firstColumn="false"/>
            <w:tcW w:w="25.000000%" w:type="pct"/>
          </w:tcPr>
          <w:p>
            <w:pPr>
              <w:ind w:leftChars="0" w:left="0" w:right="0"/>
            </w:pPr>
            <w:r>
              <w:t>XLCH</w:t>
            </w:r>
          </w:p>
        </w:tc>
        <w:tc>
          <w:tcPr>
            <w:cnfStyle w:evenVBand="true" w:oddVBand="false" w:firstColumn="false"/>
            <w:tcW w:w="25.000000%" w:type="pct"/>
          </w:tcPr>
          <w:p>
            <w:pPr>
              <w:ind w:leftChars="0" w:left="0" w:right="0"/>
            </w:pPr>
            <w:r>
              <w:t>XLCH</w:t>
            </w:r>
          </w:p>
        </w:tc>
        <w:tc>
          <w:tcPr>
            <w:cnfStyle w:evenVBand="false" w:oddVBand="true" w:firstColumn="false"/>
            <w:tcW w:w="25.000000%" w:type="pct"/>
          </w:tcPr>
          <w:p>
            <w:pPr>
              <w:ind w:leftChars="0" w:left="0" w:right="0"/>
            </w:pPr>
            <w:r>
              <w:t>LCH LTD</w:t>
            </w:r>
          </w:p>
        </w:tc>
        <w:tc>
          <w:tcPr>
            <w:cnfStyle w:evenVBand="true" w:oddVBand="false" w:firstColumn="false"/>
            <w:tcW w:w="25.000000%" w:type="pct"/>
          </w:tcPr>
          <w:p>
            <w:pPr>
              <w:ind w:leftChars="0" w:left="0" w:right="0"/>
            </w:pPr>
            <w:r>
              <w:t>2235</w:t>
            </w:r>
          </w:p>
        </w:tc>
      </w:tr>
      <w:tr>
        <w:trPr>
          <w:cnfStyle w:evenHBand="false" w:oddHBand="true" w:firstRow="false"/>
        </w:trPr>
        <w:tc>
          <w:tcPr>
            <w:cnfStyle w:evenVBand="false" w:oddVBand="true" w:firstColumn="false"/>
            <w:tcW w:w="25.000000%" w:type="pct"/>
          </w:tcPr>
          <w:p>
            <w:pPr>
              <w:ind w:leftChars="0" w:left="0" w:right="0"/>
            </w:pPr>
            <w:r>
              <w:t>XLDN</w:t>
            </w:r>
          </w:p>
        </w:tc>
        <w:tc>
          <w:tcPr>
            <w:cnfStyle w:evenVBand="true" w:oddVBand="false" w:firstColumn="false"/>
            <w:tcW w:w="25.000000%" w:type="pct"/>
          </w:tcPr>
          <w:p>
            <w:pPr>
              <w:ind w:leftChars="0" w:left="0" w:right="0"/>
            </w:pPr>
            <w:r>
              <w:t>XLDN</w:t>
            </w:r>
          </w:p>
        </w:tc>
        <w:tc>
          <w:tcPr>
            <w:cnfStyle w:evenVBand="false" w:oddVBand="true" w:firstColumn="false"/>
            <w:tcW w:w="25.000000%" w:type="pct"/>
          </w:tcPr>
          <w:p>
            <w:pPr>
              <w:ind w:leftChars="0" w:left="0" w:right="0"/>
            </w:pPr>
            <w:r>
              <w:t>EURONEXT - EURONEXT LONDON</w:t>
            </w:r>
          </w:p>
        </w:tc>
        <w:tc>
          <w:tcPr>
            <w:cnfStyle w:evenVBand="true" w:oddVBand="false" w:firstColumn="false"/>
            <w:tcW w:w="25.000000%" w:type="pct"/>
          </w:tcPr>
          <w:p>
            <w:pPr>
              <w:ind w:leftChars="0" w:left="0" w:right="0"/>
            </w:pPr>
            <w:r>
              <w:t>2236</w:t>
            </w:r>
          </w:p>
        </w:tc>
      </w:tr>
      <w:tr>
        <w:trPr>
          <w:cnfStyle w:evenHBand="true" w:oddHBand="false" w:firstRow="false"/>
        </w:trPr>
        <w:tc>
          <w:tcPr>
            <w:cnfStyle w:evenVBand="false" w:oddVBand="true" w:firstColumn="false"/>
            <w:tcW w:w="25.000000%" w:type="pct"/>
          </w:tcPr>
          <w:p>
            <w:pPr>
              <w:ind w:leftChars="0" w:left="0" w:right="0"/>
            </w:pPr>
            <w:r>
              <w:t>XLDX</w:t>
            </w:r>
          </w:p>
        </w:tc>
        <w:tc>
          <w:tcPr>
            <w:cnfStyle w:evenVBand="true" w:oddVBand="false" w:firstColumn="false"/>
            <w:tcW w:w="25.000000%" w:type="pct"/>
          </w:tcPr>
          <w:p>
            <w:pPr>
              <w:ind w:leftChars="0" w:left="0" w:right="0"/>
            </w:pPr>
            <w:r>
              <w:t>XLDX</w:t>
            </w:r>
          </w:p>
        </w:tc>
        <w:tc>
          <w:tcPr>
            <w:cnfStyle w:evenVBand="false" w:oddVBand="true" w:firstColumn="false"/>
            <w:tcW w:w="25.000000%" w:type="pct"/>
          </w:tcPr>
          <w:p>
            <w:pPr>
              <w:ind w:leftChars="0" w:left="0" w:right="0"/>
            </w:pPr>
            <w:r>
              <w:t>LONDON DERIVATIVES EXCHANGE</w:t>
            </w:r>
          </w:p>
        </w:tc>
        <w:tc>
          <w:tcPr>
            <w:cnfStyle w:evenVBand="true" w:oddVBand="false" w:firstColumn="false"/>
            <w:tcW w:w="25.000000%" w:type="pct"/>
          </w:tcPr>
          <w:p>
            <w:pPr>
              <w:ind w:leftChars="0" w:left="0" w:right="0"/>
            </w:pPr>
            <w:r>
              <w:t>2237</w:t>
            </w:r>
          </w:p>
        </w:tc>
      </w:tr>
      <w:tr>
        <w:trPr>
          <w:cnfStyle w:evenHBand="false" w:oddHBand="true" w:firstRow="false"/>
        </w:trPr>
        <w:tc>
          <w:tcPr>
            <w:cnfStyle w:evenVBand="false" w:oddVBand="true" w:firstColumn="false"/>
            <w:tcW w:w="25.000000%" w:type="pct"/>
          </w:tcPr>
          <w:p>
            <w:pPr>
              <w:ind w:leftChars="0" w:left="0" w:right="0"/>
            </w:pPr>
            <w:r>
              <w:t>XLFX</w:t>
            </w:r>
          </w:p>
        </w:tc>
        <w:tc>
          <w:tcPr>
            <w:cnfStyle w:evenVBand="true" w:oddVBand="false" w:firstColumn="false"/>
            <w:tcW w:w="25.000000%" w:type="pct"/>
          </w:tcPr>
          <w:p>
            <w:pPr>
              <w:ind w:leftChars="0" w:left="0" w:right="0"/>
            </w:pPr>
            <w:r>
              <w:t>XLFX</w:t>
            </w:r>
          </w:p>
        </w:tc>
        <w:tc>
          <w:tcPr>
            <w:cnfStyle w:evenVBand="false" w:oddVBand="true" w:firstColumn="false"/>
            <w:tcW w:w="25.000000%" w:type="pct"/>
          </w:tcPr>
          <w:p>
            <w:pPr>
              <w:ind w:leftChars="0" w:left="0" w:right="0"/>
            </w:pPr>
            <w:r>
              <w:t>LABUAN INTERNATIONAL FINANCIAL EXCHANGE</w:t>
            </w:r>
          </w:p>
        </w:tc>
        <w:tc>
          <w:tcPr>
            <w:cnfStyle w:evenVBand="true" w:oddVBand="false" w:firstColumn="false"/>
            <w:tcW w:w="25.000000%" w:type="pct"/>
          </w:tcPr>
          <w:p>
            <w:pPr>
              <w:ind w:leftChars="0" w:left="0" w:right="0"/>
            </w:pPr>
            <w:r>
              <w:t>2238</w:t>
            </w:r>
          </w:p>
        </w:tc>
      </w:tr>
      <w:tr>
        <w:trPr>
          <w:cnfStyle w:evenHBand="true" w:oddHBand="false" w:firstRow="false"/>
        </w:trPr>
        <w:tc>
          <w:tcPr>
            <w:cnfStyle w:evenVBand="false" w:oddVBand="true" w:firstColumn="false"/>
            <w:tcW w:w="25.000000%" w:type="pct"/>
          </w:tcPr>
          <w:p>
            <w:pPr>
              <w:ind w:leftChars="0" w:left="0" w:right="0"/>
            </w:pPr>
            <w:r>
              <w:t>XLGT</w:t>
            </w:r>
          </w:p>
        </w:tc>
        <w:tc>
          <w:tcPr>
            <w:cnfStyle w:evenVBand="true" w:oddVBand="false" w:firstColumn="false"/>
            <w:tcW w:w="25.000000%" w:type="pct"/>
          </w:tcPr>
          <w:p>
            <w:pPr>
              <w:ind w:leftChars="0" w:left="0" w:right="0"/>
            </w:pPr>
            <w:r>
              <w:t>XLGT</w:t>
            </w:r>
          </w:p>
        </w:tc>
        <w:tc>
          <w:tcPr>
            <w:cnfStyle w:evenVBand="false" w:oddVBand="true" w:firstColumn="false"/>
            <w:tcW w:w="25.000000%" w:type="pct"/>
          </w:tcPr>
          <w:p>
            <w:pPr>
              <w:ind w:leftChars="0" w:left="0" w:right="0"/>
            </w:pPr>
            <w:r>
              <w:t>LGT BANK AG - SYSTEMATIC INTERNALISER</w:t>
            </w:r>
          </w:p>
        </w:tc>
        <w:tc>
          <w:tcPr>
            <w:cnfStyle w:evenVBand="true" w:oddVBand="false" w:firstColumn="false"/>
            <w:tcW w:w="25.000000%" w:type="pct"/>
          </w:tcPr>
          <w:p>
            <w:pPr>
              <w:ind w:leftChars="0" w:left="0" w:right="0"/>
            </w:pPr>
            <w:r>
              <w:t>2239</w:t>
            </w:r>
          </w:p>
        </w:tc>
      </w:tr>
      <w:tr>
        <w:trPr>
          <w:cnfStyle w:evenHBand="false" w:oddHBand="true" w:firstRow="false"/>
        </w:trPr>
        <w:tc>
          <w:tcPr>
            <w:cnfStyle w:evenVBand="false" w:oddVBand="true" w:firstColumn="false"/>
            <w:tcW w:w="25.000000%" w:type="pct"/>
          </w:tcPr>
          <w:p>
            <w:pPr>
              <w:ind w:leftChars="0" w:left="0" w:right="0"/>
            </w:pPr>
            <w:r>
              <w:t>XLIF</w:t>
            </w:r>
          </w:p>
        </w:tc>
        <w:tc>
          <w:tcPr>
            <w:cnfStyle w:evenVBand="true" w:oddVBand="false" w:firstColumn="false"/>
            <w:tcW w:w="25.000000%" w:type="pct"/>
          </w:tcPr>
          <w:p>
            <w:pPr>
              <w:ind w:leftChars="0" w:left="0" w:right="0"/>
            </w:pPr>
            <w:r>
              <w:t>XLIF</w:t>
            </w:r>
          </w:p>
        </w:tc>
        <w:tc>
          <w:tcPr>
            <w:cnfStyle w:evenVBand="false" w:oddVBand="true" w:firstColumn="false"/>
            <w:tcW w:w="25.000000%" w:type="pct"/>
          </w:tcPr>
          <w:p>
            <w:pPr>
              <w:ind w:leftChars="0" w:left="0" w:right="0"/>
            </w:pPr>
            <w:r>
              <w:t>EURONEXT LIFFE</w:t>
            </w:r>
          </w:p>
        </w:tc>
        <w:tc>
          <w:tcPr>
            <w:cnfStyle w:evenVBand="true" w:oddVBand="false" w:firstColumn="false"/>
            <w:tcW w:w="25.000000%" w:type="pct"/>
          </w:tcPr>
          <w:p>
            <w:pPr>
              <w:ind w:leftChars="0" w:left="0" w:right="0"/>
            </w:pPr>
            <w:r>
              <w:t>2240</w:t>
            </w:r>
          </w:p>
        </w:tc>
      </w:tr>
      <w:tr>
        <w:trPr>
          <w:cnfStyle w:evenHBand="true" w:oddHBand="false" w:firstRow="false"/>
        </w:trPr>
        <w:tc>
          <w:tcPr>
            <w:cnfStyle w:evenVBand="false" w:oddVBand="true" w:firstColumn="false"/>
            <w:tcW w:w="25.000000%" w:type="pct"/>
          </w:tcPr>
          <w:p>
            <w:pPr>
              <w:ind w:leftChars="0" w:left="0" w:right="0"/>
            </w:pPr>
            <w:r>
              <w:t>XLIM</w:t>
            </w:r>
          </w:p>
        </w:tc>
        <w:tc>
          <w:tcPr>
            <w:cnfStyle w:evenVBand="true" w:oddVBand="false" w:firstColumn="false"/>
            <w:tcW w:w="25.000000%" w:type="pct"/>
          </w:tcPr>
          <w:p>
            <w:pPr>
              <w:ind w:leftChars="0" w:left="0" w:right="0"/>
            </w:pPr>
            <w:r>
              <w:t>XLIM</w:t>
            </w:r>
          </w:p>
        </w:tc>
        <w:tc>
          <w:tcPr>
            <w:cnfStyle w:evenVBand="false" w:oddVBand="true" w:firstColumn="false"/>
            <w:tcW w:w="25.000000%" w:type="pct"/>
          </w:tcPr>
          <w:p>
            <w:pPr>
              <w:ind w:leftChars="0" w:left="0" w:right="0"/>
            </w:pPr>
            <w:r>
              <w:t>BOLSA DE VALORES DE LIMA</w:t>
            </w:r>
          </w:p>
        </w:tc>
        <w:tc>
          <w:tcPr>
            <w:cnfStyle w:evenVBand="true" w:oddVBand="false" w:firstColumn="false"/>
            <w:tcW w:w="25.000000%" w:type="pct"/>
          </w:tcPr>
          <w:p>
            <w:pPr>
              <w:ind w:leftChars="0" w:left="0" w:right="0"/>
            </w:pPr>
            <w:r>
              <w:t>2241</w:t>
            </w:r>
          </w:p>
        </w:tc>
      </w:tr>
      <w:tr>
        <w:trPr>
          <w:cnfStyle w:evenHBand="false" w:oddHBand="true" w:firstRow="false"/>
        </w:trPr>
        <w:tc>
          <w:tcPr>
            <w:cnfStyle w:evenVBand="false" w:oddVBand="true" w:firstColumn="false"/>
            <w:tcW w:w="25.000000%" w:type="pct"/>
          </w:tcPr>
          <w:p>
            <w:pPr>
              <w:ind w:leftChars="0" w:left="0" w:right="0"/>
            </w:pPr>
            <w:r>
              <w:t>XLIS</w:t>
            </w:r>
          </w:p>
        </w:tc>
        <w:tc>
          <w:tcPr>
            <w:cnfStyle w:evenVBand="true" w:oddVBand="false" w:firstColumn="false"/>
            <w:tcW w:w="25.000000%" w:type="pct"/>
          </w:tcPr>
          <w:p>
            <w:pPr>
              <w:ind w:leftChars="0" w:left="0" w:right="0"/>
            </w:pPr>
            <w:r>
              <w:t>XLIS</w:t>
            </w:r>
          </w:p>
        </w:tc>
        <w:tc>
          <w:tcPr>
            <w:cnfStyle w:evenVBand="false" w:oddVBand="true" w:firstColumn="false"/>
            <w:tcW w:w="25.000000%" w:type="pct"/>
          </w:tcPr>
          <w:p>
            <w:pPr>
              <w:ind w:leftChars="0" w:left="0" w:right="0"/>
            </w:pPr>
            <w:r>
              <w:t>EURONEXT - EURONEXT LISBON</w:t>
            </w:r>
          </w:p>
        </w:tc>
        <w:tc>
          <w:tcPr>
            <w:cnfStyle w:evenVBand="true" w:oddVBand="false" w:firstColumn="false"/>
            <w:tcW w:w="25.000000%" w:type="pct"/>
          </w:tcPr>
          <w:p>
            <w:pPr>
              <w:ind w:leftChars="0" w:left="0" w:right="0"/>
            </w:pPr>
            <w:r>
              <w:t>2242</w:t>
            </w:r>
          </w:p>
        </w:tc>
      </w:tr>
      <w:tr>
        <w:trPr>
          <w:cnfStyle w:evenHBand="true" w:oddHBand="false" w:firstRow="false"/>
        </w:trPr>
        <w:tc>
          <w:tcPr>
            <w:cnfStyle w:evenVBand="false" w:oddVBand="true" w:firstColumn="false"/>
            <w:tcW w:w="25.000000%" w:type="pct"/>
          </w:tcPr>
          <w:p>
            <w:pPr>
              <w:ind w:leftChars="0" w:left="0" w:right="0"/>
            </w:pPr>
            <w:r>
              <w:t>XLIT</w:t>
            </w:r>
          </w:p>
        </w:tc>
        <w:tc>
          <w:tcPr>
            <w:cnfStyle w:evenVBand="true" w:oddVBand="false" w:firstColumn="false"/>
            <w:tcW w:w="25.000000%" w:type="pct"/>
          </w:tcPr>
          <w:p>
            <w:pPr>
              <w:ind w:leftChars="0" w:left="0" w:right="0"/>
            </w:pPr>
            <w:r>
              <w:t>XLIT</w:t>
            </w:r>
          </w:p>
        </w:tc>
        <w:tc>
          <w:tcPr>
            <w:cnfStyle w:evenVBand="false" w:oddVBand="true" w:firstColumn="false"/>
            <w:tcW w:w="25.000000%" w:type="pct"/>
          </w:tcPr>
          <w:p>
            <w:pPr>
              <w:ind w:leftChars="0" w:left="0" w:right="0"/>
            </w:pPr>
            <w:r>
              <w:t>AB NASDAQ VILNIUS</w:t>
            </w:r>
          </w:p>
        </w:tc>
        <w:tc>
          <w:tcPr>
            <w:cnfStyle w:evenVBand="true" w:oddVBand="false" w:firstColumn="false"/>
            <w:tcW w:w="25.000000%" w:type="pct"/>
          </w:tcPr>
          <w:p>
            <w:pPr>
              <w:ind w:leftChars="0" w:left="0" w:right="0"/>
            </w:pPr>
            <w:r>
              <w:t>2243</w:t>
            </w:r>
          </w:p>
        </w:tc>
      </w:tr>
      <w:tr>
        <w:trPr>
          <w:cnfStyle w:evenHBand="false" w:oddHBand="true" w:firstRow="false"/>
        </w:trPr>
        <w:tc>
          <w:tcPr>
            <w:cnfStyle w:evenVBand="false" w:oddVBand="true" w:firstColumn="false"/>
            <w:tcW w:w="25.000000%" w:type="pct"/>
          </w:tcPr>
          <w:p>
            <w:pPr>
              <w:ind w:leftChars="0" w:left="0" w:right="0"/>
            </w:pPr>
            <w:r>
              <w:t>XLJM</w:t>
            </w:r>
          </w:p>
        </w:tc>
        <w:tc>
          <w:tcPr>
            <w:cnfStyle w:evenVBand="true" w:oddVBand="false" w:firstColumn="false"/>
            <w:tcW w:w="25.000000%" w:type="pct"/>
          </w:tcPr>
          <w:p>
            <w:pPr>
              <w:ind w:leftChars="0" w:left="0" w:right="0"/>
            </w:pPr>
            <w:r>
              <w:t>XLJM</w:t>
            </w:r>
          </w:p>
        </w:tc>
        <w:tc>
          <w:tcPr>
            <w:cnfStyle w:evenVBand="false" w:oddVBand="true" w:firstColumn="false"/>
            <w:tcW w:w="25.000000%" w:type="pct"/>
          </w:tcPr>
          <w:p>
            <w:pPr>
              <w:ind w:leftChars="0" w:left="0" w:right="0"/>
            </w:pPr>
            <w:r>
              <w:t>SI ENTER</w:t>
            </w:r>
          </w:p>
        </w:tc>
        <w:tc>
          <w:tcPr>
            <w:cnfStyle w:evenVBand="true" w:oddVBand="false" w:firstColumn="false"/>
            <w:tcW w:w="25.000000%" w:type="pct"/>
          </w:tcPr>
          <w:p>
            <w:pPr>
              <w:ind w:leftChars="0" w:left="0" w:right="0"/>
            </w:pPr>
            <w:r>
              <w:t>2244</w:t>
            </w:r>
          </w:p>
        </w:tc>
      </w:tr>
      <w:tr>
        <w:trPr>
          <w:cnfStyle w:evenHBand="true" w:oddHBand="false" w:firstRow="false"/>
        </w:trPr>
        <w:tc>
          <w:tcPr>
            <w:cnfStyle w:evenVBand="false" w:oddVBand="true" w:firstColumn="false"/>
            <w:tcW w:w="25.000000%" w:type="pct"/>
          </w:tcPr>
          <w:p>
            <w:pPr>
              <w:ind w:leftChars="0" w:left="0" w:right="0"/>
            </w:pPr>
            <w:r>
              <w:t>XLJS</w:t>
            </w:r>
          </w:p>
        </w:tc>
        <w:tc>
          <w:tcPr>
            <w:cnfStyle w:evenVBand="true" w:oddVBand="false" w:firstColumn="false"/>
            <w:tcW w:w="25.000000%" w:type="pct"/>
          </w:tcPr>
          <w:p>
            <w:pPr>
              <w:ind w:leftChars="0" w:left="0" w:right="0"/>
            </w:pPr>
            <w:r>
              <w:t>XLJS</w:t>
            </w:r>
          </w:p>
        </w:tc>
        <w:tc>
          <w:tcPr>
            <w:cnfStyle w:evenVBand="false" w:oddVBand="true" w:firstColumn="false"/>
            <w:tcW w:w="25.000000%" w:type="pct"/>
          </w:tcPr>
          <w:p>
            <w:pPr>
              <w:ind w:leftChars="0" w:left="0" w:right="0"/>
            </w:pPr>
            <w:r>
              <w:t>LJUBLJANA STOCK EXCHANGE (SEMI-OFFICIAL MARKET)</w:t>
            </w:r>
          </w:p>
        </w:tc>
        <w:tc>
          <w:tcPr>
            <w:cnfStyle w:evenVBand="true" w:oddVBand="false" w:firstColumn="false"/>
            <w:tcW w:w="25.000000%" w:type="pct"/>
          </w:tcPr>
          <w:p>
            <w:pPr>
              <w:ind w:leftChars="0" w:left="0" w:right="0"/>
            </w:pPr>
            <w:r>
              <w:t>2245</w:t>
            </w:r>
          </w:p>
        </w:tc>
      </w:tr>
      <w:tr>
        <w:trPr>
          <w:cnfStyle w:evenHBand="false" w:oddHBand="true" w:firstRow="false"/>
        </w:trPr>
        <w:tc>
          <w:tcPr>
            <w:cnfStyle w:evenVBand="false" w:oddVBand="true" w:firstColumn="false"/>
            <w:tcW w:w="25.000000%" w:type="pct"/>
          </w:tcPr>
          <w:p>
            <w:pPr>
              <w:ind w:leftChars="0" w:left="0" w:right="0"/>
            </w:pPr>
            <w:r>
              <w:t>XLJU</w:t>
            </w:r>
          </w:p>
        </w:tc>
        <w:tc>
          <w:tcPr>
            <w:cnfStyle w:evenVBand="true" w:oddVBand="false" w:firstColumn="false"/>
            <w:tcW w:w="25.000000%" w:type="pct"/>
          </w:tcPr>
          <w:p>
            <w:pPr>
              <w:ind w:leftChars="0" w:left="0" w:right="0"/>
            </w:pPr>
            <w:r>
              <w:t>XLJU</w:t>
            </w:r>
          </w:p>
        </w:tc>
        <w:tc>
          <w:tcPr>
            <w:cnfStyle w:evenVBand="false" w:oddVBand="true" w:firstColumn="false"/>
            <w:tcW w:w="25.000000%" w:type="pct"/>
          </w:tcPr>
          <w:p>
            <w:pPr>
              <w:ind w:leftChars="0" w:left="0" w:right="0"/>
            </w:pPr>
            <w:r>
              <w:t>LJUBLJANA STOCK EXCHANGE (OFFICIAL MARKET)</w:t>
            </w:r>
          </w:p>
        </w:tc>
        <w:tc>
          <w:tcPr>
            <w:cnfStyle w:evenVBand="true" w:oddVBand="false" w:firstColumn="false"/>
            <w:tcW w:w="25.000000%" w:type="pct"/>
          </w:tcPr>
          <w:p>
            <w:pPr>
              <w:ind w:leftChars="0" w:left="0" w:right="0"/>
            </w:pPr>
            <w:r>
              <w:t>2246</w:t>
            </w:r>
          </w:p>
        </w:tc>
      </w:tr>
      <w:tr>
        <w:trPr>
          <w:cnfStyle w:evenHBand="true" w:oddHBand="false" w:firstRow="false"/>
        </w:trPr>
        <w:tc>
          <w:tcPr>
            <w:cnfStyle w:evenVBand="false" w:oddVBand="true" w:firstColumn="false"/>
            <w:tcW w:w="25.000000%" w:type="pct"/>
          </w:tcPr>
          <w:p>
            <w:pPr>
              <w:ind w:leftChars="0" w:left="0" w:right="0"/>
            </w:pPr>
            <w:r>
              <w:t>XLLB</w:t>
            </w:r>
          </w:p>
        </w:tc>
        <w:tc>
          <w:tcPr>
            <w:cnfStyle w:evenVBand="true" w:oddVBand="false" w:firstColumn="false"/>
            <w:tcW w:w="25.000000%" w:type="pct"/>
          </w:tcPr>
          <w:p>
            <w:pPr>
              <w:ind w:leftChars="0" w:left="0" w:right="0"/>
            </w:pPr>
            <w:r>
              <w:t>XLLB</w:t>
            </w:r>
          </w:p>
        </w:tc>
        <w:tc>
          <w:tcPr>
            <w:cnfStyle w:evenVBand="false" w:oddVBand="true" w:firstColumn="false"/>
            <w:tcW w:w="25.000000%" w:type="pct"/>
          </w:tcPr>
          <w:p>
            <w:pPr>
              <w:ind w:leftChars="0" w:left="0" w:right="0"/>
            </w:pPr>
            <w:r>
              <w:t>LIECHTENSTEINISCHE LANDESBANK AG - SYSTEMATIC INTERNALISER</w:t>
            </w:r>
          </w:p>
        </w:tc>
        <w:tc>
          <w:tcPr>
            <w:cnfStyle w:evenVBand="true" w:oddVBand="false" w:firstColumn="false"/>
            <w:tcW w:w="25.000000%" w:type="pct"/>
          </w:tcPr>
          <w:p>
            <w:pPr>
              <w:ind w:leftChars="0" w:left="0" w:right="0"/>
            </w:pPr>
            <w:r>
              <w:t>2247</w:t>
            </w:r>
          </w:p>
        </w:tc>
      </w:tr>
      <w:tr>
        <w:trPr>
          <w:cnfStyle w:evenHBand="false" w:oddHBand="true" w:firstRow="false"/>
        </w:trPr>
        <w:tc>
          <w:tcPr>
            <w:cnfStyle w:evenVBand="false" w:oddVBand="true" w:firstColumn="false"/>
            <w:tcW w:w="25.000000%" w:type="pct"/>
          </w:tcPr>
          <w:p>
            <w:pPr>
              <w:ind w:leftChars="0" w:left="0" w:right="0"/>
            </w:pPr>
            <w:r>
              <w:t>XLME</w:t>
            </w:r>
          </w:p>
        </w:tc>
        <w:tc>
          <w:tcPr>
            <w:cnfStyle w:evenVBand="true" w:oddVBand="false" w:firstColumn="false"/>
            <w:tcW w:w="25.000000%" w:type="pct"/>
          </w:tcPr>
          <w:p>
            <w:pPr>
              <w:ind w:leftChars="0" w:left="0" w:right="0"/>
            </w:pPr>
            <w:r>
              <w:t>XLME</w:t>
            </w:r>
          </w:p>
        </w:tc>
        <w:tc>
          <w:tcPr>
            <w:cnfStyle w:evenVBand="false" w:oddVBand="true" w:firstColumn="false"/>
            <w:tcW w:w="25.000000%" w:type="pct"/>
          </w:tcPr>
          <w:p>
            <w:pPr>
              <w:ind w:leftChars="0" w:left="0" w:right="0"/>
            </w:pPr>
            <w:r>
              <w:t>LONDON METAL EXCHANGE</w:t>
            </w:r>
          </w:p>
        </w:tc>
        <w:tc>
          <w:tcPr>
            <w:cnfStyle w:evenVBand="true" w:oddVBand="false" w:firstColumn="false"/>
            <w:tcW w:w="25.000000%" w:type="pct"/>
          </w:tcPr>
          <w:p>
            <w:pPr>
              <w:ind w:leftChars="0" w:left="0" w:right="0"/>
            </w:pPr>
            <w:r>
              <w:t>2248</w:t>
            </w:r>
          </w:p>
        </w:tc>
      </w:tr>
      <w:tr>
        <w:trPr>
          <w:cnfStyle w:evenHBand="true" w:oddHBand="false" w:firstRow="false"/>
        </w:trPr>
        <w:tc>
          <w:tcPr>
            <w:cnfStyle w:evenVBand="false" w:oddVBand="true" w:firstColumn="false"/>
            <w:tcW w:w="25.000000%" w:type="pct"/>
          </w:tcPr>
          <w:p>
            <w:pPr>
              <w:ind w:leftChars="0" w:left="0" w:right="0"/>
            </w:pPr>
            <w:r>
              <w:t>XLOD</w:t>
            </w:r>
          </w:p>
        </w:tc>
        <w:tc>
          <w:tcPr>
            <w:cnfStyle w:evenVBand="true" w:oddVBand="false" w:firstColumn="false"/>
            <w:tcW w:w="25.000000%" w:type="pct"/>
          </w:tcPr>
          <w:p>
            <w:pPr>
              <w:ind w:leftChars="0" w:left="0" w:right="0"/>
            </w:pPr>
            <w:r>
              <w:t>XLOD</w:t>
            </w:r>
          </w:p>
        </w:tc>
        <w:tc>
          <w:tcPr>
            <w:cnfStyle w:evenVBand="false" w:oddVBand="true" w:firstColumn="false"/>
            <w:tcW w:w="25.000000%" w:type="pct"/>
          </w:tcPr>
          <w:p>
            <w:pPr>
              <w:ind w:leftChars="0" w:left="0" w:right="0"/>
            </w:pPr>
            <w:r>
              <w:t>LONDON STOCK EXCHANGE - CURVEGLOBAL MARKETS</w:t>
            </w:r>
          </w:p>
        </w:tc>
        <w:tc>
          <w:tcPr>
            <w:cnfStyle w:evenVBand="true" w:oddVBand="false" w:firstColumn="false"/>
            <w:tcW w:w="25.000000%" w:type="pct"/>
          </w:tcPr>
          <w:p>
            <w:pPr>
              <w:ind w:leftChars="0" w:left="0" w:right="0"/>
            </w:pPr>
            <w:r>
              <w:t>2249</w:t>
            </w:r>
          </w:p>
        </w:tc>
      </w:tr>
      <w:tr>
        <w:trPr>
          <w:cnfStyle w:evenHBand="false" w:oddHBand="true" w:firstRow="false"/>
        </w:trPr>
        <w:tc>
          <w:tcPr>
            <w:cnfStyle w:evenVBand="false" w:oddVBand="true" w:firstColumn="false"/>
            <w:tcW w:w="25.000000%" w:type="pct"/>
          </w:tcPr>
          <w:p>
            <w:pPr>
              <w:ind w:leftChars="0" w:left="0" w:right="0"/>
            </w:pPr>
            <w:r>
              <w:t>XLOF</w:t>
            </w:r>
          </w:p>
        </w:tc>
        <w:tc>
          <w:tcPr>
            <w:cnfStyle w:evenVBand="true" w:oddVBand="false" w:firstColumn="false"/>
            <w:tcW w:w="25.000000%" w:type="pct"/>
          </w:tcPr>
          <w:p>
            <w:pPr>
              <w:ind w:leftChars="0" w:left="0" w:right="0"/>
            </w:pPr>
            <w:r>
              <w:t>XLOF</w:t>
            </w:r>
          </w:p>
        </w:tc>
        <w:tc>
          <w:tcPr>
            <w:cnfStyle w:evenVBand="false" w:oddVBand="true" w:firstColumn="false"/>
            <w:tcW w:w="25.000000%" w:type="pct"/>
          </w:tcPr>
          <w:p>
            <w:pPr>
              <w:ind w:leftChars="0" w:left="0" w:right="0"/>
            </w:pPr>
            <w:r>
              <w:t>MALAYSIA DERIVATIVES EXCHANGE BHD</w:t>
            </w:r>
          </w:p>
        </w:tc>
        <w:tc>
          <w:tcPr>
            <w:cnfStyle w:evenVBand="true" w:oddVBand="false" w:firstColumn="false"/>
            <w:tcW w:w="25.000000%" w:type="pct"/>
          </w:tcPr>
          <w:p>
            <w:pPr>
              <w:ind w:leftChars="0" w:left="0" w:right="0"/>
            </w:pPr>
            <w:r>
              <w:t>2250</w:t>
            </w:r>
          </w:p>
        </w:tc>
      </w:tr>
      <w:tr>
        <w:trPr>
          <w:cnfStyle w:evenHBand="true" w:oddHBand="false" w:firstRow="false"/>
        </w:trPr>
        <w:tc>
          <w:tcPr>
            <w:cnfStyle w:evenVBand="false" w:oddVBand="true" w:firstColumn="false"/>
            <w:tcW w:w="25.000000%" w:type="pct"/>
          </w:tcPr>
          <w:p>
            <w:pPr>
              <w:ind w:leftChars="0" w:left="0" w:right="0"/>
            </w:pPr>
            <w:r>
              <w:t>XLOM</w:t>
            </w:r>
          </w:p>
        </w:tc>
        <w:tc>
          <w:tcPr>
            <w:cnfStyle w:evenVBand="true" w:oddVBand="false" w:firstColumn="false"/>
            <w:tcW w:w="25.000000%" w:type="pct"/>
          </w:tcPr>
          <w:p>
            <w:pPr>
              <w:ind w:leftChars="0" w:left="0" w:right="0"/>
            </w:pPr>
            <w:r>
              <w:t>XLOM</w:t>
            </w:r>
          </w:p>
        </w:tc>
        <w:tc>
          <w:tcPr>
            <w:cnfStyle w:evenVBand="false" w:oddVBand="true" w:firstColumn="false"/>
            <w:tcW w:w="25.000000%" w:type="pct"/>
          </w:tcPr>
          <w:p>
            <w:pPr>
              <w:ind w:leftChars="0" w:left="0" w:right="0"/>
            </w:pPr>
            <w:r>
              <w:t>LONDON STOCK EXCHANGE - MTF</w:t>
            </w:r>
          </w:p>
        </w:tc>
        <w:tc>
          <w:tcPr>
            <w:cnfStyle w:evenVBand="true" w:oddVBand="false" w:firstColumn="false"/>
            <w:tcW w:w="25.000000%" w:type="pct"/>
          </w:tcPr>
          <w:p>
            <w:pPr>
              <w:ind w:leftChars="0" w:left="0" w:right="0"/>
            </w:pPr>
            <w:r>
              <w:t>2251</w:t>
            </w:r>
          </w:p>
        </w:tc>
      </w:tr>
      <w:tr>
        <w:trPr>
          <w:cnfStyle w:evenHBand="false" w:oddHBand="true" w:firstRow="false"/>
        </w:trPr>
        <w:tc>
          <w:tcPr>
            <w:cnfStyle w:evenVBand="false" w:oddVBand="true" w:firstColumn="false"/>
            <w:tcW w:w="25.000000%" w:type="pct"/>
          </w:tcPr>
          <w:p>
            <w:pPr>
              <w:ind w:leftChars="0" w:left="0" w:right="0"/>
            </w:pPr>
            <w:r>
              <w:t>XLON</w:t>
            </w:r>
          </w:p>
        </w:tc>
        <w:tc>
          <w:tcPr>
            <w:cnfStyle w:evenVBand="true" w:oddVBand="false" w:firstColumn="false"/>
            <w:tcW w:w="25.000000%" w:type="pct"/>
          </w:tcPr>
          <w:p>
            <w:pPr>
              <w:ind w:leftChars="0" w:left="0" w:right="0"/>
            </w:pPr>
            <w:r>
              <w:t>XLON</w:t>
            </w:r>
          </w:p>
        </w:tc>
        <w:tc>
          <w:tcPr>
            <w:cnfStyle w:evenVBand="false" w:oddVBand="true" w:firstColumn="false"/>
            <w:tcW w:w="25.000000%" w:type="pct"/>
          </w:tcPr>
          <w:p>
            <w:pPr>
              <w:ind w:leftChars="0" w:left="0" w:right="0"/>
            </w:pPr>
            <w:r>
              <w:t>LONDON STOCK EXCHANGE</w:t>
            </w:r>
          </w:p>
        </w:tc>
        <w:tc>
          <w:tcPr>
            <w:cnfStyle w:evenVBand="true" w:oddVBand="false" w:firstColumn="false"/>
            <w:tcW w:w="25.000000%" w:type="pct"/>
          </w:tcPr>
          <w:p>
            <w:pPr>
              <w:ind w:leftChars="0" w:left="0" w:right="0"/>
            </w:pPr>
            <w:r>
              <w:t>2252</w:t>
            </w:r>
          </w:p>
        </w:tc>
      </w:tr>
      <w:tr>
        <w:trPr>
          <w:cnfStyle w:evenHBand="true" w:oddHBand="false" w:firstRow="false"/>
        </w:trPr>
        <w:tc>
          <w:tcPr>
            <w:cnfStyle w:evenVBand="false" w:oddVBand="true" w:firstColumn="false"/>
            <w:tcW w:w="25.000000%" w:type="pct"/>
          </w:tcPr>
          <w:p>
            <w:pPr>
              <w:ind w:leftChars="0" w:left="0" w:right="0"/>
            </w:pPr>
            <w:r>
              <w:t>XLQC</w:t>
            </w:r>
          </w:p>
        </w:tc>
        <w:tc>
          <w:tcPr>
            <w:cnfStyle w:evenVBand="true" w:oddVBand="false" w:firstColumn="false"/>
            <w:tcW w:w="25.000000%" w:type="pct"/>
          </w:tcPr>
          <w:p>
            <w:pPr>
              <w:ind w:leftChars="0" w:left="0" w:right="0"/>
            </w:pPr>
            <w:r>
              <w:t>XLQC</w:t>
            </w:r>
          </w:p>
        </w:tc>
        <w:tc>
          <w:tcPr>
            <w:cnfStyle w:evenVBand="false" w:oddVBand="true" w:firstColumn="false"/>
            <w:tcW w:w="25.000000%" w:type="pct"/>
          </w:tcPr>
          <w:p>
            <w:pPr>
              <w:ind w:leftChars="0" w:left="0" w:right="0"/>
            </w:pPr>
            <w:r>
              <w:t>LIQUIDITY CUBE PTY LTD</w:t>
            </w:r>
          </w:p>
        </w:tc>
        <w:tc>
          <w:tcPr>
            <w:cnfStyle w:evenVBand="true" w:oddVBand="false" w:firstColumn="false"/>
            <w:tcW w:w="25.000000%" w:type="pct"/>
          </w:tcPr>
          <w:p>
            <w:pPr>
              <w:ind w:leftChars="0" w:left="0" w:right="0"/>
            </w:pPr>
            <w:r>
              <w:t>2253</w:t>
            </w:r>
          </w:p>
        </w:tc>
      </w:tr>
      <w:tr>
        <w:trPr>
          <w:cnfStyle w:evenHBand="false" w:oddHBand="true" w:firstRow="false"/>
        </w:trPr>
        <w:tc>
          <w:tcPr>
            <w:cnfStyle w:evenVBand="false" w:oddVBand="true" w:firstColumn="false"/>
            <w:tcW w:w="25.000000%" w:type="pct"/>
          </w:tcPr>
          <w:p>
            <w:pPr>
              <w:ind w:leftChars="0" w:left="0" w:right="0"/>
            </w:pPr>
            <w:r>
              <w:t>XLSM</w:t>
            </w:r>
          </w:p>
        </w:tc>
        <w:tc>
          <w:tcPr>
            <w:cnfStyle w:evenVBand="true" w:oddVBand="false" w:firstColumn="false"/>
            <w:tcW w:w="25.000000%" w:type="pct"/>
          </w:tcPr>
          <w:p>
            <w:pPr>
              <w:ind w:leftChars="0" w:left="0" w:right="0"/>
            </w:pPr>
            <w:r>
              <w:t>XLSM</w:t>
            </w:r>
          </w:p>
        </w:tc>
        <w:tc>
          <w:tcPr>
            <w:cnfStyle w:evenVBand="false" w:oddVBand="true" w:firstColumn="false"/>
            <w:tcW w:w="25.000000%" w:type="pct"/>
          </w:tcPr>
          <w:p>
            <w:pPr>
              <w:ind w:leftChars="0" w:left="0" w:right="0"/>
            </w:pPr>
            <w:r>
              <w:t>LIBYAN STOCK MARKET</w:t>
            </w:r>
          </w:p>
        </w:tc>
        <w:tc>
          <w:tcPr>
            <w:cnfStyle w:evenVBand="true" w:oddVBand="false" w:firstColumn="false"/>
            <w:tcW w:w="25.000000%" w:type="pct"/>
          </w:tcPr>
          <w:p>
            <w:pPr>
              <w:ind w:leftChars="0" w:left="0" w:right="0"/>
            </w:pPr>
            <w:r>
              <w:t>2254</w:t>
            </w:r>
          </w:p>
        </w:tc>
      </w:tr>
      <w:tr>
        <w:trPr>
          <w:cnfStyle w:evenHBand="true" w:oddHBand="false" w:firstRow="false"/>
        </w:trPr>
        <w:tc>
          <w:tcPr>
            <w:cnfStyle w:evenVBand="false" w:oddVBand="true" w:firstColumn="false"/>
            <w:tcW w:w="25.000000%" w:type="pct"/>
          </w:tcPr>
          <w:p>
            <w:pPr>
              <w:ind w:leftChars="0" w:left="0" w:right="0"/>
            </w:pPr>
            <w:r>
              <w:t>XLTO</w:t>
            </w:r>
          </w:p>
        </w:tc>
        <w:tc>
          <w:tcPr>
            <w:cnfStyle w:evenVBand="true" w:oddVBand="false" w:firstColumn="false"/>
            <w:tcW w:w="25.000000%" w:type="pct"/>
          </w:tcPr>
          <w:p>
            <w:pPr>
              <w:ind w:leftChars="0" w:left="0" w:right="0"/>
            </w:pPr>
            <w:r>
              <w:t>XLTO</w:t>
            </w:r>
          </w:p>
        </w:tc>
        <w:tc>
          <w:tcPr>
            <w:cnfStyle w:evenVBand="false" w:oddVBand="true" w:firstColumn="false"/>
            <w:tcW w:w="25.000000%" w:type="pct"/>
          </w:tcPr>
          <w:p>
            <w:pPr>
              <w:ind w:leftChars="0" w:left="0" w:right="0"/>
            </w:pPr>
            <w:r>
              <w:t>LONDON TRADED OPTIONS MARKET</w:t>
            </w:r>
          </w:p>
        </w:tc>
        <w:tc>
          <w:tcPr>
            <w:cnfStyle w:evenVBand="true" w:oddVBand="false" w:firstColumn="false"/>
            <w:tcW w:w="25.000000%" w:type="pct"/>
          </w:tcPr>
          <w:p>
            <w:pPr>
              <w:ind w:leftChars="0" w:left="0" w:right="0"/>
            </w:pPr>
            <w:r>
              <w:t>2255</w:t>
            </w:r>
          </w:p>
        </w:tc>
      </w:tr>
      <w:tr>
        <w:trPr>
          <w:cnfStyle w:evenHBand="false" w:oddHBand="true" w:firstRow="false"/>
        </w:trPr>
        <w:tc>
          <w:tcPr>
            <w:cnfStyle w:evenVBand="false" w:oddVBand="true" w:firstColumn="false"/>
            <w:tcW w:w="25.000000%" w:type="pct"/>
          </w:tcPr>
          <w:p>
            <w:pPr>
              <w:ind w:leftChars="0" w:left="0" w:right="0"/>
            </w:pPr>
            <w:r>
              <w:t>XLUS</w:t>
            </w:r>
          </w:p>
        </w:tc>
        <w:tc>
          <w:tcPr>
            <w:cnfStyle w:evenVBand="true" w:oddVBand="false" w:firstColumn="false"/>
            <w:tcW w:w="25.000000%" w:type="pct"/>
          </w:tcPr>
          <w:p>
            <w:pPr>
              <w:ind w:leftChars="0" w:left="0" w:right="0"/>
            </w:pPr>
            <w:r>
              <w:t>XLUS</w:t>
            </w:r>
          </w:p>
        </w:tc>
        <w:tc>
          <w:tcPr>
            <w:cnfStyle w:evenVBand="false" w:oddVBand="true" w:firstColumn="false"/>
            <w:tcW w:w="25.000000%" w:type="pct"/>
          </w:tcPr>
          <w:p>
            <w:pPr>
              <w:ind w:leftChars="0" w:left="0" w:right="0"/>
            </w:pPr>
            <w:r>
              <w:t>LUSAKA STOCK EXCHANGE</w:t>
            </w:r>
          </w:p>
        </w:tc>
        <w:tc>
          <w:tcPr>
            <w:cnfStyle w:evenVBand="true" w:oddVBand="false" w:firstColumn="false"/>
            <w:tcW w:w="25.000000%" w:type="pct"/>
          </w:tcPr>
          <w:p>
            <w:pPr>
              <w:ind w:leftChars="0" w:left="0" w:right="0"/>
            </w:pPr>
            <w:r>
              <w:t>2256</w:t>
            </w:r>
          </w:p>
        </w:tc>
      </w:tr>
      <w:tr>
        <w:trPr>
          <w:cnfStyle w:evenHBand="true" w:oddHBand="false" w:firstRow="false"/>
        </w:trPr>
        <w:tc>
          <w:tcPr>
            <w:cnfStyle w:evenVBand="false" w:oddVBand="true" w:firstColumn="false"/>
            <w:tcW w:w="25.000000%" w:type="pct"/>
          </w:tcPr>
          <w:p>
            <w:pPr>
              <w:ind w:leftChars="0" w:left="0" w:right="0"/>
            </w:pPr>
            <w:r>
              <w:t>XLUX</w:t>
            </w:r>
          </w:p>
        </w:tc>
        <w:tc>
          <w:tcPr>
            <w:cnfStyle w:evenVBand="true" w:oddVBand="false" w:firstColumn="false"/>
            <w:tcW w:w="25.000000%" w:type="pct"/>
          </w:tcPr>
          <w:p>
            <w:pPr>
              <w:ind w:leftChars="0" w:left="0" w:right="0"/>
            </w:pPr>
            <w:r>
              <w:t>XLUX</w:t>
            </w:r>
          </w:p>
        </w:tc>
        <w:tc>
          <w:tcPr>
            <w:cnfStyle w:evenVBand="false" w:oddVBand="true" w:firstColumn="false"/>
            <w:tcW w:w="25.000000%" w:type="pct"/>
          </w:tcPr>
          <w:p>
            <w:pPr>
              <w:ind w:leftChars="0" w:left="0" w:right="0"/>
            </w:pPr>
            <w:r>
              <w:t>LUXEMBOURG STOCK EXCHANGE</w:t>
            </w:r>
          </w:p>
        </w:tc>
        <w:tc>
          <w:tcPr>
            <w:cnfStyle w:evenVBand="true" w:oddVBand="false" w:firstColumn="false"/>
            <w:tcW w:w="25.000000%" w:type="pct"/>
          </w:tcPr>
          <w:p>
            <w:pPr>
              <w:ind w:leftChars="0" w:left="0" w:right="0"/>
            </w:pPr>
            <w:r>
              <w:t>2257</w:t>
            </w:r>
          </w:p>
        </w:tc>
      </w:tr>
      <w:tr>
        <w:trPr>
          <w:cnfStyle w:evenHBand="false" w:oddHBand="true" w:firstRow="false"/>
        </w:trPr>
        <w:tc>
          <w:tcPr>
            <w:cnfStyle w:evenVBand="false" w:oddVBand="true" w:firstColumn="false"/>
            <w:tcW w:w="25.000000%" w:type="pct"/>
          </w:tcPr>
          <w:p>
            <w:pPr>
              <w:ind w:leftChars="0" w:left="0" w:right="0"/>
            </w:pPr>
            <w:r>
              <w:t>XMAB</w:t>
            </w:r>
          </w:p>
        </w:tc>
        <w:tc>
          <w:tcPr>
            <w:cnfStyle w:evenVBand="true" w:oddVBand="false" w:firstColumn="false"/>
            <w:tcW w:w="25.000000%" w:type="pct"/>
          </w:tcPr>
          <w:p>
            <w:pPr>
              <w:ind w:leftChars="0" w:left="0" w:right="0"/>
            </w:pPr>
            <w:r>
              <w:t>XMAB</w:t>
            </w:r>
          </w:p>
        </w:tc>
        <w:tc>
          <w:tcPr>
            <w:cnfStyle w:evenVBand="false" w:oddVBand="true" w:firstColumn="false"/>
            <w:tcW w:w="25.000000%" w:type="pct"/>
          </w:tcPr>
          <w:p>
            <w:pPr>
              <w:ind w:leftChars="0" w:left="0" w:right="0"/>
            </w:pPr>
            <w:r>
              <w:t>MERCADO ABIERTO ELECTRONICO S.A.</w:t>
            </w:r>
          </w:p>
        </w:tc>
        <w:tc>
          <w:tcPr>
            <w:cnfStyle w:evenVBand="true" w:oddVBand="false" w:firstColumn="false"/>
            <w:tcW w:w="25.000000%" w:type="pct"/>
          </w:tcPr>
          <w:p>
            <w:pPr>
              <w:ind w:leftChars="0" w:left="0" w:right="0"/>
            </w:pPr>
            <w:r>
              <w:t>2258</w:t>
            </w:r>
          </w:p>
        </w:tc>
      </w:tr>
      <w:tr>
        <w:trPr>
          <w:cnfStyle w:evenHBand="true" w:oddHBand="false" w:firstRow="false"/>
        </w:trPr>
        <w:tc>
          <w:tcPr>
            <w:cnfStyle w:evenVBand="false" w:oddVBand="true" w:firstColumn="false"/>
            <w:tcW w:w="25.000000%" w:type="pct"/>
          </w:tcPr>
          <w:p>
            <w:pPr>
              <w:ind w:leftChars="0" w:left="0" w:right="0"/>
            </w:pPr>
            <w:r>
              <w:t>XMAC</w:t>
            </w:r>
          </w:p>
        </w:tc>
        <w:tc>
          <w:tcPr>
            <w:cnfStyle w:evenVBand="true" w:oddVBand="false" w:firstColumn="false"/>
            <w:tcW w:w="25.000000%" w:type="pct"/>
          </w:tcPr>
          <w:p>
            <w:pPr>
              <w:ind w:leftChars="0" w:left="0" w:right="0"/>
            </w:pPr>
            <w:r>
              <w:t>XMAC</w:t>
            </w:r>
          </w:p>
        </w:tc>
        <w:tc>
          <w:tcPr>
            <w:cnfStyle w:evenVBand="false" w:oddVBand="true" w:firstColumn="false"/>
            <w:tcW w:w="25.000000%" w:type="pct"/>
          </w:tcPr>
          <w:p>
            <w:pPr>
              <w:ind w:leftChars="0" w:left="0" w:right="0"/>
            </w:pPr>
            <w:r>
              <w:t>MID AMERICA COMMODITY EXCHANGE</w:t>
            </w:r>
          </w:p>
        </w:tc>
        <w:tc>
          <w:tcPr>
            <w:cnfStyle w:evenVBand="true" w:oddVBand="false" w:firstColumn="false"/>
            <w:tcW w:w="25.000000%" w:type="pct"/>
          </w:tcPr>
          <w:p>
            <w:pPr>
              <w:ind w:leftChars="0" w:left="0" w:right="0"/>
            </w:pPr>
            <w:r>
              <w:t>2259</w:t>
            </w:r>
          </w:p>
        </w:tc>
      </w:tr>
      <w:tr>
        <w:trPr>
          <w:cnfStyle w:evenHBand="false" w:oddHBand="true" w:firstRow="false"/>
        </w:trPr>
        <w:tc>
          <w:tcPr>
            <w:cnfStyle w:evenVBand="false" w:oddVBand="true" w:firstColumn="false"/>
            <w:tcW w:w="25.000000%" w:type="pct"/>
          </w:tcPr>
          <w:p>
            <w:pPr>
              <w:ind w:leftChars="0" w:left="0" w:right="0"/>
            </w:pPr>
            <w:r>
              <w:t>XMAD</w:t>
            </w:r>
          </w:p>
        </w:tc>
        <w:tc>
          <w:tcPr>
            <w:cnfStyle w:evenVBand="true" w:oddVBand="false" w:firstColumn="false"/>
            <w:tcW w:w="25.000000%" w:type="pct"/>
          </w:tcPr>
          <w:p>
            <w:pPr>
              <w:ind w:leftChars="0" w:left="0" w:right="0"/>
            </w:pPr>
            <w:r>
              <w:t>XMAD</w:t>
            </w:r>
          </w:p>
        </w:tc>
        <w:tc>
          <w:tcPr>
            <w:cnfStyle w:evenVBand="false" w:oddVBand="true" w:firstColumn="false"/>
            <w:tcW w:w="25.000000%" w:type="pct"/>
          </w:tcPr>
          <w:p>
            <w:pPr>
              <w:ind w:leftChars="0" w:left="0" w:right="0"/>
            </w:pPr>
            <w:r>
              <w:t>BOLSA DE MADRID</w:t>
            </w:r>
          </w:p>
        </w:tc>
        <w:tc>
          <w:tcPr>
            <w:cnfStyle w:evenVBand="true" w:oddVBand="false" w:firstColumn="false"/>
            <w:tcW w:w="25.000000%" w:type="pct"/>
          </w:tcPr>
          <w:p>
            <w:pPr>
              <w:ind w:leftChars="0" w:left="0" w:right="0"/>
            </w:pPr>
            <w:r>
              <w:t>2260</w:t>
            </w:r>
          </w:p>
        </w:tc>
      </w:tr>
      <w:tr>
        <w:trPr>
          <w:cnfStyle w:evenHBand="true" w:oddHBand="false" w:firstRow="false"/>
        </w:trPr>
        <w:tc>
          <w:tcPr>
            <w:cnfStyle w:evenVBand="false" w:oddVBand="true" w:firstColumn="false"/>
            <w:tcW w:w="25.000000%" w:type="pct"/>
          </w:tcPr>
          <w:p>
            <w:pPr>
              <w:ind w:leftChars="0" w:left="0" w:right="0"/>
            </w:pPr>
            <w:r>
              <w:t>XMAE</w:t>
            </w:r>
          </w:p>
        </w:tc>
        <w:tc>
          <w:tcPr>
            <w:cnfStyle w:evenVBand="true" w:oddVBand="false" w:firstColumn="false"/>
            <w:tcW w:w="25.000000%" w:type="pct"/>
          </w:tcPr>
          <w:p>
            <w:pPr>
              <w:ind w:leftChars="0" w:left="0" w:right="0"/>
            </w:pPr>
            <w:r>
              <w:t>XMAE</w:t>
            </w:r>
          </w:p>
        </w:tc>
        <w:tc>
          <w:tcPr>
            <w:cnfStyle w:evenVBand="false" w:oddVBand="true" w:firstColumn="false"/>
            <w:tcW w:w="25.000000%" w:type="pct"/>
          </w:tcPr>
          <w:p>
            <w:pPr>
              <w:ind w:leftChars="0" w:left="0" w:right="0"/>
            </w:pPr>
            <w:r>
              <w:t>MACEDONIAN STOCK EXCHANGE</w:t>
            </w:r>
          </w:p>
        </w:tc>
        <w:tc>
          <w:tcPr>
            <w:cnfStyle w:evenVBand="true" w:oddVBand="false" w:firstColumn="false"/>
            <w:tcW w:w="25.000000%" w:type="pct"/>
          </w:tcPr>
          <w:p>
            <w:pPr>
              <w:ind w:leftChars="0" w:left="0" w:right="0"/>
            </w:pPr>
            <w:r>
              <w:t>2261</w:t>
            </w:r>
          </w:p>
        </w:tc>
      </w:tr>
      <w:tr>
        <w:trPr>
          <w:cnfStyle w:evenHBand="false" w:oddHBand="true" w:firstRow="false"/>
        </w:trPr>
        <w:tc>
          <w:tcPr>
            <w:cnfStyle w:evenVBand="false" w:oddVBand="true" w:firstColumn="false"/>
            <w:tcW w:w="25.000000%" w:type="pct"/>
          </w:tcPr>
          <w:p>
            <w:pPr>
              <w:ind w:leftChars="0" w:left="0" w:right="0"/>
            </w:pPr>
            <w:r>
              <w:t>XMAI</w:t>
            </w:r>
          </w:p>
        </w:tc>
        <w:tc>
          <w:tcPr>
            <w:cnfStyle w:evenVBand="true" w:oddVBand="false" w:firstColumn="false"/>
            <w:tcW w:w="25.000000%" w:type="pct"/>
          </w:tcPr>
          <w:p>
            <w:pPr>
              <w:ind w:leftChars="0" w:left="0" w:right="0"/>
            </w:pPr>
            <w:r>
              <w:t>XMAI</w:t>
            </w:r>
          </w:p>
        </w:tc>
        <w:tc>
          <w:tcPr>
            <w:cnfStyle w:evenVBand="false" w:oddVBand="true" w:firstColumn="false"/>
            <w:tcW w:w="25.000000%" w:type="pct"/>
          </w:tcPr>
          <w:p>
            <w:pPr>
              <w:ind w:leftChars="0" w:left="0" w:right="0"/>
            </w:pPr>
            <w:r>
              <w:t>MARKET FOR ALTERNATIVE INVESTMENT</w:t>
            </w:r>
          </w:p>
        </w:tc>
        <w:tc>
          <w:tcPr>
            <w:cnfStyle w:evenVBand="true" w:oddVBand="false" w:firstColumn="false"/>
            <w:tcW w:w="25.000000%" w:type="pct"/>
          </w:tcPr>
          <w:p>
            <w:pPr>
              <w:ind w:leftChars="0" w:left="0" w:right="0"/>
            </w:pPr>
            <w:r>
              <w:t>2262</w:t>
            </w:r>
          </w:p>
        </w:tc>
      </w:tr>
      <w:tr>
        <w:trPr>
          <w:cnfStyle w:evenHBand="true" w:oddHBand="false" w:firstRow="false"/>
        </w:trPr>
        <w:tc>
          <w:tcPr>
            <w:cnfStyle w:evenVBand="false" w:oddVBand="true" w:firstColumn="false"/>
            <w:tcW w:w="25.000000%" w:type="pct"/>
          </w:tcPr>
          <w:p>
            <w:pPr>
              <w:ind w:leftChars="0" w:left="0" w:right="0"/>
            </w:pPr>
            <w:r>
              <w:t>XMAL</w:t>
            </w:r>
          </w:p>
        </w:tc>
        <w:tc>
          <w:tcPr>
            <w:cnfStyle w:evenVBand="true" w:oddVBand="false" w:firstColumn="false"/>
            <w:tcW w:w="25.000000%" w:type="pct"/>
          </w:tcPr>
          <w:p>
            <w:pPr>
              <w:ind w:leftChars="0" w:left="0" w:right="0"/>
            </w:pPr>
            <w:r>
              <w:t>XMAL</w:t>
            </w:r>
          </w:p>
        </w:tc>
        <w:tc>
          <w:tcPr>
            <w:cnfStyle w:evenVBand="false" w:oddVBand="true" w:firstColumn="false"/>
            <w:tcW w:w="25.000000%" w:type="pct"/>
          </w:tcPr>
          <w:p>
            <w:pPr>
              <w:ind w:leftChars="0" w:left="0" w:right="0"/>
            </w:pPr>
            <w:r>
              <w:t>MALTA STOCK EXCHANGE</w:t>
            </w:r>
          </w:p>
        </w:tc>
        <w:tc>
          <w:tcPr>
            <w:cnfStyle w:evenVBand="true" w:oddVBand="false" w:firstColumn="false"/>
            <w:tcW w:w="25.000000%" w:type="pct"/>
          </w:tcPr>
          <w:p>
            <w:pPr>
              <w:ind w:leftChars="0" w:left="0" w:right="0"/>
            </w:pPr>
            <w:r>
              <w:t>2263</w:t>
            </w:r>
          </w:p>
        </w:tc>
      </w:tr>
      <w:tr>
        <w:trPr>
          <w:cnfStyle w:evenHBand="false" w:oddHBand="true" w:firstRow="false"/>
        </w:trPr>
        <w:tc>
          <w:tcPr>
            <w:cnfStyle w:evenVBand="false" w:oddVBand="true" w:firstColumn="false"/>
            <w:tcW w:w="25.000000%" w:type="pct"/>
          </w:tcPr>
          <w:p>
            <w:pPr>
              <w:ind w:leftChars="0" w:left="0" w:right="0"/>
            </w:pPr>
            <w:r>
              <w:t>XMAN</w:t>
            </w:r>
          </w:p>
        </w:tc>
        <w:tc>
          <w:tcPr>
            <w:cnfStyle w:evenVBand="true" w:oddVBand="false" w:firstColumn="false"/>
            <w:tcW w:w="25.000000%" w:type="pct"/>
          </w:tcPr>
          <w:p>
            <w:pPr>
              <w:ind w:leftChars="0" w:left="0" w:right="0"/>
            </w:pPr>
            <w:r>
              <w:t>XMAN</w:t>
            </w:r>
          </w:p>
        </w:tc>
        <w:tc>
          <w:tcPr>
            <w:cnfStyle w:evenVBand="false" w:oddVBand="true" w:firstColumn="false"/>
            <w:tcW w:w="25.000000%" w:type="pct"/>
          </w:tcPr>
          <w:p>
            <w:pPr>
              <w:ind w:leftChars="0" w:left="0" w:right="0"/>
            </w:pPr>
            <w:r>
              <w:t>BOLSA DE VALORES DE NICARAGUA</w:t>
            </w:r>
          </w:p>
        </w:tc>
        <w:tc>
          <w:tcPr>
            <w:cnfStyle w:evenVBand="true" w:oddVBand="false" w:firstColumn="false"/>
            <w:tcW w:w="25.000000%" w:type="pct"/>
          </w:tcPr>
          <w:p>
            <w:pPr>
              <w:ind w:leftChars="0" w:left="0" w:right="0"/>
            </w:pPr>
            <w:r>
              <w:t>2264</w:t>
            </w:r>
          </w:p>
        </w:tc>
      </w:tr>
      <w:tr>
        <w:trPr>
          <w:cnfStyle w:evenHBand="true" w:oddHBand="false" w:firstRow="false"/>
        </w:trPr>
        <w:tc>
          <w:tcPr>
            <w:cnfStyle w:evenVBand="false" w:oddVBand="true" w:firstColumn="false"/>
            <w:tcW w:w="25.000000%" w:type="pct"/>
          </w:tcPr>
          <w:p>
            <w:pPr>
              <w:ind w:leftChars="0" w:left="0" w:right="0"/>
            </w:pPr>
            <w:r>
              <w:t>XMAP</w:t>
            </w:r>
          </w:p>
        </w:tc>
        <w:tc>
          <w:tcPr>
            <w:cnfStyle w:evenVBand="true" w:oddVBand="false" w:firstColumn="false"/>
            <w:tcW w:w="25.000000%" w:type="pct"/>
          </w:tcPr>
          <w:p>
            <w:pPr>
              <w:ind w:leftChars="0" w:left="0" w:right="0"/>
            </w:pPr>
            <w:r>
              <w:t>XMAP</w:t>
            </w:r>
          </w:p>
        </w:tc>
        <w:tc>
          <w:tcPr>
            <w:cnfStyle w:evenVBand="false" w:oddVBand="true" w:firstColumn="false"/>
            <w:tcW w:w="25.000000%" w:type="pct"/>
          </w:tcPr>
          <w:p>
            <w:pPr>
              <w:ind w:leftChars="0" w:left="0" w:right="0"/>
            </w:pPr>
            <w:r>
              <w:t>MAPUTO STOCK  EXCHANGE</w:t>
            </w:r>
          </w:p>
        </w:tc>
        <w:tc>
          <w:tcPr>
            <w:cnfStyle w:evenVBand="true" w:oddVBand="false" w:firstColumn="false"/>
            <w:tcW w:w="25.000000%" w:type="pct"/>
          </w:tcPr>
          <w:p>
            <w:pPr>
              <w:ind w:leftChars="0" w:left="0" w:right="0"/>
            </w:pPr>
            <w:r>
              <w:t>2265</w:t>
            </w:r>
          </w:p>
        </w:tc>
      </w:tr>
      <w:tr>
        <w:trPr>
          <w:cnfStyle w:evenHBand="false" w:oddHBand="true" w:firstRow="false"/>
        </w:trPr>
        <w:tc>
          <w:tcPr>
            <w:cnfStyle w:evenVBand="false" w:oddVBand="true" w:firstColumn="false"/>
            <w:tcW w:w="25.000000%" w:type="pct"/>
          </w:tcPr>
          <w:p>
            <w:pPr>
              <w:ind w:leftChars="0" w:left="0" w:right="0"/>
            </w:pPr>
            <w:r>
              <w:t>XMAT</w:t>
            </w:r>
          </w:p>
        </w:tc>
        <w:tc>
          <w:tcPr>
            <w:cnfStyle w:evenVBand="true" w:oddVBand="false" w:firstColumn="false"/>
            <w:tcW w:w="25.000000%" w:type="pct"/>
          </w:tcPr>
          <w:p>
            <w:pPr>
              <w:ind w:leftChars="0" w:left="0" w:right="0"/>
            </w:pPr>
            <w:r>
              <w:t>XMAT</w:t>
            </w:r>
          </w:p>
        </w:tc>
        <w:tc>
          <w:tcPr>
            <w:cnfStyle w:evenVBand="false" w:oddVBand="true" w:firstColumn="false"/>
            <w:tcW w:w="25.000000%" w:type="pct"/>
          </w:tcPr>
          <w:p>
            <w:pPr>
              <w:ind w:leftChars="0" w:left="0" w:right="0"/>
            </w:pPr>
            <w:r>
              <w:t>EURONEXT PARIS MATIF</w:t>
            </w:r>
          </w:p>
        </w:tc>
        <w:tc>
          <w:tcPr>
            <w:cnfStyle w:evenVBand="true" w:oddVBand="false" w:firstColumn="false"/>
            <w:tcW w:w="25.000000%" w:type="pct"/>
          </w:tcPr>
          <w:p>
            <w:pPr>
              <w:ind w:leftChars="0" w:left="0" w:right="0"/>
            </w:pPr>
            <w:r>
              <w:t>2266</w:t>
            </w:r>
          </w:p>
        </w:tc>
      </w:tr>
      <w:tr>
        <w:trPr>
          <w:cnfStyle w:evenHBand="true" w:oddHBand="false" w:firstRow="false"/>
        </w:trPr>
        <w:tc>
          <w:tcPr>
            <w:cnfStyle w:evenVBand="false" w:oddVBand="true" w:firstColumn="false"/>
            <w:tcW w:w="25.000000%" w:type="pct"/>
          </w:tcPr>
          <w:p>
            <w:pPr>
              <w:ind w:leftChars="0" w:left="0" w:right="0"/>
            </w:pPr>
            <w:r>
              <w:t>XMAU</w:t>
            </w:r>
          </w:p>
        </w:tc>
        <w:tc>
          <w:tcPr>
            <w:cnfStyle w:evenVBand="true" w:oddVBand="false" w:firstColumn="false"/>
            <w:tcW w:w="25.000000%" w:type="pct"/>
          </w:tcPr>
          <w:p>
            <w:pPr>
              <w:ind w:leftChars="0" w:left="0" w:right="0"/>
            </w:pPr>
            <w:r>
              <w:t>XMAU</w:t>
            </w:r>
          </w:p>
        </w:tc>
        <w:tc>
          <w:tcPr>
            <w:cnfStyle w:evenVBand="false" w:oddVBand="true" w:firstColumn="false"/>
            <w:tcW w:w="25.000000%" w:type="pct"/>
          </w:tcPr>
          <w:p>
            <w:pPr>
              <w:ind w:leftChars="0" w:left="0" w:right="0"/>
            </w:pPr>
            <w:r>
              <w:t>STOCK EXCHANGE OF MAURITIUS LTD</w:t>
            </w:r>
          </w:p>
        </w:tc>
        <w:tc>
          <w:tcPr>
            <w:cnfStyle w:evenVBand="true" w:oddVBand="false" w:firstColumn="false"/>
            <w:tcW w:w="25.000000%" w:type="pct"/>
          </w:tcPr>
          <w:p>
            <w:pPr>
              <w:ind w:leftChars="0" w:left="0" w:right="0"/>
            </w:pPr>
            <w:r>
              <w:t>2267</w:t>
            </w:r>
          </w:p>
        </w:tc>
      </w:tr>
      <w:tr>
        <w:trPr>
          <w:cnfStyle w:evenHBand="false" w:oddHBand="true" w:firstRow="false"/>
        </w:trPr>
        <w:tc>
          <w:tcPr>
            <w:cnfStyle w:evenVBand="false" w:oddVBand="true" w:firstColumn="false"/>
            <w:tcW w:w="25.000000%" w:type="pct"/>
          </w:tcPr>
          <w:p>
            <w:pPr>
              <w:ind w:leftChars="0" w:left="0" w:right="0"/>
            </w:pPr>
            <w:r>
              <w:t>XMCE</w:t>
            </w:r>
          </w:p>
        </w:tc>
        <w:tc>
          <w:tcPr>
            <w:cnfStyle w:evenVBand="true" w:oddVBand="false" w:firstColumn="false"/>
            <w:tcW w:w="25.000000%" w:type="pct"/>
          </w:tcPr>
          <w:p>
            <w:pPr>
              <w:ind w:leftChars="0" w:left="0" w:right="0"/>
            </w:pPr>
            <w:r>
              <w:t>XMCE</w:t>
            </w:r>
          </w:p>
        </w:tc>
        <w:tc>
          <w:tcPr>
            <w:cnfStyle w:evenVBand="false" w:oddVBand="true" w:firstColumn="false"/>
            <w:tcW w:w="25.000000%" w:type="pct"/>
          </w:tcPr>
          <w:p>
            <w:pPr>
              <w:ind w:leftChars="0" w:left="0" w:right="0"/>
            </w:pPr>
            <w:r>
              <w:t>MERCADO CONTINUO ESPANOL - CONTINUOUS MARKET</w:t>
            </w:r>
          </w:p>
        </w:tc>
        <w:tc>
          <w:tcPr>
            <w:cnfStyle w:evenVBand="true" w:oddVBand="false" w:firstColumn="false"/>
            <w:tcW w:w="25.000000%" w:type="pct"/>
          </w:tcPr>
          <w:p>
            <w:pPr>
              <w:ind w:leftChars="0" w:left="0" w:right="0"/>
            </w:pPr>
            <w:r>
              <w:t>2268</w:t>
            </w:r>
          </w:p>
        </w:tc>
      </w:tr>
      <w:tr>
        <w:trPr>
          <w:cnfStyle w:evenHBand="true" w:oddHBand="false" w:firstRow="false"/>
        </w:trPr>
        <w:tc>
          <w:tcPr>
            <w:cnfStyle w:evenVBand="false" w:oddVBand="true" w:firstColumn="false"/>
            <w:tcW w:w="25.000000%" w:type="pct"/>
          </w:tcPr>
          <w:p>
            <w:pPr>
              <w:ind w:leftChars="0" w:left="0" w:right="0"/>
            </w:pPr>
            <w:r>
              <w:t>XMDG</w:t>
            </w:r>
          </w:p>
        </w:tc>
        <w:tc>
          <w:tcPr>
            <w:cnfStyle w:evenVBand="true" w:oddVBand="false" w:firstColumn="false"/>
            <w:tcW w:w="25.000000%" w:type="pct"/>
          </w:tcPr>
          <w:p>
            <w:pPr>
              <w:ind w:leftChars="0" w:left="0" w:right="0"/>
            </w:pPr>
            <w:r>
              <w:t>XMDG</w:t>
            </w:r>
          </w:p>
        </w:tc>
        <w:tc>
          <w:tcPr>
            <w:cnfStyle w:evenVBand="false" w:oddVBand="true" w:firstColumn="false"/>
            <w:tcW w:w="25.000000%" w:type="pct"/>
          </w:tcPr>
          <w:p>
            <w:pPr>
              <w:ind w:leftChars="0" w:left="0" w:right="0"/>
            </w:pPr>
            <w:r>
              <w:t>MARCHE INTERBANCAIRE DES DEVISES M.I.D.</w:t>
            </w:r>
          </w:p>
        </w:tc>
        <w:tc>
          <w:tcPr>
            <w:cnfStyle w:evenVBand="true" w:oddVBand="false" w:firstColumn="false"/>
            <w:tcW w:w="25.000000%" w:type="pct"/>
          </w:tcPr>
          <w:p>
            <w:pPr>
              <w:ind w:leftChars="0" w:left="0" w:right="0"/>
            </w:pPr>
            <w:r>
              <w:t>2269</w:t>
            </w:r>
          </w:p>
        </w:tc>
      </w:tr>
      <w:tr>
        <w:trPr>
          <w:cnfStyle w:evenHBand="false" w:oddHBand="true" w:firstRow="false"/>
        </w:trPr>
        <w:tc>
          <w:tcPr>
            <w:cnfStyle w:evenVBand="false" w:oddVBand="true" w:firstColumn="false"/>
            <w:tcW w:w="25.000000%" w:type="pct"/>
          </w:tcPr>
          <w:p>
            <w:pPr>
              <w:ind w:leftChars="0" w:left="0" w:right="0"/>
            </w:pPr>
            <w:r>
              <w:t>XMDS</w:t>
            </w:r>
          </w:p>
        </w:tc>
        <w:tc>
          <w:tcPr>
            <w:cnfStyle w:evenVBand="true" w:oddVBand="false" w:firstColumn="false"/>
            <w:tcW w:w="25.000000%" w:type="pct"/>
          </w:tcPr>
          <w:p>
            <w:pPr>
              <w:ind w:leftChars="0" w:left="0" w:right="0"/>
            </w:pPr>
            <w:r>
              <w:t>XMDS</w:t>
            </w:r>
          </w:p>
        </w:tc>
        <w:tc>
          <w:tcPr>
            <w:cnfStyle w:evenVBand="false" w:oddVBand="true" w:firstColumn="false"/>
            <w:tcW w:w="25.000000%" w:type="pct"/>
          </w:tcPr>
          <w:p>
            <w:pPr>
              <w:ind w:leftChars="0" w:left="0" w:right="0"/>
            </w:pPr>
            <w:r>
              <w:t>MADRAS STOCK EXCHANGE</w:t>
            </w:r>
          </w:p>
        </w:tc>
        <w:tc>
          <w:tcPr>
            <w:cnfStyle w:evenVBand="true" w:oddVBand="false" w:firstColumn="false"/>
            <w:tcW w:w="25.000000%" w:type="pct"/>
          </w:tcPr>
          <w:p>
            <w:pPr>
              <w:ind w:leftChars="0" w:left="0" w:right="0"/>
            </w:pPr>
            <w:r>
              <w:t>2270</w:t>
            </w:r>
          </w:p>
        </w:tc>
      </w:tr>
      <w:tr>
        <w:trPr>
          <w:cnfStyle w:evenHBand="true" w:oddHBand="false" w:firstRow="false"/>
        </w:trPr>
        <w:tc>
          <w:tcPr>
            <w:cnfStyle w:evenVBand="false" w:oddVBand="true" w:firstColumn="false"/>
            <w:tcW w:w="25.000000%" w:type="pct"/>
          </w:tcPr>
          <w:p>
            <w:pPr>
              <w:ind w:leftChars="0" w:left="0" w:right="0"/>
            </w:pPr>
            <w:r>
              <w:t>XMEF</w:t>
            </w:r>
          </w:p>
        </w:tc>
        <w:tc>
          <w:tcPr>
            <w:cnfStyle w:evenVBand="true" w:oddVBand="false" w:firstColumn="false"/>
            <w:tcW w:w="25.000000%" w:type="pct"/>
          </w:tcPr>
          <w:p>
            <w:pPr>
              <w:ind w:leftChars="0" w:left="0" w:right="0"/>
            </w:pPr>
            <w:r>
              <w:t>XMEF</w:t>
            </w:r>
          </w:p>
        </w:tc>
        <w:tc>
          <w:tcPr>
            <w:cnfStyle w:evenVBand="false" w:oddVBand="true" w:firstColumn="false"/>
            <w:tcW w:w="25.000000%" w:type="pct"/>
          </w:tcPr>
          <w:p>
            <w:pPr>
              <w:ind w:leftChars="0" w:left="0" w:right="0"/>
            </w:pPr>
            <w:r>
              <w:t>MEFF RENTA FIJA</w:t>
            </w:r>
          </w:p>
        </w:tc>
        <w:tc>
          <w:tcPr>
            <w:cnfStyle w:evenVBand="true" w:oddVBand="false" w:firstColumn="false"/>
            <w:tcW w:w="25.000000%" w:type="pct"/>
          </w:tcPr>
          <w:p>
            <w:pPr>
              <w:ind w:leftChars="0" w:left="0" w:right="0"/>
            </w:pPr>
            <w:r>
              <w:t>2271</w:t>
            </w:r>
          </w:p>
        </w:tc>
      </w:tr>
      <w:tr>
        <w:trPr>
          <w:cnfStyle w:evenHBand="false" w:oddHBand="true" w:firstRow="false"/>
        </w:trPr>
        <w:tc>
          <w:tcPr>
            <w:cnfStyle w:evenVBand="false" w:oddVBand="true" w:firstColumn="false"/>
            <w:tcW w:w="25.000000%" w:type="pct"/>
          </w:tcPr>
          <w:p>
            <w:pPr>
              <w:ind w:leftChars="0" w:left="0" w:right="0"/>
            </w:pPr>
            <w:r>
              <w:t>XMER</w:t>
            </w:r>
          </w:p>
        </w:tc>
        <w:tc>
          <w:tcPr>
            <w:cnfStyle w:evenVBand="true" w:oddVBand="false" w:firstColumn="false"/>
            <w:tcW w:w="25.000000%" w:type="pct"/>
          </w:tcPr>
          <w:p>
            <w:pPr>
              <w:ind w:leftChars="0" w:left="0" w:right="0"/>
            </w:pPr>
            <w:r>
              <w:t>XMER</w:t>
            </w:r>
          </w:p>
        </w:tc>
        <w:tc>
          <w:tcPr>
            <w:cnfStyle w:evenVBand="false" w:oddVBand="true" w:firstColumn="false"/>
            <w:tcW w:w="25.000000%" w:type="pct"/>
          </w:tcPr>
          <w:p>
            <w:pPr>
              <w:ind w:leftChars="0" w:left="0" w:right="0"/>
            </w:pPr>
            <w:r>
              <w:t>MERCHANTS” EXCHANGE</w:t>
            </w:r>
          </w:p>
        </w:tc>
        <w:tc>
          <w:tcPr>
            <w:cnfStyle w:evenVBand="true" w:oddVBand="false" w:firstColumn="false"/>
            <w:tcW w:w="25.000000%" w:type="pct"/>
          </w:tcPr>
          <w:p>
            <w:pPr>
              <w:ind w:leftChars="0" w:left="0" w:right="0"/>
            </w:pPr>
            <w:r>
              <w:t>2272</w:t>
            </w:r>
          </w:p>
        </w:tc>
      </w:tr>
      <w:tr>
        <w:trPr>
          <w:cnfStyle w:evenHBand="true" w:oddHBand="false" w:firstRow="false"/>
        </w:trPr>
        <w:tc>
          <w:tcPr>
            <w:cnfStyle w:evenVBand="false" w:oddVBand="true" w:firstColumn="false"/>
            <w:tcW w:w="25.000000%" w:type="pct"/>
          </w:tcPr>
          <w:p>
            <w:pPr>
              <w:ind w:leftChars="0" w:left="0" w:right="0"/>
            </w:pPr>
            <w:r>
              <w:t>XMEV</w:t>
            </w:r>
          </w:p>
        </w:tc>
        <w:tc>
          <w:tcPr>
            <w:cnfStyle w:evenVBand="true" w:oddVBand="false" w:firstColumn="false"/>
            <w:tcW w:w="25.000000%" w:type="pct"/>
          </w:tcPr>
          <w:p>
            <w:pPr>
              <w:ind w:leftChars="0" w:left="0" w:right="0"/>
            </w:pPr>
            <w:r>
              <w:t>XMEV</w:t>
            </w:r>
          </w:p>
        </w:tc>
        <w:tc>
          <w:tcPr>
            <w:cnfStyle w:evenVBand="false" w:oddVBand="true" w:firstColumn="false"/>
            <w:tcW w:w="25.000000%" w:type="pct"/>
          </w:tcPr>
          <w:p>
            <w:pPr>
              <w:ind w:leftChars="0" w:left="0" w:right="0"/>
            </w:pPr>
            <w:r>
              <w:t>MERCADO DE VALORES DE BUENOS AIRES S.A.</w:t>
            </w:r>
          </w:p>
        </w:tc>
        <w:tc>
          <w:tcPr>
            <w:cnfStyle w:evenVBand="true" w:oddVBand="false" w:firstColumn="false"/>
            <w:tcW w:w="25.000000%" w:type="pct"/>
          </w:tcPr>
          <w:p>
            <w:pPr>
              <w:ind w:leftChars="0" w:left="0" w:right="0"/>
            </w:pPr>
            <w:r>
              <w:t>2273</w:t>
            </w:r>
          </w:p>
        </w:tc>
      </w:tr>
      <w:tr>
        <w:trPr>
          <w:cnfStyle w:evenHBand="false" w:oddHBand="true" w:firstRow="false"/>
        </w:trPr>
        <w:tc>
          <w:tcPr>
            <w:cnfStyle w:evenVBand="false" w:oddVBand="true" w:firstColumn="false"/>
            <w:tcW w:w="25.000000%" w:type="pct"/>
          </w:tcPr>
          <w:p>
            <w:pPr>
              <w:ind w:leftChars="0" w:left="0" w:right="0"/>
            </w:pPr>
            <w:r>
              <w:t>XMEX</w:t>
            </w:r>
          </w:p>
        </w:tc>
        <w:tc>
          <w:tcPr>
            <w:cnfStyle w:evenVBand="true" w:oddVBand="false" w:firstColumn="false"/>
            <w:tcW w:w="25.000000%" w:type="pct"/>
          </w:tcPr>
          <w:p>
            <w:pPr>
              <w:ind w:leftChars="0" w:left="0" w:right="0"/>
            </w:pPr>
            <w:r>
              <w:t>XMEX</w:t>
            </w:r>
          </w:p>
        </w:tc>
        <w:tc>
          <w:tcPr>
            <w:cnfStyle w:evenVBand="false" w:oddVBand="true" w:firstColumn="false"/>
            <w:tcW w:w="25.000000%" w:type="pct"/>
          </w:tcPr>
          <w:p>
            <w:pPr>
              <w:ind w:leftChars="0" w:left="0" w:right="0"/>
            </w:pPr>
            <w:r>
              <w:t>BOLSA MEXICANA DE VALORES (MEXICAN STOCK EXCHANGE)</w:t>
            </w:r>
          </w:p>
        </w:tc>
        <w:tc>
          <w:tcPr>
            <w:cnfStyle w:evenVBand="true" w:oddVBand="false" w:firstColumn="false"/>
            <w:tcW w:w="25.000000%" w:type="pct"/>
          </w:tcPr>
          <w:p>
            <w:pPr>
              <w:ind w:leftChars="0" w:left="0" w:right="0"/>
            </w:pPr>
            <w:r>
              <w:t>2274</w:t>
            </w:r>
          </w:p>
        </w:tc>
      </w:tr>
      <w:tr>
        <w:trPr>
          <w:cnfStyle w:evenHBand="true" w:oddHBand="false" w:firstRow="false"/>
        </w:trPr>
        <w:tc>
          <w:tcPr>
            <w:cnfStyle w:evenVBand="false" w:oddVBand="true" w:firstColumn="false"/>
            <w:tcW w:w="25.000000%" w:type="pct"/>
          </w:tcPr>
          <w:p>
            <w:pPr>
              <w:ind w:leftChars="0" w:left="0" w:right="0"/>
            </w:pPr>
            <w:r>
              <w:t>XMFX</w:t>
            </w:r>
          </w:p>
        </w:tc>
        <w:tc>
          <w:tcPr>
            <w:cnfStyle w:evenVBand="true" w:oddVBand="false" w:firstColumn="false"/>
            <w:tcW w:w="25.000000%" w:type="pct"/>
          </w:tcPr>
          <w:p>
            <w:pPr>
              <w:ind w:leftChars="0" w:left="0" w:right="0"/>
            </w:pPr>
            <w:r>
              <w:t>XMFX</w:t>
            </w:r>
          </w:p>
        </w:tc>
        <w:tc>
          <w:tcPr>
            <w:cnfStyle w:evenVBand="false" w:oddVBand="true" w:firstColumn="false"/>
            <w:tcW w:w="25.000000%" w:type="pct"/>
          </w:tcPr>
          <w:p>
            <w:pPr>
              <w:ind w:leftChars="0" w:left="0" w:right="0"/>
            </w:pPr>
            <w:r>
              <w:t>MEFF FX FINANCIAL DERIVATIVES</w:t>
            </w:r>
          </w:p>
        </w:tc>
        <w:tc>
          <w:tcPr>
            <w:cnfStyle w:evenVBand="true" w:oddVBand="false" w:firstColumn="false"/>
            <w:tcW w:w="25.000000%" w:type="pct"/>
          </w:tcPr>
          <w:p>
            <w:pPr>
              <w:ind w:leftChars="0" w:left="0" w:right="0"/>
            </w:pPr>
            <w:r>
              <w:t>2275</w:t>
            </w:r>
          </w:p>
        </w:tc>
      </w:tr>
      <w:tr>
        <w:trPr>
          <w:cnfStyle w:evenHBand="false" w:oddHBand="true" w:firstRow="false"/>
        </w:trPr>
        <w:tc>
          <w:tcPr>
            <w:cnfStyle w:evenVBand="false" w:oddVBand="true" w:firstColumn="false"/>
            <w:tcW w:w="25.000000%" w:type="pct"/>
          </w:tcPr>
          <w:p>
            <w:pPr>
              <w:ind w:leftChars="0" w:left="0" w:right="0"/>
            </w:pPr>
            <w:r>
              <w:t>XMGE</w:t>
            </w:r>
          </w:p>
        </w:tc>
        <w:tc>
          <w:tcPr>
            <w:cnfStyle w:evenVBand="true" w:oddVBand="false" w:firstColumn="false"/>
            <w:tcW w:w="25.000000%" w:type="pct"/>
          </w:tcPr>
          <w:p>
            <w:pPr>
              <w:ind w:leftChars="0" w:left="0" w:right="0"/>
            </w:pPr>
            <w:r>
              <w:t>XMGE</w:t>
            </w:r>
          </w:p>
        </w:tc>
        <w:tc>
          <w:tcPr>
            <w:cnfStyle w:evenVBand="false" w:oddVBand="true" w:firstColumn="false"/>
            <w:tcW w:w="25.000000%" w:type="pct"/>
          </w:tcPr>
          <w:p>
            <w:pPr>
              <w:ind w:leftChars="0" w:left="0" w:right="0"/>
            </w:pPr>
            <w:r>
              <w:t>MINNEAPOLIS GRAIN EXCHANGE</w:t>
            </w:r>
          </w:p>
        </w:tc>
        <w:tc>
          <w:tcPr>
            <w:cnfStyle w:evenVBand="true" w:oddVBand="false" w:firstColumn="false"/>
            <w:tcW w:w="25.000000%" w:type="pct"/>
          </w:tcPr>
          <w:p>
            <w:pPr>
              <w:ind w:leftChars="0" w:left="0" w:right="0"/>
            </w:pPr>
            <w:r>
              <w:t>2276</w:t>
            </w:r>
          </w:p>
        </w:tc>
      </w:tr>
      <w:tr>
        <w:trPr>
          <w:cnfStyle w:evenHBand="true" w:oddHBand="false" w:firstRow="false"/>
        </w:trPr>
        <w:tc>
          <w:tcPr>
            <w:cnfStyle w:evenVBand="false" w:oddVBand="true" w:firstColumn="false"/>
            <w:tcW w:w="25.000000%" w:type="pct"/>
          </w:tcPr>
          <w:p>
            <w:pPr>
              <w:ind w:leftChars="0" w:left="0" w:right="0"/>
            </w:pPr>
            <w:r>
              <w:t>XMIC</w:t>
            </w:r>
          </w:p>
        </w:tc>
        <w:tc>
          <w:tcPr>
            <w:cnfStyle w:evenVBand="true" w:oddVBand="false" w:firstColumn="false"/>
            <w:tcW w:w="25.000000%" w:type="pct"/>
          </w:tcPr>
          <w:p>
            <w:pPr>
              <w:ind w:leftChars="0" w:left="0" w:right="0"/>
            </w:pPr>
            <w:r>
              <w:t>XMIC</w:t>
            </w:r>
          </w:p>
        </w:tc>
        <w:tc>
          <w:tcPr>
            <w:cnfStyle w:evenVBand="false" w:oddVBand="true" w:firstColumn="false"/>
            <w:tcW w:w="25.000000%" w:type="pct"/>
          </w:tcPr>
          <w:p>
            <w:pPr>
              <w:ind w:leftChars="0" w:left="0" w:right="0"/>
            </w:pPr>
            <w:r>
              <w:t>MOSCOW INTERBANK CURRENCY EXCHANGE</w:t>
            </w:r>
          </w:p>
        </w:tc>
        <w:tc>
          <w:tcPr>
            <w:cnfStyle w:evenVBand="true" w:oddVBand="false" w:firstColumn="false"/>
            <w:tcW w:w="25.000000%" w:type="pct"/>
          </w:tcPr>
          <w:p>
            <w:pPr>
              <w:ind w:leftChars="0" w:left="0" w:right="0"/>
            </w:pPr>
            <w:r>
              <w:t>2277</w:t>
            </w:r>
          </w:p>
        </w:tc>
      </w:tr>
      <w:tr>
        <w:trPr>
          <w:cnfStyle w:evenHBand="false" w:oddHBand="true" w:firstRow="false"/>
        </w:trPr>
        <w:tc>
          <w:tcPr>
            <w:cnfStyle w:evenVBand="false" w:oddVBand="true" w:firstColumn="false"/>
            <w:tcW w:w="25.000000%" w:type="pct"/>
          </w:tcPr>
          <w:p>
            <w:pPr>
              <w:ind w:leftChars="0" w:left="0" w:right="0"/>
            </w:pPr>
            <w:r>
              <w:t>XMID</w:t>
            </w:r>
          </w:p>
        </w:tc>
        <w:tc>
          <w:tcPr>
            <w:cnfStyle w:evenVBand="true" w:oddVBand="false" w:firstColumn="false"/>
            <w:tcW w:w="25.000000%" w:type="pct"/>
          </w:tcPr>
          <w:p>
            <w:pPr>
              <w:ind w:leftChars="0" w:left="0" w:right="0"/>
            </w:pPr>
            <w:r>
              <w:t>XMID</w:t>
            </w:r>
          </w:p>
        </w:tc>
        <w:tc>
          <w:tcPr>
            <w:cnfStyle w:evenVBand="false" w:oddVBand="true" w:firstColumn="false"/>
            <w:tcW w:w="25.000000%" w:type="pct"/>
          </w:tcPr>
          <w:p>
            <w:pPr>
              <w:ind w:leftChars="0" w:left="0" w:right="0"/>
            </w:pPr>
            <w:r>
              <w:t>MIDWEST STOCK EXCHANGE</w:t>
            </w:r>
          </w:p>
        </w:tc>
        <w:tc>
          <w:tcPr>
            <w:cnfStyle w:evenVBand="true" w:oddVBand="false" w:firstColumn="false"/>
            <w:tcW w:w="25.000000%" w:type="pct"/>
          </w:tcPr>
          <w:p>
            <w:pPr>
              <w:ind w:leftChars="0" w:left="0" w:right="0"/>
            </w:pPr>
            <w:r>
              <w:t>2278</w:t>
            </w:r>
          </w:p>
        </w:tc>
      </w:tr>
      <w:tr>
        <w:trPr>
          <w:cnfStyle w:evenHBand="true" w:oddHBand="false" w:firstRow="false"/>
        </w:trPr>
        <w:tc>
          <w:tcPr>
            <w:cnfStyle w:evenVBand="false" w:oddVBand="true" w:firstColumn="false"/>
            <w:tcW w:w="25.000000%" w:type="pct"/>
          </w:tcPr>
          <w:p>
            <w:pPr>
              <w:ind w:leftChars="0" w:left="0" w:right="0"/>
            </w:pPr>
            <w:r>
              <w:t>XMIF</w:t>
            </w:r>
          </w:p>
        </w:tc>
        <w:tc>
          <w:tcPr>
            <w:cnfStyle w:evenVBand="true" w:oddVBand="false" w:firstColumn="false"/>
            <w:tcW w:w="25.000000%" w:type="pct"/>
          </w:tcPr>
          <w:p>
            <w:pPr>
              <w:ind w:leftChars="0" w:left="0" w:right="0"/>
            </w:pPr>
            <w:r>
              <w:t>XMIF</w:t>
            </w:r>
          </w:p>
        </w:tc>
        <w:tc>
          <w:tcPr>
            <w:cnfStyle w:evenVBand="false" w:oddVBand="true" w:firstColumn="false"/>
            <w:tcW w:w="25.000000%" w:type="pct"/>
          </w:tcPr>
          <w:p>
            <w:pPr>
              <w:ind w:leftChars="0" w:left="0" w:right="0"/>
            </w:pPr>
            <w:r>
              <w:t>MERCATO ITALIANO DEI FUTURES</w:t>
            </w:r>
          </w:p>
        </w:tc>
        <w:tc>
          <w:tcPr>
            <w:cnfStyle w:evenVBand="true" w:oddVBand="false" w:firstColumn="false"/>
            <w:tcW w:w="25.000000%" w:type="pct"/>
          </w:tcPr>
          <w:p>
            <w:pPr>
              <w:ind w:leftChars="0" w:left="0" w:right="0"/>
            </w:pPr>
            <w:r>
              <w:t>2279</w:t>
            </w:r>
          </w:p>
        </w:tc>
      </w:tr>
      <w:tr>
        <w:trPr>
          <w:cnfStyle w:evenHBand="false" w:oddHBand="true" w:firstRow="false"/>
        </w:trPr>
        <w:tc>
          <w:tcPr>
            <w:cnfStyle w:evenVBand="false" w:oddVBand="true" w:firstColumn="false"/>
            <w:tcW w:w="25.000000%" w:type="pct"/>
          </w:tcPr>
          <w:p>
            <w:pPr>
              <w:ind w:leftChars="0" w:left="0" w:right="0"/>
            </w:pPr>
            <w:r>
              <w:t>XMIL</w:t>
            </w:r>
          </w:p>
        </w:tc>
        <w:tc>
          <w:tcPr>
            <w:cnfStyle w:evenVBand="true" w:oddVBand="false" w:firstColumn="false"/>
            <w:tcW w:w="25.000000%" w:type="pct"/>
          </w:tcPr>
          <w:p>
            <w:pPr>
              <w:ind w:leftChars="0" w:left="0" w:right="0"/>
            </w:pPr>
            <w:r>
              <w:t>XMIL</w:t>
            </w:r>
          </w:p>
        </w:tc>
        <w:tc>
          <w:tcPr>
            <w:cnfStyle w:evenVBand="false" w:oddVBand="true" w:firstColumn="false"/>
            <w:tcW w:w="25.000000%" w:type="pct"/>
          </w:tcPr>
          <w:p>
            <w:pPr>
              <w:ind w:leftChars="0" w:left="0" w:right="0"/>
            </w:pPr>
            <w:r>
              <w:t>BORSA ITALIANA S.P.A.</w:t>
            </w:r>
          </w:p>
        </w:tc>
        <w:tc>
          <w:tcPr>
            <w:cnfStyle w:evenVBand="true" w:oddVBand="false" w:firstColumn="false"/>
            <w:tcW w:w="25.000000%" w:type="pct"/>
          </w:tcPr>
          <w:p>
            <w:pPr>
              <w:ind w:leftChars="0" w:left="0" w:right="0"/>
            </w:pPr>
            <w:r>
              <w:t>2280</w:t>
            </w:r>
          </w:p>
        </w:tc>
      </w:tr>
      <w:tr>
        <w:trPr>
          <w:cnfStyle w:evenHBand="true" w:oddHBand="false" w:firstRow="false"/>
        </w:trPr>
        <w:tc>
          <w:tcPr>
            <w:cnfStyle w:evenVBand="false" w:oddVBand="true" w:firstColumn="false"/>
            <w:tcW w:w="25.000000%" w:type="pct"/>
          </w:tcPr>
          <w:p>
            <w:pPr>
              <w:ind w:leftChars="0" w:left="0" w:right="0"/>
            </w:pPr>
            <w:r>
              <w:t>XMIO</w:t>
            </w:r>
          </w:p>
        </w:tc>
        <w:tc>
          <w:tcPr>
            <w:cnfStyle w:evenVBand="true" w:oddVBand="false" w:firstColumn="false"/>
            <w:tcW w:w="25.000000%" w:type="pct"/>
          </w:tcPr>
          <w:p>
            <w:pPr>
              <w:ind w:leftChars="0" w:left="0" w:right="0"/>
            </w:pPr>
            <w:r>
              <w:t>XMIO</w:t>
            </w:r>
          </w:p>
        </w:tc>
        <w:tc>
          <w:tcPr>
            <w:cnfStyle w:evenVBand="false" w:oddVBand="true" w:firstColumn="false"/>
            <w:tcW w:w="25.000000%" w:type="pct"/>
          </w:tcPr>
          <w:p>
            <w:pPr>
              <w:ind w:leftChars="0" w:left="0" w:right="0"/>
            </w:pPr>
            <w:r>
              <w:t>MIAMI INTERNATIONAL SECURITIES EXCHANGE</w:t>
            </w:r>
          </w:p>
        </w:tc>
        <w:tc>
          <w:tcPr>
            <w:cnfStyle w:evenVBand="true" w:oddVBand="false" w:firstColumn="false"/>
            <w:tcW w:w="25.000000%" w:type="pct"/>
          </w:tcPr>
          <w:p>
            <w:pPr>
              <w:ind w:leftChars="0" w:left="0" w:right="0"/>
            </w:pPr>
            <w:r>
              <w:t>2281</w:t>
            </w:r>
          </w:p>
        </w:tc>
      </w:tr>
      <w:tr>
        <w:trPr>
          <w:cnfStyle w:evenHBand="false" w:oddHBand="true" w:firstRow="false"/>
        </w:trPr>
        <w:tc>
          <w:tcPr>
            <w:cnfStyle w:evenVBand="false" w:oddVBand="true" w:firstColumn="false"/>
            <w:tcW w:w="25.000000%" w:type="pct"/>
          </w:tcPr>
          <w:p>
            <w:pPr>
              <w:ind w:leftChars="0" w:left="0" w:right="0"/>
            </w:pPr>
            <w:r>
              <w:t>XMLI</w:t>
            </w:r>
          </w:p>
        </w:tc>
        <w:tc>
          <w:tcPr>
            <w:cnfStyle w:evenVBand="true" w:oddVBand="false" w:firstColumn="false"/>
            <w:tcW w:w="25.000000%" w:type="pct"/>
          </w:tcPr>
          <w:p>
            <w:pPr>
              <w:ind w:leftChars="0" w:left="0" w:right="0"/>
            </w:pPr>
            <w:r>
              <w:t>XMLI</w:t>
            </w:r>
          </w:p>
        </w:tc>
        <w:tc>
          <w:tcPr>
            <w:cnfStyle w:evenVBand="false" w:oddVBand="true" w:firstColumn="false"/>
            <w:tcW w:w="25.000000%" w:type="pct"/>
          </w:tcPr>
          <w:p>
            <w:pPr>
              <w:ind w:leftChars="0" w:left="0" w:right="0"/>
            </w:pPr>
            <w:r>
              <w:t>EURONEXT ACCESS PARIS</w:t>
            </w:r>
          </w:p>
        </w:tc>
        <w:tc>
          <w:tcPr>
            <w:cnfStyle w:evenVBand="true" w:oddVBand="false" w:firstColumn="false"/>
            <w:tcW w:w="25.000000%" w:type="pct"/>
          </w:tcPr>
          <w:p>
            <w:pPr>
              <w:ind w:leftChars="0" w:left="0" w:right="0"/>
            </w:pPr>
            <w:r>
              <w:t>2282</w:t>
            </w:r>
          </w:p>
        </w:tc>
      </w:tr>
      <w:tr>
        <w:trPr>
          <w:cnfStyle w:evenHBand="true" w:oddHBand="false" w:firstRow="false"/>
        </w:trPr>
        <w:tc>
          <w:tcPr>
            <w:cnfStyle w:evenVBand="false" w:oddVBand="true" w:firstColumn="false"/>
            <w:tcW w:w="25.000000%" w:type="pct"/>
          </w:tcPr>
          <w:p>
            <w:pPr>
              <w:ind w:leftChars="0" w:left="0" w:right="0"/>
            </w:pPr>
            <w:r>
              <w:t>XMLX</w:t>
            </w:r>
          </w:p>
        </w:tc>
        <w:tc>
          <w:tcPr>
            <w:cnfStyle w:evenVBand="true" w:oddVBand="false" w:firstColumn="false"/>
            <w:tcW w:w="25.000000%" w:type="pct"/>
          </w:tcPr>
          <w:p>
            <w:pPr>
              <w:ind w:leftChars="0" w:left="0" w:right="0"/>
            </w:pPr>
            <w:r>
              <w:t>XMLX</w:t>
            </w:r>
          </w:p>
        </w:tc>
        <w:tc>
          <w:tcPr>
            <w:cnfStyle w:evenVBand="false" w:oddVBand="true" w:firstColumn="false"/>
            <w:tcW w:w="25.000000%" w:type="pct"/>
          </w:tcPr>
          <w:p>
            <w:pPr>
              <w:ind w:leftChars="0" w:left="0" w:right="0"/>
            </w:pPr>
            <w:r>
              <w:t>OMLX, THE LONDON SECURITIES AND DERIVATIVES EXCHANGE LIMITED</w:t>
            </w:r>
          </w:p>
        </w:tc>
        <w:tc>
          <w:tcPr>
            <w:cnfStyle w:evenVBand="true" w:oddVBand="false" w:firstColumn="false"/>
            <w:tcW w:w="25.000000%" w:type="pct"/>
          </w:tcPr>
          <w:p>
            <w:pPr>
              <w:ind w:leftChars="0" w:left="0" w:right="0"/>
            </w:pPr>
            <w:r>
              <w:t>2283</w:t>
            </w:r>
          </w:p>
        </w:tc>
      </w:tr>
      <w:tr>
        <w:trPr>
          <w:cnfStyle w:evenHBand="false" w:oddHBand="true" w:firstRow="false"/>
        </w:trPr>
        <w:tc>
          <w:tcPr>
            <w:cnfStyle w:evenVBand="false" w:oddVBand="true" w:firstColumn="false"/>
            <w:tcW w:w="25.000000%" w:type="pct"/>
          </w:tcPr>
          <w:p>
            <w:pPr>
              <w:ind w:leftChars="0" w:left="0" w:right="0"/>
            </w:pPr>
            <w:r>
              <w:t>XMNT</w:t>
            </w:r>
          </w:p>
        </w:tc>
        <w:tc>
          <w:tcPr>
            <w:cnfStyle w:evenVBand="true" w:oddVBand="false" w:firstColumn="false"/>
            <w:tcW w:w="25.000000%" w:type="pct"/>
          </w:tcPr>
          <w:p>
            <w:pPr>
              <w:ind w:leftChars="0" w:left="0" w:right="0"/>
            </w:pPr>
            <w:r>
              <w:t>XMNT</w:t>
            </w:r>
          </w:p>
        </w:tc>
        <w:tc>
          <w:tcPr>
            <w:cnfStyle w:evenVBand="false" w:oddVBand="true" w:firstColumn="false"/>
            <w:tcW w:w="25.000000%" w:type="pct"/>
          </w:tcPr>
          <w:p>
            <w:pPr>
              <w:ind w:leftChars="0" w:left="0" w:right="0"/>
            </w:pPr>
            <w:r>
              <w:t>BOLSA DE VALORES DE MONTEVIDEO</w:t>
            </w:r>
          </w:p>
        </w:tc>
        <w:tc>
          <w:tcPr>
            <w:cnfStyle w:evenVBand="true" w:oddVBand="false" w:firstColumn="false"/>
            <w:tcW w:w="25.000000%" w:type="pct"/>
          </w:tcPr>
          <w:p>
            <w:pPr>
              <w:ind w:leftChars="0" w:left="0" w:right="0"/>
            </w:pPr>
            <w:r>
              <w:t>2284</w:t>
            </w:r>
          </w:p>
        </w:tc>
      </w:tr>
      <w:tr>
        <w:trPr>
          <w:cnfStyle w:evenHBand="true" w:oddHBand="false" w:firstRow="false"/>
        </w:trPr>
        <w:tc>
          <w:tcPr>
            <w:cnfStyle w:evenVBand="false" w:oddVBand="true" w:firstColumn="false"/>
            <w:tcW w:w="25.000000%" w:type="pct"/>
          </w:tcPr>
          <w:p>
            <w:pPr>
              <w:ind w:leftChars="0" w:left="0" w:right="0"/>
            </w:pPr>
            <w:r>
              <w:t>XMNX</w:t>
            </w:r>
          </w:p>
        </w:tc>
        <w:tc>
          <w:tcPr>
            <w:cnfStyle w:evenVBand="true" w:oddVBand="false" w:firstColumn="false"/>
            <w:tcW w:w="25.000000%" w:type="pct"/>
          </w:tcPr>
          <w:p>
            <w:pPr>
              <w:ind w:leftChars="0" w:left="0" w:right="0"/>
            </w:pPr>
            <w:r>
              <w:t>XMNX</w:t>
            </w:r>
          </w:p>
        </w:tc>
        <w:tc>
          <w:tcPr>
            <w:cnfStyle w:evenVBand="false" w:oddVBand="true" w:firstColumn="false"/>
            <w:tcW w:w="25.000000%" w:type="pct"/>
          </w:tcPr>
          <w:p>
            <w:pPr>
              <w:ind w:leftChars="0" w:left="0" w:right="0"/>
            </w:pPr>
            <w:r>
              <w:t>MONTENEGRO STOCK EXCHANGE</w:t>
            </w:r>
          </w:p>
        </w:tc>
        <w:tc>
          <w:tcPr>
            <w:cnfStyle w:evenVBand="true" w:oddVBand="false" w:firstColumn="false"/>
            <w:tcW w:w="25.000000%" w:type="pct"/>
          </w:tcPr>
          <w:p>
            <w:pPr>
              <w:ind w:leftChars="0" w:left="0" w:right="0"/>
            </w:pPr>
            <w:r>
              <w:t>2285</w:t>
            </w:r>
          </w:p>
        </w:tc>
      </w:tr>
      <w:tr>
        <w:trPr>
          <w:cnfStyle w:evenHBand="false" w:oddHBand="true" w:firstRow="false"/>
        </w:trPr>
        <w:tc>
          <w:tcPr>
            <w:cnfStyle w:evenVBand="false" w:oddVBand="true" w:firstColumn="false"/>
            <w:tcW w:w="25.000000%" w:type="pct"/>
          </w:tcPr>
          <w:p>
            <w:pPr>
              <w:ind w:leftChars="0" w:left="0" w:right="0"/>
            </w:pPr>
            <w:r>
              <w:t>XMOC</w:t>
            </w:r>
          </w:p>
        </w:tc>
        <w:tc>
          <w:tcPr>
            <w:cnfStyle w:evenVBand="true" w:oddVBand="false" w:firstColumn="false"/>
            <w:tcW w:w="25.000000%" w:type="pct"/>
          </w:tcPr>
          <w:p>
            <w:pPr>
              <w:ind w:leftChars="0" w:left="0" w:right="0"/>
            </w:pPr>
            <w:r>
              <w:t>XMOC</w:t>
            </w:r>
          </w:p>
        </w:tc>
        <w:tc>
          <w:tcPr>
            <w:cnfStyle w:evenVBand="false" w:oddVBand="true" w:firstColumn="false"/>
            <w:tcW w:w="25.000000%" w:type="pct"/>
          </w:tcPr>
          <w:p>
            <w:pPr>
              <w:ind w:leftChars="0" w:left="0" w:right="0"/>
            </w:pPr>
            <w:r>
              <w:t>MONTREAL CLIMATE EXCHANGE</w:t>
            </w:r>
          </w:p>
        </w:tc>
        <w:tc>
          <w:tcPr>
            <w:cnfStyle w:evenVBand="true" w:oddVBand="false" w:firstColumn="false"/>
            <w:tcW w:w="25.000000%" w:type="pct"/>
          </w:tcPr>
          <w:p>
            <w:pPr>
              <w:ind w:leftChars="0" w:left="0" w:right="0"/>
            </w:pPr>
            <w:r>
              <w:t>2286</w:t>
            </w:r>
          </w:p>
        </w:tc>
      </w:tr>
      <w:tr>
        <w:trPr>
          <w:cnfStyle w:evenHBand="true" w:oddHBand="false" w:firstRow="false"/>
        </w:trPr>
        <w:tc>
          <w:tcPr>
            <w:cnfStyle w:evenVBand="false" w:oddVBand="true" w:firstColumn="false"/>
            <w:tcW w:w="25.000000%" w:type="pct"/>
          </w:tcPr>
          <w:p>
            <w:pPr>
              <w:ind w:leftChars="0" w:left="0" w:right="0"/>
            </w:pPr>
            <w:r>
              <w:t>XMOD</w:t>
            </w:r>
          </w:p>
        </w:tc>
        <w:tc>
          <w:tcPr>
            <w:cnfStyle w:evenVBand="true" w:oddVBand="false" w:firstColumn="false"/>
            <w:tcW w:w="25.000000%" w:type="pct"/>
          </w:tcPr>
          <w:p>
            <w:pPr>
              <w:ind w:leftChars="0" w:left="0" w:right="0"/>
            </w:pPr>
            <w:r>
              <w:t>XMOD</w:t>
            </w:r>
          </w:p>
        </w:tc>
        <w:tc>
          <w:tcPr>
            <w:cnfStyle w:evenVBand="false" w:oddVBand="true" w:firstColumn="false"/>
            <w:tcW w:w="25.000000%" w:type="pct"/>
          </w:tcPr>
          <w:p>
            <w:pPr>
              <w:ind w:leftChars="0" w:left="0" w:right="0"/>
            </w:pPr>
            <w:r>
              <w:t>THE MONTREAL EXCHANGE / BOURSE DE MONTREAL</w:t>
            </w:r>
          </w:p>
        </w:tc>
        <w:tc>
          <w:tcPr>
            <w:cnfStyle w:evenVBand="true" w:oddVBand="false" w:firstColumn="false"/>
            <w:tcW w:w="25.000000%" w:type="pct"/>
          </w:tcPr>
          <w:p>
            <w:pPr>
              <w:ind w:leftChars="0" w:left="0" w:right="0"/>
            </w:pPr>
            <w:r>
              <w:t>2287</w:t>
            </w:r>
          </w:p>
        </w:tc>
      </w:tr>
      <w:tr>
        <w:trPr>
          <w:cnfStyle w:evenHBand="false" w:oddHBand="true" w:firstRow="false"/>
        </w:trPr>
        <w:tc>
          <w:tcPr>
            <w:cnfStyle w:evenVBand="false" w:oddVBand="true" w:firstColumn="false"/>
            <w:tcW w:w="25.000000%" w:type="pct"/>
          </w:tcPr>
          <w:p>
            <w:pPr>
              <w:ind w:leftChars="0" w:left="0" w:right="0"/>
            </w:pPr>
            <w:r>
              <w:t>XMOL</w:t>
            </w:r>
          </w:p>
        </w:tc>
        <w:tc>
          <w:tcPr>
            <w:cnfStyle w:evenVBand="true" w:oddVBand="false" w:firstColumn="false"/>
            <w:tcW w:w="25.000000%" w:type="pct"/>
          </w:tcPr>
          <w:p>
            <w:pPr>
              <w:ind w:leftChars="0" w:left="0" w:right="0"/>
            </w:pPr>
            <w:r>
              <w:t>XMOL</w:t>
            </w:r>
          </w:p>
        </w:tc>
        <w:tc>
          <w:tcPr>
            <w:cnfStyle w:evenVBand="false" w:oddVBand="true" w:firstColumn="false"/>
            <w:tcW w:w="25.000000%" w:type="pct"/>
          </w:tcPr>
          <w:p>
            <w:pPr>
              <w:ind w:leftChars="0" w:left="0" w:right="0"/>
            </w:pPr>
            <w:r>
              <w:t>MOLDOVA STOCK EXCHANGE</w:t>
            </w:r>
          </w:p>
        </w:tc>
        <w:tc>
          <w:tcPr>
            <w:cnfStyle w:evenVBand="true" w:oddVBand="false" w:firstColumn="false"/>
            <w:tcW w:w="25.000000%" w:type="pct"/>
          </w:tcPr>
          <w:p>
            <w:pPr>
              <w:ind w:leftChars="0" w:left="0" w:right="0"/>
            </w:pPr>
            <w:r>
              <w:t>2288</w:t>
            </w:r>
          </w:p>
        </w:tc>
      </w:tr>
      <w:tr>
        <w:trPr>
          <w:cnfStyle w:evenHBand="true" w:oddHBand="false" w:firstRow="false"/>
        </w:trPr>
        <w:tc>
          <w:tcPr>
            <w:cnfStyle w:evenVBand="false" w:oddVBand="true" w:firstColumn="false"/>
            <w:tcW w:w="25.000000%" w:type="pct"/>
          </w:tcPr>
          <w:p>
            <w:pPr>
              <w:ind w:leftChars="0" w:left="0" w:right="0"/>
            </w:pPr>
            <w:r>
              <w:t>XMON</w:t>
            </w:r>
          </w:p>
        </w:tc>
        <w:tc>
          <w:tcPr>
            <w:cnfStyle w:evenVBand="true" w:oddVBand="false" w:firstColumn="false"/>
            <w:tcW w:w="25.000000%" w:type="pct"/>
          </w:tcPr>
          <w:p>
            <w:pPr>
              <w:ind w:leftChars="0" w:left="0" w:right="0"/>
            </w:pPr>
            <w:r>
              <w:t>XMON</w:t>
            </w:r>
          </w:p>
        </w:tc>
        <w:tc>
          <w:tcPr>
            <w:cnfStyle w:evenVBand="false" w:oddVBand="true" w:firstColumn="false"/>
            <w:tcW w:w="25.000000%" w:type="pct"/>
          </w:tcPr>
          <w:p>
            <w:pPr>
              <w:ind w:leftChars="0" w:left="0" w:right="0"/>
            </w:pPr>
            <w:r>
              <w:t>EURONEXT PARIS MONEP</w:t>
            </w:r>
          </w:p>
        </w:tc>
        <w:tc>
          <w:tcPr>
            <w:cnfStyle w:evenVBand="true" w:oddVBand="false" w:firstColumn="false"/>
            <w:tcW w:w="25.000000%" w:type="pct"/>
          </w:tcPr>
          <w:p>
            <w:pPr>
              <w:ind w:leftChars="0" w:left="0" w:right="0"/>
            </w:pPr>
            <w:r>
              <w:t>2289</w:t>
            </w:r>
          </w:p>
        </w:tc>
      </w:tr>
      <w:tr>
        <w:trPr>
          <w:cnfStyle w:evenHBand="false" w:oddHBand="true" w:firstRow="false"/>
        </w:trPr>
        <w:tc>
          <w:tcPr>
            <w:cnfStyle w:evenVBand="false" w:oddVBand="true" w:firstColumn="false"/>
            <w:tcW w:w="25.000000%" w:type="pct"/>
          </w:tcPr>
          <w:p>
            <w:pPr>
              <w:ind w:leftChars="0" w:left="0" w:right="0"/>
            </w:pPr>
            <w:r>
              <w:t>XMOO</w:t>
            </w:r>
          </w:p>
        </w:tc>
        <w:tc>
          <w:tcPr>
            <w:cnfStyle w:evenVBand="true" w:oddVBand="false" w:firstColumn="false"/>
            <w:tcW w:w="25.000000%" w:type="pct"/>
          </w:tcPr>
          <w:p>
            <w:pPr>
              <w:ind w:leftChars="0" w:left="0" w:right="0"/>
            </w:pPr>
            <w:r>
              <w:t>XMOO</w:t>
            </w:r>
          </w:p>
        </w:tc>
        <w:tc>
          <w:tcPr>
            <w:cnfStyle w:evenVBand="false" w:oddVBand="true" w:firstColumn="false"/>
            <w:tcW w:w="25.000000%" w:type="pct"/>
          </w:tcPr>
          <w:p>
            <w:pPr>
              <w:ind w:leftChars="0" w:left="0" w:right="0"/>
            </w:pPr>
            <w:r>
              <w:t>MONTREAL EXCHANGE THE / BOURSE DE MONTREAL</w:t>
            </w:r>
          </w:p>
        </w:tc>
        <w:tc>
          <w:tcPr>
            <w:cnfStyle w:evenVBand="true" w:oddVBand="false" w:firstColumn="false"/>
            <w:tcW w:w="25.000000%" w:type="pct"/>
          </w:tcPr>
          <w:p>
            <w:pPr>
              <w:ind w:leftChars="0" w:left="0" w:right="0"/>
            </w:pPr>
            <w:r>
              <w:t>2290</w:t>
            </w:r>
          </w:p>
        </w:tc>
      </w:tr>
      <w:tr>
        <w:trPr>
          <w:cnfStyle w:evenHBand="true" w:oddHBand="false" w:firstRow="false"/>
        </w:trPr>
        <w:tc>
          <w:tcPr>
            <w:cnfStyle w:evenVBand="false" w:oddVBand="true" w:firstColumn="false"/>
            <w:tcW w:w="25.000000%" w:type="pct"/>
          </w:tcPr>
          <w:p>
            <w:pPr>
              <w:ind w:leftChars="0" w:left="0" w:right="0"/>
            </w:pPr>
            <w:r>
              <w:t>XMOS</w:t>
            </w:r>
          </w:p>
        </w:tc>
        <w:tc>
          <w:tcPr>
            <w:cnfStyle w:evenVBand="true" w:oddVBand="false" w:firstColumn="false"/>
            <w:tcW w:w="25.000000%" w:type="pct"/>
          </w:tcPr>
          <w:p>
            <w:pPr>
              <w:ind w:leftChars="0" w:left="0" w:right="0"/>
            </w:pPr>
            <w:r>
              <w:t>XMOS</w:t>
            </w:r>
          </w:p>
        </w:tc>
        <w:tc>
          <w:tcPr>
            <w:cnfStyle w:evenVBand="false" w:oddVBand="true" w:firstColumn="false"/>
            <w:tcW w:w="25.000000%" w:type="pct"/>
          </w:tcPr>
          <w:p>
            <w:pPr>
              <w:ind w:leftChars="0" w:left="0" w:right="0"/>
            </w:pPr>
            <w:r>
              <w:t>CENTRAL COUNTERPARTY CLEARING CENTER MFB - JOINT-STOCK COMPANY</w:t>
            </w:r>
          </w:p>
        </w:tc>
        <w:tc>
          <w:tcPr>
            <w:cnfStyle w:evenVBand="true" w:oddVBand="false" w:firstColumn="false"/>
            <w:tcW w:w="25.000000%" w:type="pct"/>
          </w:tcPr>
          <w:p>
            <w:pPr>
              <w:ind w:leftChars="0" w:left="0" w:right="0"/>
            </w:pPr>
            <w:r>
              <w:t>2291</w:t>
            </w:r>
          </w:p>
        </w:tc>
      </w:tr>
      <w:tr>
        <w:trPr>
          <w:cnfStyle w:evenHBand="false" w:oddHBand="true" w:firstRow="false"/>
        </w:trPr>
        <w:tc>
          <w:tcPr>
            <w:cnfStyle w:evenVBand="false" w:oddVBand="true" w:firstColumn="false"/>
            <w:tcW w:w="25.000000%" w:type="pct"/>
          </w:tcPr>
          <w:p>
            <w:pPr>
              <w:ind w:leftChars="0" w:left="0" w:right="0"/>
            </w:pPr>
            <w:r>
              <w:t>XMOT</w:t>
            </w:r>
          </w:p>
        </w:tc>
        <w:tc>
          <w:tcPr>
            <w:cnfStyle w:evenVBand="true" w:oddVBand="false" w:firstColumn="false"/>
            <w:tcW w:w="25.000000%" w:type="pct"/>
          </w:tcPr>
          <w:p>
            <w:pPr>
              <w:ind w:leftChars="0" w:left="0" w:right="0"/>
            </w:pPr>
            <w:r>
              <w:t>XMOT</w:t>
            </w:r>
          </w:p>
        </w:tc>
        <w:tc>
          <w:tcPr>
            <w:cnfStyle w:evenVBand="false" w:oddVBand="true" w:firstColumn="false"/>
            <w:tcW w:w="25.000000%" w:type="pct"/>
          </w:tcPr>
          <w:p>
            <w:pPr>
              <w:ind w:leftChars="0" w:left="0" w:right="0"/>
            </w:pPr>
            <w:r>
              <w:t>EXTRAMOT</w:t>
            </w:r>
          </w:p>
        </w:tc>
        <w:tc>
          <w:tcPr>
            <w:cnfStyle w:evenVBand="true" w:oddVBand="false" w:firstColumn="false"/>
            <w:tcW w:w="25.000000%" w:type="pct"/>
          </w:tcPr>
          <w:p>
            <w:pPr>
              <w:ind w:leftChars="0" w:left="0" w:right="0"/>
            </w:pPr>
            <w:r>
              <w:t>2292</w:t>
            </w:r>
          </w:p>
        </w:tc>
      </w:tr>
      <w:tr>
        <w:trPr>
          <w:cnfStyle w:evenHBand="true" w:oddHBand="false" w:firstRow="false"/>
        </w:trPr>
        <w:tc>
          <w:tcPr>
            <w:cnfStyle w:evenVBand="false" w:oddVBand="true" w:firstColumn="false"/>
            <w:tcW w:w="25.000000%" w:type="pct"/>
          </w:tcPr>
          <w:p>
            <w:pPr>
              <w:ind w:leftChars="0" w:left="0" w:right="0"/>
            </w:pPr>
            <w:r>
              <w:t>XMPW</w:t>
            </w:r>
          </w:p>
        </w:tc>
        <w:tc>
          <w:tcPr>
            <w:cnfStyle w:evenVBand="true" w:oddVBand="false" w:firstColumn="false"/>
            <w:tcW w:w="25.000000%" w:type="pct"/>
          </w:tcPr>
          <w:p>
            <w:pPr>
              <w:ind w:leftChars="0" w:left="0" w:right="0"/>
            </w:pPr>
            <w:r>
              <w:t>XMPW</w:t>
            </w:r>
          </w:p>
        </w:tc>
        <w:tc>
          <w:tcPr>
            <w:cnfStyle w:evenVBand="false" w:oddVBand="true" w:firstColumn="false"/>
            <w:tcW w:w="25.000000%" w:type="pct"/>
          </w:tcPr>
          <w:p>
            <w:pPr>
              <w:ind w:leftChars="0" w:left="0" w:right="0"/>
            </w:pPr>
            <w:r>
              <w:t>MEFF POWER DERIVATIVES</w:t>
            </w:r>
          </w:p>
        </w:tc>
        <w:tc>
          <w:tcPr>
            <w:cnfStyle w:evenVBand="true" w:oddVBand="false" w:firstColumn="false"/>
            <w:tcW w:w="25.000000%" w:type="pct"/>
          </w:tcPr>
          <w:p>
            <w:pPr>
              <w:ind w:leftChars="0" w:left="0" w:right="0"/>
            </w:pPr>
            <w:r>
              <w:t>2293</w:t>
            </w:r>
          </w:p>
        </w:tc>
      </w:tr>
      <w:tr>
        <w:trPr>
          <w:cnfStyle w:evenHBand="false" w:oddHBand="true" w:firstRow="false"/>
        </w:trPr>
        <w:tc>
          <w:tcPr>
            <w:cnfStyle w:evenVBand="false" w:oddVBand="true" w:firstColumn="false"/>
            <w:tcW w:w="25.000000%" w:type="pct"/>
          </w:tcPr>
          <w:p>
            <w:pPr>
              <w:ind w:leftChars="0" w:left="0" w:right="0"/>
            </w:pPr>
            <w:r>
              <w:t>XMRV</w:t>
            </w:r>
          </w:p>
        </w:tc>
        <w:tc>
          <w:tcPr>
            <w:cnfStyle w:evenVBand="true" w:oddVBand="false" w:firstColumn="false"/>
            <w:tcW w:w="25.000000%" w:type="pct"/>
          </w:tcPr>
          <w:p>
            <w:pPr>
              <w:ind w:leftChars="0" w:left="0" w:right="0"/>
            </w:pPr>
            <w:r>
              <w:t>XMRV</w:t>
            </w:r>
          </w:p>
        </w:tc>
        <w:tc>
          <w:tcPr>
            <w:cnfStyle w:evenVBand="false" w:oddVBand="true" w:firstColumn="false"/>
            <w:tcW w:w="25.000000%" w:type="pct"/>
          </w:tcPr>
          <w:p>
            <w:pPr>
              <w:ind w:leftChars="0" w:left="0" w:right="0"/>
            </w:pPr>
            <w:r>
              <w:t>MEFF FINANCIAL DERIVATIVES</w:t>
            </w:r>
          </w:p>
        </w:tc>
        <w:tc>
          <w:tcPr>
            <w:cnfStyle w:evenVBand="true" w:oddVBand="false" w:firstColumn="false"/>
            <w:tcW w:w="25.000000%" w:type="pct"/>
          </w:tcPr>
          <w:p>
            <w:pPr>
              <w:ind w:leftChars="0" w:left="0" w:right="0"/>
            </w:pPr>
            <w:r>
              <w:t>2294</w:t>
            </w:r>
          </w:p>
        </w:tc>
      </w:tr>
      <w:tr>
        <w:trPr>
          <w:cnfStyle w:evenHBand="true" w:oddHBand="false" w:firstRow="false"/>
        </w:trPr>
        <w:tc>
          <w:tcPr>
            <w:cnfStyle w:evenVBand="false" w:oddVBand="true" w:firstColumn="false"/>
            <w:tcW w:w="25.000000%" w:type="pct"/>
          </w:tcPr>
          <w:p>
            <w:pPr>
              <w:ind w:leftChars="0" w:left="0" w:right="0"/>
            </w:pPr>
            <w:r>
              <w:t>XMSM</w:t>
            </w:r>
          </w:p>
        </w:tc>
        <w:tc>
          <w:tcPr>
            <w:cnfStyle w:evenVBand="true" w:oddVBand="false" w:firstColumn="false"/>
            <w:tcW w:w="25.000000%" w:type="pct"/>
          </w:tcPr>
          <w:p>
            <w:pPr>
              <w:ind w:leftChars="0" w:left="0" w:right="0"/>
            </w:pPr>
            <w:r>
              <w:t>XMSM</w:t>
            </w:r>
          </w:p>
        </w:tc>
        <w:tc>
          <w:tcPr>
            <w:cnfStyle w:evenVBand="false" w:oddVBand="true" w:firstColumn="false"/>
            <w:tcW w:w="25.000000%" w:type="pct"/>
          </w:tcPr>
          <w:p>
            <w:pPr>
              <w:ind w:leftChars="0" w:left="0" w:right="0"/>
            </w:pPr>
            <w:r>
              <w:t>EURONEXT DUBLIN</w:t>
            </w:r>
          </w:p>
        </w:tc>
        <w:tc>
          <w:tcPr>
            <w:cnfStyle w:evenVBand="true" w:oddVBand="false" w:firstColumn="false"/>
            <w:tcW w:w="25.000000%" w:type="pct"/>
          </w:tcPr>
          <w:p>
            <w:pPr>
              <w:ind w:leftChars="0" w:left="0" w:right="0"/>
            </w:pPr>
            <w:r>
              <w:t>2295</w:t>
            </w:r>
          </w:p>
        </w:tc>
      </w:tr>
      <w:tr>
        <w:trPr>
          <w:cnfStyle w:evenHBand="false" w:oddHBand="true" w:firstRow="false"/>
        </w:trPr>
        <w:tc>
          <w:tcPr>
            <w:cnfStyle w:evenVBand="false" w:oddVBand="true" w:firstColumn="false"/>
            <w:tcW w:w="25.000000%" w:type="pct"/>
          </w:tcPr>
          <w:p>
            <w:pPr>
              <w:ind w:leftChars="0" w:left="0" w:right="0"/>
            </w:pPr>
            <w:r>
              <w:t>XMSW</w:t>
            </w:r>
          </w:p>
        </w:tc>
        <w:tc>
          <w:tcPr>
            <w:cnfStyle w:evenVBand="true" w:oddVBand="false" w:firstColumn="false"/>
            <w:tcW w:w="25.000000%" w:type="pct"/>
          </w:tcPr>
          <w:p>
            <w:pPr>
              <w:ind w:leftChars="0" w:left="0" w:right="0"/>
            </w:pPr>
            <w:r>
              <w:t>XMSW</w:t>
            </w:r>
          </w:p>
        </w:tc>
        <w:tc>
          <w:tcPr>
            <w:cnfStyle w:evenVBand="false" w:oddVBand="true" w:firstColumn="false"/>
            <w:tcW w:w="25.000000%" w:type="pct"/>
          </w:tcPr>
          <w:p>
            <w:pPr>
              <w:ind w:leftChars="0" w:left="0" w:right="0"/>
            </w:pPr>
            <w:r>
              <w:t>MALAWI STOCK EXCHANGE</w:t>
            </w:r>
          </w:p>
        </w:tc>
        <w:tc>
          <w:tcPr>
            <w:cnfStyle w:evenVBand="true" w:oddVBand="false" w:firstColumn="false"/>
            <w:tcW w:w="25.000000%" w:type="pct"/>
          </w:tcPr>
          <w:p>
            <w:pPr>
              <w:ind w:leftChars="0" w:left="0" w:right="0"/>
            </w:pPr>
            <w:r>
              <w:t>2296</w:t>
            </w:r>
          </w:p>
        </w:tc>
      </w:tr>
      <w:tr>
        <w:trPr>
          <w:cnfStyle w:evenHBand="true" w:oddHBand="false" w:firstRow="false"/>
        </w:trPr>
        <w:tc>
          <w:tcPr>
            <w:cnfStyle w:evenVBand="false" w:oddVBand="true" w:firstColumn="false"/>
            <w:tcW w:w="25.000000%" w:type="pct"/>
          </w:tcPr>
          <w:p>
            <w:pPr>
              <w:ind w:leftChars="0" w:left="0" w:right="0"/>
            </w:pPr>
            <w:r>
              <w:t>XMTB</w:t>
            </w:r>
          </w:p>
        </w:tc>
        <w:tc>
          <w:tcPr>
            <w:cnfStyle w:evenVBand="true" w:oddVBand="false" w:firstColumn="false"/>
            <w:tcW w:w="25.000000%" w:type="pct"/>
          </w:tcPr>
          <w:p>
            <w:pPr>
              <w:ind w:leftChars="0" w:left="0" w:right="0"/>
            </w:pPr>
            <w:r>
              <w:t>XMTB</w:t>
            </w:r>
          </w:p>
        </w:tc>
        <w:tc>
          <w:tcPr>
            <w:cnfStyle w:evenVBand="false" w:oddVBand="true" w:firstColumn="false"/>
            <w:tcW w:w="25.000000%" w:type="pct"/>
          </w:tcPr>
          <w:p>
            <w:pPr>
              <w:ind w:leftChars="0" w:left="0" w:right="0"/>
            </w:pPr>
            <w:r>
              <w:t>MERCADO A TERMINO DE BUENOS AIRES S.A.</w:t>
            </w:r>
          </w:p>
        </w:tc>
        <w:tc>
          <w:tcPr>
            <w:cnfStyle w:evenVBand="true" w:oddVBand="false" w:firstColumn="false"/>
            <w:tcW w:w="25.000000%" w:type="pct"/>
          </w:tcPr>
          <w:p>
            <w:pPr>
              <w:ind w:leftChars="0" w:left="0" w:right="0"/>
            </w:pPr>
            <w:r>
              <w:t>2297</w:t>
            </w:r>
          </w:p>
        </w:tc>
      </w:tr>
      <w:tr>
        <w:trPr>
          <w:cnfStyle w:evenHBand="false" w:oddHBand="true" w:firstRow="false"/>
        </w:trPr>
        <w:tc>
          <w:tcPr>
            <w:cnfStyle w:evenVBand="false" w:oddVBand="true" w:firstColumn="false"/>
            <w:tcW w:w="25.000000%" w:type="pct"/>
          </w:tcPr>
          <w:p>
            <w:pPr>
              <w:ind w:leftChars="0" w:left="0" w:right="0"/>
            </w:pPr>
            <w:r>
              <w:t>XMTS</w:t>
            </w:r>
          </w:p>
        </w:tc>
        <w:tc>
          <w:tcPr>
            <w:cnfStyle w:evenVBand="true" w:oddVBand="false" w:firstColumn="false"/>
            <w:tcW w:w="25.000000%" w:type="pct"/>
          </w:tcPr>
          <w:p>
            <w:pPr>
              <w:ind w:leftChars="0" w:left="0" w:right="0"/>
            </w:pPr>
            <w:r>
              <w:t>XMTS</w:t>
            </w:r>
          </w:p>
        </w:tc>
        <w:tc>
          <w:tcPr>
            <w:cnfStyle w:evenVBand="false" w:oddVBand="true" w:firstColumn="false"/>
            <w:tcW w:w="25.000000%" w:type="pct"/>
          </w:tcPr>
          <w:p>
            <w:pPr>
              <w:ind w:leftChars="0" w:left="0" w:right="0"/>
            </w:pPr>
            <w:r>
              <w:t>EUROMTS LTD</w:t>
            </w:r>
          </w:p>
        </w:tc>
        <w:tc>
          <w:tcPr>
            <w:cnfStyle w:evenVBand="true" w:oddVBand="false" w:firstColumn="false"/>
            <w:tcW w:w="25.000000%" w:type="pct"/>
          </w:tcPr>
          <w:p>
            <w:pPr>
              <w:ind w:leftChars="0" w:left="0" w:right="0"/>
            </w:pPr>
            <w:r>
              <w:t>2298</w:t>
            </w:r>
          </w:p>
        </w:tc>
      </w:tr>
      <w:tr>
        <w:trPr>
          <w:cnfStyle w:evenHBand="true" w:oddHBand="false" w:firstRow="false"/>
        </w:trPr>
        <w:tc>
          <w:tcPr>
            <w:cnfStyle w:evenVBand="false" w:oddVBand="true" w:firstColumn="false"/>
            <w:tcW w:w="25.000000%" w:type="pct"/>
          </w:tcPr>
          <w:p>
            <w:pPr>
              <w:ind w:leftChars="0" w:left="0" w:right="0"/>
            </w:pPr>
            <w:r>
              <w:t>XMUN</w:t>
            </w:r>
          </w:p>
        </w:tc>
        <w:tc>
          <w:tcPr>
            <w:cnfStyle w:evenVBand="true" w:oddVBand="false" w:firstColumn="false"/>
            <w:tcW w:w="25.000000%" w:type="pct"/>
          </w:tcPr>
          <w:p>
            <w:pPr>
              <w:ind w:leftChars="0" w:left="0" w:right="0"/>
            </w:pPr>
            <w:r>
              <w:t>XMUN</w:t>
            </w:r>
          </w:p>
        </w:tc>
        <w:tc>
          <w:tcPr>
            <w:cnfStyle w:evenVBand="false" w:oddVBand="true" w:firstColumn="false"/>
            <w:tcW w:w="25.000000%" w:type="pct"/>
          </w:tcPr>
          <w:p>
            <w:pPr>
              <w:ind w:leftChars="0" w:left="0" w:right="0"/>
            </w:pPr>
            <w:r>
              <w:t>BOERSE MUENCHEN</w:t>
            </w:r>
          </w:p>
        </w:tc>
        <w:tc>
          <w:tcPr>
            <w:cnfStyle w:evenVBand="true" w:oddVBand="false" w:firstColumn="false"/>
            <w:tcW w:w="25.000000%" w:type="pct"/>
          </w:tcPr>
          <w:p>
            <w:pPr>
              <w:ind w:leftChars="0" w:left="0" w:right="0"/>
            </w:pPr>
            <w:r>
              <w:t>2299</w:t>
            </w:r>
          </w:p>
        </w:tc>
      </w:tr>
      <w:tr>
        <w:trPr>
          <w:cnfStyle w:evenHBand="false" w:oddHBand="true" w:firstRow="false"/>
        </w:trPr>
        <w:tc>
          <w:tcPr>
            <w:cnfStyle w:evenVBand="false" w:oddVBand="true" w:firstColumn="false"/>
            <w:tcW w:w="25.000000%" w:type="pct"/>
          </w:tcPr>
          <w:p>
            <w:pPr>
              <w:ind w:leftChars="0" w:left="0" w:right="0"/>
            </w:pPr>
            <w:r>
              <w:t>XMUS</w:t>
            </w:r>
          </w:p>
        </w:tc>
        <w:tc>
          <w:tcPr>
            <w:cnfStyle w:evenVBand="true" w:oddVBand="false" w:firstColumn="false"/>
            <w:tcW w:w="25.000000%" w:type="pct"/>
          </w:tcPr>
          <w:p>
            <w:pPr>
              <w:ind w:leftChars="0" w:left="0" w:right="0"/>
            </w:pPr>
            <w:r>
              <w:t>XMUS</w:t>
            </w:r>
          </w:p>
        </w:tc>
        <w:tc>
          <w:tcPr>
            <w:cnfStyle w:evenVBand="false" w:oddVBand="true" w:firstColumn="false"/>
            <w:tcW w:w="25.000000%" w:type="pct"/>
          </w:tcPr>
          <w:p>
            <w:pPr>
              <w:ind w:leftChars="0" w:left="0" w:right="0"/>
            </w:pPr>
            <w:r>
              <w:t>MUSCAT SECURITIES MARKET</w:t>
            </w:r>
          </w:p>
        </w:tc>
        <w:tc>
          <w:tcPr>
            <w:cnfStyle w:evenVBand="true" w:oddVBand="false" w:firstColumn="false"/>
            <w:tcW w:w="25.000000%" w:type="pct"/>
          </w:tcPr>
          <w:p>
            <w:pPr>
              <w:ind w:leftChars="0" w:left="0" w:right="0"/>
            </w:pPr>
            <w:r>
              <w:t>2300</w:t>
            </w:r>
          </w:p>
        </w:tc>
      </w:tr>
      <w:tr>
        <w:trPr>
          <w:cnfStyle w:evenHBand="true" w:oddHBand="false" w:firstRow="false"/>
        </w:trPr>
        <w:tc>
          <w:tcPr>
            <w:cnfStyle w:evenVBand="false" w:oddVBand="true" w:firstColumn="false"/>
            <w:tcW w:w="25.000000%" w:type="pct"/>
          </w:tcPr>
          <w:p>
            <w:pPr>
              <w:ind w:leftChars="0" w:left="0" w:right="0"/>
            </w:pPr>
            <w:r>
              <w:t>XMVL</w:t>
            </w:r>
          </w:p>
        </w:tc>
        <w:tc>
          <w:tcPr>
            <w:cnfStyle w:evenVBand="true" w:oddVBand="false" w:firstColumn="false"/>
            <w:tcW w:w="25.000000%" w:type="pct"/>
          </w:tcPr>
          <w:p>
            <w:pPr>
              <w:ind w:leftChars="0" w:left="0" w:right="0"/>
            </w:pPr>
            <w:r>
              <w:t>XMVL</w:t>
            </w:r>
          </w:p>
        </w:tc>
        <w:tc>
          <w:tcPr>
            <w:cnfStyle w:evenVBand="false" w:oddVBand="true" w:firstColumn="false"/>
            <w:tcW w:w="25.000000%" w:type="pct"/>
          </w:tcPr>
          <w:p>
            <w:pPr>
              <w:ind w:leftChars="0" w:left="0" w:right="0"/>
            </w:pPr>
            <w:r>
              <w:t>MERCADO DE VALORES DEL LITORAL S.A.</w:t>
            </w:r>
          </w:p>
        </w:tc>
        <w:tc>
          <w:tcPr>
            <w:cnfStyle w:evenVBand="true" w:oddVBand="false" w:firstColumn="false"/>
            <w:tcW w:w="25.000000%" w:type="pct"/>
          </w:tcPr>
          <w:p>
            <w:pPr>
              <w:ind w:leftChars="0" w:left="0" w:right="0"/>
            </w:pPr>
            <w:r>
              <w:t>2301</w:t>
            </w:r>
          </w:p>
        </w:tc>
      </w:tr>
      <w:tr>
        <w:trPr>
          <w:cnfStyle w:evenHBand="false" w:oddHBand="true" w:firstRow="false"/>
        </w:trPr>
        <w:tc>
          <w:tcPr>
            <w:cnfStyle w:evenVBand="false" w:oddVBand="true" w:firstColumn="false"/>
            <w:tcW w:w="25.000000%" w:type="pct"/>
          </w:tcPr>
          <w:p>
            <w:pPr>
              <w:ind w:leftChars="0" w:left="0" w:right="0"/>
            </w:pPr>
            <w:r>
              <w:t>XNAF</w:t>
            </w:r>
          </w:p>
        </w:tc>
        <w:tc>
          <w:tcPr>
            <w:cnfStyle w:evenVBand="true" w:oddVBand="false" w:firstColumn="false"/>
            <w:tcW w:w="25.000000%" w:type="pct"/>
          </w:tcPr>
          <w:p>
            <w:pPr>
              <w:ind w:leftChars="0" w:left="0" w:right="0"/>
            </w:pPr>
            <w:r>
              <w:t>XNAF</w:t>
            </w:r>
          </w:p>
        </w:tc>
        <w:tc>
          <w:tcPr>
            <w:cnfStyle w:evenVBand="false" w:oddVBand="true" w:firstColumn="false"/>
            <w:tcW w:w="25.000000%" w:type="pct"/>
          </w:tcPr>
          <w:p>
            <w:pPr>
              <w:ind w:leftChars="0" w:left="0" w:right="0"/>
            </w:pPr>
            <w:r>
              <w:t>SISTEMA ESPANOL DE NEGOCIACION DE ACTIVOS FINANCIEROS</w:t>
            </w:r>
          </w:p>
        </w:tc>
        <w:tc>
          <w:tcPr>
            <w:cnfStyle w:evenVBand="true" w:oddVBand="false" w:firstColumn="false"/>
            <w:tcW w:w="25.000000%" w:type="pct"/>
          </w:tcPr>
          <w:p>
            <w:pPr>
              <w:ind w:leftChars="0" w:left="0" w:right="0"/>
            </w:pPr>
            <w:r>
              <w:t>2302</w:t>
            </w:r>
          </w:p>
        </w:tc>
      </w:tr>
      <w:tr>
        <w:trPr>
          <w:cnfStyle w:evenHBand="true" w:oddHBand="false" w:firstRow="false"/>
        </w:trPr>
        <w:tc>
          <w:tcPr>
            <w:cnfStyle w:evenVBand="false" w:oddVBand="true" w:firstColumn="false"/>
            <w:tcW w:w="25.000000%" w:type="pct"/>
          </w:tcPr>
          <w:p>
            <w:pPr>
              <w:ind w:leftChars="0" w:left="0" w:right="0"/>
            </w:pPr>
            <w:r>
              <w:t>XNAI</w:t>
            </w:r>
          </w:p>
        </w:tc>
        <w:tc>
          <w:tcPr>
            <w:cnfStyle w:evenVBand="true" w:oddVBand="false" w:firstColumn="false"/>
            <w:tcW w:w="25.000000%" w:type="pct"/>
          </w:tcPr>
          <w:p>
            <w:pPr>
              <w:ind w:leftChars="0" w:left="0" w:right="0"/>
            </w:pPr>
            <w:r>
              <w:t>XNAI</w:t>
            </w:r>
          </w:p>
        </w:tc>
        <w:tc>
          <w:tcPr>
            <w:cnfStyle w:evenVBand="false" w:oddVBand="true" w:firstColumn="false"/>
            <w:tcW w:w="25.000000%" w:type="pct"/>
          </w:tcPr>
          <w:p>
            <w:pPr>
              <w:ind w:leftChars="0" w:left="0" w:right="0"/>
            </w:pPr>
            <w:r>
              <w:t>NAIROBI STOCK EXCHANGE</w:t>
            </w:r>
          </w:p>
        </w:tc>
        <w:tc>
          <w:tcPr>
            <w:cnfStyle w:evenVBand="true" w:oddVBand="false" w:firstColumn="false"/>
            <w:tcW w:w="25.000000%" w:type="pct"/>
          </w:tcPr>
          <w:p>
            <w:pPr>
              <w:ind w:leftChars="0" w:left="0" w:right="0"/>
            </w:pPr>
            <w:r>
              <w:t>2303</w:t>
            </w:r>
          </w:p>
        </w:tc>
      </w:tr>
      <w:tr>
        <w:trPr>
          <w:cnfStyle w:evenHBand="false" w:oddHBand="true" w:firstRow="false"/>
        </w:trPr>
        <w:tc>
          <w:tcPr>
            <w:cnfStyle w:evenVBand="false" w:oddVBand="true" w:firstColumn="false"/>
            <w:tcW w:w="25.000000%" w:type="pct"/>
          </w:tcPr>
          <w:p>
            <w:pPr>
              <w:ind w:leftChars="0" w:left="0" w:right="0"/>
            </w:pPr>
            <w:r>
              <w:t>XNAM</w:t>
            </w:r>
          </w:p>
        </w:tc>
        <w:tc>
          <w:tcPr>
            <w:cnfStyle w:evenVBand="true" w:oddVBand="false" w:firstColumn="false"/>
            <w:tcW w:w="25.000000%" w:type="pct"/>
          </w:tcPr>
          <w:p>
            <w:pPr>
              <w:ind w:leftChars="0" w:left="0" w:right="0"/>
            </w:pPr>
            <w:r>
              <w:t>XNAM</w:t>
            </w:r>
          </w:p>
        </w:tc>
        <w:tc>
          <w:tcPr>
            <w:cnfStyle w:evenVBand="false" w:oddVBand="true" w:firstColumn="false"/>
            <w:tcW w:w="25.000000%" w:type="pct"/>
          </w:tcPr>
          <w:p>
            <w:pPr>
              <w:ind w:leftChars="0" w:left="0" w:right="0"/>
            </w:pPr>
            <w:r>
              <w:t>NAMIBIAN STOCK EXCHANGE</w:t>
            </w:r>
          </w:p>
        </w:tc>
        <w:tc>
          <w:tcPr>
            <w:cnfStyle w:evenVBand="true" w:oddVBand="false" w:firstColumn="false"/>
            <w:tcW w:w="25.000000%" w:type="pct"/>
          </w:tcPr>
          <w:p>
            <w:pPr>
              <w:ind w:leftChars="0" w:left="0" w:right="0"/>
            </w:pPr>
            <w:r>
              <w:t>2304</w:t>
            </w:r>
          </w:p>
        </w:tc>
      </w:tr>
      <w:tr>
        <w:trPr>
          <w:cnfStyle w:evenHBand="true" w:oddHBand="false" w:firstRow="false"/>
        </w:trPr>
        <w:tc>
          <w:tcPr>
            <w:cnfStyle w:evenVBand="false" w:oddVBand="true" w:firstColumn="false"/>
            <w:tcW w:w="25.000000%" w:type="pct"/>
          </w:tcPr>
          <w:p>
            <w:pPr>
              <w:ind w:leftChars="0" w:left="0" w:right="0"/>
            </w:pPr>
            <w:r>
              <w:t>XNAS</w:t>
            </w:r>
          </w:p>
        </w:tc>
        <w:tc>
          <w:tcPr>
            <w:cnfStyle w:evenVBand="true" w:oddVBand="false" w:firstColumn="false"/>
            <w:tcW w:w="25.000000%" w:type="pct"/>
          </w:tcPr>
          <w:p>
            <w:pPr>
              <w:ind w:leftChars="0" w:left="0" w:right="0"/>
            </w:pPr>
            <w:r>
              <w:t>XNAS</w:t>
            </w:r>
          </w:p>
        </w:tc>
        <w:tc>
          <w:tcPr>
            <w:cnfStyle w:evenVBand="false" w:oddVBand="true" w:firstColumn="false"/>
            <w:tcW w:w="25.000000%" w:type="pct"/>
          </w:tcPr>
          <w:p>
            <w:pPr>
              <w:ind w:leftChars="0" w:left="0" w:right="0"/>
            </w:pPr>
            <w:r>
              <w:t>NASDAQ - ALL MARKETS</w:t>
            </w:r>
          </w:p>
        </w:tc>
        <w:tc>
          <w:tcPr>
            <w:cnfStyle w:evenVBand="true" w:oddVBand="false" w:firstColumn="false"/>
            <w:tcW w:w="25.000000%" w:type="pct"/>
          </w:tcPr>
          <w:p>
            <w:pPr>
              <w:ind w:leftChars="0" w:left="0" w:right="0"/>
            </w:pPr>
            <w:r>
              <w:t>2305</w:t>
            </w:r>
          </w:p>
        </w:tc>
      </w:tr>
      <w:tr>
        <w:trPr>
          <w:cnfStyle w:evenHBand="false" w:oddHBand="true" w:firstRow="false"/>
        </w:trPr>
        <w:tc>
          <w:tcPr>
            <w:cnfStyle w:evenVBand="false" w:oddVBand="true" w:firstColumn="false"/>
            <w:tcW w:w="25.000000%" w:type="pct"/>
          </w:tcPr>
          <w:p>
            <w:pPr>
              <w:ind w:leftChars="0" w:left="0" w:right="0"/>
            </w:pPr>
            <w:r>
              <w:t>XNCD</w:t>
            </w:r>
          </w:p>
        </w:tc>
        <w:tc>
          <w:tcPr>
            <w:cnfStyle w:evenVBand="true" w:oddVBand="false" w:firstColumn="false"/>
            <w:tcW w:w="25.000000%" w:type="pct"/>
          </w:tcPr>
          <w:p>
            <w:pPr>
              <w:ind w:leftChars="0" w:left="0" w:right="0"/>
            </w:pPr>
            <w:r>
              <w:t>XNCD</w:t>
            </w:r>
          </w:p>
        </w:tc>
        <w:tc>
          <w:tcPr>
            <w:cnfStyle w:evenVBand="false" w:oddVBand="true" w:firstColumn="false"/>
            <w:tcW w:w="25.000000%" w:type="pct"/>
          </w:tcPr>
          <w:p>
            <w:pPr>
              <w:ind w:leftChars="0" w:left="0" w:right="0"/>
            </w:pPr>
            <w:r>
              <w:t>NATIONAL COMMODITY &amp; DERIVATIVES EXCHANGE LTD</w:t>
            </w:r>
          </w:p>
        </w:tc>
        <w:tc>
          <w:tcPr>
            <w:cnfStyle w:evenVBand="true" w:oddVBand="false" w:firstColumn="false"/>
            <w:tcW w:w="25.000000%" w:type="pct"/>
          </w:tcPr>
          <w:p>
            <w:pPr>
              <w:ind w:leftChars="0" w:left="0" w:right="0"/>
            </w:pPr>
            <w:r>
              <w:t>2306</w:t>
            </w:r>
          </w:p>
        </w:tc>
      </w:tr>
      <w:tr>
        <w:trPr>
          <w:cnfStyle w:evenHBand="true" w:oddHBand="false" w:firstRow="false"/>
        </w:trPr>
        <w:tc>
          <w:tcPr>
            <w:cnfStyle w:evenVBand="false" w:oddVBand="true" w:firstColumn="false"/>
            <w:tcW w:w="25.000000%" w:type="pct"/>
          </w:tcPr>
          <w:p>
            <w:pPr>
              <w:ind w:leftChars="0" w:left="0" w:right="0"/>
            </w:pPr>
            <w:r>
              <w:t>XNCM</w:t>
            </w:r>
          </w:p>
        </w:tc>
        <w:tc>
          <w:tcPr>
            <w:cnfStyle w:evenVBand="true" w:oddVBand="false" w:firstColumn="false"/>
            <w:tcW w:w="25.000000%" w:type="pct"/>
          </w:tcPr>
          <w:p>
            <w:pPr>
              <w:ind w:leftChars="0" w:left="0" w:right="0"/>
            </w:pPr>
            <w:r>
              <w:t>XNCM</w:t>
            </w:r>
          </w:p>
        </w:tc>
        <w:tc>
          <w:tcPr>
            <w:cnfStyle w:evenVBand="false" w:oddVBand="true" w:firstColumn="false"/>
            <w:tcW w:w="25.000000%" w:type="pct"/>
          </w:tcPr>
          <w:p>
            <w:pPr>
              <w:ind w:leftChars="0" w:left="0" w:right="0"/>
            </w:pPr>
            <w:r>
              <w:t>NASDAQ CAPITAL MARKET</w:t>
            </w:r>
          </w:p>
        </w:tc>
        <w:tc>
          <w:tcPr>
            <w:cnfStyle w:evenVBand="true" w:oddVBand="false" w:firstColumn="false"/>
            <w:tcW w:w="25.000000%" w:type="pct"/>
          </w:tcPr>
          <w:p>
            <w:pPr>
              <w:ind w:leftChars="0" w:left="0" w:right="0"/>
            </w:pPr>
            <w:r>
              <w:t>2307</w:t>
            </w:r>
          </w:p>
        </w:tc>
      </w:tr>
      <w:tr>
        <w:trPr>
          <w:cnfStyle w:evenHBand="false" w:oddHBand="true" w:firstRow="false"/>
        </w:trPr>
        <w:tc>
          <w:tcPr>
            <w:cnfStyle w:evenVBand="false" w:oddVBand="true" w:firstColumn="false"/>
            <w:tcW w:w="25.000000%" w:type="pct"/>
          </w:tcPr>
          <w:p>
            <w:pPr>
              <w:ind w:leftChars="0" w:left="0" w:right="0"/>
            </w:pPr>
            <w:r>
              <w:t>XNCO</w:t>
            </w:r>
          </w:p>
        </w:tc>
        <w:tc>
          <w:tcPr>
            <w:cnfStyle w:evenVBand="true" w:oddVBand="false" w:firstColumn="false"/>
            <w:tcW w:w="25.000000%" w:type="pct"/>
          </w:tcPr>
          <w:p>
            <w:pPr>
              <w:ind w:leftChars="0" w:left="0" w:right="0"/>
            </w:pPr>
            <w:r>
              <w:t>XNCO</w:t>
            </w:r>
          </w:p>
        </w:tc>
        <w:tc>
          <w:tcPr>
            <w:cnfStyle w:evenVBand="false" w:oddVBand="true" w:firstColumn="false"/>
            <w:tcW w:w="25.000000%" w:type="pct"/>
          </w:tcPr>
          <w:p>
            <w:pPr>
              <w:ind w:leftChars="0" w:left="0" w:right="0"/>
            </w:pPr>
            <w:r>
              <w:t>WARSAW STOCK EXCHANGE/ EQUITIES/NEW CONNECT - MTF</w:t>
            </w:r>
          </w:p>
        </w:tc>
        <w:tc>
          <w:tcPr>
            <w:cnfStyle w:evenVBand="true" w:oddVBand="false" w:firstColumn="false"/>
            <w:tcW w:w="25.000000%" w:type="pct"/>
          </w:tcPr>
          <w:p>
            <w:pPr>
              <w:ind w:leftChars="0" w:left="0" w:right="0"/>
            </w:pPr>
            <w:r>
              <w:t>2308</w:t>
            </w:r>
          </w:p>
        </w:tc>
      </w:tr>
      <w:tr>
        <w:trPr>
          <w:cnfStyle w:evenHBand="true" w:oddHBand="false" w:firstRow="false"/>
        </w:trPr>
        <w:tc>
          <w:tcPr>
            <w:cnfStyle w:evenVBand="false" w:oddVBand="true" w:firstColumn="false"/>
            <w:tcW w:w="25.000000%" w:type="pct"/>
          </w:tcPr>
          <w:p>
            <w:pPr>
              <w:ind w:leftChars="0" w:left="0" w:right="0"/>
            </w:pPr>
            <w:r>
              <w:t>XNDQ</w:t>
            </w:r>
          </w:p>
        </w:tc>
        <w:tc>
          <w:tcPr>
            <w:cnfStyle w:evenVBand="true" w:oddVBand="false" w:firstColumn="false"/>
            <w:tcW w:w="25.000000%" w:type="pct"/>
          </w:tcPr>
          <w:p>
            <w:pPr>
              <w:ind w:leftChars="0" w:left="0" w:right="0"/>
            </w:pPr>
            <w:r>
              <w:t>XNDQ</w:t>
            </w:r>
          </w:p>
        </w:tc>
        <w:tc>
          <w:tcPr>
            <w:cnfStyle w:evenVBand="false" w:oddVBand="true" w:firstColumn="false"/>
            <w:tcW w:w="25.000000%" w:type="pct"/>
          </w:tcPr>
          <w:p>
            <w:pPr>
              <w:ind w:leftChars="0" w:left="0" w:right="0"/>
            </w:pPr>
            <w:r>
              <w:t>NASDAQ OPTIONS MARKET</w:t>
            </w:r>
          </w:p>
        </w:tc>
        <w:tc>
          <w:tcPr>
            <w:cnfStyle w:evenVBand="true" w:oddVBand="false" w:firstColumn="false"/>
            <w:tcW w:w="25.000000%" w:type="pct"/>
          </w:tcPr>
          <w:p>
            <w:pPr>
              <w:ind w:leftChars="0" w:left="0" w:right="0"/>
            </w:pPr>
            <w:r>
              <w:t>2309</w:t>
            </w:r>
          </w:p>
        </w:tc>
      </w:tr>
      <w:tr>
        <w:trPr>
          <w:cnfStyle w:evenHBand="false" w:oddHBand="true" w:firstRow="false"/>
        </w:trPr>
        <w:tc>
          <w:tcPr>
            <w:cnfStyle w:evenVBand="false" w:oddVBand="true" w:firstColumn="false"/>
            <w:tcW w:w="25.000000%" w:type="pct"/>
          </w:tcPr>
          <w:p>
            <w:pPr>
              <w:ind w:leftChars="0" w:left="0" w:right="0"/>
            </w:pPr>
            <w:r>
              <w:t>XNDU</w:t>
            </w:r>
          </w:p>
        </w:tc>
        <w:tc>
          <w:tcPr>
            <w:cnfStyle w:evenVBand="true" w:oddVBand="false" w:firstColumn="false"/>
            <w:tcW w:w="25.000000%" w:type="pct"/>
          </w:tcPr>
          <w:p>
            <w:pPr>
              <w:ind w:leftChars="0" w:left="0" w:right="0"/>
            </w:pPr>
            <w:r>
              <w:t>XNDU</w:t>
            </w:r>
          </w:p>
        </w:tc>
        <w:tc>
          <w:tcPr>
            <w:cnfStyle w:evenVBand="false" w:oddVBand="true" w:firstColumn="false"/>
            <w:tcW w:w="25.000000%" w:type="pct"/>
          </w:tcPr>
          <w:p>
            <w:pPr>
              <w:ind w:leftChars="0" w:left="0" w:right="0"/>
            </w:pPr>
            <w:r>
              <w:t>PJSC NATIONAL DEPOSITORY OF UKRAINE</w:t>
            </w:r>
          </w:p>
        </w:tc>
        <w:tc>
          <w:tcPr>
            <w:cnfStyle w:evenVBand="true" w:oddVBand="false" w:firstColumn="false"/>
            <w:tcW w:w="25.000000%" w:type="pct"/>
          </w:tcPr>
          <w:p>
            <w:pPr>
              <w:ind w:leftChars="0" w:left="0" w:right="0"/>
            </w:pPr>
            <w:r>
              <w:t>2310</w:t>
            </w:r>
          </w:p>
        </w:tc>
      </w:tr>
      <w:tr>
        <w:trPr>
          <w:cnfStyle w:evenHBand="true" w:oddHBand="false" w:firstRow="false"/>
        </w:trPr>
        <w:tc>
          <w:tcPr>
            <w:cnfStyle w:evenVBand="false" w:oddVBand="true" w:firstColumn="false"/>
            <w:tcW w:w="25.000000%" w:type="pct"/>
          </w:tcPr>
          <w:p>
            <w:pPr>
              <w:ind w:leftChars="0" w:left="0" w:right="0"/>
            </w:pPr>
            <w:r>
              <w:t>XNDX</w:t>
            </w:r>
          </w:p>
        </w:tc>
        <w:tc>
          <w:tcPr>
            <w:cnfStyle w:evenVBand="true" w:oddVBand="false" w:firstColumn="false"/>
            <w:tcW w:w="25.000000%" w:type="pct"/>
          </w:tcPr>
          <w:p>
            <w:pPr>
              <w:ind w:leftChars="0" w:left="0" w:right="0"/>
            </w:pPr>
            <w:r>
              <w:t>XNDX</w:t>
            </w:r>
          </w:p>
        </w:tc>
        <w:tc>
          <w:tcPr>
            <w:cnfStyle w:evenVBand="false" w:oddVBand="true" w:firstColumn="false"/>
            <w:tcW w:w="25.000000%" w:type="pct"/>
          </w:tcPr>
          <w:p>
            <w:pPr>
              <w:ind w:leftChars="0" w:left="0" w:right="0"/>
            </w:pPr>
            <w:r>
              <w:t>NORDIC DERIVATIVES EXCHANGE</w:t>
            </w:r>
          </w:p>
        </w:tc>
        <w:tc>
          <w:tcPr>
            <w:cnfStyle w:evenVBand="true" w:oddVBand="false" w:firstColumn="false"/>
            <w:tcW w:w="25.000000%" w:type="pct"/>
          </w:tcPr>
          <w:p>
            <w:pPr>
              <w:ind w:leftChars="0" w:left="0" w:right="0"/>
            </w:pPr>
            <w:r>
              <w:t>2311</w:t>
            </w:r>
          </w:p>
        </w:tc>
      </w:tr>
      <w:tr>
        <w:trPr>
          <w:cnfStyle w:evenHBand="false" w:oddHBand="true" w:firstRow="false"/>
        </w:trPr>
        <w:tc>
          <w:tcPr>
            <w:cnfStyle w:evenVBand="false" w:oddVBand="true" w:firstColumn="false"/>
            <w:tcW w:w="25.000000%" w:type="pct"/>
          </w:tcPr>
          <w:p>
            <w:pPr>
              <w:ind w:leftChars="0" w:left="0" w:right="0"/>
            </w:pPr>
            <w:r>
              <w:t>XNEC</w:t>
            </w:r>
          </w:p>
        </w:tc>
        <w:tc>
          <w:tcPr>
            <w:cnfStyle w:evenVBand="true" w:oddVBand="false" w:firstColumn="false"/>
            <w:tcW w:w="25.000000%" w:type="pct"/>
          </w:tcPr>
          <w:p>
            <w:pPr>
              <w:ind w:leftChars="0" w:left="0" w:right="0"/>
            </w:pPr>
            <w:r>
              <w:t>XNEC</w:t>
            </w:r>
          </w:p>
        </w:tc>
        <w:tc>
          <w:tcPr>
            <w:cnfStyle w:evenVBand="false" w:oddVBand="true" w:firstColumn="false"/>
            <w:tcW w:w="25.000000%" w:type="pct"/>
          </w:tcPr>
          <w:p>
            <w:pPr>
              <w:ind w:leftChars="0" w:left="0" w:right="0"/>
            </w:pPr>
            <w:r>
              <w:t>NATIONAL STOCK EXCHANGE OF AUSTRALIA LIMITED</w:t>
            </w:r>
          </w:p>
        </w:tc>
        <w:tc>
          <w:tcPr>
            <w:cnfStyle w:evenVBand="true" w:oddVBand="false" w:firstColumn="false"/>
            <w:tcW w:w="25.000000%" w:type="pct"/>
          </w:tcPr>
          <w:p>
            <w:pPr>
              <w:ind w:leftChars="0" w:left="0" w:right="0"/>
            </w:pPr>
            <w:r>
              <w:t>2312</w:t>
            </w:r>
          </w:p>
        </w:tc>
      </w:tr>
      <w:tr>
        <w:trPr>
          <w:cnfStyle w:evenHBand="true" w:oddHBand="false" w:firstRow="false"/>
        </w:trPr>
        <w:tc>
          <w:tcPr>
            <w:cnfStyle w:evenVBand="false" w:oddVBand="true" w:firstColumn="false"/>
            <w:tcW w:w="25.000000%" w:type="pct"/>
          </w:tcPr>
          <w:p>
            <w:pPr>
              <w:ind w:leftChars="0" w:left="0" w:right="0"/>
            </w:pPr>
            <w:r>
              <w:t>XNEE</w:t>
            </w:r>
          </w:p>
        </w:tc>
        <w:tc>
          <w:tcPr>
            <w:cnfStyle w:evenVBand="true" w:oddVBand="false" w:firstColumn="false"/>
            <w:tcW w:w="25.000000%" w:type="pct"/>
          </w:tcPr>
          <w:p>
            <w:pPr>
              <w:ind w:leftChars="0" w:left="0" w:right="0"/>
            </w:pPr>
            <w:r>
              <w:t>XNEE</w:t>
            </w:r>
          </w:p>
        </w:tc>
        <w:tc>
          <w:tcPr>
            <w:cnfStyle w:evenVBand="false" w:oddVBand="true" w:firstColumn="false"/>
            <w:tcW w:w="25.000000%" w:type="pct"/>
          </w:tcPr>
          <w:p>
            <w:pPr>
              <w:ind w:leftChars="0" w:left="0" w:right="0"/>
            </w:pPr>
            <w:r>
              <w:t>NEW ZEALAND FUTURES AND OPTIONS EXCHANGE</w:t>
            </w:r>
          </w:p>
        </w:tc>
        <w:tc>
          <w:tcPr>
            <w:cnfStyle w:evenVBand="true" w:oddVBand="false" w:firstColumn="false"/>
            <w:tcW w:w="25.000000%" w:type="pct"/>
          </w:tcPr>
          <w:p>
            <w:pPr>
              <w:ind w:leftChars="0" w:left="0" w:right="0"/>
            </w:pPr>
            <w:r>
              <w:t>2313</w:t>
            </w:r>
          </w:p>
        </w:tc>
      </w:tr>
      <w:tr>
        <w:trPr>
          <w:cnfStyle w:evenHBand="false" w:oddHBand="true" w:firstRow="false"/>
        </w:trPr>
        <w:tc>
          <w:tcPr>
            <w:cnfStyle w:evenVBand="false" w:oddVBand="true" w:firstColumn="false"/>
            <w:tcW w:w="25.000000%" w:type="pct"/>
          </w:tcPr>
          <w:p>
            <w:pPr>
              <w:ind w:leftChars="0" w:left="0" w:right="0"/>
            </w:pPr>
            <w:r>
              <w:t>XNEP</w:t>
            </w:r>
          </w:p>
        </w:tc>
        <w:tc>
          <w:tcPr>
            <w:cnfStyle w:evenVBand="true" w:oddVBand="false" w:firstColumn="false"/>
            <w:tcW w:w="25.000000%" w:type="pct"/>
          </w:tcPr>
          <w:p>
            <w:pPr>
              <w:ind w:leftChars="0" w:left="0" w:right="0"/>
            </w:pPr>
            <w:r>
              <w:t>XNEP</w:t>
            </w:r>
          </w:p>
        </w:tc>
        <w:tc>
          <w:tcPr>
            <w:cnfStyle w:evenVBand="false" w:oddVBand="true" w:firstColumn="false"/>
            <w:tcW w:w="25.000000%" w:type="pct"/>
          </w:tcPr>
          <w:p>
            <w:pPr>
              <w:ind w:leftChars="0" w:left="0" w:right="0"/>
            </w:pPr>
            <w:r>
              <w:t>NEPAL STOCK EXCHANGE</w:t>
            </w:r>
          </w:p>
        </w:tc>
        <w:tc>
          <w:tcPr>
            <w:cnfStyle w:evenVBand="true" w:oddVBand="false" w:firstColumn="false"/>
            <w:tcW w:w="25.000000%" w:type="pct"/>
          </w:tcPr>
          <w:p>
            <w:pPr>
              <w:ind w:leftChars="0" w:left="0" w:right="0"/>
            </w:pPr>
            <w:r>
              <w:t>2314</w:t>
            </w:r>
          </w:p>
        </w:tc>
      </w:tr>
      <w:tr>
        <w:trPr>
          <w:cnfStyle w:evenHBand="true" w:oddHBand="false" w:firstRow="false"/>
        </w:trPr>
        <w:tc>
          <w:tcPr>
            <w:cnfStyle w:evenVBand="false" w:oddVBand="true" w:firstColumn="false"/>
            <w:tcW w:w="25.000000%" w:type="pct"/>
          </w:tcPr>
          <w:p>
            <w:pPr>
              <w:ind w:leftChars="0" w:left="0" w:right="0"/>
            </w:pPr>
            <w:r>
              <w:t>XNEW</w:t>
            </w:r>
          </w:p>
        </w:tc>
        <w:tc>
          <w:tcPr>
            <w:cnfStyle w:evenVBand="true" w:oddVBand="false" w:firstColumn="false"/>
            <w:tcW w:w="25.000000%" w:type="pct"/>
          </w:tcPr>
          <w:p>
            <w:pPr>
              <w:ind w:leftChars="0" w:left="0" w:right="0"/>
            </w:pPr>
            <w:r>
              <w:t>XNEW</w:t>
            </w:r>
          </w:p>
        </w:tc>
        <w:tc>
          <w:tcPr>
            <w:cnfStyle w:evenVBand="false" w:oddVBand="true" w:firstColumn="false"/>
            <w:tcW w:w="25.000000%" w:type="pct"/>
          </w:tcPr>
          <w:p>
            <w:pPr>
              <w:ind w:leftChars="0" w:left="0" w:right="0"/>
            </w:pPr>
            <w:r>
              <w:t>NEWEX</w:t>
            </w:r>
          </w:p>
        </w:tc>
        <w:tc>
          <w:tcPr>
            <w:cnfStyle w:evenVBand="true" w:oddVBand="false" w:firstColumn="false"/>
            <w:tcW w:w="25.000000%" w:type="pct"/>
          </w:tcPr>
          <w:p>
            <w:pPr>
              <w:ind w:leftChars="0" w:left="0" w:right="0"/>
            </w:pPr>
            <w:r>
              <w:t>2315</w:t>
            </w:r>
          </w:p>
        </w:tc>
      </w:tr>
      <w:tr>
        <w:trPr>
          <w:cnfStyle w:evenHBand="false" w:oddHBand="true" w:firstRow="false"/>
        </w:trPr>
        <w:tc>
          <w:tcPr>
            <w:cnfStyle w:evenVBand="false" w:oddVBand="true" w:firstColumn="false"/>
            <w:tcW w:w="25.000000%" w:type="pct"/>
          </w:tcPr>
          <w:p>
            <w:pPr>
              <w:ind w:leftChars="0" w:left="0" w:right="0"/>
            </w:pPr>
            <w:r>
              <w:t>XNFI</w:t>
            </w:r>
          </w:p>
        </w:tc>
        <w:tc>
          <w:tcPr>
            <w:cnfStyle w:evenVBand="true" w:oddVBand="false" w:firstColumn="false"/>
            <w:tcW w:w="25.000000%" w:type="pct"/>
          </w:tcPr>
          <w:p>
            <w:pPr>
              <w:ind w:leftChars="0" w:left="0" w:right="0"/>
            </w:pPr>
            <w:r>
              <w:t>XNFI</w:t>
            </w:r>
          </w:p>
        </w:tc>
        <w:tc>
          <w:tcPr>
            <w:cnfStyle w:evenVBand="false" w:oddVBand="true" w:firstColumn="false"/>
            <w:tcW w:w="25.000000%" w:type="pct"/>
          </w:tcPr>
          <w:p>
            <w:pPr>
              <w:ind w:leftChars="0" w:left="0" w:right="0"/>
            </w:pPr>
            <w:r>
              <w:t>NASDAQ FIXED INCOME TRADING</w:t>
            </w:r>
          </w:p>
        </w:tc>
        <w:tc>
          <w:tcPr>
            <w:cnfStyle w:evenVBand="true" w:oddVBand="false" w:firstColumn="false"/>
            <w:tcW w:w="25.000000%" w:type="pct"/>
          </w:tcPr>
          <w:p>
            <w:pPr>
              <w:ind w:leftChars="0" w:left="0" w:right="0"/>
            </w:pPr>
            <w:r>
              <w:t>2316</w:t>
            </w:r>
          </w:p>
        </w:tc>
      </w:tr>
      <w:tr>
        <w:trPr>
          <w:cnfStyle w:evenHBand="true" w:oddHBand="false" w:firstRow="false"/>
        </w:trPr>
        <w:tc>
          <w:tcPr>
            <w:cnfStyle w:evenVBand="false" w:oddVBand="true" w:firstColumn="false"/>
            <w:tcW w:w="25.000000%" w:type="pct"/>
          </w:tcPr>
          <w:p>
            <w:pPr>
              <w:ind w:leftChars="0" w:left="0" w:right="0"/>
            </w:pPr>
            <w:r>
              <w:t>XNGM</w:t>
            </w:r>
          </w:p>
        </w:tc>
        <w:tc>
          <w:tcPr>
            <w:cnfStyle w:evenVBand="true" w:oddVBand="false" w:firstColumn="false"/>
            <w:tcW w:w="25.000000%" w:type="pct"/>
          </w:tcPr>
          <w:p>
            <w:pPr>
              <w:ind w:leftChars="0" w:left="0" w:right="0"/>
            </w:pPr>
            <w:r>
              <w:t>XNGM</w:t>
            </w:r>
          </w:p>
        </w:tc>
        <w:tc>
          <w:tcPr>
            <w:cnfStyle w:evenVBand="false" w:oddVBand="true" w:firstColumn="false"/>
            <w:tcW w:w="25.000000%" w:type="pct"/>
          </w:tcPr>
          <w:p>
            <w:pPr>
              <w:ind w:leftChars="0" w:left="0" w:right="0"/>
            </w:pPr>
            <w:r>
              <w:t>NORDIC GROWTH MARKET</w:t>
            </w:r>
          </w:p>
        </w:tc>
        <w:tc>
          <w:tcPr>
            <w:cnfStyle w:evenVBand="true" w:oddVBand="false" w:firstColumn="false"/>
            <w:tcW w:w="25.000000%" w:type="pct"/>
          </w:tcPr>
          <w:p>
            <w:pPr>
              <w:ind w:leftChars="0" w:left="0" w:right="0"/>
            </w:pPr>
            <w:r>
              <w:t>2317</w:t>
            </w:r>
          </w:p>
        </w:tc>
      </w:tr>
      <w:tr>
        <w:trPr>
          <w:cnfStyle w:evenHBand="false" w:oddHBand="true" w:firstRow="false"/>
        </w:trPr>
        <w:tc>
          <w:tcPr>
            <w:cnfStyle w:evenVBand="false" w:oddVBand="true" w:firstColumn="false"/>
            <w:tcW w:w="25.000000%" w:type="pct"/>
          </w:tcPr>
          <w:p>
            <w:pPr>
              <w:ind w:leftChars="0" w:left="0" w:right="0"/>
            </w:pPr>
            <w:r>
              <w:t>XNGO</w:t>
            </w:r>
          </w:p>
        </w:tc>
        <w:tc>
          <w:tcPr>
            <w:cnfStyle w:evenVBand="true" w:oddVBand="false" w:firstColumn="false"/>
            <w:tcW w:w="25.000000%" w:type="pct"/>
          </w:tcPr>
          <w:p>
            <w:pPr>
              <w:ind w:leftChars="0" w:left="0" w:right="0"/>
            </w:pPr>
            <w:r>
              <w:t>XNGO</w:t>
            </w:r>
          </w:p>
        </w:tc>
        <w:tc>
          <w:tcPr>
            <w:cnfStyle w:evenVBand="false" w:oddVBand="true" w:firstColumn="false"/>
            <w:tcW w:w="25.000000%" w:type="pct"/>
          </w:tcPr>
          <w:p>
            <w:pPr>
              <w:ind w:leftChars="0" w:left="0" w:right="0"/>
            </w:pPr>
            <w:r>
              <w:t>NAGOYA STOCK EXCHANGE</w:t>
            </w:r>
          </w:p>
        </w:tc>
        <w:tc>
          <w:tcPr>
            <w:cnfStyle w:evenVBand="true" w:oddVBand="false" w:firstColumn="false"/>
            <w:tcW w:w="25.000000%" w:type="pct"/>
          </w:tcPr>
          <w:p>
            <w:pPr>
              <w:ind w:leftChars="0" w:left="0" w:right="0"/>
            </w:pPr>
            <w:r>
              <w:t>2318</w:t>
            </w:r>
          </w:p>
        </w:tc>
      </w:tr>
      <w:tr>
        <w:trPr>
          <w:cnfStyle w:evenHBand="true" w:oddHBand="false" w:firstRow="false"/>
        </w:trPr>
        <w:tc>
          <w:tcPr>
            <w:cnfStyle w:evenVBand="false" w:oddVBand="true" w:firstColumn="false"/>
            <w:tcW w:w="25.000000%" w:type="pct"/>
          </w:tcPr>
          <w:p>
            <w:pPr>
              <w:ind w:leftChars="0" w:left="0" w:right="0"/>
            </w:pPr>
            <w:r>
              <w:t>XNGS</w:t>
            </w:r>
          </w:p>
        </w:tc>
        <w:tc>
          <w:tcPr>
            <w:cnfStyle w:evenVBand="true" w:oddVBand="false" w:firstColumn="false"/>
            <w:tcW w:w="25.000000%" w:type="pct"/>
          </w:tcPr>
          <w:p>
            <w:pPr>
              <w:ind w:leftChars="0" w:left="0" w:right="0"/>
            </w:pPr>
            <w:r>
              <w:t>XNGS</w:t>
            </w:r>
          </w:p>
        </w:tc>
        <w:tc>
          <w:tcPr>
            <w:cnfStyle w:evenVBand="false" w:oddVBand="true" w:firstColumn="false"/>
            <w:tcW w:w="25.000000%" w:type="pct"/>
          </w:tcPr>
          <w:p>
            <w:pPr>
              <w:ind w:leftChars="0" w:left="0" w:right="0"/>
            </w:pPr>
            <w:r>
              <w:t>NASDAQ/NGS (GLOBAL SELECT MARKET)</w:t>
            </w:r>
          </w:p>
        </w:tc>
        <w:tc>
          <w:tcPr>
            <w:cnfStyle w:evenVBand="true" w:oddVBand="false" w:firstColumn="false"/>
            <w:tcW w:w="25.000000%" w:type="pct"/>
          </w:tcPr>
          <w:p>
            <w:pPr>
              <w:ind w:leftChars="0" w:left="0" w:right="0"/>
            </w:pPr>
            <w:r>
              <w:t>2319</w:t>
            </w:r>
          </w:p>
        </w:tc>
      </w:tr>
      <w:tr>
        <w:trPr>
          <w:cnfStyle w:evenHBand="false" w:oddHBand="true" w:firstRow="false"/>
        </w:trPr>
        <w:tc>
          <w:tcPr>
            <w:cnfStyle w:evenVBand="false" w:oddVBand="true" w:firstColumn="false"/>
            <w:tcW w:w="25.000000%" w:type="pct"/>
          </w:tcPr>
          <w:p>
            <w:pPr>
              <w:ind w:leftChars="0" w:left="0" w:right="0"/>
            </w:pPr>
            <w:r>
              <w:t>XNII</w:t>
            </w:r>
          </w:p>
        </w:tc>
        <w:tc>
          <w:tcPr>
            <w:cnfStyle w:evenVBand="true" w:oddVBand="false" w:firstColumn="false"/>
            <w:tcW w:w="25.000000%" w:type="pct"/>
          </w:tcPr>
          <w:p>
            <w:pPr>
              <w:ind w:leftChars="0" w:left="0" w:right="0"/>
            </w:pPr>
            <w:r>
              <w:t>XNII</w:t>
            </w:r>
          </w:p>
        </w:tc>
        <w:tc>
          <w:tcPr>
            <w:cnfStyle w:evenVBand="false" w:oddVBand="true" w:firstColumn="false"/>
            <w:tcW w:w="25.000000%" w:type="pct"/>
          </w:tcPr>
          <w:p>
            <w:pPr>
              <w:ind w:leftChars="0" w:left="0" w:right="0"/>
            </w:pPr>
            <w:r>
              <w:t>NIIGATA STOCK EXCHANGE</w:t>
            </w:r>
          </w:p>
        </w:tc>
        <w:tc>
          <w:tcPr>
            <w:cnfStyle w:evenVBand="true" w:oddVBand="false" w:firstColumn="false"/>
            <w:tcW w:w="25.000000%" w:type="pct"/>
          </w:tcPr>
          <w:p>
            <w:pPr>
              <w:ind w:leftChars="0" w:left="0" w:right="0"/>
            </w:pPr>
            <w:r>
              <w:t>2320</w:t>
            </w:r>
          </w:p>
        </w:tc>
      </w:tr>
      <w:tr>
        <w:trPr>
          <w:cnfStyle w:evenHBand="true" w:oddHBand="false" w:firstRow="false"/>
        </w:trPr>
        <w:tc>
          <w:tcPr>
            <w:cnfStyle w:evenVBand="false" w:oddVBand="true" w:firstColumn="false"/>
            <w:tcW w:w="25.000000%" w:type="pct"/>
          </w:tcPr>
          <w:p>
            <w:pPr>
              <w:ind w:leftChars="0" w:left="0" w:right="0"/>
            </w:pPr>
            <w:r>
              <w:t>XNIM</w:t>
            </w:r>
          </w:p>
        </w:tc>
        <w:tc>
          <w:tcPr>
            <w:cnfStyle w:evenVBand="true" w:oddVBand="false" w:firstColumn="false"/>
            <w:tcW w:w="25.000000%" w:type="pct"/>
          </w:tcPr>
          <w:p>
            <w:pPr>
              <w:ind w:leftChars="0" w:left="0" w:right="0"/>
            </w:pPr>
            <w:r>
              <w:t>XNIM</w:t>
            </w:r>
          </w:p>
        </w:tc>
        <w:tc>
          <w:tcPr>
            <w:cnfStyle w:evenVBand="false" w:oddVBand="true" w:firstColumn="false"/>
            <w:tcW w:w="25.000000%" w:type="pct"/>
          </w:tcPr>
          <w:p>
            <w:pPr>
              <w:ind w:leftChars="0" w:left="0" w:right="0"/>
            </w:pPr>
            <w:r>
              <w:t>NASDAQ INTERMARKET</w:t>
            </w:r>
          </w:p>
        </w:tc>
        <w:tc>
          <w:tcPr>
            <w:cnfStyle w:evenVBand="true" w:oddVBand="false" w:firstColumn="false"/>
            <w:tcW w:w="25.000000%" w:type="pct"/>
          </w:tcPr>
          <w:p>
            <w:pPr>
              <w:ind w:leftChars="0" w:left="0" w:right="0"/>
            </w:pPr>
            <w:r>
              <w:t>2321</w:t>
            </w:r>
          </w:p>
        </w:tc>
      </w:tr>
      <w:tr>
        <w:trPr>
          <w:cnfStyle w:evenHBand="false" w:oddHBand="true" w:firstRow="false"/>
        </w:trPr>
        <w:tc>
          <w:tcPr>
            <w:cnfStyle w:evenVBand="false" w:oddVBand="true" w:firstColumn="false"/>
            <w:tcW w:w="25.000000%" w:type="pct"/>
          </w:tcPr>
          <w:p>
            <w:pPr>
              <w:ind w:leftChars="0" w:left="0" w:right="0"/>
            </w:pPr>
            <w:r>
              <w:t>XNKS</w:t>
            </w:r>
          </w:p>
        </w:tc>
        <w:tc>
          <w:tcPr>
            <w:cnfStyle w:evenVBand="true" w:oddVBand="false" w:firstColumn="false"/>
            <w:tcW w:w="25.000000%" w:type="pct"/>
          </w:tcPr>
          <w:p>
            <w:pPr>
              <w:ind w:leftChars="0" w:left="0" w:right="0"/>
            </w:pPr>
            <w:r>
              <w:t>XNKS</w:t>
            </w:r>
          </w:p>
        </w:tc>
        <w:tc>
          <w:tcPr>
            <w:cnfStyle w:evenVBand="false" w:oddVBand="true" w:firstColumn="false"/>
            <w:tcW w:w="25.000000%" w:type="pct"/>
          </w:tcPr>
          <w:p>
            <w:pPr>
              <w:ind w:leftChars="0" w:left="0" w:right="0"/>
            </w:pPr>
            <w:r>
              <w:t>CENTRAL JAPAN COMMODITIES EXCHANGE</w:t>
            </w:r>
          </w:p>
        </w:tc>
        <w:tc>
          <w:tcPr>
            <w:cnfStyle w:evenVBand="true" w:oddVBand="false" w:firstColumn="false"/>
            <w:tcW w:w="25.000000%" w:type="pct"/>
          </w:tcPr>
          <w:p>
            <w:pPr>
              <w:ind w:leftChars="0" w:left="0" w:right="0"/>
            </w:pPr>
            <w:r>
              <w:t>2322</w:t>
            </w:r>
          </w:p>
        </w:tc>
      </w:tr>
      <w:tr>
        <w:trPr>
          <w:cnfStyle w:evenHBand="true" w:oddHBand="false" w:firstRow="false"/>
        </w:trPr>
        <w:tc>
          <w:tcPr>
            <w:cnfStyle w:evenVBand="false" w:oddVBand="true" w:firstColumn="false"/>
            <w:tcW w:w="25.000000%" w:type="pct"/>
          </w:tcPr>
          <w:p>
            <w:pPr>
              <w:ind w:leftChars="0" w:left="0" w:right="0"/>
            </w:pPr>
            <w:r>
              <w:t>XNLI</w:t>
            </w:r>
          </w:p>
        </w:tc>
        <w:tc>
          <w:tcPr>
            <w:cnfStyle w:evenVBand="true" w:oddVBand="false" w:firstColumn="false"/>
            <w:tcW w:w="25.000000%" w:type="pct"/>
          </w:tcPr>
          <w:p>
            <w:pPr>
              <w:ind w:leftChars="0" w:left="0" w:right="0"/>
            </w:pPr>
            <w:r>
              <w:t>XNLI</w:t>
            </w:r>
          </w:p>
        </w:tc>
        <w:tc>
          <w:tcPr>
            <w:cnfStyle w:evenVBand="false" w:oddVBand="true" w:firstColumn="false"/>
            <w:tcW w:w="25.000000%" w:type="pct"/>
          </w:tcPr>
          <w:p>
            <w:pPr>
              <w:ind w:leftChars="0" w:left="0" w:right="0"/>
            </w:pPr>
            <w:r>
              <w:t>NYSE LIFFE</w:t>
            </w:r>
          </w:p>
        </w:tc>
        <w:tc>
          <w:tcPr>
            <w:cnfStyle w:evenVBand="true" w:oddVBand="false" w:firstColumn="false"/>
            <w:tcW w:w="25.000000%" w:type="pct"/>
          </w:tcPr>
          <w:p>
            <w:pPr>
              <w:ind w:leftChars="0" w:left="0" w:right="0"/>
            </w:pPr>
            <w:r>
              <w:t>2323</w:t>
            </w:r>
          </w:p>
        </w:tc>
      </w:tr>
      <w:tr>
        <w:trPr>
          <w:cnfStyle w:evenHBand="false" w:oddHBand="true" w:firstRow="false"/>
        </w:trPr>
        <w:tc>
          <w:tcPr>
            <w:cnfStyle w:evenVBand="false" w:oddVBand="true" w:firstColumn="false"/>
            <w:tcW w:w="25.000000%" w:type="pct"/>
          </w:tcPr>
          <w:p>
            <w:pPr>
              <w:ind w:leftChars="0" w:left="0" w:right="0"/>
            </w:pPr>
            <w:r>
              <w:t>XNLX</w:t>
            </w:r>
          </w:p>
        </w:tc>
        <w:tc>
          <w:tcPr>
            <w:cnfStyle w:evenVBand="true" w:oddVBand="false" w:firstColumn="false"/>
            <w:tcW w:w="25.000000%" w:type="pct"/>
          </w:tcPr>
          <w:p>
            <w:pPr>
              <w:ind w:leftChars="0" w:left="0" w:right="0"/>
            </w:pPr>
            <w:r>
              <w:t>XNLX</w:t>
            </w:r>
          </w:p>
        </w:tc>
        <w:tc>
          <w:tcPr>
            <w:cnfStyle w:evenVBand="false" w:oddVBand="true" w:firstColumn="false"/>
            <w:tcW w:w="25.000000%" w:type="pct"/>
          </w:tcPr>
          <w:p>
            <w:pPr>
              <w:ind w:leftChars="0" w:left="0" w:right="0"/>
            </w:pPr>
            <w:r>
              <w:t>NASDAQ OMX NLX</w:t>
            </w:r>
          </w:p>
        </w:tc>
        <w:tc>
          <w:tcPr>
            <w:cnfStyle w:evenVBand="true" w:oddVBand="false" w:firstColumn="false"/>
            <w:tcW w:w="25.000000%" w:type="pct"/>
          </w:tcPr>
          <w:p>
            <w:pPr>
              <w:ind w:leftChars="0" w:left="0" w:right="0"/>
            </w:pPr>
            <w:r>
              <w:t>2324</w:t>
            </w:r>
          </w:p>
        </w:tc>
      </w:tr>
      <w:tr>
        <w:trPr>
          <w:cnfStyle w:evenHBand="true" w:oddHBand="false" w:firstRow="false"/>
        </w:trPr>
        <w:tc>
          <w:tcPr>
            <w:cnfStyle w:evenVBand="false" w:oddVBand="true" w:firstColumn="false"/>
            <w:tcW w:w="25.000000%" w:type="pct"/>
          </w:tcPr>
          <w:p>
            <w:pPr>
              <w:ind w:leftChars="0" w:left="0" w:right="0"/>
            </w:pPr>
            <w:r>
              <w:t>XNMR</w:t>
            </w:r>
          </w:p>
        </w:tc>
        <w:tc>
          <w:tcPr>
            <w:cnfStyle w:evenVBand="true" w:oddVBand="false" w:firstColumn="false"/>
            <w:tcW w:w="25.000000%" w:type="pct"/>
          </w:tcPr>
          <w:p>
            <w:pPr>
              <w:ind w:leftChars="0" w:left="0" w:right="0"/>
            </w:pPr>
            <w:r>
              <w:t>XNMR</w:t>
            </w:r>
          </w:p>
        </w:tc>
        <w:tc>
          <w:tcPr>
            <w:cnfStyle w:evenVBand="false" w:oddVBand="true" w:firstColumn="false"/>
            <w:tcW w:w="25.000000%" w:type="pct"/>
          </w:tcPr>
          <w:p>
            <w:pPr>
              <w:ind w:leftChars="0" w:left="0" w:right="0"/>
            </w:pPr>
            <w:r>
              <w:t>NORDIC MTF REPORTING</w:t>
            </w:r>
          </w:p>
        </w:tc>
        <w:tc>
          <w:tcPr>
            <w:cnfStyle w:evenVBand="true" w:oddVBand="false" w:firstColumn="false"/>
            <w:tcW w:w="25.000000%" w:type="pct"/>
          </w:tcPr>
          <w:p>
            <w:pPr>
              <w:ind w:leftChars="0" w:left="0" w:right="0"/>
            </w:pPr>
            <w:r>
              <w:t>2325</w:t>
            </w:r>
          </w:p>
        </w:tc>
      </w:tr>
      <w:tr>
        <w:trPr>
          <w:cnfStyle w:evenHBand="false" w:oddHBand="true" w:firstRow="false"/>
        </w:trPr>
        <w:tc>
          <w:tcPr>
            <w:cnfStyle w:evenVBand="false" w:oddVBand="true" w:firstColumn="false"/>
            <w:tcW w:w="25.000000%" w:type="pct"/>
          </w:tcPr>
          <w:p>
            <w:pPr>
              <w:ind w:leftChars="0" w:left="0" w:right="0"/>
            </w:pPr>
            <w:r>
              <w:t>XNMS</w:t>
            </w:r>
          </w:p>
        </w:tc>
        <w:tc>
          <w:tcPr>
            <w:cnfStyle w:evenVBand="true" w:oddVBand="false" w:firstColumn="false"/>
            <w:tcW w:w="25.000000%" w:type="pct"/>
          </w:tcPr>
          <w:p>
            <w:pPr>
              <w:ind w:leftChars="0" w:left="0" w:right="0"/>
            </w:pPr>
            <w:r>
              <w:t>XNMS</w:t>
            </w:r>
          </w:p>
        </w:tc>
        <w:tc>
          <w:tcPr>
            <w:cnfStyle w:evenVBand="false" w:oddVBand="true" w:firstColumn="false"/>
            <w:tcW w:w="25.000000%" w:type="pct"/>
          </w:tcPr>
          <w:p>
            <w:pPr>
              <w:ind w:leftChars="0" w:left="0" w:right="0"/>
            </w:pPr>
            <w:r>
              <w:t>NASDAQ/NMS (GLOBAL MARKET)</w:t>
            </w:r>
          </w:p>
        </w:tc>
        <w:tc>
          <w:tcPr>
            <w:cnfStyle w:evenVBand="true" w:oddVBand="false" w:firstColumn="false"/>
            <w:tcW w:w="25.000000%" w:type="pct"/>
          </w:tcPr>
          <w:p>
            <w:pPr>
              <w:ind w:leftChars="0" w:left="0" w:right="0"/>
            </w:pPr>
            <w:r>
              <w:t>2326</w:t>
            </w:r>
          </w:p>
        </w:tc>
      </w:tr>
      <w:tr>
        <w:trPr>
          <w:cnfStyle w:evenHBand="true" w:oddHBand="false" w:firstRow="false"/>
        </w:trPr>
        <w:tc>
          <w:tcPr>
            <w:cnfStyle w:evenVBand="false" w:oddVBand="true" w:firstColumn="false"/>
            <w:tcW w:w="25.000000%" w:type="pct"/>
          </w:tcPr>
          <w:p>
            <w:pPr>
              <w:ind w:leftChars="0" w:left="0" w:right="0"/>
            </w:pPr>
            <w:r>
              <w:t>XNOM</w:t>
            </w:r>
          </w:p>
        </w:tc>
        <w:tc>
          <w:tcPr>
            <w:cnfStyle w:evenVBand="true" w:oddVBand="false" w:firstColumn="false"/>
            <w:tcW w:w="25.000000%" w:type="pct"/>
          </w:tcPr>
          <w:p>
            <w:pPr>
              <w:ind w:leftChars="0" w:left="0" w:right="0"/>
            </w:pPr>
            <w:r>
              <w:t>XNOM</w:t>
            </w:r>
          </w:p>
        </w:tc>
        <w:tc>
          <w:tcPr>
            <w:cnfStyle w:evenVBand="false" w:oddVBand="true" w:firstColumn="false"/>
            <w:tcW w:w="25.000000%" w:type="pct"/>
          </w:tcPr>
          <w:p>
            <w:pPr>
              <w:ind w:leftChars="0" w:left="0" w:right="0"/>
            </w:pPr>
            <w:r>
              <w:t>NOMISMA (LIECHTENSTEIN) AG</w:t>
            </w:r>
          </w:p>
        </w:tc>
        <w:tc>
          <w:tcPr>
            <w:cnfStyle w:evenVBand="true" w:oddVBand="false" w:firstColumn="false"/>
            <w:tcW w:w="25.000000%" w:type="pct"/>
          </w:tcPr>
          <w:p>
            <w:pPr>
              <w:ind w:leftChars="0" w:left="0" w:right="0"/>
            </w:pPr>
            <w:r>
              <w:t>2327</w:t>
            </w:r>
          </w:p>
        </w:tc>
      </w:tr>
      <w:tr>
        <w:trPr>
          <w:cnfStyle w:evenHBand="false" w:oddHBand="true" w:firstRow="false"/>
        </w:trPr>
        <w:tc>
          <w:tcPr>
            <w:cnfStyle w:evenVBand="false" w:oddVBand="true" w:firstColumn="false"/>
            <w:tcW w:w="25.000000%" w:type="pct"/>
          </w:tcPr>
          <w:p>
            <w:pPr>
              <w:ind w:leftChars="0" w:left="0" w:right="0"/>
            </w:pPr>
            <w:r>
              <w:t>XNOR</w:t>
            </w:r>
          </w:p>
        </w:tc>
        <w:tc>
          <w:tcPr>
            <w:cnfStyle w:evenVBand="true" w:oddVBand="false" w:firstColumn="false"/>
            <w:tcW w:w="25.000000%" w:type="pct"/>
          </w:tcPr>
          <w:p>
            <w:pPr>
              <w:ind w:leftChars="0" w:left="0" w:right="0"/>
            </w:pPr>
            <w:r>
              <w:t>XNOR</w:t>
            </w:r>
          </w:p>
        </w:tc>
        <w:tc>
          <w:tcPr>
            <w:cnfStyle w:evenVBand="false" w:oddVBand="true" w:firstColumn="false"/>
            <w:tcW w:w="25.000000%" w:type="pct"/>
          </w:tcPr>
          <w:p>
            <w:pPr>
              <w:ind w:leftChars="0" w:left="0" w:right="0"/>
            </w:pPr>
            <w:r>
              <w:t>NORDEA - SYSTEMATIC INTERNALISER</w:t>
            </w:r>
          </w:p>
        </w:tc>
        <w:tc>
          <w:tcPr>
            <w:cnfStyle w:evenVBand="true" w:oddVBand="false" w:firstColumn="false"/>
            <w:tcW w:w="25.000000%" w:type="pct"/>
          </w:tcPr>
          <w:p>
            <w:pPr>
              <w:ind w:leftChars="0" w:left="0" w:right="0"/>
            </w:pPr>
            <w:r>
              <w:t>2328</w:t>
            </w:r>
          </w:p>
        </w:tc>
      </w:tr>
      <w:tr>
        <w:trPr>
          <w:cnfStyle w:evenHBand="true" w:oddHBand="false" w:firstRow="false"/>
        </w:trPr>
        <w:tc>
          <w:tcPr>
            <w:cnfStyle w:evenVBand="false" w:oddVBand="true" w:firstColumn="false"/>
            <w:tcW w:w="25.000000%" w:type="pct"/>
          </w:tcPr>
          <w:p>
            <w:pPr>
              <w:ind w:leftChars="0" w:left="0" w:right="0"/>
            </w:pPr>
            <w:r>
              <w:t>XNQL</w:t>
            </w:r>
          </w:p>
        </w:tc>
        <w:tc>
          <w:tcPr>
            <w:cnfStyle w:evenVBand="true" w:oddVBand="false" w:firstColumn="false"/>
            <w:tcW w:w="25.000000%" w:type="pct"/>
          </w:tcPr>
          <w:p>
            <w:pPr>
              <w:ind w:leftChars="0" w:left="0" w:right="0"/>
            </w:pPr>
            <w:r>
              <w:t>XNQL</w:t>
            </w:r>
          </w:p>
        </w:tc>
        <w:tc>
          <w:tcPr>
            <w:cnfStyle w:evenVBand="false" w:oddVBand="true" w:firstColumn="false"/>
            <w:tcW w:w="25.000000%" w:type="pct"/>
          </w:tcPr>
          <w:p>
            <w:pPr>
              <w:ind w:leftChars="0" w:left="0" w:right="0"/>
            </w:pPr>
            <w:r>
              <w:t>NQLX</w:t>
            </w:r>
          </w:p>
        </w:tc>
        <w:tc>
          <w:tcPr>
            <w:cnfStyle w:evenVBand="true" w:oddVBand="false" w:firstColumn="false"/>
            <w:tcW w:w="25.000000%" w:type="pct"/>
          </w:tcPr>
          <w:p>
            <w:pPr>
              <w:ind w:leftChars="0" w:left="0" w:right="0"/>
            </w:pPr>
            <w:r>
              <w:t>2329</w:t>
            </w:r>
          </w:p>
        </w:tc>
      </w:tr>
      <w:tr>
        <w:trPr>
          <w:cnfStyle w:evenHBand="false" w:oddHBand="true" w:firstRow="false"/>
        </w:trPr>
        <w:tc>
          <w:tcPr>
            <w:cnfStyle w:evenVBand="false" w:oddVBand="true" w:firstColumn="false"/>
            <w:tcW w:w="25.000000%" w:type="pct"/>
          </w:tcPr>
          <w:p>
            <w:pPr>
              <w:ind w:leftChars="0" w:left="0" w:right="0"/>
            </w:pPr>
            <w:r>
              <w:t>XNSA</w:t>
            </w:r>
          </w:p>
        </w:tc>
        <w:tc>
          <w:tcPr>
            <w:cnfStyle w:evenVBand="true" w:oddVBand="false" w:firstColumn="false"/>
            <w:tcW w:w="25.000000%" w:type="pct"/>
          </w:tcPr>
          <w:p>
            <w:pPr>
              <w:ind w:leftChars="0" w:left="0" w:right="0"/>
            </w:pPr>
            <w:r>
              <w:t>XNSA</w:t>
            </w:r>
          </w:p>
        </w:tc>
        <w:tc>
          <w:tcPr>
            <w:cnfStyle w:evenVBand="false" w:oddVBand="true" w:firstColumn="false"/>
            <w:tcW w:w="25.000000%" w:type="pct"/>
          </w:tcPr>
          <w:p>
            <w:pPr>
              <w:ind w:leftChars="0" w:left="0" w:right="0"/>
            </w:pPr>
            <w:r>
              <w:t>THE NIGERIAN STOCK EXCHANGE</w:t>
            </w:r>
          </w:p>
        </w:tc>
        <w:tc>
          <w:tcPr>
            <w:cnfStyle w:evenVBand="true" w:oddVBand="false" w:firstColumn="false"/>
            <w:tcW w:w="25.000000%" w:type="pct"/>
          </w:tcPr>
          <w:p>
            <w:pPr>
              <w:ind w:leftChars="0" w:left="0" w:right="0"/>
            </w:pPr>
            <w:r>
              <w:t>2330</w:t>
            </w:r>
          </w:p>
        </w:tc>
      </w:tr>
      <w:tr>
        <w:trPr>
          <w:cnfStyle w:evenHBand="true" w:oddHBand="false" w:firstRow="false"/>
        </w:trPr>
        <w:tc>
          <w:tcPr>
            <w:cnfStyle w:evenVBand="false" w:oddVBand="true" w:firstColumn="false"/>
            <w:tcW w:w="25.000000%" w:type="pct"/>
          </w:tcPr>
          <w:p>
            <w:pPr>
              <w:ind w:leftChars="0" w:left="0" w:right="0"/>
            </w:pPr>
            <w:r>
              <w:t>XNSE</w:t>
            </w:r>
          </w:p>
        </w:tc>
        <w:tc>
          <w:tcPr>
            <w:cnfStyle w:evenVBand="true" w:oddVBand="false" w:firstColumn="false"/>
            <w:tcW w:w="25.000000%" w:type="pct"/>
          </w:tcPr>
          <w:p>
            <w:pPr>
              <w:ind w:leftChars="0" w:left="0" w:right="0"/>
            </w:pPr>
            <w:r>
              <w:t>XNSE</w:t>
            </w:r>
          </w:p>
        </w:tc>
        <w:tc>
          <w:tcPr>
            <w:cnfStyle w:evenVBand="false" w:oddVBand="true" w:firstColumn="false"/>
            <w:tcW w:w="25.000000%" w:type="pct"/>
          </w:tcPr>
          <w:p>
            <w:pPr>
              <w:ind w:leftChars="0" w:left="0" w:right="0"/>
            </w:pPr>
            <w:r>
              <w:t>NATIONAL STOCK EXCHANGE OF INDIA</w:t>
            </w:r>
          </w:p>
        </w:tc>
        <w:tc>
          <w:tcPr>
            <w:cnfStyle w:evenVBand="true" w:oddVBand="false" w:firstColumn="false"/>
            <w:tcW w:w="25.000000%" w:type="pct"/>
          </w:tcPr>
          <w:p>
            <w:pPr>
              <w:ind w:leftChars="0" w:left="0" w:right="0"/>
            </w:pPr>
            <w:r>
              <w:t>2331</w:t>
            </w:r>
          </w:p>
        </w:tc>
      </w:tr>
      <w:tr>
        <w:trPr>
          <w:cnfStyle w:evenHBand="false" w:oddHBand="true" w:firstRow="false"/>
        </w:trPr>
        <w:tc>
          <w:tcPr>
            <w:cnfStyle w:evenVBand="false" w:oddVBand="true" w:firstColumn="false"/>
            <w:tcW w:w="25.000000%" w:type="pct"/>
          </w:tcPr>
          <w:p>
            <w:pPr>
              <w:ind w:leftChars="0" w:left="0" w:right="0"/>
            </w:pPr>
            <w:r>
              <w:t>XNST</w:t>
            </w:r>
          </w:p>
        </w:tc>
        <w:tc>
          <w:tcPr>
            <w:cnfStyle w:evenVBand="true" w:oddVBand="false" w:firstColumn="false"/>
            <w:tcW w:w="25.000000%" w:type="pct"/>
          </w:tcPr>
          <w:p>
            <w:pPr>
              <w:ind w:leftChars="0" w:left="0" w:right="0"/>
            </w:pPr>
            <w:r>
              <w:t>XNST</w:t>
            </w:r>
          </w:p>
        </w:tc>
        <w:tc>
          <w:tcPr>
            <w:cnfStyle w:evenVBand="false" w:oddVBand="true" w:firstColumn="false"/>
            <w:tcW w:w="25.000000%" w:type="pct"/>
          </w:tcPr>
          <w:p>
            <w:pPr>
              <w:ind w:leftChars="0" w:left="0" w:right="0"/>
            </w:pPr>
            <w:r>
              <w:t>NAGOYA SENI TORIHIKIJO (TEXTILE EXCHANGE) - CHUBU COMMODITY EXCHANGE</w:t>
            </w:r>
          </w:p>
        </w:tc>
        <w:tc>
          <w:tcPr>
            <w:cnfStyle w:evenVBand="true" w:oddVBand="false" w:firstColumn="false"/>
            <w:tcW w:w="25.000000%" w:type="pct"/>
          </w:tcPr>
          <w:p>
            <w:pPr>
              <w:ind w:leftChars="0" w:left="0" w:right="0"/>
            </w:pPr>
            <w:r>
              <w:t>2332</w:t>
            </w:r>
          </w:p>
        </w:tc>
      </w:tr>
      <w:tr>
        <w:trPr>
          <w:cnfStyle w:evenHBand="true" w:oddHBand="false" w:firstRow="false"/>
        </w:trPr>
        <w:tc>
          <w:tcPr>
            <w:cnfStyle w:evenVBand="false" w:oddVBand="true" w:firstColumn="false"/>
            <w:tcW w:w="25.000000%" w:type="pct"/>
          </w:tcPr>
          <w:p>
            <w:pPr>
              <w:ind w:leftChars="0" w:left="0" w:right="0"/>
            </w:pPr>
            <w:r>
              <w:t>XNXC</w:t>
            </w:r>
          </w:p>
        </w:tc>
        <w:tc>
          <w:tcPr>
            <w:cnfStyle w:evenVBand="true" w:oddVBand="false" w:firstColumn="false"/>
            <w:tcW w:w="25.000000%" w:type="pct"/>
          </w:tcPr>
          <w:p>
            <w:pPr>
              <w:ind w:leftChars="0" w:left="0" w:right="0"/>
            </w:pPr>
            <w:r>
              <w:t>XNXC</w:t>
            </w:r>
          </w:p>
        </w:tc>
        <w:tc>
          <w:tcPr>
            <w:cnfStyle w:evenVBand="false" w:oddVBand="true" w:firstColumn="false"/>
            <w:tcW w:w="25.000000%" w:type="pct"/>
          </w:tcPr>
          <w:p>
            <w:pPr>
              <w:ind w:leftChars="0" w:left="0" w:right="0"/>
            </w:pPr>
            <w:r>
              <w:t>NXCHANGE</w:t>
            </w:r>
          </w:p>
        </w:tc>
        <w:tc>
          <w:tcPr>
            <w:cnfStyle w:evenVBand="true" w:oddVBand="false" w:firstColumn="false"/>
            <w:tcW w:w="25.000000%" w:type="pct"/>
          </w:tcPr>
          <w:p>
            <w:pPr>
              <w:ind w:leftChars="0" w:left="0" w:right="0"/>
            </w:pPr>
            <w:r>
              <w:t>2333</w:t>
            </w:r>
          </w:p>
        </w:tc>
      </w:tr>
      <w:tr>
        <w:trPr>
          <w:cnfStyle w:evenHBand="false" w:oddHBand="true" w:firstRow="false"/>
        </w:trPr>
        <w:tc>
          <w:tcPr>
            <w:cnfStyle w:evenVBand="false" w:oddVBand="true" w:firstColumn="false"/>
            <w:tcW w:w="25.000000%" w:type="pct"/>
          </w:tcPr>
          <w:p>
            <w:pPr>
              <w:ind w:leftChars="0" w:left="0" w:right="0"/>
            </w:pPr>
            <w:r>
              <w:t>XNXD</w:t>
            </w:r>
          </w:p>
        </w:tc>
        <w:tc>
          <w:tcPr>
            <w:cnfStyle w:evenVBand="true" w:oddVBand="false" w:firstColumn="false"/>
            <w:tcW w:w="25.000000%" w:type="pct"/>
          </w:tcPr>
          <w:p>
            <w:pPr>
              <w:ind w:leftChars="0" w:left="0" w:right="0"/>
            </w:pPr>
            <w:r>
              <w:t>XNXD</w:t>
            </w:r>
          </w:p>
        </w:tc>
        <w:tc>
          <w:tcPr>
            <w:cnfStyle w:evenVBand="false" w:oddVBand="true" w:firstColumn="false"/>
            <w:tcW w:w="25.000000%" w:type="pct"/>
          </w:tcPr>
          <w:p>
            <w:pPr>
              <w:ind w:leftChars="0" w:left="0" w:right="0"/>
            </w:pPr>
            <w:r>
              <w:t>NXCHANGE B.V. MTF</w:t>
            </w:r>
          </w:p>
        </w:tc>
        <w:tc>
          <w:tcPr>
            <w:cnfStyle w:evenVBand="true" w:oddVBand="false" w:firstColumn="false"/>
            <w:tcW w:w="25.000000%" w:type="pct"/>
          </w:tcPr>
          <w:p>
            <w:pPr>
              <w:ind w:leftChars="0" w:left="0" w:right="0"/>
            </w:pPr>
            <w:r>
              <w:t>2334</w:t>
            </w:r>
          </w:p>
        </w:tc>
      </w:tr>
      <w:tr>
        <w:trPr>
          <w:cnfStyle w:evenHBand="true" w:oddHBand="false" w:firstRow="false"/>
        </w:trPr>
        <w:tc>
          <w:tcPr>
            <w:cnfStyle w:evenVBand="false" w:oddVBand="true" w:firstColumn="false"/>
            <w:tcW w:w="25.000000%" w:type="pct"/>
          </w:tcPr>
          <w:p>
            <w:pPr>
              <w:ind w:leftChars="0" w:left="0" w:right="0"/>
            </w:pPr>
            <w:r>
              <w:t>XNYC</w:t>
            </w:r>
          </w:p>
        </w:tc>
        <w:tc>
          <w:tcPr>
            <w:cnfStyle w:evenVBand="true" w:oddVBand="false" w:firstColumn="false"/>
            <w:tcW w:w="25.000000%" w:type="pct"/>
          </w:tcPr>
          <w:p>
            <w:pPr>
              <w:ind w:leftChars="0" w:left="0" w:right="0"/>
            </w:pPr>
            <w:r>
              <w:t>XNYC</w:t>
            </w:r>
          </w:p>
        </w:tc>
        <w:tc>
          <w:tcPr>
            <w:cnfStyle w:evenVBand="false" w:oddVBand="true" w:firstColumn="false"/>
            <w:tcW w:w="25.000000%" w:type="pct"/>
          </w:tcPr>
          <w:p>
            <w:pPr>
              <w:ind w:leftChars="0" w:left="0" w:right="0"/>
            </w:pPr>
            <w:r>
              <w:t>NEW YORK COTTON EXCHANGE</w:t>
            </w:r>
          </w:p>
        </w:tc>
        <w:tc>
          <w:tcPr>
            <w:cnfStyle w:evenVBand="true" w:oddVBand="false" w:firstColumn="false"/>
            <w:tcW w:w="25.000000%" w:type="pct"/>
          </w:tcPr>
          <w:p>
            <w:pPr>
              <w:ind w:leftChars="0" w:left="0" w:right="0"/>
            </w:pPr>
            <w:r>
              <w:t>2335</w:t>
            </w:r>
          </w:p>
        </w:tc>
      </w:tr>
      <w:tr>
        <w:trPr>
          <w:cnfStyle w:evenHBand="false" w:oddHBand="true" w:firstRow="false"/>
        </w:trPr>
        <w:tc>
          <w:tcPr>
            <w:cnfStyle w:evenVBand="false" w:oddVBand="true" w:firstColumn="false"/>
            <w:tcW w:w="25.000000%" w:type="pct"/>
          </w:tcPr>
          <w:p>
            <w:pPr>
              <w:ind w:leftChars="0" w:left="0" w:right="0"/>
            </w:pPr>
            <w:r>
              <w:t>XNYE</w:t>
            </w:r>
          </w:p>
        </w:tc>
        <w:tc>
          <w:tcPr>
            <w:cnfStyle w:evenVBand="true" w:oddVBand="false" w:firstColumn="false"/>
            <w:tcW w:w="25.000000%" w:type="pct"/>
          </w:tcPr>
          <w:p>
            <w:pPr>
              <w:ind w:leftChars="0" w:left="0" w:right="0"/>
            </w:pPr>
            <w:r>
              <w:t>XNYE</w:t>
            </w:r>
          </w:p>
        </w:tc>
        <w:tc>
          <w:tcPr>
            <w:cnfStyle w:evenVBand="false" w:oddVBand="true" w:firstColumn="false"/>
            <w:tcW w:w="25.000000%" w:type="pct"/>
          </w:tcPr>
          <w:p>
            <w:pPr>
              <w:ind w:leftChars="0" w:left="0" w:right="0"/>
            </w:pPr>
            <w:r>
              <w:t>NEW YORK MERCANTILE EXCHANGE - OTC MARKETS</w:t>
            </w:r>
          </w:p>
        </w:tc>
        <w:tc>
          <w:tcPr>
            <w:cnfStyle w:evenVBand="true" w:oddVBand="false" w:firstColumn="false"/>
            <w:tcW w:w="25.000000%" w:type="pct"/>
          </w:tcPr>
          <w:p>
            <w:pPr>
              <w:ind w:leftChars="0" w:left="0" w:right="0"/>
            </w:pPr>
            <w:r>
              <w:t>2336</w:t>
            </w:r>
          </w:p>
        </w:tc>
      </w:tr>
      <w:tr>
        <w:trPr>
          <w:cnfStyle w:evenHBand="true" w:oddHBand="false" w:firstRow="false"/>
        </w:trPr>
        <w:tc>
          <w:tcPr>
            <w:cnfStyle w:evenVBand="false" w:oddVBand="true" w:firstColumn="false"/>
            <w:tcW w:w="25.000000%" w:type="pct"/>
          </w:tcPr>
          <w:p>
            <w:pPr>
              <w:ind w:leftChars="0" w:left="0" w:right="0"/>
            </w:pPr>
            <w:r>
              <w:t>XNYF</w:t>
            </w:r>
          </w:p>
        </w:tc>
        <w:tc>
          <w:tcPr>
            <w:cnfStyle w:evenVBand="true" w:oddVBand="false" w:firstColumn="false"/>
            <w:tcW w:w="25.000000%" w:type="pct"/>
          </w:tcPr>
          <w:p>
            <w:pPr>
              <w:ind w:leftChars="0" w:left="0" w:right="0"/>
            </w:pPr>
            <w:r>
              <w:t>XNYF</w:t>
            </w:r>
          </w:p>
        </w:tc>
        <w:tc>
          <w:tcPr>
            <w:cnfStyle w:evenVBand="false" w:oddVBand="true" w:firstColumn="false"/>
            <w:tcW w:w="25.000000%" w:type="pct"/>
          </w:tcPr>
          <w:p>
            <w:pPr>
              <w:ind w:leftChars="0" w:left="0" w:right="0"/>
            </w:pPr>
            <w:r>
              <w:t>ICE FUTURES U.S. INC</w:t>
            </w:r>
          </w:p>
        </w:tc>
        <w:tc>
          <w:tcPr>
            <w:cnfStyle w:evenVBand="true" w:oddVBand="false" w:firstColumn="false"/>
            <w:tcW w:w="25.000000%" w:type="pct"/>
          </w:tcPr>
          <w:p>
            <w:pPr>
              <w:ind w:leftChars="0" w:left="0" w:right="0"/>
            </w:pPr>
            <w:r>
              <w:t>2337</w:t>
            </w:r>
          </w:p>
        </w:tc>
      </w:tr>
      <w:tr>
        <w:trPr>
          <w:cnfStyle w:evenHBand="false" w:oddHBand="true" w:firstRow="false"/>
        </w:trPr>
        <w:tc>
          <w:tcPr>
            <w:cnfStyle w:evenVBand="false" w:oddVBand="true" w:firstColumn="false"/>
            <w:tcW w:w="25.000000%" w:type="pct"/>
          </w:tcPr>
          <w:p>
            <w:pPr>
              <w:ind w:leftChars="0" w:left="0" w:right="0"/>
            </w:pPr>
            <w:r>
              <w:t>XNYL</w:t>
            </w:r>
          </w:p>
        </w:tc>
        <w:tc>
          <w:tcPr>
            <w:cnfStyle w:evenVBand="true" w:oddVBand="false" w:firstColumn="false"/>
            <w:tcW w:w="25.000000%" w:type="pct"/>
          </w:tcPr>
          <w:p>
            <w:pPr>
              <w:ind w:leftChars="0" w:left="0" w:right="0"/>
            </w:pPr>
            <w:r>
              <w:t>XNYL</w:t>
            </w:r>
          </w:p>
        </w:tc>
        <w:tc>
          <w:tcPr>
            <w:cnfStyle w:evenVBand="false" w:oddVBand="true" w:firstColumn="false"/>
            <w:tcW w:w="25.000000%" w:type="pct"/>
          </w:tcPr>
          <w:p>
            <w:pPr>
              <w:ind w:leftChars="0" w:left="0" w:right="0"/>
            </w:pPr>
            <w:r>
              <w:t>NEW YORK MERCANTILE EXCHANGE - ENERGY MARKETS</w:t>
            </w:r>
          </w:p>
        </w:tc>
        <w:tc>
          <w:tcPr>
            <w:cnfStyle w:evenVBand="true" w:oddVBand="false" w:firstColumn="false"/>
            <w:tcW w:w="25.000000%" w:type="pct"/>
          </w:tcPr>
          <w:p>
            <w:pPr>
              <w:ind w:leftChars="0" w:left="0" w:right="0"/>
            </w:pPr>
            <w:r>
              <w:t>2338</w:t>
            </w:r>
          </w:p>
        </w:tc>
      </w:tr>
      <w:tr>
        <w:trPr>
          <w:cnfStyle w:evenHBand="true" w:oddHBand="false" w:firstRow="false"/>
        </w:trPr>
        <w:tc>
          <w:tcPr>
            <w:cnfStyle w:evenVBand="false" w:oddVBand="true" w:firstColumn="false"/>
            <w:tcW w:w="25.000000%" w:type="pct"/>
          </w:tcPr>
          <w:p>
            <w:pPr>
              <w:ind w:leftChars="0" w:left="0" w:right="0"/>
            </w:pPr>
            <w:r>
              <w:t>XNYM</w:t>
            </w:r>
          </w:p>
        </w:tc>
        <w:tc>
          <w:tcPr>
            <w:cnfStyle w:evenVBand="true" w:oddVBand="false" w:firstColumn="false"/>
            <w:tcW w:w="25.000000%" w:type="pct"/>
          </w:tcPr>
          <w:p>
            <w:pPr>
              <w:ind w:leftChars="0" w:left="0" w:right="0"/>
            </w:pPr>
            <w:r>
              <w:t>XNYM</w:t>
            </w:r>
          </w:p>
        </w:tc>
        <w:tc>
          <w:tcPr>
            <w:cnfStyle w:evenVBand="false" w:oddVBand="true" w:firstColumn="false"/>
            <w:tcW w:w="25.000000%" w:type="pct"/>
          </w:tcPr>
          <w:p>
            <w:pPr>
              <w:ind w:leftChars="0" w:left="0" w:right="0"/>
            </w:pPr>
            <w:r>
              <w:t>NEW YORK MERCANTILE EXCHANGE</w:t>
            </w:r>
          </w:p>
        </w:tc>
        <w:tc>
          <w:tcPr>
            <w:cnfStyle w:evenVBand="true" w:oddVBand="false" w:firstColumn="false"/>
            <w:tcW w:w="25.000000%" w:type="pct"/>
          </w:tcPr>
          <w:p>
            <w:pPr>
              <w:ind w:leftChars="0" w:left="0" w:right="0"/>
            </w:pPr>
            <w:r>
              <w:t>2339</w:t>
            </w:r>
          </w:p>
        </w:tc>
      </w:tr>
      <w:tr>
        <w:trPr>
          <w:cnfStyle w:evenHBand="false" w:oddHBand="true" w:firstRow="false"/>
        </w:trPr>
        <w:tc>
          <w:tcPr>
            <w:cnfStyle w:evenVBand="false" w:oddVBand="true" w:firstColumn="false"/>
            <w:tcW w:w="25.000000%" w:type="pct"/>
          </w:tcPr>
          <w:p>
            <w:pPr>
              <w:ind w:leftChars="0" w:left="0" w:right="0"/>
            </w:pPr>
            <w:r>
              <w:t>XNYS</w:t>
            </w:r>
          </w:p>
        </w:tc>
        <w:tc>
          <w:tcPr>
            <w:cnfStyle w:evenVBand="true" w:oddVBand="false" w:firstColumn="false"/>
            <w:tcW w:w="25.000000%" w:type="pct"/>
          </w:tcPr>
          <w:p>
            <w:pPr>
              <w:ind w:leftChars="0" w:left="0" w:right="0"/>
            </w:pPr>
            <w:r>
              <w:t>XNYS</w:t>
            </w:r>
          </w:p>
        </w:tc>
        <w:tc>
          <w:tcPr>
            <w:cnfStyle w:evenVBand="false" w:oddVBand="true" w:firstColumn="false"/>
            <w:tcW w:w="25.000000%" w:type="pct"/>
          </w:tcPr>
          <w:p>
            <w:pPr>
              <w:ind w:leftChars="0" w:left="0" w:right="0"/>
            </w:pPr>
            <w:r>
              <w:t>NEW YORK STOCK EXCHANGE, INC.</w:t>
            </w:r>
          </w:p>
        </w:tc>
        <w:tc>
          <w:tcPr>
            <w:cnfStyle w:evenVBand="true" w:oddVBand="false" w:firstColumn="false"/>
            <w:tcW w:w="25.000000%" w:type="pct"/>
          </w:tcPr>
          <w:p>
            <w:pPr>
              <w:ind w:leftChars="0" w:left="0" w:right="0"/>
            </w:pPr>
            <w:r>
              <w:t>2340</w:t>
            </w:r>
          </w:p>
        </w:tc>
      </w:tr>
      <w:tr>
        <w:trPr>
          <w:cnfStyle w:evenHBand="true" w:oddHBand="false" w:firstRow="false"/>
        </w:trPr>
        <w:tc>
          <w:tcPr>
            <w:cnfStyle w:evenVBand="false" w:oddVBand="true" w:firstColumn="false"/>
            <w:tcW w:w="25.000000%" w:type="pct"/>
          </w:tcPr>
          <w:p>
            <w:pPr>
              <w:ind w:leftChars="0" w:left="0" w:right="0"/>
            </w:pPr>
            <w:r>
              <w:t>XNZE</w:t>
            </w:r>
          </w:p>
        </w:tc>
        <w:tc>
          <w:tcPr>
            <w:cnfStyle w:evenVBand="true" w:oddVBand="false" w:firstColumn="false"/>
            <w:tcW w:w="25.000000%" w:type="pct"/>
          </w:tcPr>
          <w:p>
            <w:pPr>
              <w:ind w:leftChars="0" w:left="0" w:right="0"/>
            </w:pPr>
            <w:r>
              <w:t>XNZE</w:t>
            </w:r>
          </w:p>
        </w:tc>
        <w:tc>
          <w:tcPr>
            <w:cnfStyle w:evenVBand="false" w:oddVBand="true" w:firstColumn="false"/>
            <w:tcW w:w="25.000000%" w:type="pct"/>
          </w:tcPr>
          <w:p>
            <w:pPr>
              <w:ind w:leftChars="0" w:left="0" w:right="0"/>
            </w:pPr>
            <w:r>
              <w:t>NEW ZEALAND EXCHANGE LTD</w:t>
            </w:r>
          </w:p>
        </w:tc>
        <w:tc>
          <w:tcPr>
            <w:cnfStyle w:evenVBand="true" w:oddVBand="false" w:firstColumn="false"/>
            <w:tcW w:w="25.000000%" w:type="pct"/>
          </w:tcPr>
          <w:p>
            <w:pPr>
              <w:ind w:leftChars="0" w:left="0" w:right="0"/>
            </w:pPr>
            <w:r>
              <w:t>2341</w:t>
            </w:r>
          </w:p>
        </w:tc>
      </w:tr>
      <w:tr>
        <w:trPr>
          <w:cnfStyle w:evenHBand="false" w:oddHBand="true" w:firstRow="false"/>
        </w:trPr>
        <w:tc>
          <w:tcPr>
            <w:cnfStyle w:evenVBand="false" w:oddVBand="true" w:firstColumn="false"/>
            <w:tcW w:w="25.000000%" w:type="pct"/>
          </w:tcPr>
          <w:p>
            <w:pPr>
              <w:ind w:leftChars="0" w:left="0" w:right="0"/>
            </w:pPr>
            <w:r>
              <w:t>XOAA</w:t>
            </w:r>
          </w:p>
        </w:tc>
        <w:tc>
          <w:tcPr>
            <w:cnfStyle w:evenVBand="true" w:oddVBand="false" w:firstColumn="false"/>
            <w:tcW w:w="25.000000%" w:type="pct"/>
          </w:tcPr>
          <w:p>
            <w:pPr>
              <w:ind w:leftChars="0" w:left="0" w:right="0"/>
            </w:pPr>
            <w:r>
              <w:t>XOAA</w:t>
            </w:r>
          </w:p>
        </w:tc>
        <w:tc>
          <w:tcPr>
            <w:cnfStyle w:evenVBand="false" w:oddVBand="true" w:firstColumn="false"/>
            <w:tcW w:w="25.000000%" w:type="pct"/>
          </w:tcPr>
          <w:p>
            <w:pPr>
              <w:ind w:leftChars="0" w:left="0" w:right="0"/>
            </w:pPr>
            <w:r>
              <w:t>OSLO BORS ASA - OSLO AXESS LIT X AUCTIONS</w:t>
            </w:r>
          </w:p>
        </w:tc>
        <w:tc>
          <w:tcPr>
            <w:cnfStyle w:evenVBand="true" w:oddVBand="false" w:firstColumn="false"/>
            <w:tcW w:w="25.000000%" w:type="pct"/>
          </w:tcPr>
          <w:p>
            <w:pPr>
              <w:ind w:leftChars="0" w:left="0" w:right="0"/>
            </w:pPr>
            <w:r>
              <w:t>2342</w:t>
            </w:r>
          </w:p>
        </w:tc>
      </w:tr>
      <w:tr>
        <w:trPr>
          <w:cnfStyle w:evenHBand="true" w:oddHBand="false" w:firstRow="false"/>
        </w:trPr>
        <w:tc>
          <w:tcPr>
            <w:cnfStyle w:evenVBand="false" w:oddVBand="true" w:firstColumn="false"/>
            <w:tcW w:w="25.000000%" w:type="pct"/>
          </w:tcPr>
          <w:p>
            <w:pPr>
              <w:ind w:leftChars="0" w:left="0" w:right="0"/>
            </w:pPr>
            <w:r>
              <w:t>XOAD</w:t>
            </w:r>
          </w:p>
        </w:tc>
        <w:tc>
          <w:tcPr>
            <w:cnfStyle w:evenVBand="true" w:oddVBand="false" w:firstColumn="false"/>
            <w:tcW w:w="25.000000%" w:type="pct"/>
          </w:tcPr>
          <w:p>
            <w:pPr>
              <w:ind w:leftChars="0" w:left="0" w:right="0"/>
            </w:pPr>
            <w:r>
              <w:t>XOAD</w:t>
            </w:r>
          </w:p>
        </w:tc>
        <w:tc>
          <w:tcPr>
            <w:cnfStyle w:evenVBand="false" w:oddVBand="true" w:firstColumn="false"/>
            <w:tcW w:w="25.000000%" w:type="pct"/>
          </w:tcPr>
          <w:p>
            <w:pPr>
              <w:ind w:leftChars="0" w:left="0" w:right="0"/>
            </w:pPr>
            <w:r>
              <w:t>OSLO AXESS NORTH SEA - DARK POOL</w:t>
            </w:r>
          </w:p>
        </w:tc>
        <w:tc>
          <w:tcPr>
            <w:cnfStyle w:evenVBand="true" w:oddVBand="false" w:firstColumn="false"/>
            <w:tcW w:w="25.000000%" w:type="pct"/>
          </w:tcPr>
          <w:p>
            <w:pPr>
              <w:ind w:leftChars="0" w:left="0" w:right="0"/>
            </w:pPr>
            <w:r>
              <w:t>2343</w:t>
            </w:r>
          </w:p>
        </w:tc>
      </w:tr>
      <w:tr>
        <w:trPr>
          <w:cnfStyle w:evenHBand="false" w:oddHBand="true" w:firstRow="false"/>
        </w:trPr>
        <w:tc>
          <w:tcPr>
            <w:cnfStyle w:evenVBand="false" w:oddVBand="true" w:firstColumn="false"/>
            <w:tcW w:w="25.000000%" w:type="pct"/>
          </w:tcPr>
          <w:p>
            <w:pPr>
              <w:ind w:leftChars="0" w:left="0" w:right="0"/>
            </w:pPr>
            <w:r>
              <w:t>XOAM</w:t>
            </w:r>
          </w:p>
        </w:tc>
        <w:tc>
          <w:tcPr>
            <w:cnfStyle w:evenVBand="true" w:oddVBand="false" w:firstColumn="false"/>
            <w:tcW w:w="25.000000%" w:type="pct"/>
          </w:tcPr>
          <w:p>
            <w:pPr>
              <w:ind w:leftChars="0" w:left="0" w:right="0"/>
            </w:pPr>
            <w:r>
              <w:t>XOAM</w:t>
            </w:r>
          </w:p>
        </w:tc>
        <w:tc>
          <w:tcPr>
            <w:cnfStyle w:evenVBand="false" w:oddVBand="true" w:firstColumn="false"/>
            <w:tcW w:w="25.000000%" w:type="pct"/>
          </w:tcPr>
          <w:p>
            <w:pPr>
              <w:ind w:leftChars="0" w:left="0" w:right="0"/>
            </w:pPr>
            <w:r>
              <w:t>NORDIC ALTERNATIVE BOND MARKET</w:t>
            </w:r>
          </w:p>
        </w:tc>
        <w:tc>
          <w:tcPr>
            <w:cnfStyle w:evenVBand="true" w:oddVBand="false" w:firstColumn="false"/>
            <w:tcW w:w="25.000000%" w:type="pct"/>
          </w:tcPr>
          <w:p>
            <w:pPr>
              <w:ind w:leftChars="0" w:left="0" w:right="0"/>
            </w:pPr>
            <w:r>
              <w:t>2344</w:t>
            </w:r>
          </w:p>
        </w:tc>
      </w:tr>
      <w:tr>
        <w:trPr>
          <w:cnfStyle w:evenHBand="true" w:oddHBand="false" w:firstRow="false"/>
        </w:trPr>
        <w:tc>
          <w:tcPr>
            <w:cnfStyle w:evenVBand="false" w:oddVBand="true" w:firstColumn="false"/>
            <w:tcW w:w="25.000000%" w:type="pct"/>
          </w:tcPr>
          <w:p>
            <w:pPr>
              <w:ind w:leftChars="0" w:left="0" w:right="0"/>
            </w:pPr>
            <w:r>
              <w:t>XOAS</w:t>
            </w:r>
          </w:p>
        </w:tc>
        <w:tc>
          <w:tcPr>
            <w:cnfStyle w:evenVBand="true" w:oddVBand="false" w:firstColumn="false"/>
            <w:tcW w:w="25.000000%" w:type="pct"/>
          </w:tcPr>
          <w:p>
            <w:pPr>
              <w:ind w:leftChars="0" w:left="0" w:right="0"/>
            </w:pPr>
            <w:r>
              <w:t>XOAS</w:t>
            </w:r>
          </w:p>
        </w:tc>
        <w:tc>
          <w:tcPr>
            <w:cnfStyle w:evenVBand="false" w:oddVBand="true" w:firstColumn="false"/>
            <w:tcW w:w="25.000000%" w:type="pct"/>
          </w:tcPr>
          <w:p>
            <w:pPr>
              <w:ind w:leftChars="0" w:left="0" w:right="0"/>
            </w:pPr>
            <w:r>
              <w:t>EURONEXT EXPAND OSLO</w:t>
            </w:r>
          </w:p>
        </w:tc>
        <w:tc>
          <w:tcPr>
            <w:cnfStyle w:evenVBand="true" w:oddVBand="false" w:firstColumn="false"/>
            <w:tcW w:w="25.000000%" w:type="pct"/>
          </w:tcPr>
          <w:p>
            <w:pPr>
              <w:ind w:leftChars="0" w:left="0" w:right="0"/>
            </w:pPr>
            <w:r>
              <w:t>2345</w:t>
            </w:r>
          </w:p>
        </w:tc>
      </w:tr>
      <w:tr>
        <w:trPr>
          <w:cnfStyle w:evenHBand="false" w:oddHBand="true" w:firstRow="false"/>
        </w:trPr>
        <w:tc>
          <w:tcPr>
            <w:cnfStyle w:evenVBand="false" w:oddVBand="true" w:firstColumn="false"/>
            <w:tcW w:w="25.000000%" w:type="pct"/>
          </w:tcPr>
          <w:p>
            <w:pPr>
              <w:ind w:leftChars="0" w:left="0" w:right="0"/>
            </w:pPr>
            <w:r>
              <w:t>XOBD</w:t>
            </w:r>
          </w:p>
        </w:tc>
        <w:tc>
          <w:tcPr>
            <w:cnfStyle w:evenVBand="true" w:oddVBand="false" w:firstColumn="false"/>
            <w:tcW w:w="25.000000%" w:type="pct"/>
          </w:tcPr>
          <w:p>
            <w:pPr>
              <w:ind w:leftChars="0" w:left="0" w:right="0"/>
            </w:pPr>
            <w:r>
              <w:t>XOBD</w:t>
            </w:r>
          </w:p>
        </w:tc>
        <w:tc>
          <w:tcPr>
            <w:cnfStyle w:evenVBand="false" w:oddVBand="true" w:firstColumn="false"/>
            <w:tcW w:w="25.000000%" w:type="pct"/>
          </w:tcPr>
          <w:p>
            <w:pPr>
              <w:ind w:leftChars="0" w:left="0" w:right="0"/>
            </w:pPr>
            <w:r>
              <w:t>OSLO BORS - DERIVATIVES MARKET</w:t>
            </w:r>
          </w:p>
        </w:tc>
        <w:tc>
          <w:tcPr>
            <w:cnfStyle w:evenVBand="true" w:oddVBand="false" w:firstColumn="false"/>
            <w:tcW w:w="25.000000%" w:type="pct"/>
          </w:tcPr>
          <w:p>
            <w:pPr>
              <w:ind w:leftChars="0" w:left="0" w:right="0"/>
            </w:pPr>
            <w:r>
              <w:t>2346</w:t>
            </w:r>
          </w:p>
        </w:tc>
      </w:tr>
      <w:tr>
        <w:trPr>
          <w:cnfStyle w:evenHBand="true" w:oddHBand="false" w:firstRow="false"/>
        </w:trPr>
        <w:tc>
          <w:tcPr>
            <w:cnfStyle w:evenVBand="false" w:oddVBand="true" w:firstColumn="false"/>
            <w:tcW w:w="25.000000%" w:type="pct"/>
          </w:tcPr>
          <w:p>
            <w:pPr>
              <w:ind w:leftChars="0" w:left="0" w:right="0"/>
            </w:pPr>
            <w:r>
              <w:t>XOCH</w:t>
            </w:r>
          </w:p>
        </w:tc>
        <w:tc>
          <w:tcPr>
            <w:cnfStyle w:evenVBand="true" w:oddVBand="false" w:firstColumn="false"/>
            <w:tcW w:w="25.000000%" w:type="pct"/>
          </w:tcPr>
          <w:p>
            <w:pPr>
              <w:ind w:leftChars="0" w:left="0" w:right="0"/>
            </w:pPr>
            <w:r>
              <w:t>XOCH</w:t>
            </w:r>
          </w:p>
        </w:tc>
        <w:tc>
          <w:tcPr>
            <w:cnfStyle w:evenVBand="false" w:oddVBand="true" w:firstColumn="false"/>
            <w:tcW w:w="25.000000%" w:type="pct"/>
          </w:tcPr>
          <w:p>
            <w:pPr>
              <w:ind w:leftChars="0" w:left="0" w:right="0"/>
            </w:pPr>
            <w:r>
              <w:t>ONECHICAGO, LLC</w:t>
            </w:r>
          </w:p>
        </w:tc>
        <w:tc>
          <w:tcPr>
            <w:cnfStyle w:evenVBand="true" w:oddVBand="false" w:firstColumn="false"/>
            <w:tcW w:w="25.000000%" w:type="pct"/>
          </w:tcPr>
          <w:p>
            <w:pPr>
              <w:ind w:leftChars="0" w:left="0" w:right="0"/>
            </w:pPr>
            <w:r>
              <w:t>2347</w:t>
            </w:r>
          </w:p>
        </w:tc>
      </w:tr>
      <w:tr>
        <w:trPr>
          <w:cnfStyle w:evenHBand="false" w:oddHBand="true" w:firstRow="false"/>
        </w:trPr>
        <w:tc>
          <w:tcPr>
            <w:cnfStyle w:evenVBand="false" w:oddVBand="true" w:firstColumn="false"/>
            <w:tcW w:w="25.000000%" w:type="pct"/>
          </w:tcPr>
          <w:p>
            <w:pPr>
              <w:ind w:leftChars="0" w:left="0" w:right="0"/>
            </w:pPr>
            <w:r>
              <w:t>XODE</w:t>
            </w:r>
          </w:p>
        </w:tc>
        <w:tc>
          <w:tcPr>
            <w:cnfStyle w:evenVBand="true" w:oddVBand="false" w:firstColumn="false"/>
            <w:tcW w:w="25.000000%" w:type="pct"/>
          </w:tcPr>
          <w:p>
            <w:pPr>
              <w:ind w:leftChars="0" w:left="0" w:right="0"/>
            </w:pPr>
            <w:r>
              <w:t>XODE</w:t>
            </w:r>
          </w:p>
        </w:tc>
        <w:tc>
          <w:tcPr>
            <w:cnfStyle w:evenVBand="false" w:oddVBand="true" w:firstColumn="false"/>
            <w:tcW w:w="25.000000%" w:type="pct"/>
          </w:tcPr>
          <w:p>
            <w:pPr>
              <w:ind w:leftChars="0" w:left="0" w:right="0"/>
            </w:pPr>
            <w:r>
              <w:t>ODESSA COMMODITY EXCHANGE</w:t>
            </w:r>
          </w:p>
        </w:tc>
        <w:tc>
          <w:tcPr>
            <w:cnfStyle w:evenVBand="true" w:oddVBand="false" w:firstColumn="false"/>
            <w:tcW w:w="25.000000%" w:type="pct"/>
          </w:tcPr>
          <w:p>
            <w:pPr>
              <w:ind w:leftChars="0" w:left="0" w:right="0"/>
            </w:pPr>
            <w:r>
              <w:t>2348</w:t>
            </w:r>
          </w:p>
        </w:tc>
      </w:tr>
      <w:tr>
        <w:trPr>
          <w:cnfStyle w:evenHBand="true" w:oddHBand="false" w:firstRow="false"/>
        </w:trPr>
        <w:tc>
          <w:tcPr>
            <w:cnfStyle w:evenVBand="false" w:oddVBand="true" w:firstColumn="false"/>
            <w:tcW w:w="25.000000%" w:type="pct"/>
          </w:tcPr>
          <w:p>
            <w:pPr>
              <w:ind w:leftChars="0" w:left="0" w:right="0"/>
            </w:pPr>
            <w:r>
              <w:t>XOFF</w:t>
            </w:r>
          </w:p>
        </w:tc>
        <w:tc>
          <w:tcPr>
            <w:cnfStyle w:evenVBand="true" w:oddVBand="false" w:firstColumn="false"/>
            <w:tcW w:w="25.000000%" w:type="pct"/>
          </w:tcPr>
          <w:p>
            <w:pPr>
              <w:ind w:leftChars="0" w:left="0" w:right="0"/>
            </w:pPr>
            <w:r>
              <w:t>XOFF</w:t>
            </w:r>
          </w:p>
        </w:tc>
        <w:tc>
          <w:tcPr>
            <w:cnfStyle w:evenVBand="false" w:oddVBand="true" w:firstColumn="false"/>
            <w:tcW w:w="25.000000%" w:type="pct"/>
          </w:tcPr>
          <w:p>
            <w:pPr>
              <w:ind w:leftChars="0" w:left="0" w:right="0"/>
            </w:pPr>
            <w:r>
              <w:t>OFF-EXCHANGE TRANSACTIONS - LISTED INSTRUMENTS</w:t>
            </w:r>
          </w:p>
        </w:tc>
        <w:tc>
          <w:tcPr>
            <w:cnfStyle w:evenVBand="true" w:oddVBand="false" w:firstColumn="false"/>
            <w:tcW w:w="25.000000%" w:type="pct"/>
          </w:tcPr>
          <w:p>
            <w:pPr>
              <w:ind w:leftChars="0" w:left="0" w:right="0"/>
            </w:pPr>
            <w:r>
              <w:t>2349</w:t>
            </w:r>
          </w:p>
        </w:tc>
      </w:tr>
      <w:tr>
        <w:trPr>
          <w:cnfStyle w:evenHBand="false" w:oddHBand="true" w:firstRow="false"/>
        </w:trPr>
        <w:tc>
          <w:tcPr>
            <w:cnfStyle w:evenVBand="false" w:oddVBand="true" w:firstColumn="false"/>
            <w:tcW w:w="25.000000%" w:type="pct"/>
          </w:tcPr>
          <w:p>
            <w:pPr>
              <w:ind w:leftChars="0" w:left="0" w:right="0"/>
            </w:pPr>
            <w:r>
              <w:t>XOME</w:t>
            </w:r>
          </w:p>
        </w:tc>
        <w:tc>
          <w:tcPr>
            <w:cnfStyle w:evenVBand="true" w:oddVBand="false" w:firstColumn="false"/>
            <w:tcW w:w="25.000000%" w:type="pct"/>
          </w:tcPr>
          <w:p>
            <w:pPr>
              <w:ind w:leftChars="0" w:left="0" w:right="0"/>
            </w:pPr>
            <w:r>
              <w:t>XOME</w:t>
            </w:r>
          </w:p>
        </w:tc>
        <w:tc>
          <w:tcPr>
            <w:cnfStyle w:evenVBand="false" w:oddVBand="true" w:firstColumn="false"/>
            <w:tcW w:w="25.000000%" w:type="pct"/>
          </w:tcPr>
          <w:p>
            <w:pPr>
              <w:ind w:leftChars="0" w:left="0" w:right="0"/>
            </w:pPr>
            <w:r>
              <w:t>OMX NORDIC EXCHANGE STOCKHOLM AB</w:t>
            </w:r>
          </w:p>
        </w:tc>
        <w:tc>
          <w:tcPr>
            <w:cnfStyle w:evenVBand="true" w:oddVBand="false" w:firstColumn="false"/>
            <w:tcW w:w="25.000000%" w:type="pct"/>
          </w:tcPr>
          <w:p>
            <w:pPr>
              <w:ind w:leftChars="0" w:left="0" w:right="0"/>
            </w:pPr>
            <w:r>
              <w:t>2350</w:t>
            </w:r>
          </w:p>
        </w:tc>
      </w:tr>
      <w:tr>
        <w:trPr>
          <w:cnfStyle w:evenHBand="true" w:oddHBand="false" w:firstRow="false"/>
        </w:trPr>
        <w:tc>
          <w:tcPr>
            <w:cnfStyle w:evenVBand="false" w:oddVBand="true" w:firstColumn="false"/>
            <w:tcW w:w="25.000000%" w:type="pct"/>
          </w:tcPr>
          <w:p>
            <w:pPr>
              <w:ind w:leftChars="0" w:left="0" w:right="0"/>
            </w:pPr>
            <w:r>
              <w:t>XOPV</w:t>
            </w:r>
          </w:p>
        </w:tc>
        <w:tc>
          <w:tcPr>
            <w:cnfStyle w:evenVBand="true" w:oddVBand="false" w:firstColumn="false"/>
            <w:tcW w:w="25.000000%" w:type="pct"/>
          </w:tcPr>
          <w:p>
            <w:pPr>
              <w:ind w:leftChars="0" w:left="0" w:right="0"/>
            </w:pPr>
            <w:r>
              <w:t>XOPV</w:t>
            </w:r>
          </w:p>
        </w:tc>
        <w:tc>
          <w:tcPr>
            <w:cnfStyle w:evenVBand="false" w:oddVBand="true" w:firstColumn="false"/>
            <w:tcW w:w="25.000000%" w:type="pct"/>
          </w:tcPr>
          <w:p>
            <w:pPr>
              <w:ind w:leftChars="0" w:left="0" w:right="0"/>
            </w:pPr>
            <w:r>
              <w:t>OTC PUBLICATION VENUE</w:t>
            </w:r>
          </w:p>
        </w:tc>
        <w:tc>
          <w:tcPr>
            <w:cnfStyle w:evenVBand="true" w:oddVBand="false" w:firstColumn="false"/>
            <w:tcW w:w="25.000000%" w:type="pct"/>
          </w:tcPr>
          <w:p>
            <w:pPr>
              <w:ind w:leftChars="0" w:left="0" w:right="0"/>
            </w:pPr>
            <w:r>
              <w:t>2351</w:t>
            </w:r>
          </w:p>
        </w:tc>
      </w:tr>
      <w:tr>
        <w:trPr>
          <w:cnfStyle w:evenHBand="false" w:oddHBand="true" w:firstRow="false"/>
        </w:trPr>
        <w:tc>
          <w:tcPr>
            <w:cnfStyle w:evenVBand="false" w:oddVBand="true" w:firstColumn="false"/>
            <w:tcW w:w="25.000000%" w:type="pct"/>
          </w:tcPr>
          <w:p>
            <w:pPr>
              <w:ind w:leftChars="0" w:left="0" w:right="0"/>
            </w:pPr>
            <w:r>
              <w:t>XOSA</w:t>
            </w:r>
          </w:p>
        </w:tc>
        <w:tc>
          <w:tcPr>
            <w:cnfStyle w:evenVBand="true" w:oddVBand="false" w:firstColumn="false"/>
            <w:tcW w:w="25.000000%" w:type="pct"/>
          </w:tcPr>
          <w:p>
            <w:pPr>
              <w:ind w:leftChars="0" w:left="0" w:right="0"/>
            </w:pPr>
            <w:r>
              <w:t>XOSA</w:t>
            </w:r>
          </w:p>
        </w:tc>
        <w:tc>
          <w:tcPr>
            <w:cnfStyle w:evenVBand="false" w:oddVBand="true" w:firstColumn="false"/>
            <w:tcW w:w="25.000000%" w:type="pct"/>
          </w:tcPr>
          <w:p>
            <w:pPr>
              <w:ind w:leftChars="0" w:left="0" w:right="0"/>
            </w:pPr>
            <w:r>
              <w:t>OSLO BORS - LIT X AUCTIONS</w:t>
            </w:r>
          </w:p>
        </w:tc>
        <w:tc>
          <w:tcPr>
            <w:cnfStyle w:evenVBand="true" w:oddVBand="false" w:firstColumn="false"/>
            <w:tcW w:w="25.000000%" w:type="pct"/>
          </w:tcPr>
          <w:p>
            <w:pPr>
              <w:ind w:leftChars="0" w:left="0" w:right="0"/>
            </w:pPr>
            <w:r>
              <w:t>2352</w:t>
            </w:r>
          </w:p>
        </w:tc>
      </w:tr>
      <w:tr>
        <w:trPr>
          <w:cnfStyle w:evenHBand="true" w:oddHBand="false" w:firstRow="false"/>
        </w:trPr>
        <w:tc>
          <w:tcPr>
            <w:cnfStyle w:evenVBand="false" w:oddVBand="true" w:firstColumn="false"/>
            <w:tcW w:w="25.000000%" w:type="pct"/>
          </w:tcPr>
          <w:p>
            <w:pPr>
              <w:ind w:leftChars="0" w:left="0" w:right="0"/>
            </w:pPr>
            <w:r>
              <w:t>XOSC</w:t>
            </w:r>
          </w:p>
        </w:tc>
        <w:tc>
          <w:tcPr>
            <w:cnfStyle w:evenVBand="true" w:oddVBand="false" w:firstColumn="false"/>
            <w:tcW w:w="25.000000%" w:type="pct"/>
          </w:tcPr>
          <w:p>
            <w:pPr>
              <w:ind w:leftChars="0" w:left="0" w:right="0"/>
            </w:pPr>
            <w:r>
              <w:t>XOSC</w:t>
            </w:r>
          </w:p>
        </w:tc>
        <w:tc>
          <w:tcPr>
            <w:cnfStyle w:evenVBand="false" w:oddVBand="true" w:firstColumn="false"/>
            <w:tcW w:w="25.000000%" w:type="pct"/>
          </w:tcPr>
          <w:p>
            <w:pPr>
              <w:ind w:leftChars="0" w:left="0" w:right="0"/>
            </w:pPr>
            <w:r>
              <w:t>OSLO CONNECT</w:t>
            </w:r>
          </w:p>
        </w:tc>
        <w:tc>
          <w:tcPr>
            <w:cnfStyle w:evenVBand="true" w:oddVBand="false" w:firstColumn="false"/>
            <w:tcW w:w="25.000000%" w:type="pct"/>
          </w:tcPr>
          <w:p>
            <w:pPr>
              <w:ind w:leftChars="0" w:left="0" w:right="0"/>
            </w:pPr>
            <w:r>
              <w:t>2353</w:t>
            </w:r>
          </w:p>
        </w:tc>
      </w:tr>
      <w:tr>
        <w:trPr>
          <w:cnfStyle w:evenHBand="false" w:oddHBand="true" w:firstRow="false"/>
        </w:trPr>
        <w:tc>
          <w:tcPr>
            <w:cnfStyle w:evenVBand="false" w:oddVBand="true" w:firstColumn="false"/>
            <w:tcW w:w="25.000000%" w:type="pct"/>
          </w:tcPr>
          <w:p>
            <w:pPr>
              <w:ind w:leftChars="0" w:left="0" w:right="0"/>
            </w:pPr>
            <w:r>
              <w:t>XOSD</w:t>
            </w:r>
          </w:p>
        </w:tc>
        <w:tc>
          <w:tcPr>
            <w:cnfStyle w:evenVBand="true" w:oddVBand="false" w:firstColumn="false"/>
            <w:tcW w:w="25.000000%" w:type="pct"/>
          </w:tcPr>
          <w:p>
            <w:pPr>
              <w:ind w:leftChars="0" w:left="0" w:right="0"/>
            </w:pPr>
            <w:r>
              <w:t>XOSD</w:t>
            </w:r>
          </w:p>
        </w:tc>
        <w:tc>
          <w:tcPr>
            <w:cnfStyle w:evenVBand="false" w:oddVBand="true" w:firstColumn="false"/>
            <w:tcW w:w="25.000000%" w:type="pct"/>
          </w:tcPr>
          <w:p>
            <w:pPr>
              <w:ind w:leftChars="0" w:left="0" w:right="0"/>
            </w:pPr>
            <w:r>
              <w:t>OSLO BORS NORTH SEA - DARK POOL</w:t>
            </w:r>
          </w:p>
        </w:tc>
        <w:tc>
          <w:tcPr>
            <w:cnfStyle w:evenVBand="true" w:oddVBand="false" w:firstColumn="false"/>
            <w:tcW w:w="25.000000%" w:type="pct"/>
          </w:tcPr>
          <w:p>
            <w:pPr>
              <w:ind w:leftChars="0" w:left="0" w:right="0"/>
            </w:pPr>
            <w:r>
              <w:t>2354</w:t>
            </w:r>
          </w:p>
        </w:tc>
      </w:tr>
      <w:tr>
        <w:trPr>
          <w:cnfStyle w:evenHBand="true" w:oddHBand="false" w:firstRow="false"/>
        </w:trPr>
        <w:tc>
          <w:tcPr>
            <w:cnfStyle w:evenVBand="false" w:oddVBand="true" w:firstColumn="false"/>
            <w:tcW w:w="25.000000%" w:type="pct"/>
          </w:tcPr>
          <w:p>
            <w:pPr>
              <w:ind w:leftChars="0" w:left="0" w:right="0"/>
            </w:pPr>
            <w:r>
              <w:t>XOSE</w:t>
            </w:r>
          </w:p>
        </w:tc>
        <w:tc>
          <w:tcPr>
            <w:cnfStyle w:evenVBand="true" w:oddVBand="false" w:firstColumn="false"/>
            <w:tcW w:w="25.000000%" w:type="pct"/>
          </w:tcPr>
          <w:p>
            <w:pPr>
              <w:ind w:leftChars="0" w:left="0" w:right="0"/>
            </w:pPr>
            <w:r>
              <w:t>XOSE</w:t>
            </w:r>
          </w:p>
        </w:tc>
        <w:tc>
          <w:tcPr>
            <w:cnfStyle w:evenVBand="false" w:oddVBand="true" w:firstColumn="false"/>
            <w:tcW w:w="25.000000%" w:type="pct"/>
          </w:tcPr>
          <w:p>
            <w:pPr>
              <w:ind w:leftChars="0" w:left="0" w:right="0"/>
            </w:pPr>
            <w:r>
              <w:t>OSAKA EXCHANGE</w:t>
            </w:r>
          </w:p>
        </w:tc>
        <w:tc>
          <w:tcPr>
            <w:cnfStyle w:evenVBand="true" w:oddVBand="false" w:firstColumn="false"/>
            <w:tcW w:w="25.000000%" w:type="pct"/>
          </w:tcPr>
          <w:p>
            <w:pPr>
              <w:ind w:leftChars="0" w:left="0" w:right="0"/>
            </w:pPr>
            <w:r>
              <w:t>2355</w:t>
            </w:r>
          </w:p>
        </w:tc>
      </w:tr>
      <w:tr>
        <w:trPr>
          <w:cnfStyle w:evenHBand="false" w:oddHBand="true" w:firstRow="false"/>
        </w:trPr>
        <w:tc>
          <w:tcPr>
            <w:cnfStyle w:evenVBand="false" w:oddVBand="true" w:firstColumn="false"/>
            <w:tcW w:w="25.000000%" w:type="pct"/>
          </w:tcPr>
          <w:p>
            <w:pPr>
              <w:ind w:leftChars="0" w:left="0" w:right="0"/>
            </w:pPr>
            <w:r>
              <w:t>XOSJ</w:t>
            </w:r>
          </w:p>
        </w:tc>
        <w:tc>
          <w:tcPr>
            <w:cnfStyle w:evenVBand="true" w:oddVBand="false" w:firstColumn="false"/>
            <w:tcW w:w="25.000000%" w:type="pct"/>
          </w:tcPr>
          <w:p>
            <w:pPr>
              <w:ind w:leftChars="0" w:left="0" w:right="0"/>
            </w:pPr>
            <w:r>
              <w:t>XOSJ</w:t>
            </w:r>
          </w:p>
        </w:tc>
        <w:tc>
          <w:tcPr>
            <w:cnfStyle w:evenVBand="false" w:oddVBand="true" w:firstColumn="false"/>
            <w:tcW w:w="25.000000%" w:type="pct"/>
          </w:tcPr>
          <w:p>
            <w:pPr>
              <w:ind w:leftChars="0" w:left="0" w:right="0"/>
            </w:pPr>
            <w:r>
              <w:t>OSAKA EXCHANGE J-NET</w:t>
            </w:r>
          </w:p>
        </w:tc>
        <w:tc>
          <w:tcPr>
            <w:cnfStyle w:evenVBand="true" w:oddVBand="false" w:firstColumn="false"/>
            <w:tcW w:w="25.000000%" w:type="pct"/>
          </w:tcPr>
          <w:p>
            <w:pPr>
              <w:ind w:leftChars="0" w:left="0" w:right="0"/>
            </w:pPr>
            <w:r>
              <w:t>2356</w:t>
            </w:r>
          </w:p>
        </w:tc>
      </w:tr>
      <w:tr>
        <w:trPr>
          <w:cnfStyle w:evenHBand="true" w:oddHBand="false" w:firstRow="false"/>
        </w:trPr>
        <w:tc>
          <w:tcPr>
            <w:cnfStyle w:evenVBand="false" w:oddVBand="true" w:firstColumn="false"/>
            <w:tcW w:w="25.000000%" w:type="pct"/>
          </w:tcPr>
          <w:p>
            <w:pPr>
              <w:ind w:leftChars="0" w:left="0" w:right="0"/>
            </w:pPr>
            <w:r>
              <w:t>XOSL</w:t>
            </w:r>
          </w:p>
        </w:tc>
        <w:tc>
          <w:tcPr>
            <w:cnfStyle w:evenVBand="true" w:oddVBand="false" w:firstColumn="false"/>
            <w:tcW w:w="25.000000%" w:type="pct"/>
          </w:tcPr>
          <w:p>
            <w:pPr>
              <w:ind w:leftChars="0" w:left="0" w:right="0"/>
            </w:pPr>
            <w:r>
              <w:t>XOSL</w:t>
            </w:r>
          </w:p>
        </w:tc>
        <w:tc>
          <w:tcPr>
            <w:cnfStyle w:evenVBand="false" w:oddVBand="true" w:firstColumn="false"/>
            <w:tcW w:w="25.000000%" w:type="pct"/>
          </w:tcPr>
          <w:p>
            <w:pPr>
              <w:ind w:leftChars="0" w:left="0" w:right="0"/>
            </w:pPr>
            <w:r>
              <w:t>OSLO BORS</w:t>
            </w:r>
          </w:p>
        </w:tc>
        <w:tc>
          <w:tcPr>
            <w:cnfStyle w:evenVBand="true" w:oddVBand="false" w:firstColumn="false"/>
            <w:tcW w:w="25.000000%" w:type="pct"/>
          </w:tcPr>
          <w:p>
            <w:pPr>
              <w:ind w:leftChars="0" w:left="0" w:right="0"/>
            </w:pPr>
            <w:r>
              <w:t>2357</w:t>
            </w:r>
          </w:p>
        </w:tc>
      </w:tr>
      <w:tr>
        <w:trPr>
          <w:cnfStyle w:evenHBand="false" w:oddHBand="true" w:firstRow="false"/>
        </w:trPr>
        <w:tc>
          <w:tcPr>
            <w:cnfStyle w:evenVBand="false" w:oddVBand="true" w:firstColumn="false"/>
            <w:tcW w:w="25.000000%" w:type="pct"/>
          </w:tcPr>
          <w:p>
            <w:pPr>
              <w:ind w:leftChars="0" w:left="0" w:right="0"/>
            </w:pPr>
            <w:r>
              <w:t>XOSM</w:t>
            </w:r>
          </w:p>
        </w:tc>
        <w:tc>
          <w:tcPr>
            <w:cnfStyle w:evenVBand="true" w:oddVBand="false" w:firstColumn="false"/>
            <w:tcW w:w="25.000000%" w:type="pct"/>
          </w:tcPr>
          <w:p>
            <w:pPr>
              <w:ind w:leftChars="0" w:left="0" w:right="0"/>
            </w:pPr>
            <w:r>
              <w:t>XOSM</w:t>
            </w:r>
          </w:p>
        </w:tc>
        <w:tc>
          <w:tcPr>
            <w:cnfStyle w:evenVBand="false" w:oddVBand="true" w:firstColumn="false"/>
            <w:tcW w:w="25.000000%" w:type="pct"/>
          </w:tcPr>
          <w:p>
            <w:pPr>
              <w:ind w:leftChars="0" w:left="0" w:right="0"/>
            </w:pPr>
            <w:r>
              <w:t>OSAKA MERCANTILE EXCHANGE</w:t>
            </w:r>
          </w:p>
        </w:tc>
        <w:tc>
          <w:tcPr>
            <w:cnfStyle w:evenVBand="true" w:oddVBand="false" w:firstColumn="false"/>
            <w:tcW w:w="25.000000%" w:type="pct"/>
          </w:tcPr>
          <w:p>
            <w:pPr>
              <w:ind w:leftChars="0" w:left="0" w:right="0"/>
            </w:pPr>
            <w:r>
              <w:t>2358</w:t>
            </w:r>
          </w:p>
        </w:tc>
      </w:tr>
      <w:tr>
        <w:trPr>
          <w:cnfStyle w:evenHBand="true" w:oddHBand="false" w:firstRow="false"/>
        </w:trPr>
        <w:tc>
          <w:tcPr>
            <w:cnfStyle w:evenVBand="false" w:oddVBand="true" w:firstColumn="false"/>
            <w:tcW w:w="25.000000%" w:type="pct"/>
          </w:tcPr>
          <w:p>
            <w:pPr>
              <w:ind w:leftChars="0" w:left="0" w:right="0"/>
            </w:pPr>
            <w:r>
              <w:t>XOST</w:t>
            </w:r>
          </w:p>
        </w:tc>
        <w:tc>
          <w:tcPr>
            <w:cnfStyle w:evenVBand="true" w:oddVBand="false" w:firstColumn="false"/>
            <w:tcW w:w="25.000000%" w:type="pct"/>
          </w:tcPr>
          <w:p>
            <w:pPr>
              <w:ind w:leftChars="0" w:left="0" w:right="0"/>
            </w:pPr>
            <w:r>
              <w:t>XOST</w:t>
            </w:r>
          </w:p>
        </w:tc>
        <w:tc>
          <w:tcPr>
            <w:cnfStyle w:evenVBand="false" w:oddVBand="true" w:firstColumn="false"/>
            <w:tcW w:w="25.000000%" w:type="pct"/>
          </w:tcPr>
          <w:p>
            <w:pPr>
              <w:ind w:leftChars="0" w:left="0" w:right="0"/>
            </w:pPr>
            <w:r>
              <w:t>OSAKA SENI TORIHIKIJO (TEXTILE EXCHANGE)</w:t>
            </w:r>
          </w:p>
        </w:tc>
        <w:tc>
          <w:tcPr>
            <w:cnfStyle w:evenVBand="true" w:oddVBand="false" w:firstColumn="false"/>
            <w:tcW w:w="25.000000%" w:type="pct"/>
          </w:tcPr>
          <w:p>
            <w:pPr>
              <w:ind w:leftChars="0" w:left="0" w:right="0"/>
            </w:pPr>
            <w:r>
              <w:t>2359</w:t>
            </w:r>
          </w:p>
        </w:tc>
      </w:tr>
      <w:tr>
        <w:trPr>
          <w:cnfStyle w:evenHBand="false" w:oddHBand="true" w:firstRow="false"/>
        </w:trPr>
        <w:tc>
          <w:tcPr>
            <w:cnfStyle w:evenVBand="false" w:oddVBand="true" w:firstColumn="false"/>
            <w:tcW w:w="25.000000%" w:type="pct"/>
          </w:tcPr>
          <w:p>
            <w:pPr>
              <w:ind w:leftChars="0" w:left="0" w:right="0"/>
            </w:pPr>
            <w:r>
              <w:t>XOTB</w:t>
            </w:r>
          </w:p>
        </w:tc>
        <w:tc>
          <w:tcPr>
            <w:cnfStyle w:evenVBand="true" w:oddVBand="false" w:firstColumn="false"/>
            <w:tcW w:w="25.000000%" w:type="pct"/>
          </w:tcPr>
          <w:p>
            <w:pPr>
              <w:ind w:leftChars="0" w:left="0" w:right="0"/>
            </w:pPr>
            <w:r>
              <w:t>XOTB</w:t>
            </w:r>
          </w:p>
        </w:tc>
        <w:tc>
          <w:tcPr>
            <w:cnfStyle w:evenVBand="false" w:oddVBand="true" w:firstColumn="false"/>
            <w:tcW w:w="25.000000%" w:type="pct"/>
          </w:tcPr>
          <w:p>
            <w:pPr>
              <w:ind w:leftChars="0" w:left="0" w:right="0"/>
            </w:pPr>
            <w:r>
              <w:t>OESTERREICHISCHE TERMIN- UND OPTIONENBOERSE, CLEARING BANK AG</w:t>
            </w:r>
          </w:p>
        </w:tc>
        <w:tc>
          <w:tcPr>
            <w:cnfStyle w:evenVBand="true" w:oddVBand="false" w:firstColumn="false"/>
            <w:tcW w:w="25.000000%" w:type="pct"/>
          </w:tcPr>
          <w:p>
            <w:pPr>
              <w:ind w:leftChars="0" w:left="0" w:right="0"/>
            </w:pPr>
            <w:r>
              <w:t>2360</w:t>
            </w:r>
          </w:p>
        </w:tc>
      </w:tr>
      <w:tr>
        <w:trPr>
          <w:cnfStyle w:evenHBand="true" w:oddHBand="false" w:firstRow="false"/>
        </w:trPr>
        <w:tc>
          <w:tcPr>
            <w:cnfStyle w:evenVBand="false" w:oddVBand="true" w:firstColumn="false"/>
            <w:tcW w:w="25.000000%" w:type="pct"/>
          </w:tcPr>
          <w:p>
            <w:pPr>
              <w:ind w:leftChars="0" w:left="0" w:right="0"/>
            </w:pPr>
            <w:r>
              <w:t>XOTC</w:t>
            </w:r>
          </w:p>
        </w:tc>
        <w:tc>
          <w:tcPr>
            <w:cnfStyle w:evenVBand="true" w:oddVBand="false" w:firstColumn="false"/>
            <w:tcW w:w="25.000000%" w:type="pct"/>
          </w:tcPr>
          <w:p>
            <w:pPr>
              <w:ind w:leftChars="0" w:left="0" w:right="0"/>
            </w:pPr>
            <w:r>
              <w:t>XOTC</w:t>
            </w:r>
          </w:p>
        </w:tc>
        <w:tc>
          <w:tcPr>
            <w:cnfStyle w:evenVBand="false" w:oddVBand="true" w:firstColumn="false"/>
            <w:tcW w:w="25.000000%" w:type="pct"/>
          </w:tcPr>
          <w:p>
            <w:pPr>
              <w:ind w:leftChars="0" w:left="0" w:right="0"/>
            </w:pPr>
            <w:r>
              <w:t>OTCBB</w:t>
            </w:r>
          </w:p>
        </w:tc>
        <w:tc>
          <w:tcPr>
            <w:cnfStyle w:evenVBand="true" w:oddVBand="false" w:firstColumn="false"/>
            <w:tcW w:w="25.000000%" w:type="pct"/>
          </w:tcPr>
          <w:p>
            <w:pPr>
              <w:ind w:leftChars="0" w:left="0" w:right="0"/>
            </w:pPr>
            <w:r>
              <w:t>2361</w:t>
            </w:r>
          </w:p>
        </w:tc>
      </w:tr>
      <w:tr>
        <w:trPr>
          <w:cnfStyle w:evenHBand="false" w:oddHBand="true" w:firstRow="false"/>
        </w:trPr>
        <w:tc>
          <w:tcPr>
            <w:cnfStyle w:evenVBand="false" w:oddVBand="true" w:firstColumn="false"/>
            <w:tcW w:w="25.000000%" w:type="pct"/>
          </w:tcPr>
          <w:p>
            <w:pPr>
              <w:ind w:leftChars="0" w:left="0" w:right="0"/>
            </w:pPr>
            <w:r>
              <w:t>XOTP</w:t>
            </w:r>
          </w:p>
        </w:tc>
        <w:tc>
          <w:tcPr>
            <w:cnfStyle w:evenVBand="true" w:oddVBand="false" w:firstColumn="false"/>
            <w:tcW w:w="25.000000%" w:type="pct"/>
          </w:tcPr>
          <w:p>
            <w:pPr>
              <w:ind w:leftChars="0" w:left="0" w:right="0"/>
            </w:pPr>
            <w:r>
              <w:t>XOTP</w:t>
            </w:r>
          </w:p>
        </w:tc>
        <w:tc>
          <w:tcPr>
            <w:cnfStyle w:evenVBand="false" w:oddVBand="true" w:firstColumn="false"/>
            <w:tcW w:w="25.000000%" w:type="pct"/>
          </w:tcPr>
          <w:p>
            <w:pPr>
              <w:ind w:leftChars="0" w:left="0" w:right="0"/>
            </w:pPr>
            <w:r>
              <w:t>OTP BANKA D.D.</w:t>
            </w:r>
          </w:p>
        </w:tc>
        <w:tc>
          <w:tcPr>
            <w:cnfStyle w:evenVBand="true" w:oddVBand="false" w:firstColumn="false"/>
            <w:tcW w:w="25.000000%" w:type="pct"/>
          </w:tcPr>
          <w:p>
            <w:pPr>
              <w:ind w:leftChars="0" w:left="0" w:right="0"/>
            </w:pPr>
            <w:r>
              <w:t>2362</w:t>
            </w:r>
          </w:p>
        </w:tc>
      </w:tr>
      <w:tr>
        <w:trPr>
          <w:cnfStyle w:evenHBand="true" w:oddHBand="false" w:firstRow="false"/>
        </w:trPr>
        <w:tc>
          <w:tcPr>
            <w:cnfStyle w:evenVBand="false" w:oddVBand="true" w:firstColumn="false"/>
            <w:tcW w:w="25.000000%" w:type="pct"/>
          </w:tcPr>
          <w:p>
            <w:pPr>
              <w:ind w:leftChars="0" w:left="0" w:right="0"/>
            </w:pPr>
            <w:r>
              <w:t>XPAC</w:t>
            </w:r>
          </w:p>
        </w:tc>
        <w:tc>
          <w:tcPr>
            <w:cnfStyle w:evenVBand="true" w:oddVBand="false" w:firstColumn="false"/>
            <w:tcW w:w="25.000000%" w:type="pct"/>
          </w:tcPr>
          <w:p>
            <w:pPr>
              <w:ind w:leftChars="0" w:left="0" w:right="0"/>
            </w:pPr>
            <w:r>
              <w:t>XPAC</w:t>
            </w:r>
          </w:p>
        </w:tc>
        <w:tc>
          <w:tcPr>
            <w:cnfStyle w:evenVBand="false" w:oddVBand="true" w:firstColumn="false"/>
            <w:tcW w:w="25.000000%" w:type="pct"/>
          </w:tcPr>
          <w:p>
            <w:pPr>
              <w:ind w:leftChars="0" w:left="0" w:right="0"/>
            </w:pPr>
            <w:r>
              <w:t>POSIT AUCTION</w:t>
            </w:r>
          </w:p>
        </w:tc>
        <w:tc>
          <w:tcPr>
            <w:cnfStyle w:evenVBand="true" w:oddVBand="false" w:firstColumn="false"/>
            <w:tcW w:w="25.000000%" w:type="pct"/>
          </w:tcPr>
          <w:p>
            <w:pPr>
              <w:ind w:leftChars="0" w:left="0" w:right="0"/>
            </w:pPr>
            <w:r>
              <w:t>2363</w:t>
            </w:r>
          </w:p>
        </w:tc>
      </w:tr>
      <w:tr>
        <w:trPr>
          <w:cnfStyle w:evenHBand="false" w:oddHBand="true" w:firstRow="false"/>
        </w:trPr>
        <w:tc>
          <w:tcPr>
            <w:cnfStyle w:evenVBand="false" w:oddVBand="true" w:firstColumn="false"/>
            <w:tcW w:w="25.000000%" w:type="pct"/>
          </w:tcPr>
          <w:p>
            <w:pPr>
              <w:ind w:leftChars="0" w:left="0" w:right="0"/>
            </w:pPr>
            <w:r>
              <w:t>XPAE</w:t>
            </w:r>
          </w:p>
        </w:tc>
        <w:tc>
          <w:tcPr>
            <w:cnfStyle w:evenVBand="true" w:oddVBand="false" w:firstColumn="false"/>
            <w:tcW w:w="25.000000%" w:type="pct"/>
          </w:tcPr>
          <w:p>
            <w:pPr>
              <w:ind w:leftChars="0" w:left="0" w:right="0"/>
            </w:pPr>
            <w:r>
              <w:t>XPAE</w:t>
            </w:r>
          </w:p>
        </w:tc>
        <w:tc>
          <w:tcPr>
            <w:cnfStyle w:evenVBand="false" w:oddVBand="true" w:firstColumn="false"/>
            <w:tcW w:w="25.000000%" w:type="pct"/>
          </w:tcPr>
          <w:p>
            <w:pPr>
              <w:ind w:leftChars="0" w:left="0" w:right="0"/>
            </w:pPr>
            <w:r>
              <w:t>PALESTINE SECURITIES EXCHANGE</w:t>
            </w:r>
          </w:p>
        </w:tc>
        <w:tc>
          <w:tcPr>
            <w:cnfStyle w:evenVBand="true" w:oddVBand="false" w:firstColumn="false"/>
            <w:tcW w:w="25.000000%" w:type="pct"/>
          </w:tcPr>
          <w:p>
            <w:pPr>
              <w:ind w:leftChars="0" w:left="0" w:right="0"/>
            </w:pPr>
            <w:r>
              <w:t>2364</w:t>
            </w:r>
          </w:p>
        </w:tc>
      </w:tr>
      <w:tr>
        <w:trPr>
          <w:cnfStyle w:evenHBand="true" w:oddHBand="false" w:firstRow="false"/>
        </w:trPr>
        <w:tc>
          <w:tcPr>
            <w:cnfStyle w:evenVBand="false" w:oddVBand="true" w:firstColumn="false"/>
            <w:tcW w:w="25.000000%" w:type="pct"/>
          </w:tcPr>
          <w:p>
            <w:pPr>
              <w:ind w:leftChars="0" w:left="0" w:right="0"/>
            </w:pPr>
            <w:r>
              <w:t>XPAL</w:t>
            </w:r>
          </w:p>
        </w:tc>
        <w:tc>
          <w:tcPr>
            <w:cnfStyle w:evenVBand="true" w:oddVBand="false" w:firstColumn="false"/>
            <w:tcW w:w="25.000000%" w:type="pct"/>
          </w:tcPr>
          <w:p>
            <w:pPr>
              <w:ind w:leftChars="0" w:left="0" w:right="0"/>
            </w:pPr>
            <w:r>
              <w:t>XPAL</w:t>
            </w:r>
          </w:p>
        </w:tc>
        <w:tc>
          <w:tcPr>
            <w:cnfStyle w:evenVBand="false" w:oddVBand="true" w:firstColumn="false"/>
            <w:tcW w:w="25.000000%" w:type="pct"/>
          </w:tcPr>
          <w:p>
            <w:pPr>
              <w:ind w:leftChars="0" w:left="0" w:right="0"/>
            </w:pPr>
            <w:r>
              <w:t>POSIT AUCTION UK</w:t>
            </w:r>
          </w:p>
        </w:tc>
        <w:tc>
          <w:tcPr>
            <w:cnfStyle w:evenVBand="true" w:oddVBand="false" w:firstColumn="false"/>
            <w:tcW w:w="25.000000%" w:type="pct"/>
          </w:tcPr>
          <w:p>
            <w:pPr>
              <w:ind w:leftChars="0" w:left="0" w:right="0"/>
            </w:pPr>
            <w:r>
              <w:t>2365</w:t>
            </w:r>
          </w:p>
        </w:tc>
      </w:tr>
      <w:tr>
        <w:trPr>
          <w:cnfStyle w:evenHBand="false" w:oddHBand="true" w:firstRow="false"/>
        </w:trPr>
        <w:tc>
          <w:tcPr>
            <w:cnfStyle w:evenVBand="false" w:oddVBand="true" w:firstColumn="false"/>
            <w:tcW w:w="25.000000%" w:type="pct"/>
          </w:tcPr>
          <w:p>
            <w:pPr>
              <w:ind w:leftChars="0" w:left="0" w:right="0"/>
            </w:pPr>
            <w:r>
              <w:t>XPAR</w:t>
            </w:r>
          </w:p>
        </w:tc>
        <w:tc>
          <w:tcPr>
            <w:cnfStyle w:evenVBand="true" w:oddVBand="false" w:firstColumn="false"/>
            <w:tcW w:w="25.000000%" w:type="pct"/>
          </w:tcPr>
          <w:p>
            <w:pPr>
              <w:ind w:leftChars="0" w:left="0" w:right="0"/>
            </w:pPr>
            <w:r>
              <w:t>XPAR</w:t>
            </w:r>
          </w:p>
        </w:tc>
        <w:tc>
          <w:tcPr>
            <w:cnfStyle w:evenVBand="false" w:oddVBand="true" w:firstColumn="false"/>
            <w:tcW w:w="25.000000%" w:type="pct"/>
          </w:tcPr>
          <w:p>
            <w:pPr>
              <w:ind w:leftChars="0" w:left="0" w:right="0"/>
            </w:pPr>
            <w:r>
              <w:t>EURONEXT - EURONEXT PARIS</w:t>
            </w:r>
          </w:p>
        </w:tc>
        <w:tc>
          <w:tcPr>
            <w:cnfStyle w:evenVBand="true" w:oddVBand="false" w:firstColumn="false"/>
            <w:tcW w:w="25.000000%" w:type="pct"/>
          </w:tcPr>
          <w:p>
            <w:pPr>
              <w:ind w:leftChars="0" w:left="0" w:right="0"/>
            </w:pPr>
            <w:r>
              <w:t>2366</w:t>
            </w:r>
          </w:p>
        </w:tc>
      </w:tr>
      <w:tr>
        <w:trPr>
          <w:cnfStyle w:evenHBand="true" w:oddHBand="false" w:firstRow="false"/>
        </w:trPr>
        <w:tc>
          <w:tcPr>
            <w:cnfStyle w:evenVBand="false" w:oddVBand="true" w:firstColumn="false"/>
            <w:tcW w:w="25.000000%" w:type="pct"/>
          </w:tcPr>
          <w:p>
            <w:pPr>
              <w:ind w:leftChars="0" w:left="0" w:right="0"/>
            </w:pPr>
            <w:r>
              <w:t>XPBT</w:t>
            </w:r>
          </w:p>
        </w:tc>
        <w:tc>
          <w:tcPr>
            <w:cnfStyle w:evenVBand="true" w:oddVBand="false" w:firstColumn="false"/>
            <w:tcW w:w="25.000000%" w:type="pct"/>
          </w:tcPr>
          <w:p>
            <w:pPr>
              <w:ind w:leftChars="0" w:left="0" w:right="0"/>
            </w:pPr>
            <w:r>
              <w:t>XPBT</w:t>
            </w:r>
          </w:p>
        </w:tc>
        <w:tc>
          <w:tcPr>
            <w:cnfStyle w:evenVBand="false" w:oddVBand="true" w:firstColumn="false"/>
            <w:tcW w:w="25.000000%" w:type="pct"/>
          </w:tcPr>
          <w:p>
            <w:pPr>
              <w:ind w:leftChars="0" w:left="0" w:right="0"/>
            </w:pPr>
            <w:r>
              <w:t>NASDAQ OMX FUTURES EXCHANGE</w:t>
            </w:r>
          </w:p>
        </w:tc>
        <w:tc>
          <w:tcPr>
            <w:cnfStyle w:evenVBand="true" w:oddVBand="false" w:firstColumn="false"/>
            <w:tcW w:w="25.000000%" w:type="pct"/>
          </w:tcPr>
          <w:p>
            <w:pPr>
              <w:ind w:leftChars="0" w:left="0" w:right="0"/>
            </w:pPr>
            <w:r>
              <w:t>2367</w:t>
            </w:r>
          </w:p>
        </w:tc>
      </w:tr>
      <w:tr>
        <w:trPr>
          <w:cnfStyle w:evenHBand="false" w:oddHBand="true" w:firstRow="false"/>
        </w:trPr>
        <w:tc>
          <w:tcPr>
            <w:cnfStyle w:evenVBand="false" w:oddVBand="true" w:firstColumn="false"/>
            <w:tcW w:w="25.000000%" w:type="pct"/>
          </w:tcPr>
          <w:p>
            <w:pPr>
              <w:ind w:leftChars="0" w:left="0" w:right="0"/>
            </w:pPr>
            <w:r>
              <w:t>XPET</w:t>
            </w:r>
          </w:p>
        </w:tc>
        <w:tc>
          <w:tcPr>
            <w:cnfStyle w:evenVBand="true" w:oddVBand="false" w:firstColumn="false"/>
            <w:tcW w:w="25.000000%" w:type="pct"/>
          </w:tcPr>
          <w:p>
            <w:pPr>
              <w:ind w:leftChars="0" w:left="0" w:right="0"/>
            </w:pPr>
            <w:r>
              <w:t>XPET</w:t>
            </w:r>
          </w:p>
        </w:tc>
        <w:tc>
          <w:tcPr>
            <w:cnfStyle w:evenVBand="false" w:oddVBand="true" w:firstColumn="false"/>
            <w:tcW w:w="25.000000%" w:type="pct"/>
          </w:tcPr>
          <w:p>
            <w:pPr>
              <w:ind w:leftChars="0" w:left="0" w:right="0"/>
            </w:pPr>
            <w:r>
              <w:t>STOCK EXCHANGE SAINT PETERSBURG</w:t>
            </w:r>
          </w:p>
        </w:tc>
        <w:tc>
          <w:tcPr>
            <w:cnfStyle w:evenVBand="true" w:oddVBand="false" w:firstColumn="false"/>
            <w:tcW w:w="25.000000%" w:type="pct"/>
          </w:tcPr>
          <w:p>
            <w:pPr>
              <w:ind w:leftChars="0" w:left="0" w:right="0"/>
            </w:pPr>
            <w:r>
              <w:t>2368</w:t>
            </w:r>
          </w:p>
        </w:tc>
      </w:tr>
      <w:tr>
        <w:trPr>
          <w:cnfStyle w:evenHBand="true" w:oddHBand="false" w:firstRow="false"/>
        </w:trPr>
        <w:tc>
          <w:tcPr>
            <w:cnfStyle w:evenVBand="false" w:oddVBand="true" w:firstColumn="false"/>
            <w:tcW w:w="25.000000%" w:type="pct"/>
          </w:tcPr>
          <w:p>
            <w:pPr>
              <w:ind w:leftChars="0" w:left="0" w:right="0"/>
            </w:pPr>
            <w:r>
              <w:t>XPHL</w:t>
            </w:r>
          </w:p>
        </w:tc>
        <w:tc>
          <w:tcPr>
            <w:cnfStyle w:evenVBand="true" w:oddVBand="false" w:firstColumn="false"/>
            <w:tcW w:w="25.000000%" w:type="pct"/>
          </w:tcPr>
          <w:p>
            <w:pPr>
              <w:ind w:leftChars="0" w:left="0" w:right="0"/>
            </w:pPr>
            <w:r>
              <w:t>XPHL</w:t>
            </w:r>
          </w:p>
        </w:tc>
        <w:tc>
          <w:tcPr>
            <w:cnfStyle w:evenVBand="false" w:oddVBand="true" w:firstColumn="false"/>
            <w:tcW w:w="25.000000%" w:type="pct"/>
          </w:tcPr>
          <w:p>
            <w:pPr>
              <w:ind w:leftChars="0" w:left="0" w:right="0"/>
            </w:pPr>
            <w:r>
              <w:t>NASDAQ OMX PHLX</w:t>
            </w:r>
          </w:p>
        </w:tc>
        <w:tc>
          <w:tcPr>
            <w:cnfStyle w:evenVBand="true" w:oddVBand="false" w:firstColumn="false"/>
            <w:tcW w:w="25.000000%" w:type="pct"/>
          </w:tcPr>
          <w:p>
            <w:pPr>
              <w:ind w:leftChars="0" w:left="0" w:right="0"/>
            </w:pPr>
            <w:r>
              <w:t>2369</w:t>
            </w:r>
          </w:p>
        </w:tc>
      </w:tr>
      <w:tr>
        <w:trPr>
          <w:cnfStyle w:evenHBand="false" w:oddHBand="true" w:firstRow="false"/>
        </w:trPr>
        <w:tc>
          <w:tcPr>
            <w:cnfStyle w:evenVBand="false" w:oddVBand="true" w:firstColumn="false"/>
            <w:tcW w:w="25.000000%" w:type="pct"/>
          </w:tcPr>
          <w:p>
            <w:pPr>
              <w:ind w:leftChars="0" w:left="0" w:right="0"/>
            </w:pPr>
            <w:r>
              <w:t>XPHO</w:t>
            </w:r>
          </w:p>
        </w:tc>
        <w:tc>
          <w:tcPr>
            <w:cnfStyle w:evenVBand="true" w:oddVBand="false" w:firstColumn="false"/>
            <w:tcW w:w="25.000000%" w:type="pct"/>
          </w:tcPr>
          <w:p>
            <w:pPr>
              <w:ind w:leftChars="0" w:left="0" w:right="0"/>
            </w:pPr>
            <w:r>
              <w:t>XPHO</w:t>
            </w:r>
          </w:p>
        </w:tc>
        <w:tc>
          <w:tcPr>
            <w:cnfStyle w:evenVBand="false" w:oddVBand="true" w:firstColumn="false"/>
            <w:tcW w:w="25.000000%" w:type="pct"/>
          </w:tcPr>
          <w:p>
            <w:pPr>
              <w:ind w:leftChars="0" w:left="0" w:right="0"/>
            </w:pPr>
            <w:r>
              <w:t>PHILADELPHIA OPTIONS EXCHANGE</w:t>
            </w:r>
          </w:p>
        </w:tc>
        <w:tc>
          <w:tcPr>
            <w:cnfStyle w:evenVBand="true" w:oddVBand="false" w:firstColumn="false"/>
            <w:tcW w:w="25.000000%" w:type="pct"/>
          </w:tcPr>
          <w:p>
            <w:pPr>
              <w:ind w:leftChars="0" w:left="0" w:right="0"/>
            </w:pPr>
            <w:r>
              <w:t>2370</w:t>
            </w:r>
          </w:p>
        </w:tc>
      </w:tr>
      <w:tr>
        <w:trPr>
          <w:cnfStyle w:evenHBand="true" w:oddHBand="false" w:firstRow="false"/>
        </w:trPr>
        <w:tc>
          <w:tcPr>
            <w:cnfStyle w:evenVBand="false" w:oddVBand="true" w:firstColumn="false"/>
            <w:tcW w:w="25.000000%" w:type="pct"/>
          </w:tcPr>
          <w:p>
            <w:pPr>
              <w:ind w:leftChars="0" w:left="0" w:right="0"/>
            </w:pPr>
            <w:r>
              <w:t>XPHS</w:t>
            </w:r>
          </w:p>
        </w:tc>
        <w:tc>
          <w:tcPr>
            <w:cnfStyle w:evenVBand="true" w:oddVBand="false" w:firstColumn="false"/>
            <w:tcW w:w="25.000000%" w:type="pct"/>
          </w:tcPr>
          <w:p>
            <w:pPr>
              <w:ind w:leftChars="0" w:left="0" w:right="0"/>
            </w:pPr>
            <w:r>
              <w:t>XPHS</w:t>
            </w:r>
          </w:p>
        </w:tc>
        <w:tc>
          <w:tcPr>
            <w:cnfStyle w:evenVBand="false" w:oddVBand="true" w:firstColumn="false"/>
            <w:tcW w:w="25.000000%" w:type="pct"/>
          </w:tcPr>
          <w:p>
            <w:pPr>
              <w:ind w:leftChars="0" w:left="0" w:right="0"/>
            </w:pPr>
            <w:r>
              <w:t>PHILIPPINE STOCK EXCHANGE, INC.</w:t>
            </w:r>
          </w:p>
        </w:tc>
        <w:tc>
          <w:tcPr>
            <w:cnfStyle w:evenVBand="true" w:oddVBand="false" w:firstColumn="false"/>
            <w:tcW w:w="25.000000%" w:type="pct"/>
          </w:tcPr>
          <w:p>
            <w:pPr>
              <w:ind w:leftChars="0" w:left="0" w:right="0"/>
            </w:pPr>
            <w:r>
              <w:t>2371</w:t>
            </w:r>
          </w:p>
        </w:tc>
      </w:tr>
      <w:tr>
        <w:trPr>
          <w:cnfStyle w:evenHBand="false" w:oddHBand="true" w:firstRow="false"/>
        </w:trPr>
        <w:tc>
          <w:tcPr>
            <w:cnfStyle w:evenVBand="false" w:oddVBand="true" w:firstColumn="false"/>
            <w:tcW w:w="25.000000%" w:type="pct"/>
          </w:tcPr>
          <w:p>
            <w:pPr>
              <w:ind w:leftChars="0" w:left="0" w:right="0"/>
            </w:pPr>
            <w:r>
              <w:t>XPHX</w:t>
            </w:r>
          </w:p>
        </w:tc>
        <w:tc>
          <w:tcPr>
            <w:cnfStyle w:evenVBand="true" w:oddVBand="false" w:firstColumn="false"/>
            <w:tcW w:w="25.000000%" w:type="pct"/>
          </w:tcPr>
          <w:p>
            <w:pPr>
              <w:ind w:leftChars="0" w:left="0" w:right="0"/>
            </w:pPr>
            <w:r>
              <w:t>XPHX</w:t>
            </w:r>
          </w:p>
        </w:tc>
        <w:tc>
          <w:tcPr>
            <w:cnfStyle w:evenVBand="false" w:oddVBand="true" w:firstColumn="false"/>
            <w:tcW w:w="25.000000%" w:type="pct"/>
          </w:tcPr>
          <w:p>
            <w:pPr>
              <w:ind w:leftChars="0" w:left="0" w:right="0"/>
            </w:pPr>
            <w:r>
              <w:t>PEEL HUNT CROSSING</w:t>
            </w:r>
          </w:p>
        </w:tc>
        <w:tc>
          <w:tcPr>
            <w:cnfStyle w:evenVBand="true" w:oddVBand="false" w:firstColumn="false"/>
            <w:tcW w:w="25.000000%" w:type="pct"/>
          </w:tcPr>
          <w:p>
            <w:pPr>
              <w:ind w:leftChars="0" w:left="0" w:right="0"/>
            </w:pPr>
            <w:r>
              <w:t>2372</w:t>
            </w:r>
          </w:p>
        </w:tc>
      </w:tr>
      <w:tr>
        <w:trPr>
          <w:cnfStyle w:evenHBand="true" w:oddHBand="false" w:firstRow="false"/>
        </w:trPr>
        <w:tc>
          <w:tcPr>
            <w:cnfStyle w:evenVBand="false" w:oddVBand="true" w:firstColumn="false"/>
            <w:tcW w:w="25.000000%" w:type="pct"/>
          </w:tcPr>
          <w:p>
            <w:pPr>
              <w:ind w:leftChars="0" w:left="0" w:right="0"/>
            </w:pPr>
            <w:r>
              <w:t>XPIC</w:t>
            </w:r>
          </w:p>
        </w:tc>
        <w:tc>
          <w:tcPr>
            <w:cnfStyle w:evenVBand="true" w:oddVBand="false" w:firstColumn="false"/>
            <w:tcW w:w="25.000000%" w:type="pct"/>
          </w:tcPr>
          <w:p>
            <w:pPr>
              <w:ind w:leftChars="0" w:left="0" w:right="0"/>
            </w:pPr>
            <w:r>
              <w:t>XPIC</w:t>
            </w:r>
          </w:p>
        </w:tc>
        <w:tc>
          <w:tcPr>
            <w:cnfStyle w:evenVBand="false" w:oddVBand="true" w:firstColumn="false"/>
            <w:tcW w:w="25.000000%" w:type="pct"/>
          </w:tcPr>
          <w:p>
            <w:pPr>
              <w:ind w:leftChars="0" w:left="0" w:right="0"/>
            </w:pPr>
            <w:r>
              <w:t>SAINT-PETERSBURG CURRENCY EXCHANGE</w:t>
            </w:r>
          </w:p>
        </w:tc>
        <w:tc>
          <w:tcPr>
            <w:cnfStyle w:evenVBand="true" w:oddVBand="false" w:firstColumn="false"/>
            <w:tcW w:w="25.000000%" w:type="pct"/>
          </w:tcPr>
          <w:p>
            <w:pPr>
              <w:ind w:leftChars="0" w:left="0" w:right="0"/>
            </w:pPr>
            <w:r>
              <w:t>2373</w:t>
            </w:r>
          </w:p>
        </w:tc>
      </w:tr>
      <w:tr>
        <w:trPr>
          <w:cnfStyle w:evenHBand="false" w:oddHBand="true" w:firstRow="false"/>
        </w:trPr>
        <w:tc>
          <w:tcPr>
            <w:cnfStyle w:evenVBand="false" w:oddVBand="true" w:firstColumn="false"/>
            <w:tcW w:w="25.000000%" w:type="pct"/>
          </w:tcPr>
          <w:p>
            <w:pPr>
              <w:ind w:leftChars="0" w:left="0" w:right="0"/>
            </w:pPr>
            <w:r>
              <w:t>XPIN</w:t>
            </w:r>
          </w:p>
        </w:tc>
        <w:tc>
          <w:tcPr>
            <w:cnfStyle w:evenVBand="true" w:oddVBand="false" w:firstColumn="false"/>
            <w:tcW w:w="25.000000%" w:type="pct"/>
          </w:tcPr>
          <w:p>
            <w:pPr>
              <w:ind w:leftChars="0" w:left="0" w:right="0"/>
            </w:pPr>
            <w:r>
              <w:t>XPIN</w:t>
            </w:r>
          </w:p>
        </w:tc>
        <w:tc>
          <w:tcPr>
            <w:cnfStyle w:evenVBand="false" w:oddVBand="true" w:firstColumn="false"/>
            <w:tcW w:w="25.000000%" w:type="pct"/>
          </w:tcPr>
          <w:p>
            <w:pPr>
              <w:ind w:leftChars="0" w:left="0" w:right="0"/>
            </w:pPr>
            <w:r>
              <w:t>UBS PIN (UBS PRICE IMPROVEMENT NETWORK)</w:t>
            </w:r>
          </w:p>
        </w:tc>
        <w:tc>
          <w:tcPr>
            <w:cnfStyle w:evenVBand="true" w:oddVBand="false" w:firstColumn="false"/>
            <w:tcW w:w="25.000000%" w:type="pct"/>
          </w:tcPr>
          <w:p>
            <w:pPr>
              <w:ind w:leftChars="0" w:left="0" w:right="0"/>
            </w:pPr>
            <w:r>
              <w:t>2374</w:t>
            </w:r>
          </w:p>
        </w:tc>
      </w:tr>
      <w:tr>
        <w:trPr>
          <w:cnfStyle w:evenHBand="true" w:oddHBand="false" w:firstRow="false"/>
        </w:trPr>
        <w:tc>
          <w:tcPr>
            <w:cnfStyle w:evenVBand="false" w:oddVBand="true" w:firstColumn="false"/>
            <w:tcW w:w="25.000000%" w:type="pct"/>
          </w:tcPr>
          <w:p>
            <w:pPr>
              <w:ind w:leftChars="0" w:left="0" w:right="0"/>
            </w:pPr>
            <w:r>
              <w:t>XPLU</w:t>
            </w:r>
          </w:p>
        </w:tc>
        <w:tc>
          <w:tcPr>
            <w:cnfStyle w:evenVBand="true" w:oddVBand="false" w:firstColumn="false"/>
            <w:tcW w:w="25.000000%" w:type="pct"/>
          </w:tcPr>
          <w:p>
            <w:pPr>
              <w:ind w:leftChars="0" w:left="0" w:right="0"/>
            </w:pPr>
            <w:r>
              <w:t>XPLU</w:t>
            </w:r>
          </w:p>
        </w:tc>
        <w:tc>
          <w:tcPr>
            <w:cnfStyle w:evenVBand="false" w:oddVBand="true" w:firstColumn="false"/>
            <w:tcW w:w="25.000000%" w:type="pct"/>
          </w:tcPr>
          <w:p>
            <w:pPr>
              <w:ind w:leftChars="0" w:left="0" w:right="0"/>
            </w:pPr>
            <w:r>
              <w:t>PLUS MARKETS GROUP</w:t>
            </w:r>
          </w:p>
        </w:tc>
        <w:tc>
          <w:tcPr>
            <w:cnfStyle w:evenVBand="true" w:oddVBand="false" w:firstColumn="false"/>
            <w:tcW w:w="25.000000%" w:type="pct"/>
          </w:tcPr>
          <w:p>
            <w:pPr>
              <w:ind w:leftChars="0" w:left="0" w:right="0"/>
            </w:pPr>
            <w:r>
              <w:t>2375</w:t>
            </w:r>
          </w:p>
        </w:tc>
      </w:tr>
      <w:tr>
        <w:trPr>
          <w:cnfStyle w:evenHBand="false" w:oddHBand="true" w:firstRow="false"/>
        </w:trPr>
        <w:tc>
          <w:tcPr>
            <w:cnfStyle w:evenVBand="false" w:oddVBand="true" w:firstColumn="false"/>
            <w:tcW w:w="25.000000%" w:type="pct"/>
          </w:tcPr>
          <w:p>
            <w:pPr>
              <w:ind w:leftChars="0" w:left="0" w:right="0"/>
            </w:pPr>
            <w:r>
              <w:t>XPMS</w:t>
            </w:r>
          </w:p>
        </w:tc>
        <w:tc>
          <w:tcPr>
            <w:cnfStyle w:evenVBand="true" w:oddVBand="false" w:firstColumn="false"/>
            <w:tcW w:w="25.000000%" w:type="pct"/>
          </w:tcPr>
          <w:p>
            <w:pPr>
              <w:ind w:leftChars="0" w:left="0" w:right="0"/>
            </w:pPr>
            <w:r>
              <w:t>XPMS</w:t>
            </w:r>
          </w:p>
        </w:tc>
        <w:tc>
          <w:tcPr>
            <w:cnfStyle w:evenVBand="false" w:oddVBand="true" w:firstColumn="false"/>
            <w:tcW w:w="25.000000%" w:type="pct"/>
          </w:tcPr>
          <w:p>
            <w:pPr>
              <w:ind w:leftChars="0" w:left="0" w:right="0"/>
            </w:pPr>
            <w:r>
              <w:t>BORSA ISTANBUL - PRECIOUS METALS AND DIAMONDS MARKETS</w:t>
            </w:r>
          </w:p>
        </w:tc>
        <w:tc>
          <w:tcPr>
            <w:cnfStyle w:evenVBand="true" w:oddVBand="false" w:firstColumn="false"/>
            <w:tcW w:w="25.000000%" w:type="pct"/>
          </w:tcPr>
          <w:p>
            <w:pPr>
              <w:ind w:leftChars="0" w:left="0" w:right="0"/>
            </w:pPr>
            <w:r>
              <w:t>2376</w:t>
            </w:r>
          </w:p>
        </w:tc>
      </w:tr>
      <w:tr>
        <w:trPr>
          <w:cnfStyle w:evenHBand="true" w:oddHBand="false" w:firstRow="false"/>
        </w:trPr>
        <w:tc>
          <w:tcPr>
            <w:cnfStyle w:evenVBand="false" w:oddVBand="true" w:firstColumn="false"/>
            <w:tcW w:w="25.000000%" w:type="pct"/>
          </w:tcPr>
          <w:p>
            <w:pPr>
              <w:ind w:leftChars="0" w:left="0" w:right="0"/>
            </w:pPr>
            <w:r>
              <w:t>XPOL</w:t>
            </w:r>
          </w:p>
        </w:tc>
        <w:tc>
          <w:tcPr>
            <w:cnfStyle w:evenVBand="true" w:oddVBand="false" w:firstColumn="false"/>
            <w:tcW w:w="25.000000%" w:type="pct"/>
          </w:tcPr>
          <w:p>
            <w:pPr>
              <w:ind w:leftChars="0" w:left="0" w:right="0"/>
            </w:pPr>
            <w:r>
              <w:t>XPOL</w:t>
            </w:r>
          </w:p>
        </w:tc>
        <w:tc>
          <w:tcPr>
            <w:cnfStyle w:evenVBand="false" w:oddVBand="true" w:firstColumn="false"/>
            <w:tcW w:w="25.000000%" w:type="pct"/>
          </w:tcPr>
          <w:p>
            <w:pPr>
              <w:ind w:leftChars="0" w:left="0" w:right="0"/>
            </w:pPr>
            <w:r>
              <w:t>POSIT DARK UK</w:t>
            </w:r>
          </w:p>
        </w:tc>
        <w:tc>
          <w:tcPr>
            <w:cnfStyle w:evenVBand="true" w:oddVBand="false" w:firstColumn="false"/>
            <w:tcW w:w="25.000000%" w:type="pct"/>
          </w:tcPr>
          <w:p>
            <w:pPr>
              <w:ind w:leftChars="0" w:left="0" w:right="0"/>
            </w:pPr>
            <w:r>
              <w:t>2377</w:t>
            </w:r>
          </w:p>
        </w:tc>
      </w:tr>
      <w:tr>
        <w:trPr>
          <w:cnfStyle w:evenHBand="false" w:oddHBand="true" w:firstRow="false"/>
        </w:trPr>
        <w:tc>
          <w:tcPr>
            <w:cnfStyle w:evenVBand="false" w:oddVBand="true" w:firstColumn="false"/>
            <w:tcW w:w="25.000000%" w:type="pct"/>
          </w:tcPr>
          <w:p>
            <w:pPr>
              <w:ind w:leftChars="0" w:left="0" w:right="0"/>
            </w:pPr>
            <w:r>
              <w:t>XPOM</w:t>
            </w:r>
          </w:p>
        </w:tc>
        <w:tc>
          <w:tcPr>
            <w:cnfStyle w:evenVBand="true" w:oddVBand="false" w:firstColumn="false"/>
            <w:tcW w:w="25.000000%" w:type="pct"/>
          </w:tcPr>
          <w:p>
            <w:pPr>
              <w:ind w:leftChars="0" w:left="0" w:right="0"/>
            </w:pPr>
            <w:r>
              <w:t>XPOM</w:t>
            </w:r>
          </w:p>
        </w:tc>
        <w:tc>
          <w:tcPr>
            <w:cnfStyle w:evenVBand="false" w:oddVBand="true" w:firstColumn="false"/>
            <w:tcW w:w="25.000000%" w:type="pct"/>
          </w:tcPr>
          <w:p>
            <w:pPr>
              <w:ind w:leftChars="0" w:left="0" w:right="0"/>
            </w:pPr>
            <w:r>
              <w:t>PNGX MARKETS LIMITED</w:t>
            </w:r>
          </w:p>
        </w:tc>
        <w:tc>
          <w:tcPr>
            <w:cnfStyle w:evenVBand="true" w:oddVBand="false" w:firstColumn="false"/>
            <w:tcW w:w="25.000000%" w:type="pct"/>
          </w:tcPr>
          <w:p>
            <w:pPr>
              <w:ind w:leftChars="0" w:left="0" w:right="0"/>
            </w:pPr>
            <w:r>
              <w:t>2378</w:t>
            </w:r>
          </w:p>
        </w:tc>
      </w:tr>
      <w:tr>
        <w:trPr>
          <w:cnfStyle w:evenHBand="true" w:oddHBand="false" w:firstRow="false"/>
        </w:trPr>
        <w:tc>
          <w:tcPr>
            <w:cnfStyle w:evenVBand="false" w:oddVBand="true" w:firstColumn="false"/>
            <w:tcW w:w="25.000000%" w:type="pct"/>
          </w:tcPr>
          <w:p>
            <w:pPr>
              <w:ind w:leftChars="0" w:left="0" w:right="0"/>
            </w:pPr>
            <w:r>
              <w:t>XPOR</w:t>
            </w:r>
          </w:p>
        </w:tc>
        <w:tc>
          <w:tcPr>
            <w:cnfStyle w:evenVBand="true" w:oddVBand="false" w:firstColumn="false"/>
            <w:tcW w:w="25.000000%" w:type="pct"/>
          </w:tcPr>
          <w:p>
            <w:pPr>
              <w:ind w:leftChars="0" w:left="0" w:right="0"/>
            </w:pPr>
            <w:r>
              <w:t>XPOR</w:t>
            </w:r>
          </w:p>
        </w:tc>
        <w:tc>
          <w:tcPr>
            <w:cnfStyle w:evenVBand="false" w:oddVBand="true" w:firstColumn="false"/>
            <w:tcW w:w="25.000000%" w:type="pct"/>
          </w:tcPr>
          <w:p>
            <w:pPr>
              <w:ind w:leftChars="0" w:left="0" w:right="0"/>
            </w:pPr>
            <w:r>
              <w:t>PORTAL</w:t>
            </w:r>
          </w:p>
        </w:tc>
        <w:tc>
          <w:tcPr>
            <w:cnfStyle w:evenVBand="true" w:oddVBand="false" w:firstColumn="false"/>
            <w:tcW w:w="25.000000%" w:type="pct"/>
          </w:tcPr>
          <w:p>
            <w:pPr>
              <w:ind w:leftChars="0" w:left="0" w:right="0"/>
            </w:pPr>
            <w:r>
              <w:t>2379</w:t>
            </w:r>
          </w:p>
        </w:tc>
      </w:tr>
      <w:tr>
        <w:trPr>
          <w:cnfStyle w:evenHBand="false" w:oddHBand="true" w:firstRow="false"/>
        </w:trPr>
        <w:tc>
          <w:tcPr>
            <w:cnfStyle w:evenVBand="false" w:oddVBand="true" w:firstColumn="false"/>
            <w:tcW w:w="25.000000%" w:type="pct"/>
          </w:tcPr>
          <w:p>
            <w:pPr>
              <w:ind w:leftChars="0" w:left="0" w:right="0"/>
            </w:pPr>
            <w:r>
              <w:t>XPOS</w:t>
            </w:r>
          </w:p>
        </w:tc>
        <w:tc>
          <w:tcPr>
            <w:cnfStyle w:evenVBand="true" w:oddVBand="false" w:firstColumn="false"/>
            <w:tcW w:w="25.000000%" w:type="pct"/>
          </w:tcPr>
          <w:p>
            <w:pPr>
              <w:ind w:leftChars="0" w:left="0" w:right="0"/>
            </w:pPr>
            <w:r>
              <w:t>XPOS</w:t>
            </w:r>
          </w:p>
        </w:tc>
        <w:tc>
          <w:tcPr>
            <w:cnfStyle w:evenVBand="false" w:oddVBand="true" w:firstColumn="false"/>
            <w:tcW w:w="25.000000%" w:type="pct"/>
          </w:tcPr>
          <w:p>
            <w:pPr>
              <w:ind w:leftChars="0" w:left="0" w:right="0"/>
            </w:pPr>
            <w:r>
              <w:t>POSIT DARK</w:t>
            </w:r>
          </w:p>
        </w:tc>
        <w:tc>
          <w:tcPr>
            <w:cnfStyle w:evenVBand="true" w:oddVBand="false" w:firstColumn="false"/>
            <w:tcW w:w="25.000000%" w:type="pct"/>
          </w:tcPr>
          <w:p>
            <w:pPr>
              <w:ind w:leftChars="0" w:left="0" w:right="0"/>
            </w:pPr>
            <w:r>
              <w:t>2380</w:t>
            </w:r>
          </w:p>
        </w:tc>
      </w:tr>
      <w:tr>
        <w:trPr>
          <w:cnfStyle w:evenHBand="true" w:oddHBand="false" w:firstRow="false"/>
        </w:trPr>
        <w:tc>
          <w:tcPr>
            <w:cnfStyle w:evenVBand="false" w:oddVBand="true" w:firstColumn="false"/>
            <w:tcW w:w="25.000000%" w:type="pct"/>
          </w:tcPr>
          <w:p>
            <w:pPr>
              <w:ind w:leftChars="0" w:left="0" w:right="0"/>
            </w:pPr>
            <w:r>
              <w:t>XPOT</w:t>
            </w:r>
          </w:p>
        </w:tc>
        <w:tc>
          <w:tcPr>
            <w:cnfStyle w:evenVBand="true" w:oddVBand="false" w:firstColumn="false"/>
            <w:tcW w:w="25.000000%" w:type="pct"/>
          </w:tcPr>
          <w:p>
            <w:pPr>
              <w:ind w:leftChars="0" w:left="0" w:right="0"/>
            </w:pPr>
            <w:r>
              <w:t>XPOT</w:t>
            </w:r>
          </w:p>
        </w:tc>
        <w:tc>
          <w:tcPr>
            <w:cnfStyle w:evenVBand="false" w:oddVBand="true" w:firstColumn="false"/>
            <w:tcW w:w="25.000000%" w:type="pct"/>
          </w:tcPr>
          <w:p>
            <w:pPr>
              <w:ind w:leftChars="0" w:left="0" w:right="0"/>
            </w:pPr>
            <w:r>
              <w:t>EUROPEAN ENERGY EXCHANGE - OTF GAS MARKET</w:t>
            </w:r>
          </w:p>
        </w:tc>
        <w:tc>
          <w:tcPr>
            <w:cnfStyle w:evenVBand="true" w:oddVBand="false" w:firstColumn="false"/>
            <w:tcW w:w="25.000000%" w:type="pct"/>
          </w:tcPr>
          <w:p>
            <w:pPr>
              <w:ind w:leftChars="0" w:left="0" w:right="0"/>
            </w:pPr>
            <w:r>
              <w:t>2381</w:t>
            </w:r>
          </w:p>
        </w:tc>
      </w:tr>
      <w:tr>
        <w:trPr>
          <w:cnfStyle w:evenHBand="false" w:oddHBand="true" w:firstRow="false"/>
        </w:trPr>
        <w:tc>
          <w:tcPr>
            <w:cnfStyle w:evenVBand="false" w:oddVBand="true" w:firstColumn="false"/>
            <w:tcW w:w="25.000000%" w:type="pct"/>
          </w:tcPr>
          <w:p>
            <w:pPr>
              <w:ind w:leftChars="0" w:left="0" w:right="0"/>
            </w:pPr>
            <w:r>
              <w:t>XPOW</w:t>
            </w:r>
          </w:p>
        </w:tc>
        <w:tc>
          <w:tcPr>
            <w:cnfStyle w:evenVBand="true" w:oddVBand="false" w:firstColumn="false"/>
            <w:tcW w:w="25.000000%" w:type="pct"/>
          </w:tcPr>
          <w:p>
            <w:pPr>
              <w:ind w:leftChars="0" w:left="0" w:right="0"/>
            </w:pPr>
            <w:r>
              <w:t>XPOW</w:t>
            </w:r>
          </w:p>
        </w:tc>
        <w:tc>
          <w:tcPr>
            <w:cnfStyle w:evenVBand="false" w:oddVBand="true" w:firstColumn="false"/>
            <w:tcW w:w="25.000000%" w:type="pct"/>
          </w:tcPr>
          <w:p>
            <w:pPr>
              <w:ind w:leftChars="0" w:left="0" w:right="0"/>
            </w:pPr>
            <w:r>
              <w:t>POWERNEXT</w:t>
            </w:r>
          </w:p>
        </w:tc>
        <w:tc>
          <w:tcPr>
            <w:cnfStyle w:evenVBand="true" w:oddVBand="false" w:firstColumn="false"/>
            <w:tcW w:w="25.000000%" w:type="pct"/>
          </w:tcPr>
          <w:p>
            <w:pPr>
              <w:ind w:leftChars="0" w:left="0" w:right="0"/>
            </w:pPr>
            <w:r>
              <w:t>2382</w:t>
            </w:r>
          </w:p>
        </w:tc>
      </w:tr>
      <w:tr>
        <w:trPr>
          <w:cnfStyle w:evenHBand="true" w:oddHBand="false" w:firstRow="false"/>
        </w:trPr>
        <w:tc>
          <w:tcPr>
            <w:cnfStyle w:evenVBand="false" w:oddVBand="true" w:firstColumn="false"/>
            <w:tcW w:w="25.000000%" w:type="pct"/>
          </w:tcPr>
          <w:p>
            <w:pPr>
              <w:ind w:leftChars="0" w:left="0" w:right="0"/>
            </w:pPr>
            <w:r>
              <w:t>XPRA</w:t>
            </w:r>
          </w:p>
        </w:tc>
        <w:tc>
          <w:tcPr>
            <w:cnfStyle w:evenVBand="true" w:oddVBand="false" w:firstColumn="false"/>
            <w:tcW w:w="25.000000%" w:type="pct"/>
          </w:tcPr>
          <w:p>
            <w:pPr>
              <w:ind w:leftChars="0" w:left="0" w:right="0"/>
            </w:pPr>
            <w:r>
              <w:t>XPRA</w:t>
            </w:r>
          </w:p>
        </w:tc>
        <w:tc>
          <w:tcPr>
            <w:cnfStyle w:evenVBand="false" w:oddVBand="true" w:firstColumn="false"/>
            <w:tcW w:w="25.000000%" w:type="pct"/>
          </w:tcPr>
          <w:p>
            <w:pPr>
              <w:ind w:leftChars="0" w:left="0" w:right="0"/>
            </w:pPr>
            <w:r>
              <w:t>PRAGUE STOCK EXCHANGE</w:t>
            </w:r>
          </w:p>
        </w:tc>
        <w:tc>
          <w:tcPr>
            <w:cnfStyle w:evenVBand="true" w:oddVBand="false" w:firstColumn="false"/>
            <w:tcW w:w="25.000000%" w:type="pct"/>
          </w:tcPr>
          <w:p>
            <w:pPr>
              <w:ind w:leftChars="0" w:left="0" w:right="0"/>
            </w:pPr>
            <w:r>
              <w:t>2383</w:t>
            </w:r>
          </w:p>
        </w:tc>
      </w:tr>
      <w:tr>
        <w:trPr>
          <w:cnfStyle w:evenHBand="false" w:oddHBand="true" w:firstRow="false"/>
        </w:trPr>
        <w:tc>
          <w:tcPr>
            <w:cnfStyle w:evenVBand="false" w:oddVBand="true" w:firstColumn="false"/>
            <w:tcW w:w="25.000000%" w:type="pct"/>
          </w:tcPr>
          <w:p>
            <w:pPr>
              <w:ind w:leftChars="0" w:left="0" w:right="0"/>
            </w:pPr>
            <w:r>
              <w:t>XPRI</w:t>
            </w:r>
          </w:p>
        </w:tc>
        <w:tc>
          <w:tcPr>
            <w:cnfStyle w:evenVBand="true" w:oddVBand="false" w:firstColumn="false"/>
            <w:tcW w:w="25.000000%" w:type="pct"/>
          </w:tcPr>
          <w:p>
            <w:pPr>
              <w:ind w:leftChars="0" w:left="0" w:right="0"/>
            </w:pPr>
            <w:r>
              <w:t>XPRI</w:t>
            </w:r>
          </w:p>
        </w:tc>
        <w:tc>
          <w:tcPr>
            <w:cnfStyle w:evenVBand="false" w:oddVBand="true" w:firstColumn="false"/>
            <w:tcW w:w="25.000000%" w:type="pct"/>
          </w:tcPr>
          <w:p>
            <w:pPr>
              <w:ind w:leftChars="0" w:left="0" w:right="0"/>
            </w:pPr>
            <w:r>
              <w:t>PRIDNEPROVSK COMMODITY EXCHANGE</w:t>
            </w:r>
          </w:p>
        </w:tc>
        <w:tc>
          <w:tcPr>
            <w:cnfStyle w:evenVBand="true" w:oddVBand="false" w:firstColumn="false"/>
            <w:tcW w:w="25.000000%" w:type="pct"/>
          </w:tcPr>
          <w:p>
            <w:pPr>
              <w:ind w:leftChars="0" w:left="0" w:right="0"/>
            </w:pPr>
            <w:r>
              <w:t>2384</w:t>
            </w:r>
          </w:p>
        </w:tc>
      </w:tr>
      <w:tr>
        <w:trPr>
          <w:cnfStyle w:evenHBand="true" w:oddHBand="false" w:firstRow="false"/>
        </w:trPr>
        <w:tc>
          <w:tcPr>
            <w:cnfStyle w:evenVBand="false" w:oddVBand="true" w:firstColumn="false"/>
            <w:tcW w:w="25.000000%" w:type="pct"/>
          </w:tcPr>
          <w:p>
            <w:pPr>
              <w:ind w:leftChars="0" w:left="0" w:right="0"/>
            </w:pPr>
            <w:r>
              <w:t>XPRM</w:t>
            </w:r>
          </w:p>
        </w:tc>
        <w:tc>
          <w:tcPr>
            <w:cnfStyle w:evenVBand="true" w:oddVBand="false" w:firstColumn="false"/>
            <w:tcW w:w="25.000000%" w:type="pct"/>
          </w:tcPr>
          <w:p>
            <w:pPr>
              <w:ind w:leftChars="0" w:left="0" w:right="0"/>
            </w:pPr>
            <w:r>
              <w:t>XPRM</w:t>
            </w:r>
          </w:p>
        </w:tc>
        <w:tc>
          <w:tcPr>
            <w:cnfStyle w:evenVBand="false" w:oddVBand="true" w:firstColumn="false"/>
            <w:tcW w:w="25.000000%" w:type="pct"/>
          </w:tcPr>
          <w:p>
            <w:pPr>
              <w:ind w:leftChars="0" w:left="0" w:right="0"/>
            </w:pPr>
            <w:r>
              <w:t>PRAGUE STOCK EXCHANGE - MTF</w:t>
            </w:r>
          </w:p>
        </w:tc>
        <w:tc>
          <w:tcPr>
            <w:cnfStyle w:evenVBand="true" w:oddVBand="false" w:firstColumn="false"/>
            <w:tcW w:w="25.000000%" w:type="pct"/>
          </w:tcPr>
          <w:p>
            <w:pPr>
              <w:ind w:leftChars="0" w:left="0" w:right="0"/>
            </w:pPr>
            <w:r>
              <w:t>2385</w:t>
            </w:r>
          </w:p>
        </w:tc>
      </w:tr>
      <w:tr>
        <w:trPr>
          <w:cnfStyle w:evenHBand="false" w:oddHBand="true" w:firstRow="false"/>
        </w:trPr>
        <w:tc>
          <w:tcPr>
            <w:cnfStyle w:evenVBand="false" w:oddVBand="true" w:firstColumn="false"/>
            <w:tcW w:w="25.000000%" w:type="pct"/>
          </w:tcPr>
          <w:p>
            <w:pPr>
              <w:ind w:leftChars="0" w:left="0" w:right="0"/>
            </w:pPr>
            <w:r>
              <w:t>XPSE</w:t>
            </w:r>
          </w:p>
        </w:tc>
        <w:tc>
          <w:tcPr>
            <w:cnfStyle w:evenVBand="true" w:oddVBand="false" w:firstColumn="false"/>
            <w:tcW w:w="25.000000%" w:type="pct"/>
          </w:tcPr>
          <w:p>
            <w:pPr>
              <w:ind w:leftChars="0" w:left="0" w:right="0"/>
            </w:pPr>
            <w:r>
              <w:t>XPSE</w:t>
            </w:r>
          </w:p>
        </w:tc>
        <w:tc>
          <w:tcPr>
            <w:cnfStyle w:evenVBand="false" w:oddVBand="true" w:firstColumn="false"/>
            <w:tcW w:w="25.000000%" w:type="pct"/>
          </w:tcPr>
          <w:p>
            <w:pPr>
              <w:ind w:leftChars="0" w:left="0" w:right="0"/>
            </w:pPr>
            <w:r>
              <w:t>PACIFIC EXCHANGE</w:t>
            </w:r>
          </w:p>
        </w:tc>
        <w:tc>
          <w:tcPr>
            <w:cnfStyle w:evenVBand="true" w:oddVBand="false" w:firstColumn="false"/>
            <w:tcW w:w="25.000000%" w:type="pct"/>
          </w:tcPr>
          <w:p>
            <w:pPr>
              <w:ind w:leftChars="0" w:left="0" w:right="0"/>
            </w:pPr>
            <w:r>
              <w:t>2386</w:t>
            </w:r>
          </w:p>
        </w:tc>
      </w:tr>
      <w:tr>
        <w:trPr>
          <w:cnfStyle w:evenHBand="true" w:oddHBand="false" w:firstRow="false"/>
        </w:trPr>
        <w:tc>
          <w:tcPr>
            <w:cnfStyle w:evenVBand="false" w:oddVBand="true" w:firstColumn="false"/>
            <w:tcW w:w="25.000000%" w:type="pct"/>
          </w:tcPr>
          <w:p>
            <w:pPr>
              <w:ind w:leftChars="0" w:left="0" w:right="0"/>
            </w:pPr>
            <w:r>
              <w:t>XPSF</w:t>
            </w:r>
          </w:p>
        </w:tc>
        <w:tc>
          <w:tcPr>
            <w:cnfStyle w:evenVBand="true" w:oddVBand="false" w:firstColumn="false"/>
            <w:tcW w:w="25.000000%" w:type="pct"/>
          </w:tcPr>
          <w:p>
            <w:pPr>
              <w:ind w:leftChars="0" w:left="0" w:right="0"/>
            </w:pPr>
            <w:r>
              <w:t>XPSF</w:t>
            </w:r>
          </w:p>
        </w:tc>
        <w:tc>
          <w:tcPr>
            <w:cnfStyle w:evenVBand="false" w:oddVBand="true" w:firstColumn="false"/>
            <w:tcW w:w="25.000000%" w:type="pct"/>
          </w:tcPr>
          <w:p>
            <w:pPr>
              <w:ind w:leftChars="0" w:left="0" w:right="0"/>
            </w:pPr>
            <w:r>
              <w:t>EUROPEAN ENERGY EXCHANGE - REGULATED GAS MARKET</w:t>
            </w:r>
          </w:p>
        </w:tc>
        <w:tc>
          <w:tcPr>
            <w:cnfStyle w:evenVBand="true" w:oddVBand="false" w:firstColumn="false"/>
            <w:tcW w:w="25.000000%" w:type="pct"/>
          </w:tcPr>
          <w:p>
            <w:pPr>
              <w:ind w:leftChars="0" w:left="0" w:right="0"/>
            </w:pPr>
            <w:r>
              <w:t>2387</w:t>
            </w:r>
          </w:p>
        </w:tc>
      </w:tr>
      <w:tr>
        <w:trPr>
          <w:cnfStyle w:evenHBand="false" w:oddHBand="true" w:firstRow="false"/>
        </w:trPr>
        <w:tc>
          <w:tcPr>
            <w:cnfStyle w:evenVBand="false" w:oddVBand="true" w:firstColumn="false"/>
            <w:tcW w:w="25.000000%" w:type="pct"/>
          </w:tcPr>
          <w:p>
            <w:pPr>
              <w:ind w:leftChars="0" w:left="0" w:right="0"/>
            </w:pPr>
            <w:r>
              <w:t>XPST</w:t>
            </w:r>
          </w:p>
        </w:tc>
        <w:tc>
          <w:tcPr>
            <w:cnfStyle w:evenVBand="true" w:oddVBand="false" w:firstColumn="false"/>
            <w:tcW w:w="25.000000%" w:type="pct"/>
          </w:tcPr>
          <w:p>
            <w:pPr>
              <w:ind w:leftChars="0" w:left="0" w:right="0"/>
            </w:pPr>
            <w:r>
              <w:t>XPST</w:t>
            </w:r>
          </w:p>
        </w:tc>
        <w:tc>
          <w:tcPr>
            <w:cnfStyle w:evenVBand="false" w:oddVBand="true" w:firstColumn="false"/>
            <w:tcW w:w="25.000000%" w:type="pct"/>
          </w:tcPr>
          <w:p>
            <w:pPr>
              <w:ind w:leftChars="0" w:left="0" w:right="0"/>
            </w:pPr>
            <w:r>
              <w:t>POSIT - ASIA PACIFIC</w:t>
            </w:r>
          </w:p>
        </w:tc>
        <w:tc>
          <w:tcPr>
            <w:cnfStyle w:evenVBand="true" w:oddVBand="false" w:firstColumn="false"/>
            <w:tcW w:w="25.000000%" w:type="pct"/>
          </w:tcPr>
          <w:p>
            <w:pPr>
              <w:ind w:leftChars="0" w:left="0" w:right="0"/>
            </w:pPr>
            <w:r>
              <w:t>2388</w:t>
            </w:r>
          </w:p>
        </w:tc>
      </w:tr>
      <w:tr>
        <w:trPr>
          <w:cnfStyle w:evenHBand="true" w:oddHBand="false" w:firstRow="false"/>
        </w:trPr>
        <w:tc>
          <w:tcPr>
            <w:cnfStyle w:evenVBand="false" w:oddVBand="true" w:firstColumn="false"/>
            <w:tcW w:w="25.000000%" w:type="pct"/>
          </w:tcPr>
          <w:p>
            <w:pPr>
              <w:ind w:leftChars="0" w:left="0" w:right="0"/>
            </w:pPr>
            <w:r>
              <w:t>XPSX</w:t>
            </w:r>
          </w:p>
        </w:tc>
        <w:tc>
          <w:tcPr>
            <w:cnfStyle w:evenVBand="true" w:oddVBand="false" w:firstColumn="false"/>
            <w:tcW w:w="25.000000%" w:type="pct"/>
          </w:tcPr>
          <w:p>
            <w:pPr>
              <w:ind w:leftChars="0" w:left="0" w:right="0"/>
            </w:pPr>
            <w:r>
              <w:t>XPSX</w:t>
            </w:r>
          </w:p>
        </w:tc>
        <w:tc>
          <w:tcPr>
            <w:cnfStyle w:evenVBand="false" w:oddVBand="true" w:firstColumn="false"/>
            <w:tcW w:w="25.000000%" w:type="pct"/>
          </w:tcPr>
          <w:p>
            <w:pPr>
              <w:ind w:leftChars="0" w:left="0" w:right="0"/>
            </w:pPr>
            <w:r>
              <w:t>NASDAQ OMX PSX</w:t>
            </w:r>
          </w:p>
        </w:tc>
        <w:tc>
          <w:tcPr>
            <w:cnfStyle w:evenVBand="true" w:oddVBand="false" w:firstColumn="false"/>
            <w:tcW w:w="25.000000%" w:type="pct"/>
          </w:tcPr>
          <w:p>
            <w:pPr>
              <w:ind w:leftChars="0" w:left="0" w:right="0"/>
            </w:pPr>
            <w:r>
              <w:t>2389</w:t>
            </w:r>
          </w:p>
        </w:tc>
      </w:tr>
      <w:tr>
        <w:trPr>
          <w:cnfStyle w:evenHBand="false" w:oddHBand="true" w:firstRow="false"/>
        </w:trPr>
        <w:tc>
          <w:tcPr>
            <w:cnfStyle w:evenVBand="false" w:oddVBand="true" w:firstColumn="false"/>
            <w:tcW w:w="25.000000%" w:type="pct"/>
          </w:tcPr>
          <w:p>
            <w:pPr>
              <w:ind w:leftChars="0" w:left="0" w:right="0"/>
            </w:pPr>
            <w:r>
              <w:t>XPTY</w:t>
            </w:r>
          </w:p>
        </w:tc>
        <w:tc>
          <w:tcPr>
            <w:cnfStyle w:evenVBand="true" w:oddVBand="false" w:firstColumn="false"/>
            <w:tcW w:w="25.000000%" w:type="pct"/>
          </w:tcPr>
          <w:p>
            <w:pPr>
              <w:ind w:leftChars="0" w:left="0" w:right="0"/>
            </w:pPr>
            <w:r>
              <w:t>XPTY</w:t>
            </w:r>
          </w:p>
        </w:tc>
        <w:tc>
          <w:tcPr>
            <w:cnfStyle w:evenVBand="false" w:oddVBand="true" w:firstColumn="false"/>
            <w:tcW w:w="25.000000%" w:type="pct"/>
          </w:tcPr>
          <w:p>
            <w:pPr>
              <w:ind w:leftChars="0" w:left="0" w:right="0"/>
            </w:pPr>
            <w:r>
              <w:t>LATIN AMERICAN STOCK EXCHANGE, INC.</w:t>
            </w:r>
          </w:p>
        </w:tc>
        <w:tc>
          <w:tcPr>
            <w:cnfStyle w:evenVBand="true" w:oddVBand="false" w:firstColumn="false"/>
            <w:tcW w:w="25.000000%" w:type="pct"/>
          </w:tcPr>
          <w:p>
            <w:pPr>
              <w:ind w:leftChars="0" w:left="0" w:right="0"/>
            </w:pPr>
            <w:r>
              <w:t>2390</w:t>
            </w:r>
          </w:p>
        </w:tc>
      </w:tr>
      <w:tr>
        <w:trPr>
          <w:cnfStyle w:evenHBand="true" w:oddHBand="false" w:firstRow="false"/>
        </w:trPr>
        <w:tc>
          <w:tcPr>
            <w:cnfStyle w:evenVBand="false" w:oddVBand="true" w:firstColumn="false"/>
            <w:tcW w:w="25.000000%" w:type="pct"/>
          </w:tcPr>
          <w:p>
            <w:pPr>
              <w:ind w:leftChars="0" w:left="0" w:right="0"/>
            </w:pPr>
            <w:r>
              <w:t>XPUK</w:t>
            </w:r>
          </w:p>
        </w:tc>
        <w:tc>
          <w:tcPr>
            <w:cnfStyle w:evenVBand="true" w:oddVBand="false" w:firstColumn="false"/>
            <w:tcW w:w="25.000000%" w:type="pct"/>
          </w:tcPr>
          <w:p>
            <w:pPr>
              <w:ind w:leftChars="0" w:left="0" w:right="0"/>
            </w:pPr>
            <w:r>
              <w:t>XPUK</w:t>
            </w:r>
          </w:p>
        </w:tc>
        <w:tc>
          <w:tcPr>
            <w:cnfStyle w:evenVBand="false" w:oddVBand="true" w:firstColumn="false"/>
            <w:tcW w:w="25.000000%" w:type="pct"/>
          </w:tcPr>
          <w:p>
            <w:pPr>
              <w:ind w:leftChars="0" w:left="0" w:right="0"/>
            </w:pPr>
            <w:r>
              <w:t>XP INVESTMENTS UK LLP</w:t>
            </w:r>
          </w:p>
        </w:tc>
        <w:tc>
          <w:tcPr>
            <w:cnfStyle w:evenVBand="true" w:oddVBand="false" w:firstColumn="false"/>
            <w:tcW w:w="25.000000%" w:type="pct"/>
          </w:tcPr>
          <w:p>
            <w:pPr>
              <w:ind w:leftChars="0" w:left="0" w:right="0"/>
            </w:pPr>
            <w:r>
              <w:t>2391</w:t>
            </w:r>
          </w:p>
        </w:tc>
      </w:tr>
      <w:tr>
        <w:trPr>
          <w:cnfStyle w:evenHBand="false" w:oddHBand="true" w:firstRow="false"/>
        </w:trPr>
        <w:tc>
          <w:tcPr>
            <w:cnfStyle w:evenVBand="false" w:oddVBand="true" w:firstColumn="false"/>
            <w:tcW w:w="25.000000%" w:type="pct"/>
          </w:tcPr>
          <w:p>
            <w:pPr>
              <w:ind w:leftChars="0" w:left="0" w:right="0"/>
            </w:pPr>
            <w:r>
              <w:t>XPUS</w:t>
            </w:r>
          </w:p>
        </w:tc>
        <w:tc>
          <w:tcPr>
            <w:cnfStyle w:evenVBand="true" w:oddVBand="false" w:firstColumn="false"/>
            <w:tcW w:w="25.000000%" w:type="pct"/>
          </w:tcPr>
          <w:p>
            <w:pPr>
              <w:ind w:leftChars="0" w:left="0" w:right="0"/>
            </w:pPr>
            <w:r>
              <w:t>XPUS</w:t>
            </w:r>
          </w:p>
        </w:tc>
        <w:tc>
          <w:tcPr>
            <w:cnfStyle w:evenVBand="false" w:oddVBand="true" w:firstColumn="false"/>
            <w:tcW w:w="25.000000%" w:type="pct"/>
          </w:tcPr>
          <w:p>
            <w:pPr>
              <w:ind w:leftChars="0" w:left="0" w:right="0"/>
            </w:pPr>
            <w:r>
              <w:t>XP INVESTMENTS US, LLC</w:t>
            </w:r>
          </w:p>
        </w:tc>
        <w:tc>
          <w:tcPr>
            <w:cnfStyle w:evenVBand="true" w:oddVBand="false" w:firstColumn="false"/>
            <w:tcW w:w="25.000000%" w:type="pct"/>
          </w:tcPr>
          <w:p>
            <w:pPr>
              <w:ind w:leftChars="0" w:left="0" w:right="0"/>
            </w:pPr>
            <w:r>
              <w:t>2392</w:t>
            </w:r>
          </w:p>
        </w:tc>
      </w:tr>
      <w:tr>
        <w:trPr>
          <w:cnfStyle w:evenHBand="true" w:oddHBand="false" w:firstRow="false"/>
        </w:trPr>
        <w:tc>
          <w:tcPr>
            <w:cnfStyle w:evenVBand="false" w:oddVBand="true" w:firstColumn="false"/>
            <w:tcW w:w="25.000000%" w:type="pct"/>
          </w:tcPr>
          <w:p>
            <w:pPr>
              <w:ind w:leftChars="0" w:left="0" w:right="0"/>
            </w:pPr>
            <w:r>
              <w:t>XPXE</w:t>
            </w:r>
          </w:p>
        </w:tc>
        <w:tc>
          <w:tcPr>
            <w:cnfStyle w:evenVBand="true" w:oddVBand="false" w:firstColumn="false"/>
            <w:tcW w:w="25.000000%" w:type="pct"/>
          </w:tcPr>
          <w:p>
            <w:pPr>
              <w:ind w:leftChars="0" w:left="0" w:right="0"/>
            </w:pPr>
            <w:r>
              <w:t>XPXE</w:t>
            </w:r>
          </w:p>
        </w:tc>
        <w:tc>
          <w:tcPr>
            <w:cnfStyle w:evenVBand="false" w:oddVBand="true" w:firstColumn="false"/>
            <w:tcW w:w="25.000000%" w:type="pct"/>
          </w:tcPr>
          <w:p>
            <w:pPr>
              <w:ind w:leftChars="0" w:left="0" w:right="0"/>
            </w:pPr>
            <w:r>
              <w:t>POWER EXCHANGE CENTRAL EUROPE</w:t>
            </w:r>
          </w:p>
        </w:tc>
        <w:tc>
          <w:tcPr>
            <w:cnfStyle w:evenVBand="true" w:oddVBand="false" w:firstColumn="false"/>
            <w:tcW w:w="25.000000%" w:type="pct"/>
          </w:tcPr>
          <w:p>
            <w:pPr>
              <w:ind w:leftChars="0" w:left="0" w:right="0"/>
            </w:pPr>
            <w:r>
              <w:t>2393</w:t>
            </w:r>
          </w:p>
        </w:tc>
      </w:tr>
      <w:tr>
        <w:trPr>
          <w:cnfStyle w:evenHBand="false" w:oddHBand="true" w:firstRow="false"/>
        </w:trPr>
        <w:tc>
          <w:tcPr>
            <w:cnfStyle w:evenVBand="false" w:oddVBand="true" w:firstColumn="false"/>
            <w:tcW w:w="25.000000%" w:type="pct"/>
          </w:tcPr>
          <w:p>
            <w:pPr>
              <w:ind w:leftChars="0" w:left="0" w:right="0"/>
            </w:pPr>
            <w:r>
              <w:t>XQLX</w:t>
            </w:r>
          </w:p>
        </w:tc>
        <w:tc>
          <w:tcPr>
            <w:cnfStyle w:evenVBand="true" w:oddVBand="false" w:firstColumn="false"/>
            <w:tcW w:w="25.000000%" w:type="pct"/>
          </w:tcPr>
          <w:p>
            <w:pPr>
              <w:ind w:leftChars="0" w:left="0" w:right="0"/>
            </w:pPr>
            <w:r>
              <w:t>XQLX</w:t>
            </w:r>
          </w:p>
        </w:tc>
        <w:tc>
          <w:tcPr>
            <w:cnfStyle w:evenVBand="false" w:oddVBand="true" w:firstColumn="false"/>
            <w:tcW w:w="25.000000%" w:type="pct"/>
          </w:tcPr>
          <w:p>
            <w:pPr>
              <w:ind w:leftChars="0" w:left="0" w:right="0"/>
            </w:pPr>
            <w:r>
              <w:t>QLX</w:t>
            </w:r>
          </w:p>
        </w:tc>
        <w:tc>
          <w:tcPr>
            <w:cnfStyle w:evenVBand="true" w:oddVBand="false" w:firstColumn="false"/>
            <w:tcW w:w="25.000000%" w:type="pct"/>
          </w:tcPr>
          <w:p>
            <w:pPr>
              <w:ind w:leftChars="0" w:left="0" w:right="0"/>
            </w:pPr>
            <w:r>
              <w:t>2394</w:t>
            </w:r>
          </w:p>
        </w:tc>
      </w:tr>
      <w:tr>
        <w:trPr>
          <w:cnfStyle w:evenHBand="true" w:oddHBand="false" w:firstRow="false"/>
        </w:trPr>
        <w:tc>
          <w:tcPr>
            <w:cnfStyle w:evenVBand="false" w:oddVBand="true" w:firstColumn="false"/>
            <w:tcW w:w="25.000000%" w:type="pct"/>
          </w:tcPr>
          <w:p>
            <w:pPr>
              <w:ind w:leftChars="0" w:left="0" w:right="0"/>
            </w:pPr>
            <w:r>
              <w:t>XQMH</w:t>
            </w:r>
          </w:p>
        </w:tc>
        <w:tc>
          <w:tcPr>
            <w:cnfStyle w:evenVBand="true" w:oddVBand="false" w:firstColumn="false"/>
            <w:tcW w:w="25.000000%" w:type="pct"/>
          </w:tcPr>
          <w:p>
            <w:pPr>
              <w:ind w:leftChars="0" w:left="0" w:right="0"/>
            </w:pPr>
            <w:r>
              <w:t>XQMH</w:t>
            </w:r>
          </w:p>
        </w:tc>
        <w:tc>
          <w:tcPr>
            <w:cnfStyle w:evenVBand="false" w:oddVBand="true" w:firstColumn="false"/>
            <w:tcW w:w="25.000000%" w:type="pct"/>
          </w:tcPr>
          <w:p>
            <w:pPr>
              <w:ind w:leftChars="0" w:left="0" w:right="0"/>
            </w:pPr>
            <w:r>
              <w:t>SIX SWISS EXCHANGE - STRUCTURED PRODUCTS</w:t>
            </w:r>
          </w:p>
        </w:tc>
        <w:tc>
          <w:tcPr>
            <w:cnfStyle w:evenVBand="true" w:oddVBand="false" w:firstColumn="false"/>
            <w:tcW w:w="25.000000%" w:type="pct"/>
          </w:tcPr>
          <w:p>
            <w:pPr>
              <w:ind w:leftChars="0" w:left="0" w:right="0"/>
            </w:pPr>
            <w:r>
              <w:t>2395</w:t>
            </w:r>
          </w:p>
        </w:tc>
      </w:tr>
      <w:tr>
        <w:trPr>
          <w:cnfStyle w:evenHBand="false" w:oddHBand="true" w:firstRow="false"/>
        </w:trPr>
        <w:tc>
          <w:tcPr>
            <w:cnfStyle w:evenVBand="false" w:oddVBand="true" w:firstColumn="false"/>
            <w:tcW w:w="25.000000%" w:type="pct"/>
          </w:tcPr>
          <w:p>
            <w:pPr>
              <w:ind w:leftChars="0" w:left="0" w:right="0"/>
            </w:pPr>
            <w:r>
              <w:t>XQOD</w:t>
            </w:r>
          </w:p>
        </w:tc>
        <w:tc>
          <w:tcPr>
            <w:cnfStyle w:evenVBand="true" w:oddVBand="false" w:firstColumn="false"/>
            <w:tcW w:w="25.000000%" w:type="pct"/>
          </w:tcPr>
          <w:p>
            <w:pPr>
              <w:ind w:leftChars="0" w:left="0" w:right="0"/>
            </w:pPr>
            <w:r>
              <w:t>XQOD</w:t>
            </w:r>
          </w:p>
        </w:tc>
        <w:tc>
          <w:tcPr>
            <w:cnfStyle w:evenVBand="false" w:oddVBand="true" w:firstColumn="false"/>
            <w:tcW w:w="25.000000%" w:type="pct"/>
          </w:tcPr>
          <w:p>
            <w:pPr>
              <w:ind w:leftChars="0" w:left="0" w:right="0"/>
            </w:pPr>
            <w:r>
              <w:t>SIX SWISS EXCHANGE - ETF QOD</w:t>
            </w:r>
          </w:p>
        </w:tc>
        <w:tc>
          <w:tcPr>
            <w:cnfStyle w:evenVBand="true" w:oddVBand="false" w:firstColumn="false"/>
            <w:tcW w:w="25.000000%" w:type="pct"/>
          </w:tcPr>
          <w:p>
            <w:pPr>
              <w:ind w:leftChars="0" w:left="0" w:right="0"/>
            </w:pPr>
            <w:r>
              <w:t>2396</w:t>
            </w:r>
          </w:p>
        </w:tc>
      </w:tr>
      <w:tr>
        <w:trPr>
          <w:cnfStyle w:evenHBand="true" w:oddHBand="false" w:firstRow="false"/>
        </w:trPr>
        <w:tc>
          <w:tcPr>
            <w:cnfStyle w:evenVBand="false" w:oddVBand="true" w:firstColumn="false"/>
            <w:tcW w:w="25.000000%" w:type="pct"/>
          </w:tcPr>
          <w:p>
            <w:pPr>
              <w:ind w:leftChars="0" w:left="0" w:right="0"/>
            </w:pPr>
            <w:r>
              <w:t>XQTX</w:t>
            </w:r>
          </w:p>
        </w:tc>
        <w:tc>
          <w:tcPr>
            <w:cnfStyle w:evenVBand="true" w:oddVBand="false" w:firstColumn="false"/>
            <w:tcW w:w="25.000000%" w:type="pct"/>
          </w:tcPr>
          <w:p>
            <w:pPr>
              <w:ind w:leftChars="0" w:left="0" w:right="0"/>
            </w:pPr>
            <w:r>
              <w:t>XQTX</w:t>
            </w:r>
          </w:p>
        </w:tc>
        <w:tc>
          <w:tcPr>
            <w:cnfStyle w:evenVBand="false" w:oddVBand="true" w:firstColumn="false"/>
            <w:tcW w:w="25.000000%" w:type="pct"/>
          </w:tcPr>
          <w:p>
            <w:pPr>
              <w:ind w:leftChars="0" w:left="0" w:right="0"/>
            </w:pPr>
            <w:r>
              <w:t>BOERSE DUESSELDORF - QUOTRIX</w:t>
            </w:r>
          </w:p>
        </w:tc>
        <w:tc>
          <w:tcPr>
            <w:cnfStyle w:evenVBand="true" w:oddVBand="false" w:firstColumn="false"/>
            <w:tcW w:w="25.000000%" w:type="pct"/>
          </w:tcPr>
          <w:p>
            <w:pPr>
              <w:ind w:leftChars="0" w:left="0" w:right="0"/>
            </w:pPr>
            <w:r>
              <w:t>2397</w:t>
            </w:r>
          </w:p>
        </w:tc>
      </w:tr>
      <w:tr>
        <w:trPr>
          <w:cnfStyle w:evenHBand="false" w:oddHBand="true" w:firstRow="false"/>
        </w:trPr>
        <w:tc>
          <w:tcPr>
            <w:cnfStyle w:evenVBand="false" w:oddVBand="true" w:firstColumn="false"/>
            <w:tcW w:w="25.000000%" w:type="pct"/>
          </w:tcPr>
          <w:p>
            <w:pPr>
              <w:ind w:leftChars="0" w:left="0" w:right="0"/>
            </w:pPr>
            <w:r>
              <w:t>XQUI</w:t>
            </w:r>
          </w:p>
        </w:tc>
        <w:tc>
          <w:tcPr>
            <w:cnfStyle w:evenVBand="true" w:oddVBand="false" w:firstColumn="false"/>
            <w:tcW w:w="25.000000%" w:type="pct"/>
          </w:tcPr>
          <w:p>
            <w:pPr>
              <w:ind w:leftChars="0" w:left="0" w:right="0"/>
            </w:pPr>
            <w:r>
              <w:t>XQUI</w:t>
            </w:r>
          </w:p>
        </w:tc>
        <w:tc>
          <w:tcPr>
            <w:cnfStyle w:evenVBand="false" w:oddVBand="true" w:firstColumn="false"/>
            <w:tcW w:w="25.000000%" w:type="pct"/>
          </w:tcPr>
          <w:p>
            <w:pPr>
              <w:ind w:leftChars="0" w:left="0" w:right="0"/>
            </w:pPr>
            <w:r>
              <w:t>BOLSA DE VALORES DE QUITO</w:t>
            </w:r>
          </w:p>
        </w:tc>
        <w:tc>
          <w:tcPr>
            <w:cnfStyle w:evenVBand="true" w:oddVBand="false" w:firstColumn="false"/>
            <w:tcW w:w="25.000000%" w:type="pct"/>
          </w:tcPr>
          <w:p>
            <w:pPr>
              <w:ind w:leftChars="0" w:left="0" w:right="0"/>
            </w:pPr>
            <w:r>
              <w:t>2398</w:t>
            </w:r>
          </w:p>
        </w:tc>
      </w:tr>
      <w:tr>
        <w:trPr>
          <w:cnfStyle w:evenHBand="true" w:oddHBand="false" w:firstRow="false"/>
        </w:trPr>
        <w:tc>
          <w:tcPr>
            <w:cnfStyle w:evenVBand="false" w:oddVBand="true" w:firstColumn="false"/>
            <w:tcW w:w="25.000000%" w:type="pct"/>
          </w:tcPr>
          <w:p>
            <w:pPr>
              <w:ind w:leftChars="0" w:left="0" w:right="0"/>
            </w:pPr>
            <w:r>
              <w:t>XRAS</w:t>
            </w:r>
          </w:p>
        </w:tc>
        <w:tc>
          <w:tcPr>
            <w:cnfStyle w:evenVBand="true" w:oddVBand="false" w:firstColumn="false"/>
            <w:tcW w:w="25.000000%" w:type="pct"/>
          </w:tcPr>
          <w:p>
            <w:pPr>
              <w:ind w:leftChars="0" w:left="0" w:right="0"/>
            </w:pPr>
            <w:r>
              <w:t>XRAS</w:t>
            </w:r>
          </w:p>
        </w:tc>
        <w:tc>
          <w:tcPr>
            <w:cnfStyle w:evenVBand="false" w:oddVBand="true" w:firstColumn="false"/>
            <w:tcW w:w="25.000000%" w:type="pct"/>
          </w:tcPr>
          <w:p>
            <w:pPr>
              <w:ind w:leftChars="0" w:left="0" w:right="0"/>
            </w:pPr>
            <w:r>
              <w:t>RASDAQ</w:t>
            </w:r>
          </w:p>
        </w:tc>
        <w:tc>
          <w:tcPr>
            <w:cnfStyle w:evenVBand="true" w:oddVBand="false" w:firstColumn="false"/>
            <w:tcW w:w="25.000000%" w:type="pct"/>
          </w:tcPr>
          <w:p>
            <w:pPr>
              <w:ind w:leftChars="0" w:left="0" w:right="0"/>
            </w:pPr>
            <w:r>
              <w:t>2399</w:t>
            </w:r>
          </w:p>
        </w:tc>
      </w:tr>
      <w:tr>
        <w:trPr>
          <w:cnfStyle w:evenHBand="false" w:oddHBand="true" w:firstRow="false"/>
        </w:trPr>
        <w:tc>
          <w:tcPr>
            <w:cnfStyle w:evenVBand="false" w:oddVBand="true" w:firstColumn="false"/>
            <w:tcW w:w="25.000000%" w:type="pct"/>
          </w:tcPr>
          <w:p>
            <w:pPr>
              <w:ind w:leftChars="0" w:left="0" w:right="0"/>
            </w:pPr>
            <w:r>
              <w:t>XRBM</w:t>
            </w:r>
          </w:p>
        </w:tc>
        <w:tc>
          <w:tcPr>
            <w:cnfStyle w:evenVBand="true" w:oddVBand="false" w:firstColumn="false"/>
            <w:tcW w:w="25.000000%" w:type="pct"/>
          </w:tcPr>
          <w:p>
            <w:pPr>
              <w:ind w:leftChars="0" w:left="0" w:right="0"/>
            </w:pPr>
            <w:r>
              <w:t>XRBM</w:t>
            </w:r>
          </w:p>
        </w:tc>
        <w:tc>
          <w:tcPr>
            <w:cnfStyle w:evenVBand="false" w:oddVBand="true" w:firstColumn="false"/>
            <w:tcW w:w="25.000000%" w:type="pct"/>
          </w:tcPr>
          <w:p>
            <w:pPr>
              <w:ind w:leftChars="0" w:left="0" w:right="0"/>
            </w:pPr>
            <w:r>
              <w:t>RINGGIT BOND MARKET</w:t>
            </w:r>
          </w:p>
        </w:tc>
        <w:tc>
          <w:tcPr>
            <w:cnfStyle w:evenVBand="true" w:oddVBand="false" w:firstColumn="false"/>
            <w:tcW w:w="25.000000%" w:type="pct"/>
          </w:tcPr>
          <w:p>
            <w:pPr>
              <w:ind w:leftChars="0" w:left="0" w:right="0"/>
            </w:pPr>
            <w:r>
              <w:t>2400</w:t>
            </w:r>
          </w:p>
        </w:tc>
      </w:tr>
      <w:tr>
        <w:trPr>
          <w:cnfStyle w:evenHBand="true" w:oddHBand="false" w:firstRow="false"/>
        </w:trPr>
        <w:tc>
          <w:tcPr>
            <w:cnfStyle w:evenVBand="false" w:oddVBand="true" w:firstColumn="false"/>
            <w:tcW w:w="25.000000%" w:type="pct"/>
          </w:tcPr>
          <w:p>
            <w:pPr>
              <w:ind w:leftChars="0" w:left="0" w:right="0"/>
            </w:pPr>
            <w:r>
              <w:t>XRCB</w:t>
            </w:r>
          </w:p>
        </w:tc>
        <w:tc>
          <w:tcPr>
            <w:cnfStyle w:evenVBand="true" w:oddVBand="false" w:firstColumn="false"/>
            <w:tcW w:w="25.000000%" w:type="pct"/>
          </w:tcPr>
          <w:p>
            <w:pPr>
              <w:ind w:leftChars="0" w:left="0" w:right="0"/>
            </w:pPr>
            <w:r>
              <w:t>XRCB</w:t>
            </w:r>
          </w:p>
        </w:tc>
        <w:tc>
          <w:tcPr>
            <w:cnfStyle w:evenVBand="false" w:oddVBand="true" w:firstColumn="false"/>
            <w:tcW w:w="25.000000%" w:type="pct"/>
          </w:tcPr>
          <w:p>
            <w:pPr>
              <w:ind w:leftChars="0" w:left="0" w:right="0"/>
            </w:pPr>
            <w:r>
              <w:t>RAIFFEISEN CENTROBANK AG - SYSTEMATIC INTERNALISER</w:t>
            </w:r>
          </w:p>
        </w:tc>
        <w:tc>
          <w:tcPr>
            <w:cnfStyle w:evenVBand="true" w:oddVBand="false" w:firstColumn="false"/>
            <w:tcW w:w="25.000000%" w:type="pct"/>
          </w:tcPr>
          <w:p>
            <w:pPr>
              <w:ind w:leftChars="0" w:left="0" w:right="0"/>
            </w:pPr>
            <w:r>
              <w:t>2401</w:t>
            </w:r>
          </w:p>
        </w:tc>
      </w:tr>
      <w:tr>
        <w:trPr>
          <w:cnfStyle w:evenHBand="false" w:oddHBand="true" w:firstRow="false"/>
        </w:trPr>
        <w:tc>
          <w:tcPr>
            <w:cnfStyle w:evenVBand="false" w:oddVBand="true" w:firstColumn="false"/>
            <w:tcW w:w="25.000000%" w:type="pct"/>
          </w:tcPr>
          <w:p>
            <w:pPr>
              <w:ind w:leftChars="0" w:left="0" w:right="0"/>
            </w:pPr>
            <w:r>
              <w:t>XREP</w:t>
            </w:r>
          </w:p>
        </w:tc>
        <w:tc>
          <w:tcPr>
            <w:cnfStyle w:evenVBand="true" w:oddVBand="false" w:firstColumn="false"/>
            <w:tcW w:w="25.000000%" w:type="pct"/>
          </w:tcPr>
          <w:p>
            <w:pPr>
              <w:ind w:leftChars="0" w:left="0" w:right="0"/>
            </w:pPr>
            <w:r>
              <w:t>XREP</w:t>
            </w:r>
          </w:p>
        </w:tc>
        <w:tc>
          <w:tcPr>
            <w:cnfStyle w:evenVBand="false" w:oddVBand="true" w:firstColumn="false"/>
            <w:tcW w:w="25.000000%" w:type="pct"/>
          </w:tcPr>
          <w:p>
            <w:pPr>
              <w:ind w:leftChars="0" w:left="0" w:right="0"/>
            </w:pPr>
            <w:r>
              <w:t>SIX REPO AG - CH REPO MARKET</w:t>
            </w:r>
          </w:p>
        </w:tc>
        <w:tc>
          <w:tcPr>
            <w:cnfStyle w:evenVBand="true" w:oddVBand="false" w:firstColumn="false"/>
            <w:tcW w:w="25.000000%" w:type="pct"/>
          </w:tcPr>
          <w:p>
            <w:pPr>
              <w:ind w:leftChars="0" w:left="0" w:right="0"/>
            </w:pPr>
            <w:r>
              <w:t>2402</w:t>
            </w:r>
          </w:p>
        </w:tc>
      </w:tr>
      <w:tr>
        <w:trPr>
          <w:cnfStyle w:evenHBand="true" w:oddHBand="false" w:firstRow="false"/>
        </w:trPr>
        <w:tc>
          <w:tcPr>
            <w:cnfStyle w:evenVBand="false" w:oddVBand="true" w:firstColumn="false"/>
            <w:tcW w:w="25.000000%" w:type="pct"/>
          </w:tcPr>
          <w:p>
            <w:pPr>
              <w:ind w:leftChars="0" w:left="0" w:right="0"/>
            </w:pPr>
            <w:r>
              <w:t>XRFQ</w:t>
            </w:r>
          </w:p>
        </w:tc>
        <w:tc>
          <w:tcPr>
            <w:cnfStyle w:evenVBand="true" w:oddVBand="false" w:firstColumn="false"/>
            <w:tcW w:w="25.000000%" w:type="pct"/>
          </w:tcPr>
          <w:p>
            <w:pPr>
              <w:ind w:leftChars="0" w:left="0" w:right="0"/>
            </w:pPr>
            <w:r>
              <w:t>XRFQ</w:t>
            </w:r>
          </w:p>
        </w:tc>
        <w:tc>
          <w:tcPr>
            <w:cnfStyle w:evenVBand="false" w:oddVBand="true" w:firstColumn="false"/>
            <w:tcW w:w="25.000000%" w:type="pct"/>
          </w:tcPr>
          <w:p>
            <w:pPr>
              <w:ind w:leftChars="0" w:left="0" w:right="0"/>
            </w:pPr>
            <w:r>
              <w:t>POSIT RFQ</w:t>
            </w:r>
          </w:p>
        </w:tc>
        <w:tc>
          <w:tcPr>
            <w:cnfStyle w:evenVBand="true" w:oddVBand="false" w:firstColumn="false"/>
            <w:tcW w:w="25.000000%" w:type="pct"/>
          </w:tcPr>
          <w:p>
            <w:pPr>
              <w:ind w:leftChars="0" w:left="0" w:right="0"/>
            </w:pPr>
            <w:r>
              <w:t>2403</w:t>
            </w:r>
          </w:p>
        </w:tc>
      </w:tr>
      <w:tr>
        <w:trPr>
          <w:cnfStyle w:evenHBand="false" w:oddHBand="true" w:firstRow="false"/>
        </w:trPr>
        <w:tc>
          <w:tcPr>
            <w:cnfStyle w:evenVBand="false" w:oddVBand="true" w:firstColumn="false"/>
            <w:tcW w:w="25.000000%" w:type="pct"/>
          </w:tcPr>
          <w:p>
            <w:pPr>
              <w:ind w:leftChars="0" w:left="0" w:right="0"/>
            </w:pPr>
            <w:r>
              <w:t>XRIO</w:t>
            </w:r>
          </w:p>
        </w:tc>
        <w:tc>
          <w:tcPr>
            <w:cnfStyle w:evenVBand="true" w:oddVBand="false" w:firstColumn="false"/>
            <w:tcW w:w="25.000000%" w:type="pct"/>
          </w:tcPr>
          <w:p>
            <w:pPr>
              <w:ind w:leftChars="0" w:left="0" w:right="0"/>
            </w:pPr>
            <w:r>
              <w:t>XRIO</w:t>
            </w:r>
          </w:p>
        </w:tc>
        <w:tc>
          <w:tcPr>
            <w:cnfStyle w:evenVBand="false" w:oddVBand="true" w:firstColumn="false"/>
            <w:tcW w:w="25.000000%" w:type="pct"/>
          </w:tcPr>
          <w:p>
            <w:pPr>
              <w:ind w:leftChars="0" w:left="0" w:right="0"/>
            </w:pPr>
            <w:r>
              <w:t>BOLSA DE VALORES DO RIO DE JANEIRO</w:t>
            </w:r>
          </w:p>
        </w:tc>
        <w:tc>
          <w:tcPr>
            <w:cnfStyle w:evenVBand="true" w:oddVBand="false" w:firstColumn="false"/>
            <w:tcW w:w="25.000000%" w:type="pct"/>
          </w:tcPr>
          <w:p>
            <w:pPr>
              <w:ind w:leftChars="0" w:left="0" w:right="0"/>
            </w:pPr>
            <w:r>
              <w:t>2404</w:t>
            </w:r>
          </w:p>
        </w:tc>
      </w:tr>
      <w:tr>
        <w:trPr>
          <w:cnfStyle w:evenHBand="true" w:oddHBand="false" w:firstRow="false"/>
        </w:trPr>
        <w:tc>
          <w:tcPr>
            <w:cnfStyle w:evenVBand="false" w:oddVBand="true" w:firstColumn="false"/>
            <w:tcW w:w="25.000000%" w:type="pct"/>
          </w:tcPr>
          <w:p>
            <w:pPr>
              <w:ind w:leftChars="0" w:left="0" w:right="0"/>
            </w:pPr>
            <w:r>
              <w:t>XRIS</w:t>
            </w:r>
          </w:p>
        </w:tc>
        <w:tc>
          <w:tcPr>
            <w:cnfStyle w:evenVBand="true" w:oddVBand="false" w:firstColumn="false"/>
            <w:tcW w:w="25.000000%" w:type="pct"/>
          </w:tcPr>
          <w:p>
            <w:pPr>
              <w:ind w:leftChars="0" w:left="0" w:right="0"/>
            </w:pPr>
            <w:r>
              <w:t>XRIS</w:t>
            </w:r>
          </w:p>
        </w:tc>
        <w:tc>
          <w:tcPr>
            <w:cnfStyle w:evenVBand="false" w:oddVBand="true" w:firstColumn="false"/>
            <w:tcW w:w="25.000000%" w:type="pct"/>
          </w:tcPr>
          <w:p>
            <w:pPr>
              <w:ind w:leftChars="0" w:left="0" w:right="0"/>
            </w:pPr>
            <w:r>
              <w:t>NASDAQ RIGA AS</w:t>
            </w:r>
          </w:p>
        </w:tc>
        <w:tc>
          <w:tcPr>
            <w:cnfStyle w:evenVBand="true" w:oddVBand="false" w:firstColumn="false"/>
            <w:tcW w:w="25.000000%" w:type="pct"/>
          </w:tcPr>
          <w:p>
            <w:pPr>
              <w:ind w:leftChars="0" w:left="0" w:right="0"/>
            </w:pPr>
            <w:r>
              <w:t>2405</w:t>
            </w:r>
          </w:p>
        </w:tc>
      </w:tr>
      <w:tr>
        <w:trPr>
          <w:cnfStyle w:evenHBand="false" w:oddHBand="true" w:firstRow="false"/>
        </w:trPr>
        <w:tc>
          <w:tcPr>
            <w:cnfStyle w:evenVBand="false" w:oddVBand="true" w:firstColumn="false"/>
            <w:tcW w:w="25.000000%" w:type="pct"/>
          </w:tcPr>
          <w:p>
            <w:pPr>
              <w:ind w:leftChars="0" w:left="0" w:right="0"/>
            </w:pPr>
            <w:r>
              <w:t>XRMO</w:t>
            </w:r>
          </w:p>
        </w:tc>
        <w:tc>
          <w:tcPr>
            <w:cnfStyle w:evenVBand="true" w:oddVBand="false" w:firstColumn="false"/>
            <w:tcW w:w="25.000000%" w:type="pct"/>
          </w:tcPr>
          <w:p>
            <w:pPr>
              <w:ind w:leftChars="0" w:left="0" w:right="0"/>
            </w:pPr>
            <w:r>
              <w:t>XRMO</w:t>
            </w:r>
          </w:p>
        </w:tc>
        <w:tc>
          <w:tcPr>
            <w:cnfStyle w:evenVBand="false" w:oddVBand="true" w:firstColumn="false"/>
            <w:tcW w:w="25.000000%" w:type="pct"/>
          </w:tcPr>
          <w:p>
            <w:pPr>
              <w:ind w:leftChars="0" w:left="0" w:right="0"/>
            </w:pPr>
            <w:r>
              <w:t>RM-SYSTEM CZECH STOCK EXCHANGE - MTF</w:t>
            </w:r>
          </w:p>
        </w:tc>
        <w:tc>
          <w:tcPr>
            <w:cnfStyle w:evenVBand="true" w:oddVBand="false" w:firstColumn="false"/>
            <w:tcW w:w="25.000000%" w:type="pct"/>
          </w:tcPr>
          <w:p>
            <w:pPr>
              <w:ind w:leftChars="0" w:left="0" w:right="0"/>
            </w:pPr>
            <w:r>
              <w:t>2406</w:t>
            </w:r>
          </w:p>
        </w:tc>
      </w:tr>
      <w:tr>
        <w:trPr>
          <w:cnfStyle w:evenHBand="true" w:oddHBand="false" w:firstRow="false"/>
        </w:trPr>
        <w:tc>
          <w:tcPr>
            <w:cnfStyle w:evenVBand="false" w:oddVBand="true" w:firstColumn="false"/>
            <w:tcW w:w="25.000000%" w:type="pct"/>
          </w:tcPr>
          <w:p>
            <w:pPr>
              <w:ind w:leftChars="0" w:left="0" w:right="0"/>
            </w:pPr>
            <w:r>
              <w:t>XRMS</w:t>
            </w:r>
          </w:p>
        </w:tc>
        <w:tc>
          <w:tcPr>
            <w:cnfStyle w:evenVBand="true" w:oddVBand="false" w:firstColumn="false"/>
            <w:tcW w:w="25.000000%" w:type="pct"/>
          </w:tcPr>
          <w:p>
            <w:pPr>
              <w:ind w:leftChars="0" w:left="0" w:right="0"/>
            </w:pPr>
            <w:r>
              <w:t>XRMS</w:t>
            </w:r>
          </w:p>
        </w:tc>
        <w:tc>
          <w:tcPr>
            <w:cnfStyle w:evenVBand="false" w:oddVBand="true" w:firstColumn="false"/>
            <w:tcW w:w="25.000000%" w:type="pct"/>
          </w:tcPr>
          <w:p>
            <w:pPr>
              <w:ind w:leftChars="0" w:left="0" w:right="0"/>
            </w:pPr>
            <w:r>
              <w:t>SK RM-S (SLOVAK STOCK EXCHANGE)</w:t>
            </w:r>
          </w:p>
        </w:tc>
        <w:tc>
          <w:tcPr>
            <w:cnfStyle w:evenVBand="true" w:oddVBand="false" w:firstColumn="false"/>
            <w:tcW w:w="25.000000%" w:type="pct"/>
          </w:tcPr>
          <w:p>
            <w:pPr>
              <w:ind w:leftChars="0" w:left="0" w:right="0"/>
            </w:pPr>
            <w:r>
              <w:t>2407</w:t>
            </w:r>
          </w:p>
        </w:tc>
      </w:tr>
      <w:tr>
        <w:trPr>
          <w:cnfStyle w:evenHBand="false" w:oddHBand="true" w:firstRow="false"/>
        </w:trPr>
        <w:tc>
          <w:tcPr>
            <w:cnfStyle w:evenVBand="false" w:oddVBand="true" w:firstColumn="false"/>
            <w:tcW w:w="25.000000%" w:type="pct"/>
          </w:tcPr>
          <w:p>
            <w:pPr>
              <w:ind w:leftChars="0" w:left="0" w:right="0"/>
            </w:pPr>
            <w:r>
              <w:t>XRMZ</w:t>
            </w:r>
          </w:p>
        </w:tc>
        <w:tc>
          <w:tcPr>
            <w:cnfStyle w:evenVBand="true" w:oddVBand="false" w:firstColumn="false"/>
            <w:tcW w:w="25.000000%" w:type="pct"/>
          </w:tcPr>
          <w:p>
            <w:pPr>
              <w:ind w:leftChars="0" w:left="0" w:right="0"/>
            </w:pPr>
            <w:r>
              <w:t>XRMZ</w:t>
            </w:r>
          </w:p>
        </w:tc>
        <w:tc>
          <w:tcPr>
            <w:cnfStyle w:evenVBand="false" w:oddVBand="true" w:firstColumn="false"/>
            <w:tcW w:w="25.000000%" w:type="pct"/>
          </w:tcPr>
          <w:p>
            <w:pPr>
              <w:ind w:leftChars="0" w:left="0" w:right="0"/>
            </w:pPr>
            <w:r>
              <w:t>RM-SYSTEM CZECH STOCK EXCHANGE</w:t>
            </w:r>
          </w:p>
        </w:tc>
        <w:tc>
          <w:tcPr>
            <w:cnfStyle w:evenVBand="true" w:oddVBand="false" w:firstColumn="false"/>
            <w:tcW w:w="25.000000%" w:type="pct"/>
          </w:tcPr>
          <w:p>
            <w:pPr>
              <w:ind w:leftChars="0" w:left="0" w:right="0"/>
            </w:pPr>
            <w:r>
              <w:t>2408</w:t>
            </w:r>
          </w:p>
        </w:tc>
      </w:tr>
      <w:tr>
        <w:trPr>
          <w:cnfStyle w:evenHBand="true" w:oddHBand="false" w:firstRow="false"/>
        </w:trPr>
        <w:tc>
          <w:tcPr>
            <w:cnfStyle w:evenVBand="false" w:oddVBand="true" w:firstColumn="false"/>
            <w:tcW w:w="25.000000%" w:type="pct"/>
          </w:tcPr>
          <w:p>
            <w:pPr>
              <w:ind w:leftChars="0" w:left="0" w:right="0"/>
            </w:pPr>
            <w:r>
              <w:t>XROS</w:t>
            </w:r>
          </w:p>
        </w:tc>
        <w:tc>
          <w:tcPr>
            <w:cnfStyle w:evenVBand="true" w:oddVBand="false" w:firstColumn="false"/>
            <w:tcW w:w="25.000000%" w:type="pct"/>
          </w:tcPr>
          <w:p>
            <w:pPr>
              <w:ind w:leftChars="0" w:left="0" w:right="0"/>
            </w:pPr>
            <w:r>
              <w:t>XROS</w:t>
            </w:r>
          </w:p>
        </w:tc>
        <w:tc>
          <w:tcPr>
            <w:cnfStyle w:evenVBand="false" w:oddVBand="true" w:firstColumn="false"/>
            <w:tcW w:w="25.000000%" w:type="pct"/>
          </w:tcPr>
          <w:p>
            <w:pPr>
              <w:ind w:leftChars="0" w:left="0" w:right="0"/>
            </w:pPr>
            <w:r>
              <w:t>BOLSA DE COMERCIO ROSARIO</w:t>
            </w:r>
          </w:p>
        </w:tc>
        <w:tc>
          <w:tcPr>
            <w:cnfStyle w:evenVBand="true" w:oddVBand="false" w:firstColumn="false"/>
            <w:tcW w:w="25.000000%" w:type="pct"/>
          </w:tcPr>
          <w:p>
            <w:pPr>
              <w:ind w:leftChars="0" w:left="0" w:right="0"/>
            </w:pPr>
            <w:r>
              <w:t>2409</w:t>
            </w:r>
          </w:p>
        </w:tc>
      </w:tr>
      <w:tr>
        <w:trPr>
          <w:cnfStyle w:evenHBand="false" w:oddHBand="true" w:firstRow="false"/>
        </w:trPr>
        <w:tc>
          <w:tcPr>
            <w:cnfStyle w:evenVBand="false" w:oddVBand="true" w:firstColumn="false"/>
            <w:tcW w:w="25.000000%" w:type="pct"/>
          </w:tcPr>
          <w:p>
            <w:pPr>
              <w:ind w:leftChars="0" w:left="0" w:right="0"/>
            </w:pPr>
            <w:r>
              <w:t>XROT</w:t>
            </w:r>
          </w:p>
        </w:tc>
        <w:tc>
          <w:tcPr>
            <w:cnfStyle w:evenVBand="true" w:oddVBand="false" w:firstColumn="false"/>
            <w:tcW w:w="25.000000%" w:type="pct"/>
          </w:tcPr>
          <w:p>
            <w:pPr>
              <w:ind w:leftChars="0" w:left="0" w:right="0"/>
            </w:pPr>
            <w:r>
              <w:t>XROT</w:t>
            </w:r>
          </w:p>
        </w:tc>
        <w:tc>
          <w:tcPr>
            <w:cnfStyle w:evenVBand="false" w:oddVBand="true" w:firstColumn="false"/>
            <w:tcW w:w="25.000000%" w:type="pct"/>
          </w:tcPr>
          <w:p>
            <w:pPr>
              <w:ind w:leftChars="0" w:left="0" w:right="0"/>
            </w:pPr>
            <w:r>
              <w:t>SIX REPO AG - OTC SPOT MARKET</w:t>
            </w:r>
          </w:p>
        </w:tc>
        <w:tc>
          <w:tcPr>
            <w:cnfStyle w:evenVBand="true" w:oddVBand="false" w:firstColumn="false"/>
            <w:tcW w:w="25.000000%" w:type="pct"/>
          </w:tcPr>
          <w:p>
            <w:pPr>
              <w:ind w:leftChars="0" w:left="0" w:right="0"/>
            </w:pPr>
            <w:r>
              <w:t>2410</w:t>
            </w:r>
          </w:p>
        </w:tc>
      </w:tr>
      <w:tr>
        <w:trPr>
          <w:cnfStyle w:evenHBand="true" w:oddHBand="false" w:firstRow="false"/>
        </w:trPr>
        <w:tc>
          <w:tcPr>
            <w:cnfStyle w:evenVBand="false" w:oddVBand="true" w:firstColumn="false"/>
            <w:tcW w:w="25.000000%" w:type="pct"/>
          </w:tcPr>
          <w:p>
            <w:pPr>
              <w:ind w:leftChars="0" w:left="0" w:right="0"/>
            </w:pPr>
            <w:r>
              <w:t>XROV</w:t>
            </w:r>
          </w:p>
        </w:tc>
        <w:tc>
          <w:tcPr>
            <w:cnfStyle w:evenVBand="true" w:oddVBand="false" w:firstColumn="false"/>
            <w:tcW w:w="25.000000%" w:type="pct"/>
          </w:tcPr>
          <w:p>
            <w:pPr>
              <w:ind w:leftChars="0" w:left="0" w:right="0"/>
            </w:pPr>
            <w:r>
              <w:t>XROV</w:t>
            </w:r>
          </w:p>
        </w:tc>
        <w:tc>
          <w:tcPr>
            <w:cnfStyle w:evenVBand="false" w:oddVBand="true" w:firstColumn="false"/>
            <w:tcW w:w="25.000000%" w:type="pct"/>
          </w:tcPr>
          <w:p>
            <w:pPr>
              <w:ind w:leftChars="0" w:left="0" w:right="0"/>
            </w:pPr>
            <w:r>
              <w:t>REGIONAL EXCHANGE CENTRE - MICEX SOUTH</w:t>
            </w:r>
          </w:p>
        </w:tc>
        <w:tc>
          <w:tcPr>
            <w:cnfStyle w:evenVBand="true" w:oddVBand="false" w:firstColumn="false"/>
            <w:tcW w:w="25.000000%" w:type="pct"/>
          </w:tcPr>
          <w:p>
            <w:pPr>
              <w:ind w:leftChars="0" w:left="0" w:right="0"/>
            </w:pPr>
            <w:r>
              <w:t>2411</w:t>
            </w:r>
          </w:p>
        </w:tc>
      </w:tr>
      <w:tr>
        <w:trPr>
          <w:cnfStyle w:evenHBand="false" w:oddHBand="true" w:firstRow="false"/>
        </w:trPr>
        <w:tc>
          <w:tcPr>
            <w:cnfStyle w:evenVBand="false" w:oddVBand="true" w:firstColumn="false"/>
            <w:tcW w:w="25.000000%" w:type="pct"/>
          </w:tcPr>
          <w:p>
            <w:pPr>
              <w:ind w:leftChars="0" w:left="0" w:right="0"/>
            </w:pPr>
            <w:r>
              <w:t>XROX</w:t>
            </w:r>
          </w:p>
        </w:tc>
        <w:tc>
          <w:tcPr>
            <w:cnfStyle w:evenVBand="true" w:oddVBand="false" w:firstColumn="false"/>
            <w:tcW w:w="25.000000%" w:type="pct"/>
          </w:tcPr>
          <w:p>
            <w:pPr>
              <w:ind w:leftChars="0" w:left="0" w:right="0"/>
            </w:pPr>
            <w:r>
              <w:t>XROX</w:t>
            </w:r>
          </w:p>
        </w:tc>
        <w:tc>
          <w:tcPr>
            <w:cnfStyle w:evenVBand="false" w:oddVBand="true" w:firstColumn="false"/>
            <w:tcW w:w="25.000000%" w:type="pct"/>
          </w:tcPr>
          <w:p>
            <w:pPr>
              <w:ind w:leftChars="0" w:left="0" w:right="0"/>
            </w:pPr>
            <w:r>
              <w:t>MERCADO DE VALORES DE ROSARIO S.A.</w:t>
            </w:r>
          </w:p>
        </w:tc>
        <w:tc>
          <w:tcPr>
            <w:cnfStyle w:evenVBand="true" w:oddVBand="false" w:firstColumn="false"/>
            <w:tcW w:w="25.000000%" w:type="pct"/>
          </w:tcPr>
          <w:p>
            <w:pPr>
              <w:ind w:leftChars="0" w:left="0" w:right="0"/>
            </w:pPr>
            <w:r>
              <w:t>2412</w:t>
            </w:r>
          </w:p>
        </w:tc>
      </w:tr>
      <w:tr>
        <w:trPr>
          <w:cnfStyle w:evenHBand="true" w:oddHBand="false" w:firstRow="false"/>
        </w:trPr>
        <w:tc>
          <w:tcPr>
            <w:cnfStyle w:evenVBand="false" w:oddVBand="true" w:firstColumn="false"/>
            <w:tcW w:w="25.000000%" w:type="pct"/>
          </w:tcPr>
          <w:p>
            <w:pPr>
              <w:ind w:leftChars="0" w:left="0" w:right="0"/>
            </w:pPr>
            <w:r>
              <w:t>XRPM</w:t>
            </w:r>
          </w:p>
        </w:tc>
        <w:tc>
          <w:tcPr>
            <w:cnfStyle w:evenVBand="true" w:oddVBand="false" w:firstColumn="false"/>
            <w:tcW w:w="25.000000%" w:type="pct"/>
          </w:tcPr>
          <w:p>
            <w:pPr>
              <w:ind w:leftChars="0" w:left="0" w:right="0"/>
            </w:pPr>
            <w:r>
              <w:t>XRPM</w:t>
            </w:r>
          </w:p>
        </w:tc>
        <w:tc>
          <w:tcPr>
            <w:cnfStyle w:evenVBand="false" w:oddVBand="true" w:firstColumn="false"/>
            <w:tcW w:w="25.000000%" w:type="pct"/>
          </w:tcPr>
          <w:p>
            <w:pPr>
              <w:ind w:leftChars="0" w:left="0" w:right="0"/>
            </w:pPr>
            <w:r>
              <w:t>ROMANIAN POWER MARKET</w:t>
            </w:r>
          </w:p>
        </w:tc>
        <w:tc>
          <w:tcPr>
            <w:cnfStyle w:evenVBand="true" w:oddVBand="false" w:firstColumn="false"/>
            <w:tcW w:w="25.000000%" w:type="pct"/>
          </w:tcPr>
          <w:p>
            <w:pPr>
              <w:ind w:leftChars="0" w:left="0" w:right="0"/>
            </w:pPr>
            <w:r>
              <w:t>2413</w:t>
            </w:r>
          </w:p>
        </w:tc>
      </w:tr>
      <w:tr>
        <w:trPr>
          <w:cnfStyle w:evenHBand="false" w:oddHBand="true" w:firstRow="false"/>
        </w:trPr>
        <w:tc>
          <w:tcPr>
            <w:cnfStyle w:evenVBand="false" w:oddVBand="true" w:firstColumn="false"/>
            <w:tcW w:w="25.000000%" w:type="pct"/>
          </w:tcPr>
          <w:p>
            <w:pPr>
              <w:ind w:leftChars="0" w:left="0" w:right="0"/>
            </w:pPr>
            <w:r>
              <w:t>XRSP</w:t>
            </w:r>
          </w:p>
        </w:tc>
        <w:tc>
          <w:tcPr>
            <w:cnfStyle w:evenVBand="true" w:oddVBand="false" w:firstColumn="false"/>
            <w:tcW w:w="25.000000%" w:type="pct"/>
          </w:tcPr>
          <w:p>
            <w:pPr>
              <w:ind w:leftChars="0" w:left="0" w:right="0"/>
            </w:pPr>
            <w:r>
              <w:t>XRSP</w:t>
            </w:r>
          </w:p>
        </w:tc>
        <w:tc>
          <w:tcPr>
            <w:cnfStyle w:evenVBand="false" w:oddVBand="true" w:firstColumn="false"/>
            <w:tcW w:w="25.000000%" w:type="pct"/>
          </w:tcPr>
          <w:p>
            <w:pPr>
              <w:ind w:leftChars="0" w:left="0" w:right="0"/>
            </w:pPr>
            <w:r>
              <w:t>PEEL HUNT RETAIL</w:t>
            </w:r>
          </w:p>
        </w:tc>
        <w:tc>
          <w:tcPr>
            <w:cnfStyle w:evenVBand="true" w:oddVBand="false" w:firstColumn="false"/>
            <w:tcW w:w="25.000000%" w:type="pct"/>
          </w:tcPr>
          <w:p>
            <w:pPr>
              <w:ind w:leftChars="0" w:left="0" w:right="0"/>
            </w:pPr>
            <w:r>
              <w:t>2414</w:t>
            </w:r>
          </w:p>
        </w:tc>
      </w:tr>
      <w:tr>
        <w:trPr>
          <w:cnfStyle w:evenHBand="true" w:oddHBand="false" w:firstRow="false"/>
        </w:trPr>
        <w:tc>
          <w:tcPr>
            <w:cnfStyle w:evenVBand="false" w:oddVBand="true" w:firstColumn="false"/>
            <w:tcW w:w="25.000000%" w:type="pct"/>
          </w:tcPr>
          <w:p>
            <w:pPr>
              <w:ind w:leftChars="0" w:left="0" w:right="0"/>
            </w:pPr>
            <w:r>
              <w:t>XRTR</w:t>
            </w:r>
          </w:p>
        </w:tc>
        <w:tc>
          <w:tcPr>
            <w:cnfStyle w:evenVBand="true" w:oddVBand="false" w:firstColumn="false"/>
            <w:tcW w:w="25.000000%" w:type="pct"/>
          </w:tcPr>
          <w:p>
            <w:pPr>
              <w:ind w:leftChars="0" w:left="0" w:right="0"/>
            </w:pPr>
            <w:r>
              <w:t>XRTR</w:t>
            </w:r>
          </w:p>
        </w:tc>
        <w:tc>
          <w:tcPr>
            <w:cnfStyle w:evenVBand="false" w:oddVBand="true" w:firstColumn="false"/>
            <w:tcW w:w="25.000000%" w:type="pct"/>
          </w:tcPr>
          <w:p>
            <w:pPr>
              <w:ind w:leftChars="0" w:left="0" w:right="0"/>
            </w:pPr>
            <w:r>
              <w:t>RTR (REUTERS-REALTIME-DATEN)</w:t>
            </w:r>
          </w:p>
        </w:tc>
        <w:tc>
          <w:tcPr>
            <w:cnfStyle w:evenVBand="true" w:oddVBand="false" w:firstColumn="false"/>
            <w:tcW w:w="25.000000%" w:type="pct"/>
          </w:tcPr>
          <w:p>
            <w:pPr>
              <w:ind w:leftChars="0" w:left="0" w:right="0"/>
            </w:pPr>
            <w:r>
              <w:t>2415</w:t>
            </w:r>
          </w:p>
        </w:tc>
      </w:tr>
      <w:tr>
        <w:trPr>
          <w:cnfStyle w:evenHBand="false" w:oddHBand="true" w:firstRow="false"/>
        </w:trPr>
        <w:tc>
          <w:tcPr>
            <w:cnfStyle w:evenVBand="false" w:oddVBand="true" w:firstColumn="false"/>
            <w:tcW w:w="25.000000%" w:type="pct"/>
          </w:tcPr>
          <w:p>
            <w:pPr>
              <w:ind w:leftChars="0" w:left="0" w:right="0"/>
            </w:pPr>
            <w:r>
              <w:t>XRUS</w:t>
            </w:r>
          </w:p>
        </w:tc>
        <w:tc>
          <w:tcPr>
            <w:cnfStyle w:evenVBand="true" w:oddVBand="false" w:firstColumn="false"/>
            <w:tcW w:w="25.000000%" w:type="pct"/>
          </w:tcPr>
          <w:p>
            <w:pPr>
              <w:ind w:leftChars="0" w:left="0" w:right="0"/>
            </w:pPr>
            <w:r>
              <w:t>XRUS</w:t>
            </w:r>
          </w:p>
        </w:tc>
        <w:tc>
          <w:tcPr>
            <w:cnfStyle w:evenVBand="false" w:oddVBand="true" w:firstColumn="false"/>
            <w:tcW w:w="25.000000%" w:type="pct"/>
          </w:tcPr>
          <w:p>
            <w:pPr>
              <w:ind w:leftChars="0" w:left="0" w:right="0"/>
            </w:pPr>
            <w:r>
              <w:t>INTERNET DIRECT-ACCESS EXCHANGE</w:t>
            </w:r>
          </w:p>
        </w:tc>
        <w:tc>
          <w:tcPr>
            <w:cnfStyle w:evenVBand="true" w:oddVBand="false" w:firstColumn="false"/>
            <w:tcW w:w="25.000000%" w:type="pct"/>
          </w:tcPr>
          <w:p>
            <w:pPr>
              <w:ind w:leftChars="0" w:left="0" w:right="0"/>
            </w:pPr>
            <w:r>
              <w:t>2416</w:t>
            </w:r>
          </w:p>
        </w:tc>
      </w:tr>
      <w:tr>
        <w:trPr>
          <w:cnfStyle w:evenHBand="true" w:oddHBand="false" w:firstRow="false"/>
        </w:trPr>
        <w:tc>
          <w:tcPr>
            <w:cnfStyle w:evenVBand="false" w:oddVBand="true" w:firstColumn="false"/>
            <w:tcW w:w="25.000000%" w:type="pct"/>
          </w:tcPr>
          <w:p>
            <w:pPr>
              <w:ind w:leftChars="0" w:left="0" w:right="0"/>
            </w:pPr>
            <w:r>
              <w:t>XSAF</w:t>
            </w:r>
          </w:p>
        </w:tc>
        <w:tc>
          <w:tcPr>
            <w:cnfStyle w:evenVBand="true" w:oddVBand="false" w:firstColumn="false"/>
            <w:tcW w:w="25.000000%" w:type="pct"/>
          </w:tcPr>
          <w:p>
            <w:pPr>
              <w:ind w:leftChars="0" w:left="0" w:right="0"/>
            </w:pPr>
            <w:r>
              <w:t>XSAF</w:t>
            </w:r>
          </w:p>
        </w:tc>
        <w:tc>
          <w:tcPr>
            <w:cnfStyle w:evenVBand="false" w:oddVBand="true" w:firstColumn="false"/>
            <w:tcW w:w="25.000000%" w:type="pct"/>
          </w:tcPr>
          <w:p>
            <w:pPr>
              <w:ind w:leftChars="0" w:left="0" w:right="0"/>
            </w:pPr>
            <w:r>
              <w:t>JSE EQUITY DERIVATIVES MARKET</w:t>
            </w:r>
          </w:p>
        </w:tc>
        <w:tc>
          <w:tcPr>
            <w:cnfStyle w:evenVBand="true" w:oddVBand="false" w:firstColumn="false"/>
            <w:tcW w:w="25.000000%" w:type="pct"/>
          </w:tcPr>
          <w:p>
            <w:pPr>
              <w:ind w:leftChars="0" w:left="0" w:right="0"/>
            </w:pPr>
            <w:r>
              <w:t>2417</w:t>
            </w:r>
          </w:p>
        </w:tc>
      </w:tr>
      <w:tr>
        <w:trPr>
          <w:cnfStyle w:evenHBand="false" w:oddHBand="true" w:firstRow="false"/>
        </w:trPr>
        <w:tc>
          <w:tcPr>
            <w:cnfStyle w:evenVBand="false" w:oddVBand="true" w:firstColumn="false"/>
            <w:tcW w:w="25.000000%" w:type="pct"/>
          </w:tcPr>
          <w:p>
            <w:pPr>
              <w:ind w:leftChars="0" w:left="0" w:right="0"/>
            </w:pPr>
            <w:r>
              <w:t>XSAM</w:t>
            </w:r>
          </w:p>
        </w:tc>
        <w:tc>
          <w:tcPr>
            <w:cnfStyle w:evenVBand="true" w:oddVBand="false" w:firstColumn="false"/>
            <w:tcW w:w="25.000000%" w:type="pct"/>
          </w:tcPr>
          <w:p>
            <w:pPr>
              <w:ind w:leftChars="0" w:left="0" w:right="0"/>
            </w:pPr>
            <w:r>
              <w:t>XSAM</w:t>
            </w:r>
          </w:p>
        </w:tc>
        <w:tc>
          <w:tcPr>
            <w:cnfStyle w:evenVBand="false" w:oddVBand="true" w:firstColumn="false"/>
            <w:tcW w:w="25.000000%" w:type="pct"/>
          </w:tcPr>
          <w:p>
            <w:pPr>
              <w:ind w:leftChars="0" w:left="0" w:right="0"/>
            </w:pPr>
            <w:r>
              <w:t>SAMARA CURRENCY INTERBANK EXCHANGE</w:t>
            </w:r>
          </w:p>
        </w:tc>
        <w:tc>
          <w:tcPr>
            <w:cnfStyle w:evenVBand="true" w:oddVBand="false" w:firstColumn="false"/>
            <w:tcW w:w="25.000000%" w:type="pct"/>
          </w:tcPr>
          <w:p>
            <w:pPr>
              <w:ind w:leftChars="0" w:left="0" w:right="0"/>
            </w:pPr>
            <w:r>
              <w:t>2418</w:t>
            </w:r>
          </w:p>
        </w:tc>
      </w:tr>
      <w:tr>
        <w:trPr>
          <w:cnfStyle w:evenHBand="true" w:oddHBand="false" w:firstRow="false"/>
        </w:trPr>
        <w:tc>
          <w:tcPr>
            <w:cnfStyle w:evenVBand="false" w:oddVBand="true" w:firstColumn="false"/>
            <w:tcW w:w="25.000000%" w:type="pct"/>
          </w:tcPr>
          <w:p>
            <w:pPr>
              <w:ind w:leftChars="0" w:left="0" w:right="0"/>
            </w:pPr>
            <w:r>
              <w:t>XSAP</w:t>
            </w:r>
          </w:p>
        </w:tc>
        <w:tc>
          <w:tcPr>
            <w:cnfStyle w:evenVBand="true" w:oddVBand="false" w:firstColumn="false"/>
            <w:tcW w:w="25.000000%" w:type="pct"/>
          </w:tcPr>
          <w:p>
            <w:pPr>
              <w:ind w:leftChars="0" w:left="0" w:right="0"/>
            </w:pPr>
            <w:r>
              <w:t>XSAP</w:t>
            </w:r>
          </w:p>
        </w:tc>
        <w:tc>
          <w:tcPr>
            <w:cnfStyle w:evenVBand="false" w:oddVBand="true" w:firstColumn="false"/>
            <w:tcW w:w="25.000000%" w:type="pct"/>
          </w:tcPr>
          <w:p>
            <w:pPr>
              <w:ind w:leftChars="0" w:left="0" w:right="0"/>
            </w:pPr>
            <w:r>
              <w:t>SAPPORO SECURITIES EXCHANGE</w:t>
            </w:r>
          </w:p>
        </w:tc>
        <w:tc>
          <w:tcPr>
            <w:cnfStyle w:evenVBand="true" w:oddVBand="false" w:firstColumn="false"/>
            <w:tcW w:w="25.000000%" w:type="pct"/>
          </w:tcPr>
          <w:p>
            <w:pPr>
              <w:ind w:leftChars="0" w:left="0" w:right="0"/>
            </w:pPr>
            <w:r>
              <w:t>2419</w:t>
            </w:r>
          </w:p>
        </w:tc>
      </w:tr>
      <w:tr>
        <w:trPr>
          <w:cnfStyle w:evenHBand="false" w:oddHBand="true" w:firstRow="false"/>
        </w:trPr>
        <w:tc>
          <w:tcPr>
            <w:cnfStyle w:evenVBand="false" w:oddVBand="true" w:firstColumn="false"/>
            <w:tcW w:w="25.000000%" w:type="pct"/>
          </w:tcPr>
          <w:p>
            <w:pPr>
              <w:ind w:leftChars="0" w:left="0" w:right="0"/>
            </w:pPr>
            <w:r>
              <w:t>XSAT</w:t>
            </w:r>
          </w:p>
        </w:tc>
        <w:tc>
          <w:tcPr>
            <w:cnfStyle w:evenVBand="true" w:oddVBand="false" w:firstColumn="false"/>
            <w:tcW w:w="25.000000%" w:type="pct"/>
          </w:tcPr>
          <w:p>
            <w:pPr>
              <w:ind w:leftChars="0" w:left="0" w:right="0"/>
            </w:pPr>
            <w:r>
              <w:t>XSAT</w:t>
            </w:r>
          </w:p>
        </w:tc>
        <w:tc>
          <w:tcPr>
            <w:cnfStyle w:evenVBand="false" w:oddVBand="true" w:firstColumn="false"/>
            <w:tcW w:w="25.000000%" w:type="pct"/>
          </w:tcPr>
          <w:p>
            <w:pPr>
              <w:ind w:leftChars="0" w:left="0" w:right="0"/>
            </w:pPr>
            <w:r>
              <w:t>SPOTLIGHT STOCK MARKET AB</w:t>
            </w:r>
          </w:p>
        </w:tc>
        <w:tc>
          <w:tcPr>
            <w:cnfStyle w:evenVBand="true" w:oddVBand="false" w:firstColumn="false"/>
            <w:tcW w:w="25.000000%" w:type="pct"/>
          </w:tcPr>
          <w:p>
            <w:pPr>
              <w:ind w:leftChars="0" w:left="0" w:right="0"/>
            </w:pPr>
            <w:r>
              <w:t>2420</w:t>
            </w:r>
          </w:p>
        </w:tc>
      </w:tr>
      <w:tr>
        <w:trPr>
          <w:cnfStyle w:evenHBand="true" w:oddHBand="false" w:firstRow="false"/>
        </w:trPr>
        <w:tc>
          <w:tcPr>
            <w:cnfStyle w:evenVBand="false" w:oddVBand="true" w:firstColumn="false"/>
            <w:tcW w:w="25.000000%" w:type="pct"/>
          </w:tcPr>
          <w:p>
            <w:pPr>
              <w:ind w:leftChars="0" w:left="0" w:right="0"/>
            </w:pPr>
            <w:r>
              <w:t>XSAU</w:t>
            </w:r>
          </w:p>
        </w:tc>
        <w:tc>
          <w:tcPr>
            <w:cnfStyle w:evenVBand="true" w:oddVBand="false" w:firstColumn="false"/>
            <w:tcW w:w="25.000000%" w:type="pct"/>
          </w:tcPr>
          <w:p>
            <w:pPr>
              <w:ind w:leftChars="0" w:left="0" w:right="0"/>
            </w:pPr>
            <w:r>
              <w:t>XSAU</w:t>
            </w:r>
          </w:p>
        </w:tc>
        <w:tc>
          <w:tcPr>
            <w:cnfStyle w:evenVBand="false" w:oddVBand="true" w:firstColumn="false"/>
            <w:tcW w:w="25.000000%" w:type="pct"/>
          </w:tcPr>
          <w:p>
            <w:pPr>
              <w:ind w:leftChars="0" w:left="0" w:right="0"/>
            </w:pPr>
            <w:r>
              <w:t>SAUDI STOCK EXCHANGE</w:t>
            </w:r>
          </w:p>
        </w:tc>
        <w:tc>
          <w:tcPr>
            <w:cnfStyle w:evenVBand="true" w:oddVBand="false" w:firstColumn="false"/>
            <w:tcW w:w="25.000000%" w:type="pct"/>
          </w:tcPr>
          <w:p>
            <w:pPr>
              <w:ind w:leftChars="0" w:left="0" w:right="0"/>
            </w:pPr>
            <w:r>
              <w:t>2421</w:t>
            </w:r>
          </w:p>
        </w:tc>
      </w:tr>
      <w:tr>
        <w:trPr>
          <w:cnfStyle w:evenHBand="false" w:oddHBand="true" w:firstRow="false"/>
        </w:trPr>
        <w:tc>
          <w:tcPr>
            <w:cnfStyle w:evenVBand="false" w:oddVBand="true" w:firstColumn="false"/>
            <w:tcW w:w="25.000000%" w:type="pct"/>
          </w:tcPr>
          <w:p>
            <w:pPr>
              <w:ind w:leftChars="0" w:left="0" w:right="0"/>
            </w:pPr>
            <w:r>
              <w:t>XSBI</w:t>
            </w:r>
          </w:p>
        </w:tc>
        <w:tc>
          <w:tcPr>
            <w:cnfStyle w:evenVBand="true" w:oddVBand="false" w:firstColumn="false"/>
            <w:tcW w:w="25.000000%" w:type="pct"/>
          </w:tcPr>
          <w:p>
            <w:pPr>
              <w:ind w:leftChars="0" w:left="0" w:right="0"/>
            </w:pPr>
            <w:r>
              <w:t>XSBI</w:t>
            </w:r>
          </w:p>
        </w:tc>
        <w:tc>
          <w:tcPr>
            <w:cnfStyle w:evenVBand="false" w:oddVBand="true" w:firstColumn="false"/>
            <w:tcW w:w="25.000000%" w:type="pct"/>
          </w:tcPr>
          <w:p>
            <w:pPr>
              <w:ind w:leftChars="0" w:left="0" w:right="0"/>
            </w:pPr>
            <w:r>
              <w:t>JAPANNEXT - X - MARKET</w:t>
            </w:r>
          </w:p>
        </w:tc>
        <w:tc>
          <w:tcPr>
            <w:cnfStyle w:evenVBand="true" w:oddVBand="false" w:firstColumn="false"/>
            <w:tcW w:w="25.000000%" w:type="pct"/>
          </w:tcPr>
          <w:p>
            <w:pPr>
              <w:ind w:leftChars="0" w:left="0" w:right="0"/>
            </w:pPr>
            <w:r>
              <w:t>2422</w:t>
            </w:r>
          </w:p>
        </w:tc>
      </w:tr>
      <w:tr>
        <w:trPr>
          <w:cnfStyle w:evenHBand="true" w:oddHBand="false" w:firstRow="false"/>
        </w:trPr>
        <w:tc>
          <w:tcPr>
            <w:cnfStyle w:evenVBand="false" w:oddVBand="true" w:firstColumn="false"/>
            <w:tcW w:w="25.000000%" w:type="pct"/>
          </w:tcPr>
          <w:p>
            <w:pPr>
              <w:ind w:leftChars="0" w:left="0" w:right="0"/>
            </w:pPr>
            <w:r>
              <w:t>XSBT</w:t>
            </w:r>
          </w:p>
        </w:tc>
        <w:tc>
          <w:tcPr>
            <w:cnfStyle w:evenVBand="true" w:oddVBand="false" w:firstColumn="false"/>
            <w:tcW w:w="25.000000%" w:type="pct"/>
          </w:tcPr>
          <w:p>
            <w:pPr>
              <w:ind w:leftChars="0" w:left="0" w:right="0"/>
            </w:pPr>
            <w:r>
              <w:t>XSBT</w:t>
            </w:r>
          </w:p>
        </w:tc>
        <w:tc>
          <w:tcPr>
            <w:cnfStyle w:evenVBand="false" w:oddVBand="true" w:firstColumn="false"/>
            <w:tcW w:w="25.000000%" w:type="pct"/>
          </w:tcPr>
          <w:p>
            <w:pPr>
              <w:ind w:leftChars="0" w:left="0" w:right="0"/>
            </w:pPr>
            <w:r>
              <w:t>SINGAPORE EXCHANGE BOND TRADING PTE. LTD</w:t>
            </w:r>
          </w:p>
        </w:tc>
        <w:tc>
          <w:tcPr>
            <w:cnfStyle w:evenVBand="true" w:oddVBand="false" w:firstColumn="false"/>
            <w:tcW w:w="25.000000%" w:type="pct"/>
          </w:tcPr>
          <w:p>
            <w:pPr>
              <w:ind w:leftChars="0" w:left="0" w:right="0"/>
            </w:pPr>
            <w:r>
              <w:t>2423</w:t>
            </w:r>
          </w:p>
        </w:tc>
      </w:tr>
      <w:tr>
        <w:trPr>
          <w:cnfStyle w:evenHBand="false" w:oddHBand="true" w:firstRow="false"/>
        </w:trPr>
        <w:tc>
          <w:tcPr>
            <w:cnfStyle w:evenVBand="false" w:oddVBand="true" w:firstColumn="false"/>
            <w:tcW w:w="25.000000%" w:type="pct"/>
          </w:tcPr>
          <w:p>
            <w:pPr>
              <w:ind w:leftChars="0" w:left="0" w:right="0"/>
            </w:pPr>
            <w:r>
              <w:t>XSC1</w:t>
            </w:r>
          </w:p>
        </w:tc>
        <w:tc>
          <w:tcPr>
            <w:cnfStyle w:evenVBand="true" w:oddVBand="false" w:firstColumn="false"/>
            <w:tcW w:w="25.000000%" w:type="pct"/>
          </w:tcPr>
          <w:p>
            <w:pPr>
              <w:ind w:leftChars="0" w:left="0" w:right="0"/>
            </w:pPr>
            <w:r>
              <w:t>XSC1</w:t>
            </w:r>
          </w:p>
        </w:tc>
        <w:tc>
          <w:tcPr>
            <w:cnfStyle w:evenVBand="false" w:oddVBand="true" w:firstColumn="false"/>
            <w:tcW w:w="25.000000%" w:type="pct"/>
          </w:tcPr>
          <w:p>
            <w:pPr>
              <w:ind w:leftChars="0" w:left="0" w:right="0"/>
            </w:pPr>
            <w:r>
              <w:t>BOERSE FRANKFURT WARRANTS TECHNICAL 1</w:t>
            </w:r>
          </w:p>
        </w:tc>
        <w:tc>
          <w:tcPr>
            <w:cnfStyle w:evenVBand="true" w:oddVBand="false" w:firstColumn="false"/>
            <w:tcW w:w="25.000000%" w:type="pct"/>
          </w:tcPr>
          <w:p>
            <w:pPr>
              <w:ind w:leftChars="0" w:left="0" w:right="0"/>
            </w:pPr>
            <w:r>
              <w:t>2424</w:t>
            </w:r>
          </w:p>
        </w:tc>
      </w:tr>
      <w:tr>
        <w:trPr>
          <w:cnfStyle w:evenHBand="true" w:oddHBand="false" w:firstRow="false"/>
        </w:trPr>
        <w:tc>
          <w:tcPr>
            <w:cnfStyle w:evenVBand="false" w:oddVBand="true" w:firstColumn="false"/>
            <w:tcW w:w="25.000000%" w:type="pct"/>
          </w:tcPr>
          <w:p>
            <w:pPr>
              <w:ind w:leftChars="0" w:left="0" w:right="0"/>
            </w:pPr>
            <w:r>
              <w:t>XSC2</w:t>
            </w:r>
          </w:p>
        </w:tc>
        <w:tc>
          <w:tcPr>
            <w:cnfStyle w:evenVBand="true" w:oddVBand="false" w:firstColumn="false"/>
            <w:tcW w:w="25.000000%" w:type="pct"/>
          </w:tcPr>
          <w:p>
            <w:pPr>
              <w:ind w:leftChars="0" w:left="0" w:right="0"/>
            </w:pPr>
            <w:r>
              <w:t>XSC2</w:t>
            </w:r>
          </w:p>
        </w:tc>
        <w:tc>
          <w:tcPr>
            <w:cnfStyle w:evenVBand="false" w:oddVBand="true" w:firstColumn="false"/>
            <w:tcW w:w="25.000000%" w:type="pct"/>
          </w:tcPr>
          <w:p>
            <w:pPr>
              <w:ind w:leftChars="0" w:left="0" w:right="0"/>
            </w:pPr>
            <w:r>
              <w:t>BOERSE FRANKFURT WARRANTS TECHNICAL 2</w:t>
            </w:r>
          </w:p>
        </w:tc>
        <w:tc>
          <w:tcPr>
            <w:cnfStyle w:evenVBand="true" w:oddVBand="false" w:firstColumn="false"/>
            <w:tcW w:w="25.000000%" w:type="pct"/>
          </w:tcPr>
          <w:p>
            <w:pPr>
              <w:ind w:leftChars="0" w:left="0" w:right="0"/>
            </w:pPr>
            <w:r>
              <w:t>2425</w:t>
            </w:r>
          </w:p>
        </w:tc>
      </w:tr>
      <w:tr>
        <w:trPr>
          <w:cnfStyle w:evenHBand="false" w:oddHBand="true" w:firstRow="false"/>
        </w:trPr>
        <w:tc>
          <w:tcPr>
            <w:cnfStyle w:evenVBand="false" w:oddVBand="true" w:firstColumn="false"/>
            <w:tcW w:w="25.000000%" w:type="pct"/>
          </w:tcPr>
          <w:p>
            <w:pPr>
              <w:ind w:leftChars="0" w:left="0" w:right="0"/>
            </w:pPr>
            <w:r>
              <w:t>XSC3</w:t>
            </w:r>
          </w:p>
        </w:tc>
        <w:tc>
          <w:tcPr>
            <w:cnfStyle w:evenVBand="true" w:oddVBand="false" w:firstColumn="false"/>
            <w:tcW w:w="25.000000%" w:type="pct"/>
          </w:tcPr>
          <w:p>
            <w:pPr>
              <w:ind w:leftChars="0" w:left="0" w:right="0"/>
            </w:pPr>
            <w:r>
              <w:t>XSC3</w:t>
            </w:r>
          </w:p>
        </w:tc>
        <w:tc>
          <w:tcPr>
            <w:cnfStyle w:evenVBand="false" w:oddVBand="true" w:firstColumn="false"/>
            <w:tcW w:w="25.000000%" w:type="pct"/>
          </w:tcPr>
          <w:p>
            <w:pPr>
              <w:ind w:leftChars="0" w:left="0" w:right="0"/>
            </w:pPr>
            <w:r>
              <w:t>BOERSE FRANKFURT WARRANTS TECHNICAL 3</w:t>
            </w:r>
          </w:p>
        </w:tc>
        <w:tc>
          <w:tcPr>
            <w:cnfStyle w:evenVBand="true" w:oddVBand="false" w:firstColumn="false"/>
            <w:tcW w:w="25.000000%" w:type="pct"/>
          </w:tcPr>
          <w:p>
            <w:pPr>
              <w:ind w:leftChars="0" w:left="0" w:right="0"/>
            </w:pPr>
            <w:r>
              <w:t>2426</w:t>
            </w:r>
          </w:p>
        </w:tc>
      </w:tr>
      <w:tr>
        <w:trPr>
          <w:cnfStyle w:evenHBand="true" w:oddHBand="false" w:firstRow="false"/>
        </w:trPr>
        <w:tc>
          <w:tcPr>
            <w:cnfStyle w:evenVBand="false" w:oddVBand="true" w:firstColumn="false"/>
            <w:tcW w:w="25.000000%" w:type="pct"/>
          </w:tcPr>
          <w:p>
            <w:pPr>
              <w:ind w:leftChars="0" w:left="0" w:right="0"/>
            </w:pPr>
            <w:r>
              <w:t>XSCA</w:t>
            </w:r>
          </w:p>
        </w:tc>
        <w:tc>
          <w:tcPr>
            <w:cnfStyle w:evenVBand="true" w:oddVBand="false" w:firstColumn="false"/>
            <w:tcW w:w="25.000000%" w:type="pct"/>
          </w:tcPr>
          <w:p>
            <w:pPr>
              <w:ind w:leftChars="0" w:left="0" w:right="0"/>
            </w:pPr>
            <w:r>
              <w:t>XSCA</w:t>
            </w:r>
          </w:p>
        </w:tc>
        <w:tc>
          <w:tcPr>
            <w:cnfStyle w:evenVBand="false" w:oddVBand="true" w:firstColumn="false"/>
            <w:tcW w:w="25.000000%" w:type="pct"/>
          </w:tcPr>
          <w:p>
            <w:pPr>
              <w:ind w:leftChars="0" w:left="0" w:right="0"/>
            </w:pPr>
            <w:r>
              <w:t>SINGAPORE CATALIST MARKET</w:t>
            </w:r>
          </w:p>
        </w:tc>
        <w:tc>
          <w:tcPr>
            <w:cnfStyle w:evenVBand="true" w:oddVBand="false" w:firstColumn="false"/>
            <w:tcW w:w="25.000000%" w:type="pct"/>
          </w:tcPr>
          <w:p>
            <w:pPr>
              <w:ind w:leftChars="0" w:left="0" w:right="0"/>
            </w:pPr>
            <w:r>
              <w:t>2427</w:t>
            </w:r>
          </w:p>
        </w:tc>
      </w:tr>
      <w:tr>
        <w:trPr>
          <w:cnfStyle w:evenHBand="false" w:oddHBand="true" w:firstRow="false"/>
        </w:trPr>
        <w:tc>
          <w:tcPr>
            <w:cnfStyle w:evenVBand="false" w:oddVBand="true" w:firstColumn="false"/>
            <w:tcW w:w="25.000000%" w:type="pct"/>
          </w:tcPr>
          <w:p>
            <w:pPr>
              <w:ind w:leftChars="0" w:left="0" w:right="0"/>
            </w:pPr>
            <w:r>
              <w:t>XSCE</w:t>
            </w:r>
          </w:p>
        </w:tc>
        <w:tc>
          <w:tcPr>
            <w:cnfStyle w:evenVBand="true" w:oddVBand="false" w:firstColumn="false"/>
            <w:tcW w:w="25.000000%" w:type="pct"/>
          </w:tcPr>
          <w:p>
            <w:pPr>
              <w:ind w:leftChars="0" w:left="0" w:right="0"/>
            </w:pPr>
            <w:r>
              <w:t>XSCE</w:t>
            </w:r>
          </w:p>
        </w:tc>
        <w:tc>
          <w:tcPr>
            <w:cnfStyle w:evenVBand="false" w:oddVBand="true" w:firstColumn="false"/>
            <w:tcW w:w="25.000000%" w:type="pct"/>
          </w:tcPr>
          <w:p>
            <w:pPr>
              <w:ind w:leftChars="0" w:left="0" w:right="0"/>
            </w:pPr>
            <w:r>
              <w:t>SINGAPORE COMMODITY EXCHANGE</w:t>
            </w:r>
          </w:p>
        </w:tc>
        <w:tc>
          <w:tcPr>
            <w:cnfStyle w:evenVBand="true" w:oddVBand="false" w:firstColumn="false"/>
            <w:tcW w:w="25.000000%" w:type="pct"/>
          </w:tcPr>
          <w:p>
            <w:pPr>
              <w:ind w:leftChars="0" w:left="0" w:right="0"/>
            </w:pPr>
            <w:r>
              <w:t>2428</w:t>
            </w:r>
          </w:p>
        </w:tc>
      </w:tr>
      <w:tr>
        <w:trPr>
          <w:cnfStyle w:evenHBand="true" w:oddHBand="false" w:firstRow="false"/>
        </w:trPr>
        <w:tc>
          <w:tcPr>
            <w:cnfStyle w:evenVBand="false" w:oddVBand="true" w:firstColumn="false"/>
            <w:tcW w:w="25.000000%" w:type="pct"/>
          </w:tcPr>
          <w:p>
            <w:pPr>
              <w:ind w:leftChars="0" w:left="0" w:right="0"/>
            </w:pPr>
            <w:r>
              <w:t>XSCL</w:t>
            </w:r>
          </w:p>
        </w:tc>
        <w:tc>
          <w:tcPr>
            <w:cnfStyle w:evenVBand="true" w:oddVBand="false" w:firstColumn="false"/>
            <w:tcW w:w="25.000000%" w:type="pct"/>
          </w:tcPr>
          <w:p>
            <w:pPr>
              <w:ind w:leftChars="0" w:left="0" w:right="0"/>
            </w:pPr>
            <w:r>
              <w:t>XSCL</w:t>
            </w:r>
          </w:p>
        </w:tc>
        <w:tc>
          <w:tcPr>
            <w:cnfStyle w:evenVBand="false" w:oddVBand="true" w:firstColumn="false"/>
            <w:tcW w:w="25.000000%" w:type="pct"/>
          </w:tcPr>
          <w:p>
            <w:pPr>
              <w:ind w:leftChars="0" w:left="0" w:right="0"/>
            </w:pPr>
            <w:r>
              <w:t>SINGAPORE CENTRAL LIMIT ORDER BOOK INTERNATIONAL</w:t>
            </w:r>
          </w:p>
        </w:tc>
        <w:tc>
          <w:tcPr>
            <w:cnfStyle w:evenVBand="true" w:oddVBand="false" w:firstColumn="false"/>
            <w:tcW w:w="25.000000%" w:type="pct"/>
          </w:tcPr>
          <w:p>
            <w:pPr>
              <w:ind w:leftChars="0" w:left="0" w:right="0"/>
            </w:pPr>
            <w:r>
              <w:t>2429</w:t>
            </w:r>
          </w:p>
        </w:tc>
      </w:tr>
      <w:tr>
        <w:trPr>
          <w:cnfStyle w:evenHBand="false" w:oddHBand="true" w:firstRow="false"/>
        </w:trPr>
        <w:tc>
          <w:tcPr>
            <w:cnfStyle w:evenVBand="false" w:oddVBand="true" w:firstColumn="false"/>
            <w:tcW w:w="25.000000%" w:type="pct"/>
          </w:tcPr>
          <w:p>
            <w:pPr>
              <w:ind w:leftChars="0" w:left="0" w:right="0"/>
            </w:pPr>
            <w:r>
              <w:t>XSCO</w:t>
            </w:r>
          </w:p>
        </w:tc>
        <w:tc>
          <w:tcPr>
            <w:cnfStyle w:evenVBand="true" w:oddVBand="false" w:firstColumn="false"/>
            <w:tcW w:w="25.000000%" w:type="pct"/>
          </w:tcPr>
          <w:p>
            <w:pPr>
              <w:ind w:leftChars="0" w:left="0" w:right="0"/>
            </w:pPr>
            <w:r>
              <w:t>XSCO</w:t>
            </w:r>
          </w:p>
        </w:tc>
        <w:tc>
          <w:tcPr>
            <w:cnfStyle w:evenVBand="false" w:oddVBand="true" w:firstColumn="false"/>
            <w:tcW w:w="25.000000%" w:type="pct"/>
          </w:tcPr>
          <w:p>
            <w:pPr>
              <w:ind w:leftChars="0" w:left="0" w:right="0"/>
            </w:pPr>
            <w:r>
              <w:t>BOERSE FRANKFURT WARRANTS TECHNICAL</w:t>
            </w:r>
          </w:p>
        </w:tc>
        <w:tc>
          <w:tcPr>
            <w:cnfStyle w:evenVBand="true" w:oddVBand="false" w:firstColumn="false"/>
            <w:tcW w:w="25.000000%" w:type="pct"/>
          </w:tcPr>
          <w:p>
            <w:pPr>
              <w:ind w:leftChars="0" w:left="0" w:right="0"/>
            </w:pPr>
            <w:r>
              <w:t>2430</w:t>
            </w:r>
          </w:p>
        </w:tc>
      </w:tr>
      <w:tr>
        <w:trPr>
          <w:cnfStyle w:evenHBand="true" w:oddHBand="false" w:firstRow="false"/>
        </w:trPr>
        <w:tc>
          <w:tcPr>
            <w:cnfStyle w:evenVBand="false" w:oddVBand="true" w:firstColumn="false"/>
            <w:tcW w:w="25.000000%" w:type="pct"/>
          </w:tcPr>
          <w:p>
            <w:pPr>
              <w:ind w:leftChars="0" w:left="0" w:right="0"/>
            </w:pPr>
            <w:r>
              <w:t>XSCU</w:t>
            </w:r>
          </w:p>
        </w:tc>
        <w:tc>
          <w:tcPr>
            <w:cnfStyle w:evenVBand="true" w:oddVBand="false" w:firstColumn="false"/>
            <w:tcW w:w="25.000000%" w:type="pct"/>
          </w:tcPr>
          <w:p>
            <w:pPr>
              <w:ind w:leftChars="0" w:left="0" w:right="0"/>
            </w:pPr>
            <w:r>
              <w:t>XSCU</w:t>
            </w:r>
          </w:p>
        </w:tc>
        <w:tc>
          <w:tcPr>
            <w:cnfStyle w:evenVBand="false" w:oddVBand="true" w:firstColumn="false"/>
            <w:tcW w:w="25.000000%" w:type="pct"/>
          </w:tcPr>
          <w:p>
            <w:pPr>
              <w:ind w:leftChars="0" w:left="0" w:right="0"/>
            </w:pPr>
            <w:r>
              <w:t>STOXX LIMITED - CUSTOMIZED INDICES</w:t>
            </w:r>
          </w:p>
        </w:tc>
        <w:tc>
          <w:tcPr>
            <w:cnfStyle w:evenVBand="true" w:oddVBand="false" w:firstColumn="false"/>
            <w:tcW w:w="25.000000%" w:type="pct"/>
          </w:tcPr>
          <w:p>
            <w:pPr>
              <w:ind w:leftChars="0" w:left="0" w:right="0"/>
            </w:pPr>
            <w:r>
              <w:t>2431</w:t>
            </w:r>
          </w:p>
        </w:tc>
      </w:tr>
      <w:tr>
        <w:trPr>
          <w:cnfStyle w:evenHBand="false" w:oddHBand="true" w:firstRow="false"/>
        </w:trPr>
        <w:tc>
          <w:tcPr>
            <w:cnfStyle w:evenVBand="false" w:oddVBand="true" w:firstColumn="false"/>
            <w:tcW w:w="25.000000%" w:type="pct"/>
          </w:tcPr>
          <w:p>
            <w:pPr>
              <w:ind w:leftChars="0" w:left="0" w:right="0"/>
            </w:pPr>
            <w:r>
              <w:t>XSDX</w:t>
            </w:r>
          </w:p>
        </w:tc>
        <w:tc>
          <w:tcPr>
            <w:cnfStyle w:evenVBand="true" w:oddVBand="false" w:firstColumn="false"/>
            <w:tcW w:w="25.000000%" w:type="pct"/>
          </w:tcPr>
          <w:p>
            <w:pPr>
              <w:ind w:leftChars="0" w:left="0" w:right="0"/>
            </w:pPr>
            <w:r>
              <w:t>XSDX</w:t>
            </w:r>
          </w:p>
        </w:tc>
        <w:tc>
          <w:tcPr>
            <w:cnfStyle w:evenVBand="false" w:oddVBand="true" w:firstColumn="false"/>
            <w:tcW w:w="25.000000%" w:type="pct"/>
          </w:tcPr>
          <w:p>
            <w:pPr>
              <w:ind w:leftChars="0" w:left="0" w:right="0"/>
            </w:pPr>
            <w:r>
              <w:t>SIX DIGITAL EXCHANGE</w:t>
            </w:r>
          </w:p>
        </w:tc>
        <w:tc>
          <w:tcPr>
            <w:cnfStyle w:evenVBand="true" w:oddVBand="false" w:firstColumn="false"/>
            <w:tcW w:w="25.000000%" w:type="pct"/>
          </w:tcPr>
          <w:p>
            <w:pPr>
              <w:ind w:leftChars="0" w:left="0" w:right="0"/>
            </w:pPr>
            <w:r>
              <w:t>2432</w:t>
            </w:r>
          </w:p>
        </w:tc>
      </w:tr>
      <w:tr>
        <w:trPr>
          <w:cnfStyle w:evenHBand="true" w:oddHBand="false" w:firstRow="false"/>
        </w:trPr>
        <w:tc>
          <w:tcPr>
            <w:cnfStyle w:evenVBand="false" w:oddVBand="true" w:firstColumn="false"/>
            <w:tcW w:w="25.000000%" w:type="pct"/>
          </w:tcPr>
          <w:p>
            <w:pPr>
              <w:ind w:leftChars="0" w:left="0" w:right="0"/>
            </w:pPr>
            <w:r>
              <w:t>XSEB</w:t>
            </w:r>
          </w:p>
        </w:tc>
        <w:tc>
          <w:tcPr>
            <w:cnfStyle w:evenVBand="true" w:oddVBand="false" w:firstColumn="false"/>
            <w:tcW w:w="25.000000%" w:type="pct"/>
          </w:tcPr>
          <w:p>
            <w:pPr>
              <w:ind w:leftChars="0" w:left="0" w:right="0"/>
            </w:pPr>
            <w:r>
              <w:t>XSEB</w:t>
            </w:r>
          </w:p>
        </w:tc>
        <w:tc>
          <w:tcPr>
            <w:cnfStyle w:evenVBand="false" w:oddVBand="true" w:firstColumn="false"/>
            <w:tcW w:w="25.000000%" w:type="pct"/>
          </w:tcPr>
          <w:p>
            <w:pPr>
              <w:ind w:leftChars="0" w:left="0" w:right="0"/>
            </w:pPr>
            <w:r>
              <w:t>SIX SWISS EXCHANGE - EBBO BOOK</w:t>
            </w:r>
          </w:p>
        </w:tc>
        <w:tc>
          <w:tcPr>
            <w:cnfStyle w:evenVBand="true" w:oddVBand="false" w:firstColumn="false"/>
            <w:tcW w:w="25.000000%" w:type="pct"/>
          </w:tcPr>
          <w:p>
            <w:pPr>
              <w:ind w:leftChars="0" w:left="0" w:right="0"/>
            </w:pPr>
            <w:r>
              <w:t>2433</w:t>
            </w:r>
          </w:p>
        </w:tc>
      </w:tr>
      <w:tr>
        <w:trPr>
          <w:cnfStyle w:evenHBand="false" w:oddHBand="true" w:firstRow="false"/>
        </w:trPr>
        <w:tc>
          <w:tcPr>
            <w:cnfStyle w:evenVBand="false" w:oddVBand="true" w:firstColumn="false"/>
            <w:tcW w:w="25.000000%" w:type="pct"/>
          </w:tcPr>
          <w:p>
            <w:pPr>
              <w:ind w:leftChars="0" w:left="0" w:right="0"/>
            </w:pPr>
            <w:r>
              <w:t>XSEC</w:t>
            </w:r>
          </w:p>
        </w:tc>
        <w:tc>
          <w:tcPr>
            <w:cnfStyle w:evenVBand="true" w:oddVBand="false" w:firstColumn="false"/>
            <w:tcW w:w="25.000000%" w:type="pct"/>
          </w:tcPr>
          <w:p>
            <w:pPr>
              <w:ind w:leftChars="0" w:left="0" w:right="0"/>
            </w:pPr>
            <w:r>
              <w:t>XSEC</w:t>
            </w:r>
          </w:p>
        </w:tc>
        <w:tc>
          <w:tcPr>
            <w:cnfStyle w:evenVBand="false" w:oddVBand="true" w:firstColumn="false"/>
            <w:tcW w:w="25.000000%" w:type="pct"/>
          </w:tcPr>
          <w:p>
            <w:pPr>
              <w:ind w:leftChars="0" w:left="0" w:right="0"/>
            </w:pPr>
            <w:r>
              <w:t>SHENZHEN STOCK EXCHANGE - SHENZHEN - HONG KONG STOCK CONNECT</w:t>
            </w:r>
          </w:p>
        </w:tc>
        <w:tc>
          <w:tcPr>
            <w:cnfStyle w:evenVBand="true" w:oddVBand="false" w:firstColumn="false"/>
            <w:tcW w:w="25.000000%" w:type="pct"/>
          </w:tcPr>
          <w:p>
            <w:pPr>
              <w:ind w:leftChars="0" w:left="0" w:right="0"/>
            </w:pPr>
            <w:r>
              <w:t>2434</w:t>
            </w:r>
          </w:p>
        </w:tc>
      </w:tr>
      <w:tr>
        <w:trPr>
          <w:cnfStyle w:evenHBand="true" w:oddHBand="false" w:firstRow="false"/>
        </w:trPr>
        <w:tc>
          <w:tcPr>
            <w:cnfStyle w:evenVBand="false" w:oddVBand="true" w:firstColumn="false"/>
            <w:tcW w:w="25.000000%" w:type="pct"/>
          </w:tcPr>
          <w:p>
            <w:pPr>
              <w:ind w:leftChars="0" w:left="0" w:right="0"/>
            </w:pPr>
            <w:r>
              <w:t>XSEF</w:t>
            </w:r>
          </w:p>
        </w:tc>
        <w:tc>
          <w:tcPr>
            <w:cnfStyle w:evenVBand="true" w:oddVBand="false" w:firstColumn="false"/>
            <w:tcW w:w="25.000000%" w:type="pct"/>
          </w:tcPr>
          <w:p>
            <w:pPr>
              <w:ind w:leftChars="0" w:left="0" w:right="0"/>
            </w:pPr>
            <w:r>
              <w:t>XSEF</w:t>
            </w:r>
          </w:p>
        </w:tc>
        <w:tc>
          <w:tcPr>
            <w:cnfStyle w:evenVBand="false" w:oddVBand="true" w:firstColumn="false"/>
            <w:tcW w:w="25.000000%" w:type="pct"/>
          </w:tcPr>
          <w:p>
            <w:pPr>
              <w:ind w:leftChars="0" w:left="0" w:right="0"/>
            </w:pPr>
            <w:r>
              <w:t>SWAPEX, LLC</w:t>
            </w:r>
          </w:p>
        </w:tc>
        <w:tc>
          <w:tcPr>
            <w:cnfStyle w:evenVBand="true" w:oddVBand="false" w:firstColumn="false"/>
            <w:tcW w:w="25.000000%" w:type="pct"/>
          </w:tcPr>
          <w:p>
            <w:pPr>
              <w:ind w:leftChars="0" w:left="0" w:right="0"/>
            </w:pPr>
            <w:r>
              <w:t>2435</w:t>
            </w:r>
          </w:p>
        </w:tc>
      </w:tr>
      <w:tr>
        <w:trPr>
          <w:cnfStyle w:evenHBand="false" w:oddHBand="true" w:firstRow="false"/>
        </w:trPr>
        <w:tc>
          <w:tcPr>
            <w:cnfStyle w:evenVBand="false" w:oddVBand="true" w:firstColumn="false"/>
            <w:tcW w:w="25.000000%" w:type="pct"/>
          </w:tcPr>
          <w:p>
            <w:pPr>
              <w:ind w:leftChars="0" w:left="0" w:right="0"/>
            </w:pPr>
            <w:r>
              <w:t>XSES</w:t>
            </w:r>
          </w:p>
        </w:tc>
        <w:tc>
          <w:tcPr>
            <w:cnfStyle w:evenVBand="true" w:oddVBand="false" w:firstColumn="false"/>
            <w:tcW w:w="25.000000%" w:type="pct"/>
          </w:tcPr>
          <w:p>
            <w:pPr>
              <w:ind w:leftChars="0" w:left="0" w:right="0"/>
            </w:pPr>
            <w:r>
              <w:t>XSES</w:t>
            </w:r>
          </w:p>
        </w:tc>
        <w:tc>
          <w:tcPr>
            <w:cnfStyle w:evenVBand="false" w:oddVBand="true" w:firstColumn="false"/>
            <w:tcW w:w="25.000000%" w:type="pct"/>
          </w:tcPr>
          <w:p>
            <w:pPr>
              <w:ind w:leftChars="0" w:left="0" w:right="0"/>
            </w:pPr>
            <w:r>
              <w:t>SINGAPORE EXCHANGE</w:t>
            </w:r>
          </w:p>
        </w:tc>
        <w:tc>
          <w:tcPr>
            <w:cnfStyle w:evenVBand="true" w:oddVBand="false" w:firstColumn="false"/>
            <w:tcW w:w="25.000000%" w:type="pct"/>
          </w:tcPr>
          <w:p>
            <w:pPr>
              <w:ind w:leftChars="0" w:left="0" w:right="0"/>
            </w:pPr>
            <w:r>
              <w:t>2436</w:t>
            </w:r>
          </w:p>
        </w:tc>
      </w:tr>
      <w:tr>
        <w:trPr>
          <w:cnfStyle w:evenHBand="true" w:oddHBand="false" w:firstRow="false"/>
        </w:trPr>
        <w:tc>
          <w:tcPr>
            <w:cnfStyle w:evenVBand="false" w:oddVBand="true" w:firstColumn="false"/>
            <w:tcW w:w="25.000000%" w:type="pct"/>
          </w:tcPr>
          <w:p>
            <w:pPr>
              <w:ind w:leftChars="0" w:left="0" w:right="0"/>
            </w:pPr>
            <w:r>
              <w:t>XSFA</w:t>
            </w:r>
          </w:p>
        </w:tc>
        <w:tc>
          <w:tcPr>
            <w:cnfStyle w:evenVBand="true" w:oddVBand="false" w:firstColumn="false"/>
            <w:tcW w:w="25.000000%" w:type="pct"/>
          </w:tcPr>
          <w:p>
            <w:pPr>
              <w:ind w:leftChars="0" w:left="0" w:right="0"/>
            </w:pPr>
            <w:r>
              <w:t>XSFA</w:t>
            </w:r>
          </w:p>
        </w:tc>
        <w:tc>
          <w:tcPr>
            <w:cnfStyle w:evenVBand="false" w:oddVBand="true" w:firstColumn="false"/>
            <w:tcW w:w="25.000000%" w:type="pct"/>
          </w:tcPr>
          <w:p>
            <w:pPr>
              <w:ind w:leftChars="0" w:left="0" w:right="0"/>
            </w:pPr>
            <w:r>
              <w:t>JSE COMMODITY DERIVATIVES MARKET</w:t>
            </w:r>
          </w:p>
        </w:tc>
        <w:tc>
          <w:tcPr>
            <w:cnfStyle w:evenVBand="true" w:oddVBand="false" w:firstColumn="false"/>
            <w:tcW w:w="25.000000%" w:type="pct"/>
          </w:tcPr>
          <w:p>
            <w:pPr>
              <w:ind w:leftChars="0" w:left="0" w:right="0"/>
            </w:pPr>
            <w:r>
              <w:t>2437</w:t>
            </w:r>
          </w:p>
        </w:tc>
      </w:tr>
      <w:tr>
        <w:trPr>
          <w:cnfStyle w:evenHBand="false" w:oddHBand="true" w:firstRow="false"/>
        </w:trPr>
        <w:tc>
          <w:tcPr>
            <w:cnfStyle w:evenVBand="false" w:oddVBand="true" w:firstColumn="false"/>
            <w:tcW w:w="25.000000%" w:type="pct"/>
          </w:tcPr>
          <w:p>
            <w:pPr>
              <w:ind w:leftChars="0" w:left="0" w:right="0"/>
            </w:pPr>
            <w:r>
              <w:t>XSFE</w:t>
            </w:r>
          </w:p>
        </w:tc>
        <w:tc>
          <w:tcPr>
            <w:cnfStyle w:evenVBand="true" w:oddVBand="false" w:firstColumn="false"/>
            <w:tcW w:w="25.000000%" w:type="pct"/>
          </w:tcPr>
          <w:p>
            <w:pPr>
              <w:ind w:leftChars="0" w:left="0" w:right="0"/>
            </w:pPr>
            <w:r>
              <w:t>XSFE</w:t>
            </w:r>
          </w:p>
        </w:tc>
        <w:tc>
          <w:tcPr>
            <w:cnfStyle w:evenVBand="false" w:oddVBand="true" w:firstColumn="false"/>
            <w:tcW w:w="25.000000%" w:type="pct"/>
          </w:tcPr>
          <w:p>
            <w:pPr>
              <w:ind w:leftChars="0" w:left="0" w:right="0"/>
            </w:pPr>
            <w:r>
              <w:t>ASX - TRADE24</w:t>
            </w:r>
          </w:p>
        </w:tc>
        <w:tc>
          <w:tcPr>
            <w:cnfStyle w:evenVBand="true" w:oddVBand="false" w:firstColumn="false"/>
            <w:tcW w:w="25.000000%" w:type="pct"/>
          </w:tcPr>
          <w:p>
            <w:pPr>
              <w:ind w:leftChars="0" w:left="0" w:right="0"/>
            </w:pPr>
            <w:r>
              <w:t>2438</w:t>
            </w:r>
          </w:p>
        </w:tc>
      </w:tr>
      <w:tr>
        <w:trPr>
          <w:cnfStyle w:evenHBand="true" w:oddHBand="false" w:firstRow="false"/>
        </w:trPr>
        <w:tc>
          <w:tcPr>
            <w:cnfStyle w:evenVBand="false" w:oddVBand="true" w:firstColumn="false"/>
            <w:tcW w:w="25.000000%" w:type="pct"/>
          </w:tcPr>
          <w:p>
            <w:pPr>
              <w:ind w:leftChars="0" w:left="0" w:right="0"/>
            </w:pPr>
            <w:r>
              <w:t>XSGA</w:t>
            </w:r>
          </w:p>
        </w:tc>
        <w:tc>
          <w:tcPr>
            <w:cnfStyle w:evenVBand="true" w:oddVBand="false" w:firstColumn="false"/>
            <w:tcW w:w="25.000000%" w:type="pct"/>
          </w:tcPr>
          <w:p>
            <w:pPr>
              <w:ind w:leftChars="0" w:left="0" w:right="0"/>
            </w:pPr>
            <w:r>
              <w:t>XSGA</w:t>
            </w:r>
          </w:p>
        </w:tc>
        <w:tc>
          <w:tcPr>
            <w:cnfStyle w:evenVBand="false" w:oddVBand="true" w:firstColumn="false"/>
            <w:tcW w:w="25.000000%" w:type="pct"/>
          </w:tcPr>
          <w:p>
            <w:pPr>
              <w:ind w:leftChars="0" w:left="0" w:right="0"/>
            </w:pPr>
            <w:r>
              <w:t>SOCIETE GENERALE - SYSTEMATIC INTERNALISER</w:t>
            </w:r>
          </w:p>
        </w:tc>
        <w:tc>
          <w:tcPr>
            <w:cnfStyle w:evenVBand="true" w:oddVBand="false" w:firstColumn="false"/>
            <w:tcW w:w="25.000000%" w:type="pct"/>
          </w:tcPr>
          <w:p>
            <w:pPr>
              <w:ind w:leftChars="0" w:left="0" w:right="0"/>
            </w:pPr>
            <w:r>
              <w:t>2439</w:t>
            </w:r>
          </w:p>
        </w:tc>
      </w:tr>
      <w:tr>
        <w:trPr>
          <w:cnfStyle w:evenHBand="false" w:oddHBand="true" w:firstRow="false"/>
        </w:trPr>
        <w:tc>
          <w:tcPr>
            <w:cnfStyle w:evenVBand="false" w:oddVBand="true" w:firstColumn="false"/>
            <w:tcW w:w="25.000000%" w:type="pct"/>
          </w:tcPr>
          <w:p>
            <w:pPr>
              <w:ind w:leftChars="0" w:left="0" w:right="0"/>
            </w:pPr>
            <w:r>
              <w:t>XSGB</w:t>
            </w:r>
          </w:p>
        </w:tc>
        <w:tc>
          <w:tcPr>
            <w:cnfStyle w:evenVBand="true" w:oddVBand="false" w:firstColumn="false"/>
            <w:tcW w:w="25.000000%" w:type="pct"/>
          </w:tcPr>
          <w:p>
            <w:pPr>
              <w:ind w:leftChars="0" w:left="0" w:right="0"/>
            </w:pPr>
            <w:r>
              <w:t>XSGB</w:t>
            </w:r>
          </w:p>
        </w:tc>
        <w:tc>
          <w:tcPr>
            <w:cnfStyle w:evenVBand="false" w:oddVBand="true" w:firstColumn="false"/>
            <w:tcW w:w="25.000000%" w:type="pct"/>
          </w:tcPr>
          <w:p>
            <w:pPr>
              <w:ind w:leftChars="0" w:left="0" w:right="0"/>
            </w:pPr>
            <w:r>
              <w:t>SOCIETE GENERALE (LONDON BRANCH) - SYSTEMATIC INTERNALISER</w:t>
            </w:r>
          </w:p>
        </w:tc>
        <w:tc>
          <w:tcPr>
            <w:cnfStyle w:evenVBand="true" w:oddVBand="false" w:firstColumn="false"/>
            <w:tcW w:w="25.000000%" w:type="pct"/>
          </w:tcPr>
          <w:p>
            <w:pPr>
              <w:ind w:leftChars="0" w:left="0" w:right="0"/>
            </w:pPr>
            <w:r>
              <w:t>2440</w:t>
            </w:r>
          </w:p>
        </w:tc>
      </w:tr>
      <w:tr>
        <w:trPr>
          <w:cnfStyle w:evenHBand="true" w:oddHBand="false" w:firstRow="false"/>
        </w:trPr>
        <w:tc>
          <w:tcPr>
            <w:cnfStyle w:evenVBand="false" w:oddVBand="true" w:firstColumn="false"/>
            <w:tcW w:w="25.000000%" w:type="pct"/>
          </w:tcPr>
          <w:p>
            <w:pPr>
              <w:ind w:leftChars="0" w:left="0" w:right="0"/>
            </w:pPr>
            <w:r>
              <w:t>XSGE</w:t>
            </w:r>
          </w:p>
        </w:tc>
        <w:tc>
          <w:tcPr>
            <w:cnfStyle w:evenVBand="true" w:oddVBand="false" w:firstColumn="false"/>
            <w:tcW w:w="25.000000%" w:type="pct"/>
          </w:tcPr>
          <w:p>
            <w:pPr>
              <w:ind w:leftChars="0" w:left="0" w:right="0"/>
            </w:pPr>
            <w:r>
              <w:t>XSGE</w:t>
            </w:r>
          </w:p>
        </w:tc>
        <w:tc>
          <w:tcPr>
            <w:cnfStyle w:evenVBand="false" w:oddVBand="true" w:firstColumn="false"/>
            <w:tcW w:w="25.000000%" w:type="pct"/>
          </w:tcPr>
          <w:p>
            <w:pPr>
              <w:ind w:leftChars="0" w:left="0" w:right="0"/>
            </w:pPr>
            <w:r>
              <w:t>SHANGHAI FUTURES EXCHANGE</w:t>
            </w:r>
          </w:p>
        </w:tc>
        <w:tc>
          <w:tcPr>
            <w:cnfStyle w:evenVBand="true" w:oddVBand="false" w:firstColumn="false"/>
            <w:tcW w:w="25.000000%" w:type="pct"/>
          </w:tcPr>
          <w:p>
            <w:pPr>
              <w:ind w:leftChars="0" w:left="0" w:right="0"/>
            </w:pPr>
            <w:r>
              <w:t>2441</w:t>
            </w:r>
          </w:p>
        </w:tc>
      </w:tr>
      <w:tr>
        <w:trPr>
          <w:cnfStyle w:evenHBand="false" w:oddHBand="true" w:firstRow="false"/>
        </w:trPr>
        <w:tc>
          <w:tcPr>
            <w:cnfStyle w:evenVBand="false" w:oddVBand="true" w:firstColumn="false"/>
            <w:tcW w:w="25.000000%" w:type="pct"/>
          </w:tcPr>
          <w:p>
            <w:pPr>
              <w:ind w:leftChars="0" w:left="0" w:right="0"/>
            </w:pPr>
            <w:r>
              <w:t>XSGO</w:t>
            </w:r>
          </w:p>
        </w:tc>
        <w:tc>
          <w:tcPr>
            <w:cnfStyle w:evenVBand="true" w:oddVBand="false" w:firstColumn="false"/>
            <w:tcW w:w="25.000000%" w:type="pct"/>
          </w:tcPr>
          <w:p>
            <w:pPr>
              <w:ind w:leftChars="0" w:left="0" w:right="0"/>
            </w:pPr>
            <w:r>
              <w:t>XSGO</w:t>
            </w:r>
          </w:p>
        </w:tc>
        <w:tc>
          <w:tcPr>
            <w:cnfStyle w:evenVBand="false" w:oddVBand="true" w:firstColumn="false"/>
            <w:tcW w:w="25.000000%" w:type="pct"/>
          </w:tcPr>
          <w:p>
            <w:pPr>
              <w:ind w:leftChars="0" w:left="0" w:right="0"/>
            </w:pPr>
            <w:r>
              <w:t>SANTIAGO STOCK EXCHANGE</w:t>
            </w:r>
          </w:p>
        </w:tc>
        <w:tc>
          <w:tcPr>
            <w:cnfStyle w:evenVBand="true" w:oddVBand="false" w:firstColumn="false"/>
            <w:tcW w:w="25.000000%" w:type="pct"/>
          </w:tcPr>
          <w:p>
            <w:pPr>
              <w:ind w:leftChars="0" w:left="0" w:right="0"/>
            </w:pPr>
            <w:r>
              <w:t>2442</w:t>
            </w:r>
          </w:p>
        </w:tc>
      </w:tr>
      <w:tr>
        <w:trPr>
          <w:cnfStyle w:evenHBand="true" w:oddHBand="false" w:firstRow="false"/>
        </w:trPr>
        <w:tc>
          <w:tcPr>
            <w:cnfStyle w:evenVBand="false" w:oddVBand="true" w:firstColumn="false"/>
            <w:tcW w:w="25.000000%" w:type="pct"/>
          </w:tcPr>
          <w:p>
            <w:pPr>
              <w:ind w:leftChars="0" w:left="0" w:right="0"/>
            </w:pPr>
            <w:r>
              <w:t>XSHE</w:t>
            </w:r>
          </w:p>
        </w:tc>
        <w:tc>
          <w:tcPr>
            <w:cnfStyle w:evenVBand="true" w:oddVBand="false" w:firstColumn="false"/>
            <w:tcW w:w="25.000000%" w:type="pct"/>
          </w:tcPr>
          <w:p>
            <w:pPr>
              <w:ind w:leftChars="0" w:left="0" w:right="0"/>
            </w:pPr>
            <w:r>
              <w:t>XSHE</w:t>
            </w:r>
          </w:p>
        </w:tc>
        <w:tc>
          <w:tcPr>
            <w:cnfStyle w:evenVBand="false" w:oddVBand="true" w:firstColumn="false"/>
            <w:tcW w:w="25.000000%" w:type="pct"/>
          </w:tcPr>
          <w:p>
            <w:pPr>
              <w:ind w:leftChars="0" w:left="0" w:right="0"/>
            </w:pPr>
            <w:r>
              <w:t>SHENZHEN STOCK EXCHANGE</w:t>
            </w:r>
          </w:p>
        </w:tc>
        <w:tc>
          <w:tcPr>
            <w:cnfStyle w:evenVBand="true" w:oddVBand="false" w:firstColumn="false"/>
            <w:tcW w:w="25.000000%" w:type="pct"/>
          </w:tcPr>
          <w:p>
            <w:pPr>
              <w:ind w:leftChars="0" w:left="0" w:right="0"/>
            </w:pPr>
            <w:r>
              <w:t>2443</w:t>
            </w:r>
          </w:p>
        </w:tc>
      </w:tr>
      <w:tr>
        <w:trPr>
          <w:cnfStyle w:evenHBand="false" w:oddHBand="true" w:firstRow="false"/>
        </w:trPr>
        <w:tc>
          <w:tcPr>
            <w:cnfStyle w:evenVBand="false" w:oddVBand="true" w:firstColumn="false"/>
            <w:tcW w:w="25.000000%" w:type="pct"/>
          </w:tcPr>
          <w:p>
            <w:pPr>
              <w:ind w:leftChars="0" w:left="0" w:right="0"/>
            </w:pPr>
            <w:r>
              <w:t>XSHG</w:t>
            </w:r>
          </w:p>
        </w:tc>
        <w:tc>
          <w:tcPr>
            <w:cnfStyle w:evenVBand="true" w:oddVBand="false" w:firstColumn="false"/>
            <w:tcW w:w="25.000000%" w:type="pct"/>
          </w:tcPr>
          <w:p>
            <w:pPr>
              <w:ind w:leftChars="0" w:left="0" w:right="0"/>
            </w:pPr>
            <w:r>
              <w:t>XSHG</w:t>
            </w:r>
          </w:p>
        </w:tc>
        <w:tc>
          <w:tcPr>
            <w:cnfStyle w:evenVBand="false" w:oddVBand="true" w:firstColumn="false"/>
            <w:tcW w:w="25.000000%" w:type="pct"/>
          </w:tcPr>
          <w:p>
            <w:pPr>
              <w:ind w:leftChars="0" w:left="0" w:right="0"/>
            </w:pPr>
            <w:r>
              <w:t>SHANGHAI STOCK EXCHANGE</w:t>
            </w:r>
          </w:p>
        </w:tc>
        <w:tc>
          <w:tcPr>
            <w:cnfStyle w:evenVBand="true" w:oddVBand="false" w:firstColumn="false"/>
            <w:tcW w:w="25.000000%" w:type="pct"/>
          </w:tcPr>
          <w:p>
            <w:pPr>
              <w:ind w:leftChars="0" w:left="0" w:right="0"/>
            </w:pPr>
            <w:r>
              <w:t>2444</w:t>
            </w:r>
          </w:p>
        </w:tc>
      </w:tr>
      <w:tr>
        <w:trPr>
          <w:cnfStyle w:evenHBand="true" w:oddHBand="false" w:firstRow="false"/>
        </w:trPr>
        <w:tc>
          <w:tcPr>
            <w:cnfStyle w:evenVBand="false" w:oddVBand="true" w:firstColumn="false"/>
            <w:tcW w:w="25.000000%" w:type="pct"/>
          </w:tcPr>
          <w:p>
            <w:pPr>
              <w:ind w:leftChars="0" w:left="0" w:right="0"/>
            </w:pPr>
            <w:r>
              <w:t>XSIB</w:t>
            </w:r>
          </w:p>
        </w:tc>
        <w:tc>
          <w:tcPr>
            <w:cnfStyle w:evenVBand="true" w:oddVBand="false" w:firstColumn="false"/>
            <w:tcW w:w="25.000000%" w:type="pct"/>
          </w:tcPr>
          <w:p>
            <w:pPr>
              <w:ind w:leftChars="0" w:left="0" w:right="0"/>
            </w:pPr>
            <w:r>
              <w:t>XSIB</w:t>
            </w:r>
          </w:p>
        </w:tc>
        <w:tc>
          <w:tcPr>
            <w:cnfStyle w:evenVBand="false" w:oddVBand="true" w:firstColumn="false"/>
            <w:tcW w:w="25.000000%" w:type="pct"/>
          </w:tcPr>
          <w:p>
            <w:pPr>
              <w:ind w:leftChars="0" w:left="0" w:right="0"/>
            </w:pPr>
            <w:r>
              <w:t>SIBERIAN EXCHANGE</w:t>
            </w:r>
          </w:p>
        </w:tc>
        <w:tc>
          <w:tcPr>
            <w:cnfStyle w:evenVBand="true" w:oddVBand="false" w:firstColumn="false"/>
            <w:tcW w:w="25.000000%" w:type="pct"/>
          </w:tcPr>
          <w:p>
            <w:pPr>
              <w:ind w:leftChars="0" w:left="0" w:right="0"/>
            </w:pPr>
            <w:r>
              <w:t>2445</w:t>
            </w:r>
          </w:p>
        </w:tc>
      </w:tr>
      <w:tr>
        <w:trPr>
          <w:cnfStyle w:evenHBand="false" w:oddHBand="true" w:firstRow="false"/>
        </w:trPr>
        <w:tc>
          <w:tcPr>
            <w:cnfStyle w:evenVBand="false" w:oddVBand="true" w:firstColumn="false"/>
            <w:tcW w:w="25.000000%" w:type="pct"/>
          </w:tcPr>
          <w:p>
            <w:pPr>
              <w:ind w:leftChars="0" w:left="0" w:right="0"/>
            </w:pPr>
            <w:r>
              <w:t>XSIC</w:t>
            </w:r>
          </w:p>
        </w:tc>
        <w:tc>
          <w:tcPr>
            <w:cnfStyle w:evenVBand="true" w:oddVBand="false" w:firstColumn="false"/>
            <w:tcW w:w="25.000000%" w:type="pct"/>
          </w:tcPr>
          <w:p>
            <w:pPr>
              <w:ind w:leftChars="0" w:left="0" w:right="0"/>
            </w:pPr>
            <w:r>
              <w:t>XSIC</w:t>
            </w:r>
          </w:p>
        </w:tc>
        <w:tc>
          <w:tcPr>
            <w:cnfStyle w:evenVBand="false" w:oddVBand="true" w:firstColumn="false"/>
            <w:tcW w:w="25.000000%" w:type="pct"/>
          </w:tcPr>
          <w:p>
            <w:pPr>
              <w:ind w:leftChars="0" w:left="0" w:right="0"/>
            </w:pPr>
            <w:r>
              <w:t>SIBERIAN INTERBANK CURRENCY EXCHANGE</w:t>
            </w:r>
          </w:p>
        </w:tc>
        <w:tc>
          <w:tcPr>
            <w:cnfStyle w:evenVBand="true" w:oddVBand="false" w:firstColumn="false"/>
            <w:tcW w:w="25.000000%" w:type="pct"/>
          </w:tcPr>
          <w:p>
            <w:pPr>
              <w:ind w:leftChars="0" w:left="0" w:right="0"/>
            </w:pPr>
            <w:r>
              <w:t>2446</w:t>
            </w:r>
          </w:p>
        </w:tc>
      </w:tr>
      <w:tr>
        <w:trPr>
          <w:cnfStyle w:evenHBand="true" w:oddHBand="false" w:firstRow="false"/>
        </w:trPr>
        <w:tc>
          <w:tcPr>
            <w:cnfStyle w:evenVBand="false" w:oddVBand="true" w:firstColumn="false"/>
            <w:tcW w:w="25.000000%" w:type="pct"/>
          </w:tcPr>
          <w:p>
            <w:pPr>
              <w:ind w:leftChars="0" w:left="0" w:right="0"/>
            </w:pPr>
            <w:r>
              <w:t>XSIM</w:t>
            </w:r>
          </w:p>
        </w:tc>
        <w:tc>
          <w:tcPr>
            <w:cnfStyle w:evenVBand="true" w:oddVBand="false" w:firstColumn="false"/>
            <w:tcW w:w="25.000000%" w:type="pct"/>
          </w:tcPr>
          <w:p>
            <w:pPr>
              <w:ind w:leftChars="0" w:left="0" w:right="0"/>
            </w:pPr>
            <w:r>
              <w:t>XSIM</w:t>
            </w:r>
          </w:p>
        </w:tc>
        <w:tc>
          <w:tcPr>
            <w:cnfStyle w:evenVBand="false" w:oddVBand="true" w:firstColumn="false"/>
            <w:tcW w:w="25.000000%" w:type="pct"/>
          </w:tcPr>
          <w:p>
            <w:pPr>
              <w:ind w:leftChars="0" w:left="0" w:right="0"/>
            </w:pPr>
            <w:r>
              <w:t>SINGAPORE EXCHANGE DERIVATIVES CLEARING LIMITED</w:t>
            </w:r>
          </w:p>
        </w:tc>
        <w:tc>
          <w:tcPr>
            <w:cnfStyle w:evenVBand="true" w:oddVBand="false" w:firstColumn="false"/>
            <w:tcW w:w="25.000000%" w:type="pct"/>
          </w:tcPr>
          <w:p>
            <w:pPr>
              <w:ind w:leftChars="0" w:left="0" w:right="0"/>
            </w:pPr>
            <w:r>
              <w:t>2447</w:t>
            </w:r>
          </w:p>
        </w:tc>
      </w:tr>
      <w:tr>
        <w:trPr>
          <w:cnfStyle w:evenHBand="false" w:oddHBand="true" w:firstRow="false"/>
        </w:trPr>
        <w:tc>
          <w:tcPr>
            <w:cnfStyle w:evenVBand="false" w:oddVBand="true" w:firstColumn="false"/>
            <w:tcW w:w="25.000000%" w:type="pct"/>
          </w:tcPr>
          <w:p>
            <w:pPr>
              <w:ind w:leftChars="0" w:left="0" w:right="0"/>
            </w:pPr>
            <w:r>
              <w:t>XSLS</w:t>
            </w:r>
          </w:p>
        </w:tc>
        <w:tc>
          <w:tcPr>
            <w:cnfStyle w:evenVBand="true" w:oddVBand="false" w:firstColumn="false"/>
            <w:tcW w:w="25.000000%" w:type="pct"/>
          </w:tcPr>
          <w:p>
            <w:pPr>
              <w:ind w:leftChars="0" w:left="0" w:right="0"/>
            </w:pPr>
            <w:r>
              <w:t>XSLS</w:t>
            </w:r>
          </w:p>
        </w:tc>
        <w:tc>
          <w:tcPr>
            <w:cnfStyle w:evenVBand="false" w:oddVBand="true" w:firstColumn="false"/>
            <w:tcW w:w="25.000000%" w:type="pct"/>
          </w:tcPr>
          <w:p>
            <w:pPr>
              <w:ind w:leftChars="0" w:left="0" w:right="0"/>
            </w:pPr>
            <w:r>
              <w:t>SIX SWISS EXCHANGE - SLS</w:t>
            </w:r>
          </w:p>
        </w:tc>
        <w:tc>
          <w:tcPr>
            <w:cnfStyle w:evenVBand="true" w:oddVBand="false" w:firstColumn="false"/>
            <w:tcW w:w="25.000000%" w:type="pct"/>
          </w:tcPr>
          <w:p>
            <w:pPr>
              <w:ind w:leftChars="0" w:left="0" w:right="0"/>
            </w:pPr>
            <w:r>
              <w:t>2448</w:t>
            </w:r>
          </w:p>
        </w:tc>
      </w:tr>
      <w:tr>
        <w:trPr>
          <w:cnfStyle w:evenHBand="true" w:oddHBand="false" w:firstRow="false"/>
        </w:trPr>
        <w:tc>
          <w:tcPr>
            <w:cnfStyle w:evenVBand="false" w:oddVBand="true" w:firstColumn="false"/>
            <w:tcW w:w="25.000000%" w:type="pct"/>
          </w:tcPr>
          <w:p>
            <w:pPr>
              <w:ind w:leftChars="0" w:left="0" w:right="0"/>
            </w:pPr>
            <w:r>
              <w:t>XSME</w:t>
            </w:r>
          </w:p>
        </w:tc>
        <w:tc>
          <w:tcPr>
            <w:cnfStyle w:evenVBand="true" w:oddVBand="false" w:firstColumn="false"/>
            <w:tcW w:w="25.000000%" w:type="pct"/>
          </w:tcPr>
          <w:p>
            <w:pPr>
              <w:ind w:leftChars="0" w:left="0" w:right="0"/>
            </w:pPr>
            <w:r>
              <w:t>XSME</w:t>
            </w:r>
          </w:p>
        </w:tc>
        <w:tc>
          <w:tcPr>
            <w:cnfStyle w:evenVBand="false" w:oddVBand="true" w:firstColumn="false"/>
            <w:tcW w:w="25.000000%" w:type="pct"/>
          </w:tcPr>
          <w:p>
            <w:pPr>
              <w:ind w:leftChars="0" w:left="0" w:right="0"/>
            </w:pPr>
            <w:r>
              <w:t>SHENZHEN MERCANTILE EXCHANGE</w:t>
            </w:r>
          </w:p>
        </w:tc>
        <w:tc>
          <w:tcPr>
            <w:cnfStyle w:evenVBand="true" w:oddVBand="false" w:firstColumn="false"/>
            <w:tcW w:w="25.000000%" w:type="pct"/>
          </w:tcPr>
          <w:p>
            <w:pPr>
              <w:ind w:leftChars="0" w:left="0" w:right="0"/>
            </w:pPr>
            <w:r>
              <w:t>2449</w:t>
            </w:r>
          </w:p>
        </w:tc>
      </w:tr>
      <w:tr>
        <w:trPr>
          <w:cnfStyle w:evenHBand="false" w:oddHBand="true" w:firstRow="false"/>
        </w:trPr>
        <w:tc>
          <w:tcPr>
            <w:cnfStyle w:evenVBand="false" w:oddVBand="true" w:firstColumn="false"/>
            <w:tcW w:w="25.000000%" w:type="pct"/>
          </w:tcPr>
          <w:p>
            <w:pPr>
              <w:ind w:leftChars="0" w:left="0" w:right="0"/>
            </w:pPr>
            <w:r>
              <w:t>XSMP</w:t>
            </w:r>
          </w:p>
        </w:tc>
        <w:tc>
          <w:tcPr>
            <w:cnfStyle w:evenVBand="true" w:oddVBand="false" w:firstColumn="false"/>
            <w:tcW w:w="25.000000%" w:type="pct"/>
          </w:tcPr>
          <w:p>
            <w:pPr>
              <w:ind w:leftChars="0" w:left="0" w:right="0"/>
            </w:pPr>
            <w:r>
              <w:t>XSMP</w:t>
            </w:r>
          </w:p>
        </w:tc>
        <w:tc>
          <w:tcPr>
            <w:cnfStyle w:evenVBand="false" w:oddVBand="true" w:firstColumn="false"/>
            <w:tcW w:w="25.000000%" w:type="pct"/>
          </w:tcPr>
          <w:p>
            <w:pPr>
              <w:ind w:leftChars="0" w:left="0" w:right="0"/>
            </w:pPr>
            <w:r>
              <w:t>EURONEXT BLOCK</w:t>
            </w:r>
          </w:p>
        </w:tc>
        <w:tc>
          <w:tcPr>
            <w:cnfStyle w:evenVBand="true" w:oddVBand="false" w:firstColumn="false"/>
            <w:tcW w:w="25.000000%" w:type="pct"/>
          </w:tcPr>
          <w:p>
            <w:pPr>
              <w:ind w:leftChars="0" w:left="0" w:right="0"/>
            </w:pPr>
            <w:r>
              <w:t>2450</w:t>
            </w:r>
          </w:p>
        </w:tc>
      </w:tr>
      <w:tr>
        <w:trPr>
          <w:cnfStyle w:evenHBand="true" w:oddHBand="false" w:firstRow="false"/>
        </w:trPr>
        <w:tc>
          <w:tcPr>
            <w:cnfStyle w:evenVBand="false" w:oddVBand="true" w:firstColumn="false"/>
            <w:tcW w:w="25.000000%" w:type="pct"/>
          </w:tcPr>
          <w:p>
            <w:pPr>
              <w:ind w:leftChars="0" w:left="0" w:right="0"/>
            </w:pPr>
            <w:r>
              <w:t>XSOM</w:t>
            </w:r>
          </w:p>
        </w:tc>
        <w:tc>
          <w:tcPr>
            <w:cnfStyle w:evenVBand="true" w:oddVBand="false" w:firstColumn="false"/>
            <w:tcW w:w="25.000000%" w:type="pct"/>
          </w:tcPr>
          <w:p>
            <w:pPr>
              <w:ind w:leftChars="0" w:left="0" w:right="0"/>
            </w:pPr>
            <w:r>
              <w:t>XSOM</w:t>
            </w:r>
          </w:p>
        </w:tc>
        <w:tc>
          <w:tcPr>
            <w:cnfStyle w:evenVBand="false" w:oddVBand="true" w:firstColumn="false"/>
            <w:tcW w:w="25.000000%" w:type="pct"/>
          </w:tcPr>
          <w:p>
            <w:pPr>
              <w:ind w:leftChars="0" w:left="0" w:right="0"/>
            </w:pPr>
            <w:r>
              <w:t>BOLSA DE VALORES DE SAO PAULO - SOMA</w:t>
            </w:r>
          </w:p>
        </w:tc>
        <w:tc>
          <w:tcPr>
            <w:cnfStyle w:evenVBand="true" w:oddVBand="false" w:firstColumn="false"/>
            <w:tcW w:w="25.000000%" w:type="pct"/>
          </w:tcPr>
          <w:p>
            <w:pPr>
              <w:ind w:leftChars="0" w:left="0" w:right="0"/>
            </w:pPr>
            <w:r>
              <w:t>2451</w:t>
            </w:r>
          </w:p>
        </w:tc>
      </w:tr>
      <w:tr>
        <w:trPr>
          <w:cnfStyle w:evenHBand="false" w:oddHBand="true" w:firstRow="false"/>
        </w:trPr>
        <w:tc>
          <w:tcPr>
            <w:cnfStyle w:evenVBand="false" w:oddVBand="true" w:firstColumn="false"/>
            <w:tcW w:w="25.000000%" w:type="pct"/>
          </w:tcPr>
          <w:p>
            <w:pPr>
              <w:ind w:leftChars="0" w:left="0" w:right="0"/>
            </w:pPr>
            <w:r>
              <w:t>XSOP</w:t>
            </w:r>
          </w:p>
        </w:tc>
        <w:tc>
          <w:tcPr>
            <w:cnfStyle w:evenVBand="true" w:oddVBand="false" w:firstColumn="false"/>
            <w:tcW w:w="25.000000%" w:type="pct"/>
          </w:tcPr>
          <w:p>
            <w:pPr>
              <w:ind w:leftChars="0" w:left="0" w:right="0"/>
            </w:pPr>
            <w:r>
              <w:t>XSOP</w:t>
            </w:r>
          </w:p>
        </w:tc>
        <w:tc>
          <w:tcPr>
            <w:cnfStyle w:evenVBand="false" w:oddVBand="true" w:firstColumn="false"/>
            <w:tcW w:w="25.000000%" w:type="pct"/>
          </w:tcPr>
          <w:p>
            <w:pPr>
              <w:ind w:leftChars="0" w:left="0" w:right="0"/>
            </w:pPr>
            <w:r>
              <w:t>BSP REGIONAL ENERGY EXCHANGE - SOUTH POOL</w:t>
            </w:r>
          </w:p>
        </w:tc>
        <w:tc>
          <w:tcPr>
            <w:cnfStyle w:evenVBand="true" w:oddVBand="false" w:firstColumn="false"/>
            <w:tcW w:w="25.000000%" w:type="pct"/>
          </w:tcPr>
          <w:p>
            <w:pPr>
              <w:ind w:leftChars="0" w:left="0" w:right="0"/>
            </w:pPr>
            <w:r>
              <w:t>2452</w:t>
            </w:r>
          </w:p>
        </w:tc>
      </w:tr>
      <w:tr>
        <w:trPr>
          <w:cnfStyle w:evenHBand="true" w:oddHBand="false" w:firstRow="false"/>
        </w:trPr>
        <w:tc>
          <w:tcPr>
            <w:cnfStyle w:evenVBand="false" w:oddVBand="true" w:firstColumn="false"/>
            <w:tcW w:w="25.000000%" w:type="pct"/>
          </w:tcPr>
          <w:p>
            <w:pPr>
              <w:ind w:leftChars="0" w:left="0" w:right="0"/>
            </w:pPr>
            <w:r>
              <w:t>XSPM</w:t>
            </w:r>
          </w:p>
        </w:tc>
        <w:tc>
          <w:tcPr>
            <w:cnfStyle w:evenVBand="true" w:oddVBand="false" w:firstColumn="false"/>
            <w:tcW w:w="25.000000%" w:type="pct"/>
          </w:tcPr>
          <w:p>
            <w:pPr>
              <w:ind w:leftChars="0" w:left="0" w:right="0"/>
            </w:pPr>
            <w:r>
              <w:t>XSPM</w:t>
            </w:r>
          </w:p>
        </w:tc>
        <w:tc>
          <w:tcPr>
            <w:cnfStyle w:evenVBand="false" w:oddVBand="true" w:firstColumn="false"/>
            <w:tcW w:w="25.000000%" w:type="pct"/>
          </w:tcPr>
          <w:p>
            <w:pPr>
              <w:ind w:leftChars="0" w:left="0" w:right="0"/>
            </w:pPr>
            <w:r>
              <w:t>EURONEXT STRUCTURED PRODUCTS MTF</w:t>
            </w:r>
          </w:p>
        </w:tc>
        <w:tc>
          <w:tcPr>
            <w:cnfStyle w:evenVBand="true" w:oddVBand="false" w:firstColumn="false"/>
            <w:tcW w:w="25.000000%" w:type="pct"/>
          </w:tcPr>
          <w:p>
            <w:pPr>
              <w:ind w:leftChars="0" w:left="0" w:right="0"/>
            </w:pPr>
            <w:r>
              <w:t>2453</w:t>
            </w:r>
          </w:p>
        </w:tc>
      </w:tr>
      <w:tr>
        <w:trPr>
          <w:cnfStyle w:evenHBand="false" w:oddHBand="true" w:firstRow="false"/>
        </w:trPr>
        <w:tc>
          <w:tcPr>
            <w:cnfStyle w:evenVBand="false" w:oddVBand="true" w:firstColumn="false"/>
            <w:tcW w:w="25.000000%" w:type="pct"/>
          </w:tcPr>
          <w:p>
            <w:pPr>
              <w:ind w:leftChars="0" w:left="0" w:right="0"/>
            </w:pPr>
            <w:r>
              <w:t>XSPS</w:t>
            </w:r>
          </w:p>
        </w:tc>
        <w:tc>
          <w:tcPr>
            <w:cnfStyle w:evenVBand="true" w:oddVBand="false" w:firstColumn="false"/>
            <w:tcW w:w="25.000000%" w:type="pct"/>
          </w:tcPr>
          <w:p>
            <w:pPr>
              <w:ind w:leftChars="0" w:left="0" w:right="0"/>
            </w:pPr>
            <w:r>
              <w:t>XSPS</w:t>
            </w:r>
          </w:p>
        </w:tc>
        <w:tc>
          <w:tcPr>
            <w:cnfStyle w:evenVBand="false" w:oddVBand="true" w:firstColumn="false"/>
            <w:tcW w:w="25.000000%" w:type="pct"/>
          </w:tcPr>
          <w:p>
            <w:pPr>
              <w:ind w:leftChars="0" w:left="0" w:right="0"/>
            </w:pPr>
            <w:r>
              <w:t>SOUTH PACIFIC STOCK EXCHANGE</w:t>
            </w:r>
          </w:p>
        </w:tc>
        <w:tc>
          <w:tcPr>
            <w:cnfStyle w:evenVBand="true" w:oddVBand="false" w:firstColumn="false"/>
            <w:tcW w:w="25.000000%" w:type="pct"/>
          </w:tcPr>
          <w:p>
            <w:pPr>
              <w:ind w:leftChars="0" w:left="0" w:right="0"/>
            </w:pPr>
            <w:r>
              <w:t>2454</w:t>
            </w:r>
          </w:p>
        </w:tc>
      </w:tr>
      <w:tr>
        <w:trPr>
          <w:cnfStyle w:evenHBand="true" w:oddHBand="false" w:firstRow="false"/>
        </w:trPr>
        <w:tc>
          <w:tcPr>
            <w:cnfStyle w:evenVBand="false" w:oddVBand="true" w:firstColumn="false"/>
            <w:tcW w:w="25.000000%" w:type="pct"/>
          </w:tcPr>
          <w:p>
            <w:pPr>
              <w:ind w:leftChars="0" w:left="0" w:right="0"/>
            </w:pPr>
            <w:r>
              <w:t>XSRM</w:t>
            </w:r>
          </w:p>
        </w:tc>
        <w:tc>
          <w:tcPr>
            <w:cnfStyle w:evenVBand="true" w:oddVBand="false" w:firstColumn="false"/>
            <w:tcW w:w="25.000000%" w:type="pct"/>
          </w:tcPr>
          <w:p>
            <w:pPr>
              <w:ind w:leftChars="0" w:left="0" w:right="0"/>
            </w:pPr>
            <w:r>
              <w:t>XSRM</w:t>
            </w:r>
          </w:p>
        </w:tc>
        <w:tc>
          <w:tcPr>
            <w:cnfStyle w:evenVBand="false" w:oddVBand="true" w:firstColumn="false"/>
            <w:tcW w:w="25.000000%" w:type="pct"/>
          </w:tcPr>
          <w:p>
            <w:pPr>
              <w:ind w:leftChars="0" w:left="0" w:right="0"/>
            </w:pPr>
            <w:r>
              <w:t>MERCADO DE FUTUROS DE ACEITE DE OLIVA, S.A.</w:t>
            </w:r>
          </w:p>
        </w:tc>
        <w:tc>
          <w:tcPr>
            <w:cnfStyle w:evenVBand="true" w:oddVBand="false" w:firstColumn="false"/>
            <w:tcW w:w="25.000000%" w:type="pct"/>
          </w:tcPr>
          <w:p>
            <w:pPr>
              <w:ind w:leftChars="0" w:left="0" w:right="0"/>
            </w:pPr>
            <w:r>
              <w:t>2455</w:t>
            </w:r>
          </w:p>
        </w:tc>
      </w:tr>
      <w:tr>
        <w:trPr>
          <w:cnfStyle w:evenHBand="false" w:oddHBand="true" w:firstRow="false"/>
        </w:trPr>
        <w:tc>
          <w:tcPr>
            <w:cnfStyle w:evenVBand="false" w:oddVBand="true" w:firstColumn="false"/>
            <w:tcW w:w="25.000000%" w:type="pct"/>
          </w:tcPr>
          <w:p>
            <w:pPr>
              <w:ind w:leftChars="0" w:left="0" w:right="0"/>
            </w:pPr>
            <w:r>
              <w:t>XSSC</w:t>
            </w:r>
          </w:p>
        </w:tc>
        <w:tc>
          <w:tcPr>
            <w:cnfStyle w:evenVBand="true" w:oddVBand="false" w:firstColumn="false"/>
            <w:tcW w:w="25.000000%" w:type="pct"/>
          </w:tcPr>
          <w:p>
            <w:pPr>
              <w:ind w:leftChars="0" w:left="0" w:right="0"/>
            </w:pPr>
            <w:r>
              <w:t>XSSC</w:t>
            </w:r>
          </w:p>
        </w:tc>
        <w:tc>
          <w:tcPr>
            <w:cnfStyle w:evenVBand="false" w:oddVBand="true" w:firstColumn="false"/>
            <w:tcW w:w="25.000000%" w:type="pct"/>
          </w:tcPr>
          <w:p>
            <w:pPr>
              <w:ind w:leftChars="0" w:left="0" w:right="0"/>
            </w:pPr>
            <w:r>
              <w:t>SHANGHAI STOCK EXCHANGE - SHANGHAI - HONG KONG STOCK CONNECT</w:t>
            </w:r>
          </w:p>
        </w:tc>
        <w:tc>
          <w:tcPr>
            <w:cnfStyle w:evenVBand="true" w:oddVBand="false" w:firstColumn="false"/>
            <w:tcW w:w="25.000000%" w:type="pct"/>
          </w:tcPr>
          <w:p>
            <w:pPr>
              <w:ind w:leftChars="0" w:left="0" w:right="0"/>
            </w:pPr>
            <w:r>
              <w:t>2456</w:t>
            </w:r>
          </w:p>
        </w:tc>
      </w:tr>
      <w:tr>
        <w:trPr>
          <w:cnfStyle w:evenHBand="true" w:oddHBand="false" w:firstRow="false"/>
        </w:trPr>
        <w:tc>
          <w:tcPr>
            <w:cnfStyle w:evenVBand="false" w:oddVBand="true" w:firstColumn="false"/>
            <w:tcW w:w="25.000000%" w:type="pct"/>
          </w:tcPr>
          <w:p>
            <w:pPr>
              <w:ind w:leftChars="0" w:left="0" w:right="0"/>
            </w:pPr>
            <w:r>
              <w:t>XSSE</w:t>
            </w:r>
          </w:p>
        </w:tc>
        <w:tc>
          <w:tcPr>
            <w:cnfStyle w:evenVBand="true" w:oddVBand="false" w:firstColumn="false"/>
            <w:tcW w:w="25.000000%" w:type="pct"/>
          </w:tcPr>
          <w:p>
            <w:pPr>
              <w:ind w:leftChars="0" w:left="0" w:right="0"/>
            </w:pPr>
            <w:r>
              <w:t>XSSE</w:t>
            </w:r>
          </w:p>
        </w:tc>
        <w:tc>
          <w:tcPr>
            <w:cnfStyle w:evenVBand="false" w:oddVBand="true" w:firstColumn="false"/>
            <w:tcW w:w="25.000000%" w:type="pct"/>
          </w:tcPr>
          <w:p>
            <w:pPr>
              <w:ind w:leftChars="0" w:left="0" w:right="0"/>
            </w:pPr>
            <w:r>
              <w:t>SARAJEVO STOCK EXCHANGE</w:t>
            </w:r>
          </w:p>
        </w:tc>
        <w:tc>
          <w:tcPr>
            <w:cnfStyle w:evenVBand="true" w:oddVBand="false" w:firstColumn="false"/>
            <w:tcW w:w="25.000000%" w:type="pct"/>
          </w:tcPr>
          <w:p>
            <w:pPr>
              <w:ind w:leftChars="0" w:left="0" w:right="0"/>
            </w:pPr>
            <w:r>
              <w:t>2457</w:t>
            </w:r>
          </w:p>
        </w:tc>
      </w:tr>
      <w:tr>
        <w:trPr>
          <w:cnfStyle w:evenHBand="false" w:oddHBand="true" w:firstRow="false"/>
        </w:trPr>
        <w:tc>
          <w:tcPr>
            <w:cnfStyle w:evenVBand="false" w:oddVBand="true" w:firstColumn="false"/>
            <w:tcW w:w="25.000000%" w:type="pct"/>
          </w:tcPr>
          <w:p>
            <w:pPr>
              <w:ind w:leftChars="0" w:left="0" w:right="0"/>
            </w:pPr>
            <w:r>
              <w:t>XSTC</w:t>
            </w:r>
          </w:p>
        </w:tc>
        <w:tc>
          <w:tcPr>
            <w:cnfStyle w:evenVBand="true" w:oddVBand="false" w:firstColumn="false"/>
            <w:tcW w:w="25.000000%" w:type="pct"/>
          </w:tcPr>
          <w:p>
            <w:pPr>
              <w:ind w:leftChars="0" w:left="0" w:right="0"/>
            </w:pPr>
            <w:r>
              <w:t>XSTC</w:t>
            </w:r>
          </w:p>
        </w:tc>
        <w:tc>
          <w:tcPr>
            <w:cnfStyle w:evenVBand="false" w:oddVBand="true" w:firstColumn="false"/>
            <w:tcW w:w="25.000000%" w:type="pct"/>
          </w:tcPr>
          <w:p>
            <w:pPr>
              <w:ind w:leftChars="0" w:left="0" w:right="0"/>
            </w:pPr>
            <w:r>
              <w:t>HOCHIMINH STOCK EXCHANGE</w:t>
            </w:r>
          </w:p>
        </w:tc>
        <w:tc>
          <w:tcPr>
            <w:cnfStyle w:evenVBand="true" w:oddVBand="false" w:firstColumn="false"/>
            <w:tcW w:w="25.000000%" w:type="pct"/>
          </w:tcPr>
          <w:p>
            <w:pPr>
              <w:ind w:leftChars="0" w:left="0" w:right="0"/>
            </w:pPr>
            <w:r>
              <w:t>2458</w:t>
            </w:r>
          </w:p>
        </w:tc>
      </w:tr>
      <w:tr>
        <w:trPr>
          <w:cnfStyle w:evenHBand="true" w:oddHBand="false" w:firstRow="false"/>
        </w:trPr>
        <w:tc>
          <w:tcPr>
            <w:cnfStyle w:evenVBand="false" w:oddVBand="true" w:firstColumn="false"/>
            <w:tcW w:w="25.000000%" w:type="pct"/>
          </w:tcPr>
          <w:p>
            <w:pPr>
              <w:ind w:leftChars="0" w:left="0" w:right="0"/>
            </w:pPr>
            <w:r>
              <w:t>XSTE</w:t>
            </w:r>
          </w:p>
        </w:tc>
        <w:tc>
          <w:tcPr>
            <w:cnfStyle w:evenVBand="true" w:oddVBand="false" w:firstColumn="false"/>
            <w:tcW w:w="25.000000%" w:type="pct"/>
          </w:tcPr>
          <w:p>
            <w:pPr>
              <w:ind w:leftChars="0" w:left="0" w:right="0"/>
            </w:pPr>
            <w:r>
              <w:t>XSTE</w:t>
            </w:r>
          </w:p>
        </w:tc>
        <w:tc>
          <w:tcPr>
            <w:cnfStyle w:evenVBand="false" w:oddVBand="true" w:firstColumn="false"/>
            <w:tcW w:w="25.000000%" w:type="pct"/>
          </w:tcPr>
          <w:p>
            <w:pPr>
              <w:ind w:leftChars="0" w:left="0" w:right="0"/>
            </w:pPr>
            <w:r>
              <w:t>REPUBLICAN STOCK EXCHANGE</w:t>
            </w:r>
          </w:p>
        </w:tc>
        <w:tc>
          <w:tcPr>
            <w:cnfStyle w:evenVBand="true" w:oddVBand="false" w:firstColumn="false"/>
            <w:tcW w:w="25.000000%" w:type="pct"/>
          </w:tcPr>
          <w:p>
            <w:pPr>
              <w:ind w:leftChars="0" w:left="0" w:right="0"/>
            </w:pPr>
            <w:r>
              <w:t>2459</w:t>
            </w:r>
          </w:p>
        </w:tc>
      </w:tr>
      <w:tr>
        <w:trPr>
          <w:cnfStyle w:evenHBand="false" w:oddHBand="true" w:firstRow="false"/>
        </w:trPr>
        <w:tc>
          <w:tcPr>
            <w:cnfStyle w:evenVBand="false" w:oddVBand="true" w:firstColumn="false"/>
            <w:tcW w:w="25.000000%" w:type="pct"/>
          </w:tcPr>
          <w:p>
            <w:pPr>
              <w:ind w:leftChars="0" w:left="0" w:right="0"/>
            </w:pPr>
            <w:r>
              <w:t>XSTF</w:t>
            </w:r>
          </w:p>
        </w:tc>
        <w:tc>
          <w:tcPr>
            <w:cnfStyle w:evenVBand="true" w:oddVBand="false" w:firstColumn="false"/>
            <w:tcW w:w="25.000000%" w:type="pct"/>
          </w:tcPr>
          <w:p>
            <w:pPr>
              <w:ind w:leftChars="0" w:left="0" w:right="0"/>
            </w:pPr>
            <w:r>
              <w:t>XSTF</w:t>
            </w:r>
          </w:p>
        </w:tc>
        <w:tc>
          <w:tcPr>
            <w:cnfStyle w:evenVBand="false" w:oddVBand="true" w:firstColumn="false"/>
            <w:tcW w:w="25.000000%" w:type="pct"/>
          </w:tcPr>
          <w:p>
            <w:pPr>
              <w:ind w:leftChars="0" w:left="0" w:right="0"/>
            </w:pPr>
            <w:r>
              <w:t>BOERSE STUTTGART - TECHNICAL PLATFORM 2</w:t>
            </w:r>
          </w:p>
        </w:tc>
        <w:tc>
          <w:tcPr>
            <w:cnfStyle w:evenVBand="true" w:oddVBand="false" w:firstColumn="false"/>
            <w:tcW w:w="25.000000%" w:type="pct"/>
          </w:tcPr>
          <w:p>
            <w:pPr>
              <w:ind w:leftChars="0" w:left="0" w:right="0"/>
            </w:pPr>
            <w:r>
              <w:t>2460</w:t>
            </w:r>
          </w:p>
        </w:tc>
      </w:tr>
      <w:tr>
        <w:trPr>
          <w:cnfStyle w:evenHBand="true" w:oddHBand="false" w:firstRow="false"/>
        </w:trPr>
        <w:tc>
          <w:tcPr>
            <w:cnfStyle w:evenVBand="false" w:oddVBand="true" w:firstColumn="false"/>
            <w:tcW w:w="25.000000%" w:type="pct"/>
          </w:tcPr>
          <w:p>
            <w:pPr>
              <w:ind w:leftChars="0" w:left="0" w:right="0"/>
            </w:pPr>
            <w:r>
              <w:t>XSTM</w:t>
            </w:r>
          </w:p>
        </w:tc>
        <w:tc>
          <w:tcPr>
            <w:cnfStyle w:evenVBand="true" w:oddVBand="false" w:firstColumn="false"/>
            <w:tcW w:w="25.000000%" w:type="pct"/>
          </w:tcPr>
          <w:p>
            <w:pPr>
              <w:ind w:leftChars="0" w:left="0" w:right="0"/>
            </w:pPr>
            <w:r>
              <w:t>XSTM</w:t>
            </w:r>
          </w:p>
        </w:tc>
        <w:tc>
          <w:tcPr>
            <w:cnfStyle w:evenVBand="false" w:oddVBand="true" w:firstColumn="false"/>
            <w:tcW w:w="25.000000%" w:type="pct"/>
          </w:tcPr>
          <w:p>
            <w:pPr>
              <w:ind w:leftChars="0" w:left="0" w:right="0"/>
            </w:pPr>
            <w:r>
              <w:t>FIDELITY CROSSSTREAM ATS</w:t>
            </w:r>
          </w:p>
        </w:tc>
        <w:tc>
          <w:tcPr>
            <w:cnfStyle w:evenVBand="true" w:oddVBand="false" w:firstColumn="false"/>
            <w:tcW w:w="25.000000%" w:type="pct"/>
          </w:tcPr>
          <w:p>
            <w:pPr>
              <w:ind w:leftChars="0" w:left="0" w:right="0"/>
            </w:pPr>
            <w:r>
              <w:t>2461</w:t>
            </w:r>
          </w:p>
        </w:tc>
      </w:tr>
      <w:tr>
        <w:trPr>
          <w:cnfStyle w:evenHBand="false" w:oddHBand="true" w:firstRow="false"/>
        </w:trPr>
        <w:tc>
          <w:tcPr>
            <w:cnfStyle w:evenVBand="false" w:oddVBand="true" w:firstColumn="false"/>
            <w:tcW w:w="25.000000%" w:type="pct"/>
          </w:tcPr>
          <w:p>
            <w:pPr>
              <w:ind w:leftChars="0" w:left="0" w:right="0"/>
            </w:pPr>
            <w:r>
              <w:t>XSTO</w:t>
            </w:r>
          </w:p>
        </w:tc>
        <w:tc>
          <w:tcPr>
            <w:cnfStyle w:evenVBand="true" w:oddVBand="false" w:firstColumn="false"/>
            <w:tcW w:w="25.000000%" w:type="pct"/>
          </w:tcPr>
          <w:p>
            <w:pPr>
              <w:ind w:leftChars="0" w:left="0" w:right="0"/>
            </w:pPr>
            <w:r>
              <w:t>XSTO</w:t>
            </w:r>
          </w:p>
        </w:tc>
        <w:tc>
          <w:tcPr>
            <w:cnfStyle w:evenVBand="false" w:oddVBand="true" w:firstColumn="false"/>
            <w:tcW w:w="25.000000%" w:type="pct"/>
          </w:tcPr>
          <w:p>
            <w:pPr>
              <w:ind w:leftChars="0" w:left="0" w:right="0"/>
            </w:pPr>
            <w:r>
              <w:t>NASDAQ STOCKHOLM AB</w:t>
            </w:r>
          </w:p>
        </w:tc>
        <w:tc>
          <w:tcPr>
            <w:cnfStyle w:evenVBand="true" w:oddVBand="false" w:firstColumn="false"/>
            <w:tcW w:w="25.000000%" w:type="pct"/>
          </w:tcPr>
          <w:p>
            <w:pPr>
              <w:ind w:leftChars="0" w:left="0" w:right="0"/>
            </w:pPr>
            <w:r>
              <w:t>2462</w:t>
            </w:r>
          </w:p>
        </w:tc>
      </w:tr>
      <w:tr>
        <w:trPr>
          <w:cnfStyle w:evenHBand="true" w:oddHBand="false" w:firstRow="false"/>
        </w:trPr>
        <w:tc>
          <w:tcPr>
            <w:cnfStyle w:evenVBand="false" w:oddVBand="true" w:firstColumn="false"/>
            <w:tcW w:w="25.000000%" w:type="pct"/>
          </w:tcPr>
          <w:p>
            <w:pPr>
              <w:ind w:leftChars="0" w:left="0" w:right="0"/>
            </w:pPr>
            <w:r>
              <w:t>XSTP</w:t>
            </w:r>
          </w:p>
        </w:tc>
        <w:tc>
          <w:tcPr>
            <w:cnfStyle w:evenVBand="true" w:oddVBand="false" w:firstColumn="false"/>
            <w:tcW w:w="25.000000%" w:type="pct"/>
          </w:tcPr>
          <w:p>
            <w:pPr>
              <w:ind w:leftChars="0" w:left="0" w:right="0"/>
            </w:pPr>
            <w:r>
              <w:t>XSTP</w:t>
            </w:r>
          </w:p>
        </w:tc>
        <w:tc>
          <w:tcPr>
            <w:cnfStyle w:evenVBand="false" w:oddVBand="true" w:firstColumn="false"/>
            <w:tcW w:w="25.000000%" w:type="pct"/>
          </w:tcPr>
          <w:p>
            <w:pPr>
              <w:ind w:leftChars="0" w:left="0" w:right="0"/>
            </w:pPr>
            <w:r>
              <w:t>BOERSE STUTTGART - TECHNICAL PLATFORM 3</w:t>
            </w:r>
          </w:p>
        </w:tc>
        <w:tc>
          <w:tcPr>
            <w:cnfStyle w:evenVBand="true" w:oddVBand="false" w:firstColumn="false"/>
            <w:tcW w:w="25.000000%" w:type="pct"/>
          </w:tcPr>
          <w:p>
            <w:pPr>
              <w:ind w:leftChars="0" w:left="0" w:right="0"/>
            </w:pPr>
            <w:r>
              <w:t>2463</w:t>
            </w:r>
          </w:p>
        </w:tc>
      </w:tr>
      <w:tr>
        <w:trPr>
          <w:cnfStyle w:evenHBand="false" w:oddHBand="true" w:firstRow="false"/>
        </w:trPr>
        <w:tc>
          <w:tcPr>
            <w:cnfStyle w:evenVBand="false" w:oddVBand="true" w:firstColumn="false"/>
            <w:tcW w:w="25.000000%" w:type="pct"/>
          </w:tcPr>
          <w:p>
            <w:pPr>
              <w:ind w:leftChars="0" w:left="0" w:right="0"/>
            </w:pPr>
            <w:r>
              <w:t>XSTU</w:t>
            </w:r>
          </w:p>
        </w:tc>
        <w:tc>
          <w:tcPr>
            <w:cnfStyle w:evenVBand="true" w:oddVBand="false" w:firstColumn="false"/>
            <w:tcW w:w="25.000000%" w:type="pct"/>
          </w:tcPr>
          <w:p>
            <w:pPr>
              <w:ind w:leftChars="0" w:left="0" w:right="0"/>
            </w:pPr>
            <w:r>
              <w:t>XSTU</w:t>
            </w:r>
          </w:p>
        </w:tc>
        <w:tc>
          <w:tcPr>
            <w:cnfStyle w:evenVBand="false" w:oddVBand="true" w:firstColumn="false"/>
            <w:tcW w:w="25.000000%" w:type="pct"/>
          </w:tcPr>
          <w:p>
            <w:pPr>
              <w:ind w:leftChars="0" w:left="0" w:right="0"/>
            </w:pPr>
            <w:r>
              <w:t>BOERSE STUTTGART</w:t>
            </w:r>
          </w:p>
        </w:tc>
        <w:tc>
          <w:tcPr>
            <w:cnfStyle w:evenVBand="true" w:oddVBand="false" w:firstColumn="false"/>
            <w:tcW w:w="25.000000%" w:type="pct"/>
          </w:tcPr>
          <w:p>
            <w:pPr>
              <w:ind w:leftChars="0" w:left="0" w:right="0"/>
            </w:pPr>
            <w:r>
              <w:t>2464</w:t>
            </w:r>
          </w:p>
        </w:tc>
      </w:tr>
      <w:tr>
        <w:trPr>
          <w:cnfStyle w:evenHBand="true" w:oddHBand="false" w:firstRow="false"/>
        </w:trPr>
        <w:tc>
          <w:tcPr>
            <w:cnfStyle w:evenVBand="false" w:oddVBand="true" w:firstColumn="false"/>
            <w:tcW w:w="25.000000%" w:type="pct"/>
          </w:tcPr>
          <w:p>
            <w:pPr>
              <w:ind w:leftChars="0" w:left="0" w:right="0"/>
            </w:pPr>
            <w:r>
              <w:t>XSTV</w:t>
            </w:r>
          </w:p>
        </w:tc>
        <w:tc>
          <w:tcPr>
            <w:cnfStyle w:evenVBand="true" w:oddVBand="false" w:firstColumn="false"/>
            <w:tcW w:w="25.000000%" w:type="pct"/>
          </w:tcPr>
          <w:p>
            <w:pPr>
              <w:ind w:leftChars="0" w:left="0" w:right="0"/>
            </w:pPr>
            <w:r>
              <w:t>XSTV</w:t>
            </w:r>
          </w:p>
        </w:tc>
        <w:tc>
          <w:tcPr>
            <w:cnfStyle w:evenVBand="false" w:oddVBand="true" w:firstColumn="false"/>
            <w:tcW w:w="25.000000%" w:type="pct"/>
          </w:tcPr>
          <w:p>
            <w:pPr>
              <w:ind w:leftChars="0" w:left="0" w:right="0"/>
            </w:pPr>
            <w:r>
              <w:t>STOXX LIMITED - VOLATILITY INDICES</w:t>
            </w:r>
          </w:p>
        </w:tc>
        <w:tc>
          <w:tcPr>
            <w:cnfStyle w:evenVBand="true" w:oddVBand="false" w:firstColumn="false"/>
            <w:tcW w:w="25.000000%" w:type="pct"/>
          </w:tcPr>
          <w:p>
            <w:pPr>
              <w:ind w:leftChars="0" w:left="0" w:right="0"/>
            </w:pPr>
            <w:r>
              <w:t>2465</w:t>
            </w:r>
          </w:p>
        </w:tc>
      </w:tr>
      <w:tr>
        <w:trPr>
          <w:cnfStyle w:evenHBand="false" w:oddHBand="true" w:firstRow="false"/>
        </w:trPr>
        <w:tc>
          <w:tcPr>
            <w:cnfStyle w:evenVBand="false" w:oddVBand="true" w:firstColumn="false"/>
            <w:tcW w:w="25.000000%" w:type="pct"/>
          </w:tcPr>
          <w:p>
            <w:pPr>
              <w:ind w:leftChars="0" w:left="0" w:right="0"/>
            </w:pPr>
            <w:r>
              <w:t>XSTX</w:t>
            </w:r>
          </w:p>
        </w:tc>
        <w:tc>
          <w:tcPr>
            <w:cnfStyle w:evenVBand="true" w:oddVBand="false" w:firstColumn="false"/>
            <w:tcW w:w="25.000000%" w:type="pct"/>
          </w:tcPr>
          <w:p>
            <w:pPr>
              <w:ind w:leftChars="0" w:left="0" w:right="0"/>
            </w:pPr>
            <w:r>
              <w:t>XSTX</w:t>
            </w:r>
          </w:p>
        </w:tc>
        <w:tc>
          <w:tcPr>
            <w:cnfStyle w:evenVBand="false" w:oddVBand="true" w:firstColumn="false"/>
            <w:tcW w:w="25.000000%" w:type="pct"/>
          </w:tcPr>
          <w:p>
            <w:pPr>
              <w:ind w:leftChars="0" w:left="0" w:right="0"/>
            </w:pPr>
            <w:r>
              <w:t>STOXX LIMITED - INDICES</w:t>
            </w:r>
          </w:p>
        </w:tc>
        <w:tc>
          <w:tcPr>
            <w:cnfStyle w:evenVBand="true" w:oddVBand="false" w:firstColumn="false"/>
            <w:tcW w:w="25.000000%" w:type="pct"/>
          </w:tcPr>
          <w:p>
            <w:pPr>
              <w:ind w:leftChars="0" w:left="0" w:right="0"/>
            </w:pPr>
            <w:r>
              <w:t>2466</w:t>
            </w:r>
          </w:p>
        </w:tc>
      </w:tr>
      <w:tr>
        <w:trPr>
          <w:cnfStyle w:evenHBand="true" w:oddHBand="false" w:firstRow="false"/>
        </w:trPr>
        <w:tc>
          <w:tcPr>
            <w:cnfStyle w:evenVBand="false" w:oddVBand="true" w:firstColumn="false"/>
            <w:tcW w:w="25.000000%" w:type="pct"/>
          </w:tcPr>
          <w:p>
            <w:pPr>
              <w:ind w:leftChars="0" w:left="0" w:right="0"/>
            </w:pPr>
            <w:r>
              <w:t>XSUR</w:t>
            </w:r>
          </w:p>
        </w:tc>
        <w:tc>
          <w:tcPr>
            <w:cnfStyle w:evenVBand="true" w:oddVBand="false" w:firstColumn="false"/>
            <w:tcW w:w="25.000000%" w:type="pct"/>
          </w:tcPr>
          <w:p>
            <w:pPr>
              <w:ind w:leftChars="0" w:left="0" w:right="0"/>
            </w:pPr>
            <w:r>
              <w:t>XSUR</w:t>
            </w:r>
          </w:p>
        </w:tc>
        <w:tc>
          <w:tcPr>
            <w:cnfStyle w:evenVBand="false" w:oddVBand="true" w:firstColumn="false"/>
            <w:tcW w:w="25.000000%" w:type="pct"/>
          </w:tcPr>
          <w:p>
            <w:pPr>
              <w:ind w:leftChars="0" w:left="0" w:right="0"/>
            </w:pPr>
            <w:r>
              <w:t>SURABAYA STOCK EXCHANGE</w:t>
            </w:r>
          </w:p>
        </w:tc>
        <w:tc>
          <w:tcPr>
            <w:cnfStyle w:evenVBand="true" w:oddVBand="false" w:firstColumn="false"/>
            <w:tcW w:w="25.000000%" w:type="pct"/>
          </w:tcPr>
          <w:p>
            <w:pPr>
              <w:ind w:leftChars="0" w:left="0" w:right="0"/>
            </w:pPr>
            <w:r>
              <w:t>2467</w:t>
            </w:r>
          </w:p>
        </w:tc>
      </w:tr>
      <w:tr>
        <w:trPr>
          <w:cnfStyle w:evenHBand="false" w:oddHBand="true" w:firstRow="false"/>
        </w:trPr>
        <w:tc>
          <w:tcPr>
            <w:cnfStyle w:evenVBand="false" w:oddVBand="true" w:firstColumn="false"/>
            <w:tcW w:w="25.000000%" w:type="pct"/>
          </w:tcPr>
          <w:p>
            <w:pPr>
              <w:ind w:leftChars="0" w:left="0" w:right="0"/>
            </w:pPr>
            <w:r>
              <w:t>XSVA</w:t>
            </w:r>
          </w:p>
        </w:tc>
        <w:tc>
          <w:tcPr>
            <w:cnfStyle w:evenVBand="true" w:oddVBand="false" w:firstColumn="false"/>
            <w:tcW w:w="25.000000%" w:type="pct"/>
          </w:tcPr>
          <w:p>
            <w:pPr>
              <w:ind w:leftChars="0" w:left="0" w:right="0"/>
            </w:pPr>
            <w:r>
              <w:t>XSVA</w:t>
            </w:r>
          </w:p>
        </w:tc>
        <w:tc>
          <w:tcPr>
            <w:cnfStyle w:evenVBand="false" w:oddVBand="true" w:firstColumn="false"/>
            <w:tcW w:w="25.000000%" w:type="pct"/>
          </w:tcPr>
          <w:p>
            <w:pPr>
              <w:ind w:leftChars="0" w:left="0" w:right="0"/>
            </w:pPr>
            <w:r>
              <w:t>EL SALVADOR STOCK EXCHANGE</w:t>
            </w:r>
          </w:p>
        </w:tc>
        <w:tc>
          <w:tcPr>
            <w:cnfStyle w:evenVBand="true" w:oddVBand="false" w:firstColumn="false"/>
            <w:tcW w:w="25.000000%" w:type="pct"/>
          </w:tcPr>
          <w:p>
            <w:pPr>
              <w:ind w:leftChars="0" w:left="0" w:right="0"/>
            </w:pPr>
            <w:r>
              <w:t>2468</w:t>
            </w:r>
          </w:p>
        </w:tc>
      </w:tr>
      <w:tr>
        <w:trPr>
          <w:cnfStyle w:evenHBand="true" w:oddHBand="false" w:firstRow="false"/>
        </w:trPr>
        <w:tc>
          <w:tcPr>
            <w:cnfStyle w:evenVBand="false" w:oddVBand="true" w:firstColumn="false"/>
            <w:tcW w:w="25.000000%" w:type="pct"/>
          </w:tcPr>
          <w:p>
            <w:pPr>
              <w:ind w:leftChars="0" w:left="0" w:right="0"/>
            </w:pPr>
            <w:r>
              <w:t>XSWA</w:t>
            </w:r>
          </w:p>
        </w:tc>
        <w:tc>
          <w:tcPr>
            <w:cnfStyle w:evenVBand="true" w:oddVBand="false" w:firstColumn="false"/>
            <w:tcW w:w="25.000000%" w:type="pct"/>
          </w:tcPr>
          <w:p>
            <w:pPr>
              <w:ind w:leftChars="0" w:left="0" w:right="0"/>
            </w:pPr>
            <w:r>
              <w:t>XSWA</w:t>
            </w:r>
          </w:p>
        </w:tc>
        <w:tc>
          <w:tcPr>
            <w:cnfStyle w:evenVBand="false" w:oddVBand="true" w:firstColumn="false"/>
            <w:tcW w:w="25.000000%" w:type="pct"/>
          </w:tcPr>
          <w:p>
            <w:pPr>
              <w:ind w:leftChars="0" w:left="0" w:right="0"/>
            </w:pPr>
            <w:r>
              <w:t>SWAZILAND STOCK EXCHANGE</w:t>
            </w:r>
          </w:p>
        </w:tc>
        <w:tc>
          <w:tcPr>
            <w:cnfStyle w:evenVBand="true" w:oddVBand="false" w:firstColumn="false"/>
            <w:tcW w:w="25.000000%" w:type="pct"/>
          </w:tcPr>
          <w:p>
            <w:pPr>
              <w:ind w:leftChars="0" w:left="0" w:right="0"/>
            </w:pPr>
            <w:r>
              <w:t>2469</w:t>
            </w:r>
          </w:p>
        </w:tc>
      </w:tr>
      <w:tr>
        <w:trPr>
          <w:cnfStyle w:evenHBand="false" w:oddHBand="true" w:firstRow="false"/>
        </w:trPr>
        <w:tc>
          <w:tcPr>
            <w:cnfStyle w:evenVBand="false" w:oddVBand="true" w:firstColumn="false"/>
            <w:tcW w:w="25.000000%" w:type="pct"/>
          </w:tcPr>
          <w:p>
            <w:pPr>
              <w:ind w:leftChars="0" w:left="0" w:right="0"/>
            </w:pPr>
            <w:r>
              <w:t>XSWB</w:t>
            </w:r>
          </w:p>
        </w:tc>
        <w:tc>
          <w:tcPr>
            <w:cnfStyle w:evenVBand="true" w:oddVBand="false" w:firstColumn="false"/>
            <w:tcW w:w="25.000000%" w:type="pct"/>
          </w:tcPr>
          <w:p>
            <w:pPr>
              <w:ind w:leftChars="0" w:left="0" w:right="0"/>
            </w:pPr>
            <w:r>
              <w:t>XSWB</w:t>
            </w:r>
          </w:p>
        </w:tc>
        <w:tc>
          <w:tcPr>
            <w:cnfStyle w:evenVBand="false" w:oddVBand="true" w:firstColumn="false"/>
            <w:tcW w:w="25.000000%" w:type="pct"/>
          </w:tcPr>
          <w:p>
            <w:pPr>
              <w:ind w:leftChars="0" w:left="0" w:right="0"/>
            </w:pPr>
            <w:r>
              <w:t>SWX SWISS BLOCK</w:t>
            </w:r>
          </w:p>
        </w:tc>
        <w:tc>
          <w:tcPr>
            <w:cnfStyle w:evenVBand="true" w:oddVBand="false" w:firstColumn="false"/>
            <w:tcW w:w="25.000000%" w:type="pct"/>
          </w:tcPr>
          <w:p>
            <w:pPr>
              <w:ind w:leftChars="0" w:left="0" w:right="0"/>
            </w:pPr>
            <w:r>
              <w:t>2470</w:t>
            </w:r>
          </w:p>
        </w:tc>
      </w:tr>
      <w:tr>
        <w:trPr>
          <w:cnfStyle w:evenHBand="true" w:oddHBand="false" w:firstRow="false"/>
        </w:trPr>
        <w:tc>
          <w:tcPr>
            <w:cnfStyle w:evenVBand="false" w:oddVBand="true" w:firstColumn="false"/>
            <w:tcW w:w="25.000000%" w:type="pct"/>
          </w:tcPr>
          <w:p>
            <w:pPr>
              <w:ind w:leftChars="0" w:left="0" w:right="0"/>
            </w:pPr>
            <w:r>
              <w:t>XSWM</w:t>
            </w:r>
          </w:p>
        </w:tc>
        <w:tc>
          <w:tcPr>
            <w:cnfStyle w:evenVBand="true" w:oddVBand="false" w:firstColumn="false"/>
            <w:tcW w:w="25.000000%" w:type="pct"/>
          </w:tcPr>
          <w:p>
            <w:pPr>
              <w:ind w:leftChars="0" w:left="0" w:right="0"/>
            </w:pPr>
            <w:r>
              <w:t>XSWM</w:t>
            </w:r>
          </w:p>
        </w:tc>
        <w:tc>
          <w:tcPr>
            <w:cnfStyle w:evenVBand="false" w:oddVBand="true" w:firstColumn="false"/>
            <w:tcW w:w="25.000000%" w:type="pct"/>
          </w:tcPr>
          <w:p>
            <w:pPr>
              <w:ind w:leftChars="0" w:left="0" w:right="0"/>
            </w:pPr>
            <w:r>
              <w:t>SIX SWISS EXCHANGE - SIX SWISS EXCHANGE AT MIDPOINT</w:t>
            </w:r>
          </w:p>
        </w:tc>
        <w:tc>
          <w:tcPr>
            <w:cnfStyle w:evenVBand="true" w:oddVBand="false" w:firstColumn="false"/>
            <w:tcW w:w="25.000000%" w:type="pct"/>
          </w:tcPr>
          <w:p>
            <w:pPr>
              <w:ind w:leftChars="0" w:left="0" w:right="0"/>
            </w:pPr>
            <w:r>
              <w:t>2471</w:t>
            </w:r>
          </w:p>
        </w:tc>
      </w:tr>
      <w:tr>
        <w:trPr>
          <w:cnfStyle w:evenHBand="false" w:oddHBand="true" w:firstRow="false"/>
        </w:trPr>
        <w:tc>
          <w:tcPr>
            <w:cnfStyle w:evenVBand="false" w:oddVBand="true" w:firstColumn="false"/>
            <w:tcW w:w="25.000000%" w:type="pct"/>
          </w:tcPr>
          <w:p>
            <w:pPr>
              <w:ind w:leftChars="0" w:left="0" w:right="0"/>
            </w:pPr>
            <w:r>
              <w:t>XSWO</w:t>
            </w:r>
          </w:p>
        </w:tc>
        <w:tc>
          <w:tcPr>
            <w:cnfStyle w:evenVBand="true" w:oddVBand="false" w:firstColumn="false"/>
            <w:tcW w:w="25.000000%" w:type="pct"/>
          </w:tcPr>
          <w:p>
            <w:pPr>
              <w:ind w:leftChars="0" w:left="0" w:right="0"/>
            </w:pPr>
            <w:r>
              <w:t>XSWO</w:t>
            </w:r>
          </w:p>
        </w:tc>
        <w:tc>
          <w:tcPr>
            <w:cnfStyle w:evenVBand="false" w:oddVBand="true" w:firstColumn="false"/>
            <w:tcW w:w="25.000000%" w:type="pct"/>
          </w:tcPr>
          <w:p>
            <w:pPr>
              <w:ind w:leftChars="0" w:left="0" w:right="0"/>
            </w:pPr>
            <w:r>
              <w:t>SWISS OPTIONS AND FINANIAL FUTURES EXCHANGE</w:t>
            </w:r>
          </w:p>
        </w:tc>
        <w:tc>
          <w:tcPr>
            <w:cnfStyle w:evenVBand="true" w:oddVBand="false" w:firstColumn="false"/>
            <w:tcW w:w="25.000000%" w:type="pct"/>
          </w:tcPr>
          <w:p>
            <w:pPr>
              <w:ind w:leftChars="0" w:left="0" w:right="0"/>
            </w:pPr>
            <w:r>
              <w:t>2472</w:t>
            </w:r>
          </w:p>
        </w:tc>
      </w:tr>
      <w:tr>
        <w:trPr>
          <w:cnfStyle w:evenHBand="true" w:oddHBand="false" w:firstRow="false"/>
        </w:trPr>
        <w:tc>
          <w:tcPr>
            <w:cnfStyle w:evenVBand="false" w:oddVBand="true" w:firstColumn="false"/>
            <w:tcW w:w="25.000000%" w:type="pct"/>
          </w:tcPr>
          <w:p>
            <w:pPr>
              <w:ind w:leftChars="0" w:left="0" w:right="0"/>
            </w:pPr>
            <w:r>
              <w:t>XSWX</w:t>
            </w:r>
          </w:p>
        </w:tc>
        <w:tc>
          <w:tcPr>
            <w:cnfStyle w:evenVBand="true" w:oddVBand="false" w:firstColumn="false"/>
            <w:tcW w:w="25.000000%" w:type="pct"/>
          </w:tcPr>
          <w:p>
            <w:pPr>
              <w:ind w:leftChars="0" w:left="0" w:right="0"/>
            </w:pPr>
            <w:r>
              <w:t>XSWX</w:t>
            </w:r>
          </w:p>
        </w:tc>
        <w:tc>
          <w:tcPr>
            <w:cnfStyle w:evenVBand="false" w:oddVBand="true" w:firstColumn="false"/>
            <w:tcW w:w="25.000000%" w:type="pct"/>
          </w:tcPr>
          <w:p>
            <w:pPr>
              <w:ind w:leftChars="0" w:left="0" w:right="0"/>
            </w:pPr>
            <w:r>
              <w:t>SIX SWISS EXCHANGE</w:t>
            </w:r>
          </w:p>
        </w:tc>
        <w:tc>
          <w:tcPr>
            <w:cnfStyle w:evenVBand="true" w:oddVBand="false" w:firstColumn="false"/>
            <w:tcW w:w="25.000000%" w:type="pct"/>
          </w:tcPr>
          <w:p>
            <w:pPr>
              <w:ind w:leftChars="0" w:left="0" w:right="0"/>
            </w:pPr>
            <w:r>
              <w:t>2473</w:t>
            </w:r>
          </w:p>
        </w:tc>
      </w:tr>
      <w:tr>
        <w:trPr>
          <w:cnfStyle w:evenHBand="false" w:oddHBand="true" w:firstRow="false"/>
        </w:trPr>
        <w:tc>
          <w:tcPr>
            <w:cnfStyle w:evenVBand="false" w:oddVBand="true" w:firstColumn="false"/>
            <w:tcW w:w="25.000000%" w:type="pct"/>
          </w:tcPr>
          <w:p>
            <w:pPr>
              <w:ind w:leftChars="0" w:left="0" w:right="0"/>
            </w:pPr>
            <w:r>
              <w:t>XTAA</w:t>
            </w:r>
          </w:p>
        </w:tc>
        <w:tc>
          <w:tcPr>
            <w:cnfStyle w:evenVBand="true" w:oddVBand="false" w:firstColumn="false"/>
            <w:tcW w:w="25.000000%" w:type="pct"/>
          </w:tcPr>
          <w:p>
            <w:pPr>
              <w:ind w:leftChars="0" w:left="0" w:right="0"/>
            </w:pPr>
            <w:r>
              <w:t>XTAA</w:t>
            </w:r>
          </w:p>
        </w:tc>
        <w:tc>
          <w:tcPr>
            <w:cnfStyle w:evenVBand="false" w:oddVBand="true" w:firstColumn="false"/>
            <w:tcW w:w="25.000000%" w:type="pct"/>
          </w:tcPr>
          <w:p>
            <w:pPr>
              <w:ind w:leftChars="0" w:left="0" w:right="0"/>
            </w:pPr>
            <w:r>
              <w:t>FIRST NORTH ESTONIA</w:t>
            </w:r>
          </w:p>
        </w:tc>
        <w:tc>
          <w:tcPr>
            <w:cnfStyle w:evenVBand="true" w:oddVBand="false" w:firstColumn="false"/>
            <w:tcW w:w="25.000000%" w:type="pct"/>
          </w:tcPr>
          <w:p>
            <w:pPr>
              <w:ind w:leftChars="0" w:left="0" w:right="0"/>
            </w:pPr>
            <w:r>
              <w:t>2474</w:t>
            </w:r>
          </w:p>
        </w:tc>
      </w:tr>
      <w:tr>
        <w:trPr>
          <w:cnfStyle w:evenHBand="true" w:oddHBand="false" w:firstRow="false"/>
        </w:trPr>
        <w:tc>
          <w:tcPr>
            <w:cnfStyle w:evenVBand="false" w:oddVBand="true" w:firstColumn="false"/>
            <w:tcW w:w="25.000000%" w:type="pct"/>
          </w:tcPr>
          <w:p>
            <w:pPr>
              <w:ind w:leftChars="0" w:left="0" w:right="0"/>
            </w:pPr>
            <w:r>
              <w:t>XTAD</w:t>
            </w:r>
          </w:p>
        </w:tc>
        <w:tc>
          <w:tcPr>
            <w:cnfStyle w:evenVBand="true" w:oddVBand="false" w:firstColumn="false"/>
            <w:tcW w:w="25.000000%" w:type="pct"/>
          </w:tcPr>
          <w:p>
            <w:pPr>
              <w:ind w:leftChars="0" w:left="0" w:right="0"/>
            </w:pPr>
            <w:r>
              <w:t>XTAD</w:t>
            </w:r>
          </w:p>
        </w:tc>
        <w:tc>
          <w:tcPr>
            <w:cnfStyle w:evenVBand="false" w:oddVBand="true" w:firstColumn="false"/>
            <w:tcW w:w="25.000000%" w:type="pct"/>
          </w:tcPr>
          <w:p>
            <w:pPr>
              <w:ind w:leftChars="0" w:left="0" w:right="0"/>
            </w:pPr>
            <w:r>
              <w:t>TAISDAQ</w:t>
            </w:r>
          </w:p>
        </w:tc>
        <w:tc>
          <w:tcPr>
            <w:cnfStyle w:evenVBand="true" w:oddVBand="false" w:firstColumn="false"/>
            <w:tcW w:w="25.000000%" w:type="pct"/>
          </w:tcPr>
          <w:p>
            <w:pPr>
              <w:ind w:leftChars="0" w:left="0" w:right="0"/>
            </w:pPr>
            <w:r>
              <w:t>2475</w:t>
            </w:r>
          </w:p>
        </w:tc>
      </w:tr>
      <w:tr>
        <w:trPr>
          <w:cnfStyle w:evenHBand="false" w:oddHBand="true" w:firstRow="false"/>
        </w:trPr>
        <w:tc>
          <w:tcPr>
            <w:cnfStyle w:evenVBand="false" w:oddVBand="true" w:firstColumn="false"/>
            <w:tcW w:w="25.000000%" w:type="pct"/>
          </w:tcPr>
          <w:p>
            <w:pPr>
              <w:ind w:leftChars="0" w:left="0" w:right="0"/>
            </w:pPr>
            <w:r>
              <w:t>XTAE</w:t>
            </w:r>
          </w:p>
        </w:tc>
        <w:tc>
          <w:tcPr>
            <w:cnfStyle w:evenVBand="true" w:oddVBand="false" w:firstColumn="false"/>
            <w:tcW w:w="25.000000%" w:type="pct"/>
          </w:tcPr>
          <w:p>
            <w:pPr>
              <w:ind w:leftChars="0" w:left="0" w:right="0"/>
            </w:pPr>
            <w:r>
              <w:t>XTAE</w:t>
            </w:r>
          </w:p>
        </w:tc>
        <w:tc>
          <w:tcPr>
            <w:cnfStyle w:evenVBand="false" w:oddVBand="true" w:firstColumn="false"/>
            <w:tcW w:w="25.000000%" w:type="pct"/>
          </w:tcPr>
          <w:p>
            <w:pPr>
              <w:ind w:leftChars="0" w:left="0" w:right="0"/>
            </w:pPr>
            <w:r>
              <w:t>TEL AVIV STOCK EXCHANGE</w:t>
            </w:r>
          </w:p>
        </w:tc>
        <w:tc>
          <w:tcPr>
            <w:cnfStyle w:evenVBand="true" w:oddVBand="false" w:firstColumn="false"/>
            <w:tcW w:w="25.000000%" w:type="pct"/>
          </w:tcPr>
          <w:p>
            <w:pPr>
              <w:ind w:leftChars="0" w:left="0" w:right="0"/>
            </w:pPr>
            <w:r>
              <w:t>2476</w:t>
            </w:r>
          </w:p>
        </w:tc>
      </w:tr>
      <w:tr>
        <w:trPr>
          <w:cnfStyle w:evenHBand="true" w:oddHBand="false" w:firstRow="false"/>
        </w:trPr>
        <w:tc>
          <w:tcPr>
            <w:cnfStyle w:evenVBand="false" w:oddVBand="true" w:firstColumn="false"/>
            <w:tcW w:w="25.000000%" w:type="pct"/>
          </w:tcPr>
          <w:p>
            <w:pPr>
              <w:ind w:leftChars="0" w:left="0" w:right="0"/>
            </w:pPr>
            <w:r>
              <w:t>XTAF</w:t>
            </w:r>
          </w:p>
        </w:tc>
        <w:tc>
          <w:tcPr>
            <w:cnfStyle w:evenVBand="true" w:oddVBand="false" w:firstColumn="false"/>
            <w:tcW w:w="25.000000%" w:type="pct"/>
          </w:tcPr>
          <w:p>
            <w:pPr>
              <w:ind w:leftChars="0" w:left="0" w:right="0"/>
            </w:pPr>
            <w:r>
              <w:t>XTAF</w:t>
            </w:r>
          </w:p>
        </w:tc>
        <w:tc>
          <w:tcPr>
            <w:cnfStyle w:evenVBand="false" w:oddVBand="true" w:firstColumn="false"/>
            <w:tcW w:w="25.000000%" w:type="pct"/>
          </w:tcPr>
          <w:p>
            <w:pPr>
              <w:ind w:leftChars="0" w:left="0" w:right="0"/>
            </w:pPr>
            <w:r>
              <w:t>TAIWAN FUTURES EXCHANGE</w:t>
            </w:r>
          </w:p>
        </w:tc>
        <w:tc>
          <w:tcPr>
            <w:cnfStyle w:evenVBand="true" w:oddVBand="false" w:firstColumn="false"/>
            <w:tcW w:w="25.000000%" w:type="pct"/>
          </w:tcPr>
          <w:p>
            <w:pPr>
              <w:ind w:leftChars="0" w:left="0" w:right="0"/>
            </w:pPr>
            <w:r>
              <w:t>2477</w:t>
            </w:r>
          </w:p>
        </w:tc>
      </w:tr>
      <w:tr>
        <w:trPr>
          <w:cnfStyle w:evenHBand="false" w:oddHBand="true" w:firstRow="false"/>
        </w:trPr>
        <w:tc>
          <w:tcPr>
            <w:cnfStyle w:evenVBand="false" w:oddVBand="true" w:firstColumn="false"/>
            <w:tcW w:w="25.000000%" w:type="pct"/>
          </w:tcPr>
          <w:p>
            <w:pPr>
              <w:ind w:leftChars="0" w:left="0" w:right="0"/>
            </w:pPr>
            <w:r>
              <w:t>XTAI</w:t>
            </w:r>
          </w:p>
        </w:tc>
        <w:tc>
          <w:tcPr>
            <w:cnfStyle w:evenVBand="true" w:oddVBand="false" w:firstColumn="false"/>
            <w:tcW w:w="25.000000%" w:type="pct"/>
          </w:tcPr>
          <w:p>
            <w:pPr>
              <w:ind w:leftChars="0" w:left="0" w:right="0"/>
            </w:pPr>
            <w:r>
              <w:t>XTAI</w:t>
            </w:r>
          </w:p>
        </w:tc>
        <w:tc>
          <w:tcPr>
            <w:cnfStyle w:evenVBand="false" w:oddVBand="true" w:firstColumn="false"/>
            <w:tcW w:w="25.000000%" w:type="pct"/>
          </w:tcPr>
          <w:p>
            <w:pPr>
              <w:ind w:leftChars="0" w:left="0" w:right="0"/>
            </w:pPr>
            <w:r>
              <w:t>TAIWAN STOCK EXCHANGE</w:t>
            </w:r>
          </w:p>
        </w:tc>
        <w:tc>
          <w:tcPr>
            <w:cnfStyle w:evenVBand="true" w:oddVBand="false" w:firstColumn="false"/>
            <w:tcW w:w="25.000000%" w:type="pct"/>
          </w:tcPr>
          <w:p>
            <w:pPr>
              <w:ind w:leftChars="0" w:left="0" w:right="0"/>
            </w:pPr>
            <w:r>
              <w:t>2478</w:t>
            </w:r>
          </w:p>
        </w:tc>
      </w:tr>
      <w:tr>
        <w:trPr>
          <w:cnfStyle w:evenHBand="true" w:oddHBand="false" w:firstRow="false"/>
        </w:trPr>
        <w:tc>
          <w:tcPr>
            <w:cnfStyle w:evenVBand="false" w:oddVBand="true" w:firstColumn="false"/>
            <w:tcW w:w="25.000000%" w:type="pct"/>
          </w:tcPr>
          <w:p>
            <w:pPr>
              <w:ind w:leftChars="0" w:left="0" w:right="0"/>
            </w:pPr>
            <w:r>
              <w:t>XTAL</w:t>
            </w:r>
          </w:p>
        </w:tc>
        <w:tc>
          <w:tcPr>
            <w:cnfStyle w:evenVBand="true" w:oddVBand="false" w:firstColumn="false"/>
            <w:tcW w:w="25.000000%" w:type="pct"/>
          </w:tcPr>
          <w:p>
            <w:pPr>
              <w:ind w:leftChars="0" w:left="0" w:right="0"/>
            </w:pPr>
            <w:r>
              <w:t>XTAL</w:t>
            </w:r>
          </w:p>
        </w:tc>
        <w:tc>
          <w:tcPr>
            <w:cnfStyle w:evenVBand="false" w:oddVBand="true" w:firstColumn="false"/>
            <w:tcW w:w="25.000000%" w:type="pct"/>
          </w:tcPr>
          <w:p>
            <w:pPr>
              <w:ind w:leftChars="0" w:left="0" w:right="0"/>
            </w:pPr>
            <w:r>
              <w:t>NASDAQ TALLINN AS</w:t>
            </w:r>
          </w:p>
        </w:tc>
        <w:tc>
          <w:tcPr>
            <w:cnfStyle w:evenVBand="true" w:oddVBand="false" w:firstColumn="false"/>
            <w:tcW w:w="25.000000%" w:type="pct"/>
          </w:tcPr>
          <w:p>
            <w:pPr>
              <w:ind w:leftChars="0" w:left="0" w:right="0"/>
            </w:pPr>
            <w:r>
              <w:t>2479</w:t>
            </w:r>
          </w:p>
        </w:tc>
      </w:tr>
      <w:tr>
        <w:trPr>
          <w:cnfStyle w:evenHBand="false" w:oddHBand="true" w:firstRow="false"/>
        </w:trPr>
        <w:tc>
          <w:tcPr>
            <w:cnfStyle w:evenVBand="false" w:oddVBand="true" w:firstColumn="false"/>
            <w:tcW w:w="25.000000%" w:type="pct"/>
          </w:tcPr>
          <w:p>
            <w:pPr>
              <w:ind w:leftChars="0" w:left="0" w:right="0"/>
            </w:pPr>
            <w:r>
              <w:t>XTAM</w:t>
            </w:r>
          </w:p>
        </w:tc>
        <w:tc>
          <w:tcPr>
            <w:cnfStyle w:evenVBand="true" w:oddVBand="false" w:firstColumn="false"/>
            <w:tcW w:w="25.000000%" w:type="pct"/>
          </w:tcPr>
          <w:p>
            <w:pPr>
              <w:ind w:leftChars="0" w:left="0" w:right="0"/>
            </w:pPr>
            <w:r>
              <w:t>XTAM</w:t>
            </w:r>
          </w:p>
        </w:tc>
        <w:tc>
          <w:tcPr>
            <w:cnfStyle w:evenVBand="false" w:oddVBand="true" w:firstColumn="false"/>
            <w:tcW w:w="25.000000%" w:type="pct"/>
          </w:tcPr>
          <w:p>
            <w:pPr>
              <w:ind w:leftChars="0" w:left="0" w:right="0"/>
            </w:pPr>
            <w:r>
              <w:t>TOKYO STOCK EXCHANGE-TOKYO PRO MARKET</w:t>
            </w:r>
          </w:p>
        </w:tc>
        <w:tc>
          <w:tcPr>
            <w:cnfStyle w:evenVBand="true" w:oddVBand="false" w:firstColumn="false"/>
            <w:tcW w:w="25.000000%" w:type="pct"/>
          </w:tcPr>
          <w:p>
            <w:pPr>
              <w:ind w:leftChars="0" w:left="0" w:right="0"/>
            </w:pPr>
            <w:r>
              <w:t>2480</w:t>
            </w:r>
          </w:p>
        </w:tc>
      </w:tr>
      <w:tr>
        <w:trPr>
          <w:cnfStyle w:evenHBand="true" w:oddHBand="false" w:firstRow="false"/>
        </w:trPr>
        <w:tc>
          <w:tcPr>
            <w:cnfStyle w:evenVBand="false" w:oddVBand="true" w:firstColumn="false"/>
            <w:tcW w:w="25.000000%" w:type="pct"/>
          </w:tcPr>
          <w:p>
            <w:pPr>
              <w:ind w:leftChars="0" w:left="0" w:right="0"/>
            </w:pPr>
            <w:r>
              <w:t>XTAR</w:t>
            </w:r>
          </w:p>
        </w:tc>
        <w:tc>
          <w:tcPr>
            <w:cnfStyle w:evenVBand="true" w:oddVBand="false" w:firstColumn="false"/>
            <w:tcW w:w="25.000000%" w:type="pct"/>
          </w:tcPr>
          <w:p>
            <w:pPr>
              <w:ind w:leftChars="0" w:left="0" w:right="0"/>
            </w:pPr>
            <w:r>
              <w:t>XTAR</w:t>
            </w:r>
          </w:p>
        </w:tc>
        <w:tc>
          <w:tcPr>
            <w:cnfStyle w:evenVBand="false" w:oddVBand="true" w:firstColumn="false"/>
            <w:tcW w:w="25.000000%" w:type="pct"/>
          </w:tcPr>
          <w:p>
            <w:pPr>
              <w:ind w:leftChars="0" w:left="0" w:right="0"/>
            </w:pPr>
            <w:r>
              <w:t>TALLINN STOCK EXCHANGE - REGULATED MARKET</w:t>
            </w:r>
          </w:p>
        </w:tc>
        <w:tc>
          <w:tcPr>
            <w:cnfStyle w:evenVBand="true" w:oddVBand="false" w:firstColumn="false"/>
            <w:tcW w:w="25.000000%" w:type="pct"/>
          </w:tcPr>
          <w:p>
            <w:pPr>
              <w:ind w:leftChars="0" w:left="0" w:right="0"/>
            </w:pPr>
            <w:r>
              <w:t>2481</w:t>
            </w:r>
          </w:p>
        </w:tc>
      </w:tr>
      <w:tr>
        <w:trPr>
          <w:cnfStyle w:evenHBand="false" w:oddHBand="true" w:firstRow="false"/>
        </w:trPr>
        <w:tc>
          <w:tcPr>
            <w:cnfStyle w:evenVBand="false" w:oddVBand="true" w:firstColumn="false"/>
            <w:tcW w:w="25.000000%" w:type="pct"/>
          </w:tcPr>
          <w:p>
            <w:pPr>
              <w:ind w:leftChars="0" w:left="0" w:right="0"/>
            </w:pPr>
            <w:r>
              <w:t>XTEH</w:t>
            </w:r>
          </w:p>
        </w:tc>
        <w:tc>
          <w:tcPr>
            <w:cnfStyle w:evenVBand="true" w:oddVBand="false" w:firstColumn="false"/>
            <w:tcW w:w="25.000000%" w:type="pct"/>
          </w:tcPr>
          <w:p>
            <w:pPr>
              <w:ind w:leftChars="0" w:left="0" w:right="0"/>
            </w:pPr>
            <w:r>
              <w:t>XTEH</w:t>
            </w:r>
          </w:p>
        </w:tc>
        <w:tc>
          <w:tcPr>
            <w:cnfStyle w:evenVBand="false" w:oddVBand="true" w:firstColumn="false"/>
            <w:tcW w:w="25.000000%" w:type="pct"/>
          </w:tcPr>
          <w:p>
            <w:pPr>
              <w:ind w:leftChars="0" w:left="0" w:right="0"/>
            </w:pPr>
            <w:r>
              <w:t>TEHRAN STOCK EXCHANGE</w:t>
            </w:r>
          </w:p>
        </w:tc>
        <w:tc>
          <w:tcPr>
            <w:cnfStyle w:evenVBand="true" w:oddVBand="false" w:firstColumn="false"/>
            <w:tcW w:w="25.000000%" w:type="pct"/>
          </w:tcPr>
          <w:p>
            <w:pPr>
              <w:ind w:leftChars="0" w:left="0" w:right="0"/>
            </w:pPr>
            <w:r>
              <w:t>2482</w:t>
            </w:r>
          </w:p>
        </w:tc>
      </w:tr>
      <w:tr>
        <w:trPr>
          <w:cnfStyle w:evenHBand="true" w:oddHBand="false" w:firstRow="false"/>
        </w:trPr>
        <w:tc>
          <w:tcPr>
            <w:cnfStyle w:evenVBand="false" w:oddVBand="true" w:firstColumn="false"/>
            <w:tcW w:w="25.000000%" w:type="pct"/>
          </w:tcPr>
          <w:p>
            <w:pPr>
              <w:ind w:leftChars="0" w:left="0" w:right="0"/>
            </w:pPr>
            <w:r>
              <w:t>XTFE</w:t>
            </w:r>
          </w:p>
        </w:tc>
        <w:tc>
          <w:tcPr>
            <w:cnfStyle w:evenVBand="true" w:oddVBand="false" w:firstColumn="false"/>
            <w:tcW w:w="25.000000%" w:type="pct"/>
          </w:tcPr>
          <w:p>
            <w:pPr>
              <w:ind w:leftChars="0" w:left="0" w:right="0"/>
            </w:pPr>
            <w:r>
              <w:t>XTFE</w:t>
            </w:r>
          </w:p>
        </w:tc>
        <w:tc>
          <w:tcPr>
            <w:cnfStyle w:evenVBand="false" w:oddVBand="true" w:firstColumn="false"/>
            <w:tcW w:w="25.000000%" w:type="pct"/>
          </w:tcPr>
          <w:p>
            <w:pPr>
              <w:ind w:leftChars="0" w:left="0" w:right="0"/>
            </w:pPr>
            <w:r>
              <w:t>TORONTO FUTURES EXCHANGE</w:t>
            </w:r>
          </w:p>
        </w:tc>
        <w:tc>
          <w:tcPr>
            <w:cnfStyle w:evenVBand="true" w:oddVBand="false" w:firstColumn="false"/>
            <w:tcW w:w="25.000000%" w:type="pct"/>
          </w:tcPr>
          <w:p>
            <w:pPr>
              <w:ind w:leftChars="0" w:left="0" w:right="0"/>
            </w:pPr>
            <w:r>
              <w:t>2483</w:t>
            </w:r>
          </w:p>
        </w:tc>
      </w:tr>
      <w:tr>
        <w:trPr>
          <w:cnfStyle w:evenHBand="false" w:oddHBand="true" w:firstRow="false"/>
        </w:trPr>
        <w:tc>
          <w:tcPr>
            <w:cnfStyle w:evenVBand="false" w:oddVBand="true" w:firstColumn="false"/>
            <w:tcW w:w="25.000000%" w:type="pct"/>
          </w:tcPr>
          <w:p>
            <w:pPr>
              <w:ind w:leftChars="0" w:left="0" w:right="0"/>
            </w:pPr>
            <w:r>
              <w:t>XTFF</w:t>
            </w:r>
          </w:p>
        </w:tc>
        <w:tc>
          <w:tcPr>
            <w:cnfStyle w:evenVBand="true" w:oddVBand="false" w:firstColumn="false"/>
            <w:tcW w:w="25.000000%" w:type="pct"/>
          </w:tcPr>
          <w:p>
            <w:pPr>
              <w:ind w:leftChars="0" w:left="0" w:right="0"/>
            </w:pPr>
            <w:r>
              <w:t>XTFF</w:t>
            </w:r>
          </w:p>
        </w:tc>
        <w:tc>
          <w:tcPr>
            <w:cnfStyle w:evenVBand="false" w:oddVBand="true" w:firstColumn="false"/>
            <w:tcW w:w="25.000000%" w:type="pct"/>
          </w:tcPr>
          <w:p>
            <w:pPr>
              <w:ind w:leftChars="0" w:left="0" w:right="0"/>
            </w:pPr>
            <w:r>
              <w:t>TOKYO FINANCIAL  EXCHANGE</w:t>
            </w:r>
          </w:p>
        </w:tc>
        <w:tc>
          <w:tcPr>
            <w:cnfStyle w:evenVBand="true" w:oddVBand="false" w:firstColumn="false"/>
            <w:tcW w:w="25.000000%" w:type="pct"/>
          </w:tcPr>
          <w:p>
            <w:pPr>
              <w:ind w:leftChars="0" w:left="0" w:right="0"/>
            </w:pPr>
            <w:r>
              <w:t>2484</w:t>
            </w:r>
          </w:p>
        </w:tc>
      </w:tr>
      <w:tr>
        <w:trPr>
          <w:cnfStyle w:evenHBand="true" w:oddHBand="false" w:firstRow="false"/>
        </w:trPr>
        <w:tc>
          <w:tcPr>
            <w:cnfStyle w:evenVBand="false" w:oddVBand="true" w:firstColumn="false"/>
            <w:tcW w:w="25.000000%" w:type="pct"/>
          </w:tcPr>
          <w:p>
            <w:pPr>
              <w:ind w:leftChars="0" w:left="0" w:right="0"/>
            </w:pPr>
            <w:r>
              <w:t>XTFN</w:t>
            </w:r>
          </w:p>
        </w:tc>
        <w:tc>
          <w:tcPr>
            <w:cnfStyle w:evenVBand="true" w:oddVBand="false" w:firstColumn="false"/>
            <w:tcW w:w="25.000000%" w:type="pct"/>
          </w:tcPr>
          <w:p>
            <w:pPr>
              <w:ind w:leftChars="0" w:left="0" w:right="0"/>
            </w:pPr>
            <w:r>
              <w:t>XTFN</w:t>
            </w:r>
          </w:p>
        </w:tc>
        <w:tc>
          <w:tcPr>
            <w:cnfStyle w:evenVBand="false" w:oddVBand="true" w:firstColumn="false"/>
            <w:tcW w:w="25.000000%" w:type="pct"/>
          </w:tcPr>
          <w:p>
            <w:pPr>
              <w:ind w:leftChars="0" w:left="0" w:right="0"/>
            </w:pPr>
            <w:r>
              <w:t>TRADEPOINT FINANCIAL NETWORKS PLC</w:t>
            </w:r>
          </w:p>
        </w:tc>
        <w:tc>
          <w:tcPr>
            <w:cnfStyle w:evenVBand="true" w:oddVBand="false" w:firstColumn="false"/>
            <w:tcW w:w="25.000000%" w:type="pct"/>
          </w:tcPr>
          <w:p>
            <w:pPr>
              <w:ind w:leftChars="0" w:left="0" w:right="0"/>
            </w:pPr>
            <w:r>
              <w:t>2485</w:t>
            </w:r>
          </w:p>
        </w:tc>
      </w:tr>
      <w:tr>
        <w:trPr>
          <w:cnfStyle w:evenHBand="false" w:oddHBand="true" w:firstRow="false"/>
        </w:trPr>
        <w:tc>
          <w:tcPr>
            <w:cnfStyle w:evenVBand="false" w:oddVBand="true" w:firstColumn="false"/>
            <w:tcW w:w="25.000000%" w:type="pct"/>
          </w:tcPr>
          <w:p>
            <w:pPr>
              <w:ind w:leftChars="0" w:left="0" w:right="0"/>
            </w:pPr>
            <w:r>
              <w:t>XTIR</w:t>
            </w:r>
          </w:p>
        </w:tc>
        <w:tc>
          <w:tcPr>
            <w:cnfStyle w:evenVBand="true" w:oddVBand="false" w:firstColumn="false"/>
            <w:tcW w:w="25.000000%" w:type="pct"/>
          </w:tcPr>
          <w:p>
            <w:pPr>
              <w:ind w:leftChars="0" w:left="0" w:right="0"/>
            </w:pPr>
            <w:r>
              <w:t>XTIR</w:t>
            </w:r>
          </w:p>
        </w:tc>
        <w:tc>
          <w:tcPr>
            <w:cnfStyle w:evenVBand="false" w:oddVBand="true" w:firstColumn="false"/>
            <w:tcW w:w="25.000000%" w:type="pct"/>
          </w:tcPr>
          <w:p>
            <w:pPr>
              <w:ind w:leftChars="0" w:left="0" w:right="0"/>
            </w:pPr>
            <w:r>
              <w:t>TIRANA STOCK EXCHANGE</w:t>
            </w:r>
          </w:p>
        </w:tc>
        <w:tc>
          <w:tcPr>
            <w:cnfStyle w:evenVBand="true" w:oddVBand="false" w:firstColumn="false"/>
            <w:tcW w:w="25.000000%" w:type="pct"/>
          </w:tcPr>
          <w:p>
            <w:pPr>
              <w:ind w:leftChars="0" w:left="0" w:right="0"/>
            </w:pPr>
            <w:r>
              <w:t>2486</w:t>
            </w:r>
          </w:p>
        </w:tc>
      </w:tr>
      <w:tr>
        <w:trPr>
          <w:cnfStyle w:evenHBand="true" w:oddHBand="false" w:firstRow="false"/>
        </w:trPr>
        <w:tc>
          <w:tcPr>
            <w:cnfStyle w:evenVBand="false" w:oddVBand="true" w:firstColumn="false"/>
            <w:tcW w:w="25.000000%" w:type="pct"/>
          </w:tcPr>
          <w:p>
            <w:pPr>
              <w:ind w:leftChars="0" w:left="0" w:right="0"/>
            </w:pPr>
            <w:r>
              <w:t>XTK1</w:t>
            </w:r>
          </w:p>
        </w:tc>
        <w:tc>
          <w:tcPr>
            <w:cnfStyle w:evenVBand="true" w:oddVBand="false" w:firstColumn="false"/>
            <w:tcW w:w="25.000000%" w:type="pct"/>
          </w:tcPr>
          <w:p>
            <w:pPr>
              <w:ind w:leftChars="0" w:left="0" w:right="0"/>
            </w:pPr>
            <w:r>
              <w:t>XTK1</w:t>
            </w:r>
          </w:p>
        </w:tc>
        <w:tc>
          <w:tcPr>
            <w:cnfStyle w:evenVBand="false" w:oddVBand="true" w:firstColumn="false"/>
            <w:tcW w:w="25.000000%" w:type="pct"/>
          </w:tcPr>
          <w:p>
            <w:pPr>
              <w:ind w:leftChars="0" w:left="0" w:right="0"/>
            </w:pPr>
            <w:r>
              <w:t>TOKYO STOCK EXCHANGE - TOSTNET-1</w:t>
            </w:r>
          </w:p>
        </w:tc>
        <w:tc>
          <w:tcPr>
            <w:cnfStyle w:evenVBand="true" w:oddVBand="false" w:firstColumn="false"/>
            <w:tcW w:w="25.000000%" w:type="pct"/>
          </w:tcPr>
          <w:p>
            <w:pPr>
              <w:ind w:leftChars="0" w:left="0" w:right="0"/>
            </w:pPr>
            <w:r>
              <w:t>2487</w:t>
            </w:r>
          </w:p>
        </w:tc>
      </w:tr>
      <w:tr>
        <w:trPr>
          <w:cnfStyle w:evenHBand="false" w:oddHBand="true" w:firstRow="false"/>
        </w:trPr>
        <w:tc>
          <w:tcPr>
            <w:cnfStyle w:evenVBand="false" w:oddVBand="true" w:firstColumn="false"/>
            <w:tcW w:w="25.000000%" w:type="pct"/>
          </w:tcPr>
          <w:p>
            <w:pPr>
              <w:ind w:leftChars="0" w:left="0" w:right="0"/>
            </w:pPr>
            <w:r>
              <w:t>XTK2</w:t>
            </w:r>
          </w:p>
        </w:tc>
        <w:tc>
          <w:tcPr>
            <w:cnfStyle w:evenVBand="true" w:oddVBand="false" w:firstColumn="false"/>
            <w:tcW w:w="25.000000%" w:type="pct"/>
          </w:tcPr>
          <w:p>
            <w:pPr>
              <w:ind w:leftChars="0" w:left="0" w:right="0"/>
            </w:pPr>
            <w:r>
              <w:t>XTK2</w:t>
            </w:r>
          </w:p>
        </w:tc>
        <w:tc>
          <w:tcPr>
            <w:cnfStyle w:evenVBand="false" w:oddVBand="true" w:firstColumn="false"/>
            <w:tcW w:w="25.000000%" w:type="pct"/>
          </w:tcPr>
          <w:p>
            <w:pPr>
              <w:ind w:leftChars="0" w:left="0" w:right="0"/>
            </w:pPr>
            <w:r>
              <w:t>TOKYO STOCK EXCHANGE - TOSTNET-2</w:t>
            </w:r>
          </w:p>
        </w:tc>
        <w:tc>
          <w:tcPr>
            <w:cnfStyle w:evenVBand="true" w:oddVBand="false" w:firstColumn="false"/>
            <w:tcW w:w="25.000000%" w:type="pct"/>
          </w:tcPr>
          <w:p>
            <w:pPr>
              <w:ind w:leftChars="0" w:left="0" w:right="0"/>
            </w:pPr>
            <w:r>
              <w:t>2488</w:t>
            </w:r>
          </w:p>
        </w:tc>
      </w:tr>
      <w:tr>
        <w:trPr>
          <w:cnfStyle w:evenHBand="true" w:oddHBand="false" w:firstRow="false"/>
        </w:trPr>
        <w:tc>
          <w:tcPr>
            <w:cnfStyle w:evenVBand="false" w:oddVBand="true" w:firstColumn="false"/>
            <w:tcW w:w="25.000000%" w:type="pct"/>
          </w:tcPr>
          <w:p>
            <w:pPr>
              <w:ind w:leftChars="0" w:left="0" w:right="0"/>
            </w:pPr>
            <w:r>
              <w:t>XTK3</w:t>
            </w:r>
          </w:p>
        </w:tc>
        <w:tc>
          <w:tcPr>
            <w:cnfStyle w:evenVBand="true" w:oddVBand="false" w:firstColumn="false"/>
            <w:tcW w:w="25.000000%" w:type="pct"/>
          </w:tcPr>
          <w:p>
            <w:pPr>
              <w:ind w:leftChars="0" w:left="0" w:right="0"/>
            </w:pPr>
            <w:r>
              <w:t>XTK3</w:t>
            </w:r>
          </w:p>
        </w:tc>
        <w:tc>
          <w:tcPr>
            <w:cnfStyle w:evenVBand="false" w:oddVBand="true" w:firstColumn="false"/>
            <w:tcW w:w="25.000000%" w:type="pct"/>
          </w:tcPr>
          <w:p>
            <w:pPr>
              <w:ind w:leftChars="0" w:left="0" w:right="0"/>
            </w:pPr>
            <w:r>
              <w:t>TOKYO STOCK EXCHANGE - TOSTNET-3</w:t>
            </w:r>
          </w:p>
        </w:tc>
        <w:tc>
          <w:tcPr>
            <w:cnfStyle w:evenVBand="true" w:oddVBand="false" w:firstColumn="false"/>
            <w:tcW w:w="25.000000%" w:type="pct"/>
          </w:tcPr>
          <w:p>
            <w:pPr>
              <w:ind w:leftChars="0" w:left="0" w:right="0"/>
            </w:pPr>
            <w:r>
              <w:t>2489</w:t>
            </w:r>
          </w:p>
        </w:tc>
      </w:tr>
      <w:tr>
        <w:trPr>
          <w:cnfStyle w:evenHBand="false" w:oddHBand="true" w:firstRow="false"/>
        </w:trPr>
        <w:tc>
          <w:tcPr>
            <w:cnfStyle w:evenVBand="false" w:oddVBand="true" w:firstColumn="false"/>
            <w:tcW w:w="25.000000%" w:type="pct"/>
          </w:tcPr>
          <w:p>
            <w:pPr>
              <w:ind w:leftChars="0" w:left="0" w:right="0"/>
            </w:pPr>
            <w:r>
              <w:t>XTKA</w:t>
            </w:r>
          </w:p>
        </w:tc>
        <w:tc>
          <w:tcPr>
            <w:cnfStyle w:evenVBand="true" w:oddVBand="false" w:firstColumn="false"/>
            <w:tcW w:w="25.000000%" w:type="pct"/>
          </w:tcPr>
          <w:p>
            <w:pPr>
              <w:ind w:leftChars="0" w:left="0" w:right="0"/>
            </w:pPr>
            <w:r>
              <w:t>XTKA</w:t>
            </w:r>
          </w:p>
        </w:tc>
        <w:tc>
          <w:tcPr>
            <w:cnfStyle w:evenVBand="false" w:oddVBand="true" w:firstColumn="false"/>
            <w:tcW w:w="25.000000%" w:type="pct"/>
          </w:tcPr>
          <w:p>
            <w:pPr>
              <w:ind w:leftChars="0" w:left="0" w:right="0"/>
            </w:pPr>
            <w:r>
              <w:t>TOYOHASHI KANKEN TORIHIKIJO (DRIED COCOON EXCHANGE) - CHUBU COMMODITY EXCHANGE</w:t>
            </w:r>
          </w:p>
        </w:tc>
        <w:tc>
          <w:tcPr>
            <w:cnfStyle w:evenVBand="true" w:oddVBand="false" w:firstColumn="false"/>
            <w:tcW w:w="25.000000%" w:type="pct"/>
          </w:tcPr>
          <w:p>
            <w:pPr>
              <w:ind w:leftChars="0" w:left="0" w:right="0"/>
            </w:pPr>
            <w:r>
              <w:t>2490</w:t>
            </w:r>
          </w:p>
        </w:tc>
      </w:tr>
      <w:tr>
        <w:trPr>
          <w:cnfStyle w:evenHBand="true" w:oddHBand="false" w:firstRow="false"/>
        </w:trPr>
        <w:tc>
          <w:tcPr>
            <w:cnfStyle w:evenVBand="false" w:oddVBand="true" w:firstColumn="false"/>
            <w:tcW w:w="25.000000%" w:type="pct"/>
          </w:tcPr>
          <w:p>
            <w:pPr>
              <w:ind w:leftChars="0" w:left="0" w:right="0"/>
            </w:pPr>
            <w:r>
              <w:t>XTKO</w:t>
            </w:r>
          </w:p>
        </w:tc>
        <w:tc>
          <w:tcPr>
            <w:cnfStyle w:evenVBand="true" w:oddVBand="false" w:firstColumn="false"/>
            <w:tcW w:w="25.000000%" w:type="pct"/>
          </w:tcPr>
          <w:p>
            <w:pPr>
              <w:ind w:leftChars="0" w:left="0" w:right="0"/>
            </w:pPr>
            <w:r>
              <w:t>XTKO</w:t>
            </w:r>
          </w:p>
        </w:tc>
        <w:tc>
          <w:tcPr>
            <w:cnfStyle w:evenVBand="false" w:oddVBand="true" w:firstColumn="false"/>
            <w:tcW w:w="25.000000%" w:type="pct"/>
          </w:tcPr>
          <w:p>
            <w:pPr>
              <w:ind w:leftChars="0" w:left="0" w:right="0"/>
            </w:pPr>
            <w:r>
              <w:t>TOKYO GRAIN EXCHANGE</w:t>
            </w:r>
          </w:p>
        </w:tc>
        <w:tc>
          <w:tcPr>
            <w:cnfStyle w:evenVBand="true" w:oddVBand="false" w:firstColumn="false"/>
            <w:tcW w:w="25.000000%" w:type="pct"/>
          </w:tcPr>
          <w:p>
            <w:pPr>
              <w:ind w:leftChars="0" w:left="0" w:right="0"/>
            </w:pPr>
            <w:r>
              <w:t>2491</w:t>
            </w:r>
          </w:p>
        </w:tc>
      </w:tr>
      <w:tr>
        <w:trPr>
          <w:cnfStyle w:evenHBand="false" w:oddHBand="true" w:firstRow="false"/>
        </w:trPr>
        <w:tc>
          <w:tcPr>
            <w:cnfStyle w:evenVBand="false" w:oddVBand="true" w:firstColumn="false"/>
            <w:tcW w:w="25.000000%" w:type="pct"/>
          </w:tcPr>
          <w:p>
            <w:pPr>
              <w:ind w:leftChars="0" w:left="0" w:right="0"/>
            </w:pPr>
            <w:r>
              <w:t>XTKS</w:t>
            </w:r>
          </w:p>
        </w:tc>
        <w:tc>
          <w:tcPr>
            <w:cnfStyle w:evenVBand="true" w:oddVBand="false" w:firstColumn="false"/>
            <w:tcW w:w="25.000000%" w:type="pct"/>
          </w:tcPr>
          <w:p>
            <w:pPr>
              <w:ind w:leftChars="0" w:left="0" w:right="0"/>
            </w:pPr>
            <w:r>
              <w:t>XTKS</w:t>
            </w:r>
          </w:p>
        </w:tc>
        <w:tc>
          <w:tcPr>
            <w:cnfStyle w:evenVBand="false" w:oddVBand="true" w:firstColumn="false"/>
            <w:tcW w:w="25.000000%" w:type="pct"/>
          </w:tcPr>
          <w:p>
            <w:pPr>
              <w:ind w:leftChars="0" w:left="0" w:right="0"/>
            </w:pPr>
            <w:r>
              <w:t>TOKYO STOCK EXCHANGE</w:t>
            </w:r>
          </w:p>
        </w:tc>
        <w:tc>
          <w:tcPr>
            <w:cnfStyle w:evenVBand="true" w:oddVBand="false" w:firstColumn="false"/>
            <w:tcW w:w="25.000000%" w:type="pct"/>
          </w:tcPr>
          <w:p>
            <w:pPr>
              <w:ind w:leftChars="0" w:left="0" w:right="0"/>
            </w:pPr>
            <w:r>
              <w:t>2492</w:t>
            </w:r>
          </w:p>
        </w:tc>
      </w:tr>
      <w:tr>
        <w:trPr>
          <w:cnfStyle w:evenHBand="true" w:oddHBand="false" w:firstRow="false"/>
        </w:trPr>
        <w:tc>
          <w:tcPr>
            <w:cnfStyle w:evenVBand="false" w:oddVBand="true" w:firstColumn="false"/>
            <w:tcW w:w="25.000000%" w:type="pct"/>
          </w:tcPr>
          <w:p>
            <w:pPr>
              <w:ind w:leftChars="0" w:left="0" w:right="0"/>
            </w:pPr>
            <w:r>
              <w:t>XTKT</w:t>
            </w:r>
          </w:p>
        </w:tc>
        <w:tc>
          <w:tcPr>
            <w:cnfStyle w:evenVBand="true" w:oddVBand="false" w:firstColumn="false"/>
            <w:tcW w:w="25.000000%" w:type="pct"/>
          </w:tcPr>
          <w:p>
            <w:pPr>
              <w:ind w:leftChars="0" w:left="0" w:right="0"/>
            </w:pPr>
            <w:r>
              <w:t>XTKT</w:t>
            </w:r>
          </w:p>
        </w:tc>
        <w:tc>
          <w:tcPr>
            <w:cnfStyle w:evenVBand="false" w:oddVBand="true" w:firstColumn="false"/>
            <w:tcW w:w="25.000000%" w:type="pct"/>
          </w:tcPr>
          <w:p>
            <w:pPr>
              <w:ind w:leftChars="0" w:left="0" w:right="0"/>
            </w:pPr>
            <w:r>
              <w:t>TOKYO COMMODITY EXCHANGE</w:t>
            </w:r>
          </w:p>
        </w:tc>
        <w:tc>
          <w:tcPr>
            <w:cnfStyle w:evenVBand="true" w:oddVBand="false" w:firstColumn="false"/>
            <w:tcW w:w="25.000000%" w:type="pct"/>
          </w:tcPr>
          <w:p>
            <w:pPr>
              <w:ind w:leftChars="0" w:left="0" w:right="0"/>
            </w:pPr>
            <w:r>
              <w:t>2493</w:t>
            </w:r>
          </w:p>
        </w:tc>
      </w:tr>
      <w:tr>
        <w:trPr>
          <w:cnfStyle w:evenHBand="false" w:oddHBand="true" w:firstRow="false"/>
        </w:trPr>
        <w:tc>
          <w:tcPr>
            <w:cnfStyle w:evenVBand="false" w:oddVBand="true" w:firstColumn="false"/>
            <w:tcW w:w="25.000000%" w:type="pct"/>
          </w:tcPr>
          <w:p>
            <w:pPr>
              <w:ind w:leftChars="0" w:left="0" w:right="0"/>
            </w:pPr>
            <w:r>
              <w:t>XTLX</w:t>
            </w:r>
          </w:p>
        </w:tc>
        <w:tc>
          <w:tcPr>
            <w:cnfStyle w:evenVBand="true" w:oddVBand="false" w:firstColumn="false"/>
            <w:tcW w:w="25.000000%" w:type="pct"/>
          </w:tcPr>
          <w:p>
            <w:pPr>
              <w:ind w:leftChars="0" w:left="0" w:right="0"/>
            </w:pPr>
            <w:r>
              <w:t>XTLX</w:t>
            </w:r>
          </w:p>
        </w:tc>
        <w:tc>
          <w:tcPr>
            <w:cnfStyle w:evenVBand="false" w:oddVBand="true" w:firstColumn="false"/>
            <w:tcW w:w="25.000000%" w:type="pct"/>
          </w:tcPr>
          <w:p>
            <w:pPr>
              <w:ind w:leftChars="0" w:left="0" w:right="0"/>
            </w:pPr>
            <w:r>
              <w:t>TLX</w:t>
            </w:r>
          </w:p>
        </w:tc>
        <w:tc>
          <w:tcPr>
            <w:cnfStyle w:evenVBand="true" w:oddVBand="false" w:firstColumn="false"/>
            <w:tcW w:w="25.000000%" w:type="pct"/>
          </w:tcPr>
          <w:p>
            <w:pPr>
              <w:ind w:leftChars="0" w:left="0" w:right="0"/>
            </w:pPr>
            <w:r>
              <w:t>2494</w:t>
            </w:r>
          </w:p>
        </w:tc>
      </w:tr>
      <w:tr>
        <w:trPr>
          <w:cnfStyle w:evenHBand="true" w:oddHBand="false" w:firstRow="false"/>
        </w:trPr>
        <w:tc>
          <w:tcPr>
            <w:cnfStyle w:evenVBand="false" w:oddVBand="true" w:firstColumn="false"/>
            <w:tcW w:w="25.000000%" w:type="pct"/>
          </w:tcPr>
          <w:p>
            <w:pPr>
              <w:ind w:leftChars="0" w:left="0" w:right="0"/>
            </w:pPr>
            <w:r>
              <w:t>XTND</w:t>
            </w:r>
          </w:p>
        </w:tc>
        <w:tc>
          <w:tcPr>
            <w:cnfStyle w:evenVBand="true" w:oddVBand="false" w:firstColumn="false"/>
            <w:tcW w:w="25.000000%" w:type="pct"/>
          </w:tcPr>
          <w:p>
            <w:pPr>
              <w:ind w:leftChars="0" w:left="0" w:right="0"/>
            </w:pPr>
            <w:r>
              <w:t>XTND</w:t>
            </w:r>
          </w:p>
        </w:tc>
        <w:tc>
          <w:tcPr>
            <w:cnfStyle w:evenVBand="false" w:oddVBand="true" w:firstColumn="false"/>
            <w:tcW w:w="25.000000%" w:type="pct"/>
          </w:tcPr>
          <w:p>
            <w:pPr>
              <w:ind w:leftChars="0" w:left="0" w:right="0"/>
            </w:pPr>
            <w:r>
              <w:t>XTEND</w:t>
            </w:r>
          </w:p>
        </w:tc>
        <w:tc>
          <w:tcPr>
            <w:cnfStyle w:evenVBand="true" w:oddVBand="false" w:firstColumn="false"/>
            <w:tcW w:w="25.000000%" w:type="pct"/>
          </w:tcPr>
          <w:p>
            <w:pPr>
              <w:ind w:leftChars="0" w:left="0" w:right="0"/>
            </w:pPr>
            <w:r>
              <w:t>2495</w:t>
            </w:r>
          </w:p>
        </w:tc>
      </w:tr>
      <w:tr>
        <w:trPr>
          <w:cnfStyle w:evenHBand="false" w:oddHBand="true" w:firstRow="false"/>
        </w:trPr>
        <w:tc>
          <w:tcPr>
            <w:cnfStyle w:evenVBand="false" w:oddVBand="true" w:firstColumn="false"/>
            <w:tcW w:w="25.000000%" w:type="pct"/>
          </w:tcPr>
          <w:p>
            <w:pPr>
              <w:ind w:leftChars="0" w:left="0" w:right="0"/>
            </w:pPr>
            <w:r>
              <w:t>XTNX</w:t>
            </w:r>
          </w:p>
        </w:tc>
        <w:tc>
          <w:tcPr>
            <w:cnfStyle w:evenVBand="true" w:oddVBand="false" w:firstColumn="false"/>
            <w:tcW w:w="25.000000%" w:type="pct"/>
          </w:tcPr>
          <w:p>
            <w:pPr>
              <w:ind w:leftChars="0" w:left="0" w:right="0"/>
            </w:pPr>
            <w:r>
              <w:t>XTNX</w:t>
            </w:r>
          </w:p>
        </w:tc>
        <w:tc>
          <w:tcPr>
            <w:cnfStyle w:evenVBand="false" w:oddVBand="true" w:firstColumn="false"/>
            <w:tcW w:w="25.000000%" w:type="pct"/>
          </w:tcPr>
          <w:p>
            <w:pPr>
              <w:ind w:leftChars="0" w:left="0" w:right="0"/>
            </w:pPr>
            <w:r>
              <w:t>TSX VENTURE EXCHANGE - NEX</w:t>
            </w:r>
          </w:p>
        </w:tc>
        <w:tc>
          <w:tcPr>
            <w:cnfStyle w:evenVBand="true" w:oddVBand="false" w:firstColumn="false"/>
            <w:tcW w:w="25.000000%" w:type="pct"/>
          </w:tcPr>
          <w:p>
            <w:pPr>
              <w:ind w:leftChars="0" w:left="0" w:right="0"/>
            </w:pPr>
            <w:r>
              <w:t>2496</w:t>
            </w:r>
          </w:p>
        </w:tc>
      </w:tr>
      <w:tr>
        <w:trPr>
          <w:cnfStyle w:evenHBand="true" w:oddHBand="false" w:firstRow="false"/>
        </w:trPr>
        <w:tc>
          <w:tcPr>
            <w:cnfStyle w:evenVBand="false" w:oddVBand="true" w:firstColumn="false"/>
            <w:tcW w:w="25.000000%" w:type="pct"/>
          </w:tcPr>
          <w:p>
            <w:pPr>
              <w:ind w:leftChars="0" w:left="0" w:right="0"/>
            </w:pPr>
            <w:r>
              <w:t>XTOE</w:t>
            </w:r>
          </w:p>
        </w:tc>
        <w:tc>
          <w:tcPr>
            <w:cnfStyle w:evenVBand="true" w:oddVBand="false" w:firstColumn="false"/>
            <w:tcW w:w="25.000000%" w:type="pct"/>
          </w:tcPr>
          <w:p>
            <w:pPr>
              <w:ind w:leftChars="0" w:left="0" w:right="0"/>
            </w:pPr>
            <w:r>
              <w:t>XTOE</w:t>
            </w:r>
          </w:p>
        </w:tc>
        <w:tc>
          <w:tcPr>
            <w:cnfStyle w:evenVBand="false" w:oddVBand="true" w:firstColumn="false"/>
            <w:tcW w:w="25.000000%" w:type="pct"/>
          </w:tcPr>
          <w:p>
            <w:pPr>
              <w:ind w:leftChars="0" w:left="0" w:right="0"/>
            </w:pPr>
            <w:r>
              <w:t>TORONTO OPTIONS EXCHANGE</w:t>
            </w:r>
          </w:p>
        </w:tc>
        <w:tc>
          <w:tcPr>
            <w:cnfStyle w:evenVBand="true" w:oddVBand="false" w:firstColumn="false"/>
            <w:tcW w:w="25.000000%" w:type="pct"/>
          </w:tcPr>
          <w:p>
            <w:pPr>
              <w:ind w:leftChars="0" w:left="0" w:right="0"/>
            </w:pPr>
            <w:r>
              <w:t>2497</w:t>
            </w:r>
          </w:p>
        </w:tc>
      </w:tr>
      <w:tr>
        <w:trPr>
          <w:cnfStyle w:evenHBand="false" w:oddHBand="true" w:firstRow="false"/>
        </w:trPr>
        <w:tc>
          <w:tcPr>
            <w:cnfStyle w:evenVBand="false" w:oddVBand="true" w:firstColumn="false"/>
            <w:tcW w:w="25.000000%" w:type="pct"/>
          </w:tcPr>
          <w:p>
            <w:pPr>
              <w:ind w:leftChars="0" w:left="0" w:right="0"/>
            </w:pPr>
            <w:r>
              <w:t>XTPE</w:t>
            </w:r>
          </w:p>
        </w:tc>
        <w:tc>
          <w:tcPr>
            <w:cnfStyle w:evenVBand="true" w:oddVBand="false" w:firstColumn="false"/>
            <w:tcW w:w="25.000000%" w:type="pct"/>
          </w:tcPr>
          <w:p>
            <w:pPr>
              <w:ind w:leftChars="0" w:left="0" w:right="0"/>
            </w:pPr>
            <w:r>
              <w:t>XTPE</w:t>
            </w:r>
          </w:p>
        </w:tc>
        <w:tc>
          <w:tcPr>
            <w:cnfStyle w:evenVBand="false" w:oddVBand="true" w:firstColumn="false"/>
            <w:tcW w:w="25.000000%" w:type="pct"/>
          </w:tcPr>
          <w:p>
            <w:pPr>
              <w:ind w:leftChars="0" w:left="0" w:right="0"/>
            </w:pPr>
            <w:r>
              <w:t>TULLETT PREBON PLC - TP ENERGYTRADE</w:t>
            </w:r>
          </w:p>
        </w:tc>
        <w:tc>
          <w:tcPr>
            <w:cnfStyle w:evenVBand="true" w:oddVBand="false" w:firstColumn="false"/>
            <w:tcW w:w="25.000000%" w:type="pct"/>
          </w:tcPr>
          <w:p>
            <w:pPr>
              <w:ind w:leftChars="0" w:left="0" w:right="0"/>
            </w:pPr>
            <w:r>
              <w:t>2498</w:t>
            </w:r>
          </w:p>
        </w:tc>
      </w:tr>
      <w:tr>
        <w:trPr>
          <w:cnfStyle w:evenHBand="true" w:oddHBand="false" w:firstRow="false"/>
        </w:trPr>
        <w:tc>
          <w:tcPr>
            <w:cnfStyle w:evenVBand="false" w:oddVBand="true" w:firstColumn="false"/>
            <w:tcW w:w="25.000000%" w:type="pct"/>
          </w:tcPr>
          <w:p>
            <w:pPr>
              <w:ind w:leftChars="0" w:left="0" w:right="0"/>
            </w:pPr>
            <w:r>
              <w:t>XTPZ</w:t>
            </w:r>
          </w:p>
        </w:tc>
        <w:tc>
          <w:tcPr>
            <w:cnfStyle w:evenVBand="true" w:oddVBand="false" w:firstColumn="false"/>
            <w:tcW w:w="25.000000%" w:type="pct"/>
          </w:tcPr>
          <w:p>
            <w:pPr>
              <w:ind w:leftChars="0" w:left="0" w:right="0"/>
            </w:pPr>
            <w:r>
              <w:t>XTPZ</w:t>
            </w:r>
          </w:p>
        </w:tc>
        <w:tc>
          <w:tcPr>
            <w:cnfStyle w:evenVBand="false" w:oddVBand="true" w:firstColumn="false"/>
            <w:tcW w:w="25.000000%" w:type="pct"/>
          </w:tcPr>
          <w:p>
            <w:pPr>
              <w:ind w:leftChars="0" w:left="0" w:right="0"/>
            </w:pPr>
            <w:r>
              <w:t>INTERNATIONAL  SECURITIES EXCHANGE, LLC - TOPAZ</w:t>
            </w:r>
          </w:p>
        </w:tc>
        <w:tc>
          <w:tcPr>
            <w:cnfStyle w:evenVBand="true" w:oddVBand="false" w:firstColumn="false"/>
            <w:tcW w:w="25.000000%" w:type="pct"/>
          </w:tcPr>
          <w:p>
            <w:pPr>
              <w:ind w:leftChars="0" w:left="0" w:right="0"/>
            </w:pPr>
            <w:r>
              <w:t>2499</w:t>
            </w:r>
          </w:p>
        </w:tc>
      </w:tr>
      <w:tr>
        <w:trPr>
          <w:cnfStyle w:evenHBand="false" w:oddHBand="true" w:firstRow="false"/>
        </w:trPr>
        <w:tc>
          <w:tcPr>
            <w:cnfStyle w:evenVBand="false" w:oddVBand="true" w:firstColumn="false"/>
            <w:tcW w:w="25.000000%" w:type="pct"/>
          </w:tcPr>
          <w:p>
            <w:pPr>
              <w:ind w:leftChars="0" w:left="0" w:right="0"/>
            </w:pPr>
            <w:r>
              <w:t>XTRA</w:t>
            </w:r>
          </w:p>
        </w:tc>
        <w:tc>
          <w:tcPr>
            <w:cnfStyle w:evenVBand="true" w:oddVBand="false" w:firstColumn="false"/>
            <w:tcW w:w="25.000000%" w:type="pct"/>
          </w:tcPr>
          <w:p>
            <w:pPr>
              <w:ind w:leftChars="0" w:left="0" w:right="0"/>
            </w:pPr>
            <w:r>
              <w:t>XTRA</w:t>
            </w:r>
          </w:p>
        </w:tc>
        <w:tc>
          <w:tcPr>
            <w:cnfStyle w:evenVBand="false" w:oddVBand="true" w:firstColumn="false"/>
            <w:tcW w:w="25.000000%" w:type="pct"/>
          </w:tcPr>
          <w:p>
            <w:pPr>
              <w:ind w:leftChars="0" w:left="0" w:right="0"/>
            </w:pPr>
            <w:r>
              <w:t>XTRAMARKED</w:t>
            </w:r>
          </w:p>
        </w:tc>
        <w:tc>
          <w:tcPr>
            <w:cnfStyle w:evenVBand="true" w:oddVBand="false" w:firstColumn="false"/>
            <w:tcW w:w="25.000000%" w:type="pct"/>
          </w:tcPr>
          <w:p>
            <w:pPr>
              <w:ind w:leftChars="0" w:left="0" w:right="0"/>
            </w:pPr>
            <w:r>
              <w:t>2500</w:t>
            </w:r>
          </w:p>
        </w:tc>
      </w:tr>
      <w:tr>
        <w:trPr>
          <w:cnfStyle w:evenHBand="true" w:oddHBand="false" w:firstRow="false"/>
        </w:trPr>
        <w:tc>
          <w:tcPr>
            <w:cnfStyle w:evenVBand="false" w:oddVBand="true" w:firstColumn="false"/>
            <w:tcW w:w="25.000000%" w:type="pct"/>
          </w:tcPr>
          <w:p>
            <w:pPr>
              <w:ind w:leftChars="0" w:left="0" w:right="0"/>
            </w:pPr>
            <w:r>
              <w:t>XTRD</w:t>
            </w:r>
          </w:p>
        </w:tc>
        <w:tc>
          <w:tcPr>
            <w:cnfStyle w:evenVBand="true" w:oddVBand="false" w:firstColumn="false"/>
            <w:tcW w:w="25.000000%" w:type="pct"/>
          </w:tcPr>
          <w:p>
            <w:pPr>
              <w:ind w:leftChars="0" w:left="0" w:right="0"/>
            </w:pPr>
            <w:r>
              <w:t>XTRD</w:t>
            </w:r>
          </w:p>
        </w:tc>
        <w:tc>
          <w:tcPr>
            <w:cnfStyle w:evenVBand="false" w:oddVBand="true" w:firstColumn="false"/>
            <w:tcW w:w="25.000000%" w:type="pct"/>
          </w:tcPr>
          <w:p>
            <w:pPr>
              <w:ind w:leftChars="0" w:left="0" w:right="0"/>
            </w:pPr>
            <w:r>
              <w:t>XTRD</w:t>
            </w:r>
          </w:p>
        </w:tc>
        <w:tc>
          <w:tcPr>
            <w:cnfStyle w:evenVBand="true" w:oddVBand="false" w:firstColumn="false"/>
            <w:tcW w:w="25.000000%" w:type="pct"/>
          </w:tcPr>
          <w:p>
            <w:pPr>
              <w:ind w:leftChars="0" w:left="0" w:right="0"/>
            </w:pPr>
            <w:r>
              <w:t>2501</w:t>
            </w:r>
          </w:p>
        </w:tc>
      </w:tr>
      <w:tr>
        <w:trPr>
          <w:cnfStyle w:evenHBand="false" w:oddHBand="true" w:firstRow="false"/>
        </w:trPr>
        <w:tc>
          <w:tcPr>
            <w:cnfStyle w:evenVBand="false" w:oddVBand="true" w:firstColumn="false"/>
            <w:tcW w:w="25.000000%" w:type="pct"/>
          </w:tcPr>
          <w:p>
            <w:pPr>
              <w:ind w:leftChars="0" w:left="0" w:right="0"/>
            </w:pPr>
            <w:r>
              <w:t>XTRN</w:t>
            </w:r>
          </w:p>
        </w:tc>
        <w:tc>
          <w:tcPr>
            <w:cnfStyle w:evenVBand="true" w:oddVBand="false" w:firstColumn="false"/>
            <w:tcW w:w="25.000000%" w:type="pct"/>
          </w:tcPr>
          <w:p>
            <w:pPr>
              <w:ind w:leftChars="0" w:left="0" w:right="0"/>
            </w:pPr>
            <w:r>
              <w:t>XTRN</w:t>
            </w:r>
          </w:p>
        </w:tc>
        <w:tc>
          <w:tcPr>
            <w:cnfStyle w:evenVBand="false" w:oddVBand="true" w:firstColumn="false"/>
            <w:tcW w:w="25.000000%" w:type="pct"/>
          </w:tcPr>
          <w:p>
            <w:pPr>
              <w:ind w:leftChars="0" w:left="0" w:right="0"/>
            </w:pPr>
            <w:r>
              <w:t>TRINIDAD AND TOBAGO STOCK EXCHANGE</w:t>
            </w:r>
          </w:p>
        </w:tc>
        <w:tc>
          <w:tcPr>
            <w:cnfStyle w:evenVBand="true" w:oddVBand="false" w:firstColumn="false"/>
            <w:tcW w:w="25.000000%" w:type="pct"/>
          </w:tcPr>
          <w:p>
            <w:pPr>
              <w:ind w:leftChars="0" w:left="0" w:right="0"/>
            </w:pPr>
            <w:r>
              <w:t>2502</w:t>
            </w:r>
          </w:p>
        </w:tc>
      </w:tr>
      <w:tr>
        <w:trPr>
          <w:cnfStyle w:evenHBand="true" w:oddHBand="false" w:firstRow="false"/>
        </w:trPr>
        <w:tc>
          <w:tcPr>
            <w:cnfStyle w:evenVBand="false" w:oddVBand="true" w:firstColumn="false"/>
            <w:tcW w:w="25.000000%" w:type="pct"/>
          </w:tcPr>
          <w:p>
            <w:pPr>
              <w:ind w:leftChars="0" w:left="0" w:right="0"/>
            </w:pPr>
            <w:r>
              <w:t>XTRZ</w:t>
            </w:r>
          </w:p>
        </w:tc>
        <w:tc>
          <w:tcPr>
            <w:cnfStyle w:evenVBand="true" w:oddVBand="false" w:firstColumn="false"/>
            <w:tcW w:w="25.000000%" w:type="pct"/>
          </w:tcPr>
          <w:p>
            <w:pPr>
              <w:ind w:leftChars="0" w:left="0" w:right="0"/>
            </w:pPr>
            <w:r>
              <w:t>XTRZ</w:t>
            </w:r>
          </w:p>
        </w:tc>
        <w:tc>
          <w:tcPr>
            <w:cnfStyle w:evenVBand="false" w:oddVBand="true" w:firstColumn="false"/>
            <w:tcW w:w="25.000000%" w:type="pct"/>
          </w:tcPr>
          <w:p>
            <w:pPr>
              <w:ind w:leftChars="0" w:left="0" w:right="0"/>
            </w:pPr>
            <w:r>
              <w:t>ZAGREB MONEY AND SHORT TERM SECURITIES MARKET INC</w:t>
            </w:r>
          </w:p>
        </w:tc>
        <w:tc>
          <w:tcPr>
            <w:cnfStyle w:evenVBand="true" w:oddVBand="false" w:firstColumn="false"/>
            <w:tcW w:w="25.000000%" w:type="pct"/>
          </w:tcPr>
          <w:p>
            <w:pPr>
              <w:ind w:leftChars="0" w:left="0" w:right="0"/>
            </w:pPr>
            <w:r>
              <w:t>2503</w:t>
            </w:r>
          </w:p>
        </w:tc>
      </w:tr>
      <w:tr>
        <w:trPr>
          <w:cnfStyle w:evenHBand="false" w:oddHBand="true" w:firstRow="false"/>
        </w:trPr>
        <w:tc>
          <w:tcPr>
            <w:cnfStyle w:evenVBand="false" w:oddVBand="true" w:firstColumn="false"/>
            <w:tcW w:w="25.000000%" w:type="pct"/>
          </w:tcPr>
          <w:p>
            <w:pPr>
              <w:ind w:leftChars="0" w:left="0" w:right="0"/>
            </w:pPr>
            <w:r>
              <w:t>XTSE</w:t>
            </w:r>
          </w:p>
        </w:tc>
        <w:tc>
          <w:tcPr>
            <w:cnfStyle w:evenVBand="true" w:oddVBand="false" w:firstColumn="false"/>
            <w:tcW w:w="25.000000%" w:type="pct"/>
          </w:tcPr>
          <w:p>
            <w:pPr>
              <w:ind w:leftChars="0" w:left="0" w:right="0"/>
            </w:pPr>
            <w:r>
              <w:t>XTSE</w:t>
            </w:r>
          </w:p>
        </w:tc>
        <w:tc>
          <w:tcPr>
            <w:cnfStyle w:evenVBand="false" w:oddVBand="true" w:firstColumn="false"/>
            <w:tcW w:w="25.000000%" w:type="pct"/>
          </w:tcPr>
          <w:p>
            <w:pPr>
              <w:ind w:leftChars="0" w:left="0" w:right="0"/>
            </w:pPr>
            <w:r>
              <w:t>TORONTO STOCK EXCHANGE</w:t>
            </w:r>
          </w:p>
        </w:tc>
        <w:tc>
          <w:tcPr>
            <w:cnfStyle w:evenVBand="true" w:oddVBand="false" w:firstColumn="false"/>
            <w:tcW w:w="25.000000%" w:type="pct"/>
          </w:tcPr>
          <w:p>
            <w:pPr>
              <w:ind w:leftChars="0" w:left="0" w:right="0"/>
            </w:pPr>
            <w:r>
              <w:t>2504</w:t>
            </w:r>
          </w:p>
        </w:tc>
      </w:tr>
      <w:tr>
        <w:trPr>
          <w:cnfStyle w:evenHBand="true" w:oddHBand="false" w:firstRow="false"/>
        </w:trPr>
        <w:tc>
          <w:tcPr>
            <w:cnfStyle w:evenVBand="false" w:oddVBand="true" w:firstColumn="false"/>
            <w:tcW w:w="25.000000%" w:type="pct"/>
          </w:tcPr>
          <w:p>
            <w:pPr>
              <w:ind w:leftChars="0" w:left="0" w:right="0"/>
            </w:pPr>
            <w:r>
              <w:t>XTSX</w:t>
            </w:r>
          </w:p>
        </w:tc>
        <w:tc>
          <w:tcPr>
            <w:cnfStyle w:evenVBand="true" w:oddVBand="false" w:firstColumn="false"/>
            <w:tcW w:w="25.000000%" w:type="pct"/>
          </w:tcPr>
          <w:p>
            <w:pPr>
              <w:ind w:leftChars="0" w:left="0" w:right="0"/>
            </w:pPr>
            <w:r>
              <w:t>XTSX</w:t>
            </w:r>
          </w:p>
        </w:tc>
        <w:tc>
          <w:tcPr>
            <w:cnfStyle w:evenVBand="false" w:oddVBand="true" w:firstColumn="false"/>
            <w:tcW w:w="25.000000%" w:type="pct"/>
          </w:tcPr>
          <w:p>
            <w:pPr>
              <w:ind w:leftChars="0" w:left="0" w:right="0"/>
            </w:pPr>
            <w:r>
              <w:t>TSX VENTURE EXCHANGE</w:t>
            </w:r>
          </w:p>
        </w:tc>
        <w:tc>
          <w:tcPr>
            <w:cnfStyle w:evenVBand="true" w:oddVBand="false" w:firstColumn="false"/>
            <w:tcW w:w="25.000000%" w:type="pct"/>
          </w:tcPr>
          <w:p>
            <w:pPr>
              <w:ind w:leftChars="0" w:left="0" w:right="0"/>
            </w:pPr>
            <w:r>
              <w:t>2505</w:t>
            </w:r>
          </w:p>
        </w:tc>
      </w:tr>
      <w:tr>
        <w:trPr>
          <w:cnfStyle w:evenHBand="false" w:oddHBand="true" w:firstRow="false"/>
        </w:trPr>
        <w:tc>
          <w:tcPr>
            <w:cnfStyle w:evenVBand="false" w:oddVBand="true" w:firstColumn="false"/>
            <w:tcW w:w="25.000000%" w:type="pct"/>
          </w:tcPr>
          <w:p>
            <w:pPr>
              <w:ind w:leftChars="0" w:left="0" w:right="0"/>
            </w:pPr>
            <w:r>
              <w:t>XTUC</w:t>
            </w:r>
          </w:p>
        </w:tc>
        <w:tc>
          <w:tcPr>
            <w:cnfStyle w:evenVBand="true" w:oddVBand="false" w:firstColumn="false"/>
            <w:tcW w:w="25.000000%" w:type="pct"/>
          </w:tcPr>
          <w:p>
            <w:pPr>
              <w:ind w:leftChars="0" w:left="0" w:right="0"/>
            </w:pPr>
            <w:r>
              <w:t>XTUC</w:t>
            </w:r>
          </w:p>
        </w:tc>
        <w:tc>
          <w:tcPr>
            <w:cnfStyle w:evenVBand="false" w:oddVBand="true" w:firstColumn="false"/>
            <w:tcW w:w="25.000000%" w:type="pct"/>
          </w:tcPr>
          <w:p>
            <w:pPr>
              <w:ind w:leftChars="0" w:left="0" w:right="0"/>
            </w:pPr>
            <w:r>
              <w:t>NUEVA BOLSA DE COMERCIO DE TUCUMAN S.A.</w:t>
            </w:r>
          </w:p>
        </w:tc>
        <w:tc>
          <w:tcPr>
            <w:cnfStyle w:evenVBand="true" w:oddVBand="false" w:firstColumn="false"/>
            <w:tcW w:w="25.000000%" w:type="pct"/>
          </w:tcPr>
          <w:p>
            <w:pPr>
              <w:ind w:leftChars="0" w:left="0" w:right="0"/>
            </w:pPr>
            <w:r>
              <w:t>2506</w:t>
            </w:r>
          </w:p>
        </w:tc>
      </w:tr>
      <w:tr>
        <w:trPr>
          <w:cnfStyle w:evenHBand="true" w:oddHBand="false" w:firstRow="false"/>
        </w:trPr>
        <w:tc>
          <w:tcPr>
            <w:cnfStyle w:evenVBand="false" w:oddVBand="true" w:firstColumn="false"/>
            <w:tcW w:w="25.000000%" w:type="pct"/>
          </w:tcPr>
          <w:p>
            <w:pPr>
              <w:ind w:leftChars="0" w:left="0" w:right="0"/>
            </w:pPr>
            <w:r>
              <w:t>XTUN</w:t>
            </w:r>
          </w:p>
        </w:tc>
        <w:tc>
          <w:tcPr>
            <w:cnfStyle w:evenVBand="true" w:oddVBand="false" w:firstColumn="false"/>
            <w:tcW w:w="25.000000%" w:type="pct"/>
          </w:tcPr>
          <w:p>
            <w:pPr>
              <w:ind w:leftChars="0" w:left="0" w:right="0"/>
            </w:pPr>
            <w:r>
              <w:t>XTUN</w:t>
            </w:r>
          </w:p>
        </w:tc>
        <w:tc>
          <w:tcPr>
            <w:cnfStyle w:evenVBand="false" w:oddVBand="true" w:firstColumn="false"/>
            <w:tcW w:w="25.000000%" w:type="pct"/>
          </w:tcPr>
          <w:p>
            <w:pPr>
              <w:ind w:leftChars="0" w:left="0" w:right="0"/>
            </w:pPr>
            <w:r>
              <w:t>TUNIS STOCK EXCHANGE (BOURSE DE TUNIS)</w:t>
            </w:r>
          </w:p>
        </w:tc>
        <w:tc>
          <w:tcPr>
            <w:cnfStyle w:evenVBand="true" w:oddVBand="false" w:firstColumn="false"/>
            <w:tcW w:w="25.000000%" w:type="pct"/>
          </w:tcPr>
          <w:p>
            <w:pPr>
              <w:ind w:leftChars="0" w:left="0" w:right="0"/>
            </w:pPr>
            <w:r>
              <w:t>2507</w:t>
            </w:r>
          </w:p>
        </w:tc>
      </w:tr>
      <w:tr>
        <w:trPr>
          <w:cnfStyle w:evenHBand="false" w:oddHBand="true" w:firstRow="false"/>
        </w:trPr>
        <w:tc>
          <w:tcPr>
            <w:cnfStyle w:evenVBand="false" w:oddVBand="true" w:firstColumn="false"/>
            <w:tcW w:w="25.000000%" w:type="pct"/>
          </w:tcPr>
          <w:p>
            <w:pPr>
              <w:ind w:leftChars="0" w:left="0" w:right="0"/>
            </w:pPr>
            <w:r>
              <w:t>XTUP</w:t>
            </w:r>
          </w:p>
        </w:tc>
        <w:tc>
          <w:tcPr>
            <w:cnfStyle w:evenVBand="true" w:oddVBand="false" w:firstColumn="false"/>
            <w:tcW w:w="25.000000%" w:type="pct"/>
          </w:tcPr>
          <w:p>
            <w:pPr>
              <w:ind w:leftChars="0" w:left="0" w:right="0"/>
            </w:pPr>
            <w:r>
              <w:t>XTUP</w:t>
            </w:r>
          </w:p>
        </w:tc>
        <w:tc>
          <w:tcPr>
            <w:cnfStyle w:evenVBand="false" w:oddVBand="true" w:firstColumn="false"/>
            <w:tcW w:w="25.000000%" w:type="pct"/>
          </w:tcPr>
          <w:p>
            <w:pPr>
              <w:ind w:leftChars="0" w:left="0" w:right="0"/>
            </w:pPr>
            <w:r>
              <w:t>TULLETT PREBON PLC</w:t>
            </w:r>
          </w:p>
        </w:tc>
        <w:tc>
          <w:tcPr>
            <w:cnfStyle w:evenVBand="true" w:oddVBand="false" w:firstColumn="false"/>
            <w:tcW w:w="25.000000%" w:type="pct"/>
          </w:tcPr>
          <w:p>
            <w:pPr>
              <w:ind w:leftChars="0" w:left="0" w:right="0"/>
            </w:pPr>
            <w:r>
              <w:t>2508</w:t>
            </w:r>
          </w:p>
        </w:tc>
      </w:tr>
      <w:tr>
        <w:trPr>
          <w:cnfStyle w:evenHBand="true" w:oddHBand="false" w:firstRow="false"/>
        </w:trPr>
        <w:tc>
          <w:tcPr>
            <w:cnfStyle w:evenVBand="false" w:oddVBand="true" w:firstColumn="false"/>
            <w:tcW w:w="25.000000%" w:type="pct"/>
          </w:tcPr>
          <w:p>
            <w:pPr>
              <w:ind w:leftChars="0" w:left="0" w:right="0"/>
            </w:pPr>
            <w:r>
              <w:t>XTUR</w:t>
            </w:r>
          </w:p>
        </w:tc>
        <w:tc>
          <w:tcPr>
            <w:cnfStyle w:evenVBand="true" w:oddVBand="false" w:firstColumn="false"/>
            <w:tcW w:w="25.000000%" w:type="pct"/>
          </w:tcPr>
          <w:p>
            <w:pPr>
              <w:ind w:leftChars="0" w:left="0" w:right="0"/>
            </w:pPr>
            <w:r>
              <w:t>XTUR</w:t>
            </w:r>
          </w:p>
        </w:tc>
        <w:tc>
          <w:tcPr>
            <w:cnfStyle w:evenVBand="false" w:oddVBand="true" w:firstColumn="false"/>
            <w:tcW w:w="25.000000%" w:type="pct"/>
          </w:tcPr>
          <w:p>
            <w:pPr>
              <w:ind w:leftChars="0" w:left="0" w:right="0"/>
            </w:pPr>
            <w:r>
              <w:t>TURKISH DERIVATIVES EXCHANGE</w:t>
            </w:r>
          </w:p>
        </w:tc>
        <w:tc>
          <w:tcPr>
            <w:cnfStyle w:evenVBand="true" w:oddVBand="false" w:firstColumn="false"/>
            <w:tcW w:w="25.000000%" w:type="pct"/>
          </w:tcPr>
          <w:p>
            <w:pPr>
              <w:ind w:leftChars="0" w:left="0" w:right="0"/>
            </w:pPr>
            <w:r>
              <w:t>2509</w:t>
            </w:r>
          </w:p>
        </w:tc>
      </w:tr>
      <w:tr>
        <w:trPr>
          <w:cnfStyle w:evenHBand="false" w:oddHBand="true" w:firstRow="false"/>
        </w:trPr>
        <w:tc>
          <w:tcPr>
            <w:cnfStyle w:evenVBand="false" w:oddVBand="true" w:firstColumn="false"/>
            <w:tcW w:w="25.000000%" w:type="pct"/>
          </w:tcPr>
          <w:p>
            <w:pPr>
              <w:ind w:leftChars="0" w:left="0" w:right="0"/>
            </w:pPr>
            <w:r>
              <w:t>XTXD</w:t>
            </w:r>
          </w:p>
        </w:tc>
        <w:tc>
          <w:tcPr>
            <w:cnfStyle w:evenVBand="true" w:oddVBand="false" w:firstColumn="false"/>
            <w:tcW w:w="25.000000%" w:type="pct"/>
          </w:tcPr>
          <w:p>
            <w:pPr>
              <w:ind w:leftChars="0" w:left="0" w:right="0"/>
            </w:pPr>
            <w:r>
              <w:t>XTXD</w:t>
            </w:r>
          </w:p>
        </w:tc>
        <w:tc>
          <w:tcPr>
            <w:cnfStyle w:evenVBand="false" w:oddVBand="true" w:firstColumn="false"/>
            <w:tcW w:w="25.000000%" w:type="pct"/>
          </w:tcPr>
          <w:p>
            <w:pPr>
              <w:ind w:leftChars="0" w:left="0" w:right="0"/>
            </w:pPr>
            <w:r>
              <w:t>XTX DIRECT</w:t>
            </w:r>
          </w:p>
        </w:tc>
        <w:tc>
          <w:tcPr>
            <w:cnfStyle w:evenVBand="true" w:oddVBand="false" w:firstColumn="false"/>
            <w:tcW w:w="25.000000%" w:type="pct"/>
          </w:tcPr>
          <w:p>
            <w:pPr>
              <w:ind w:leftChars="0" w:left="0" w:right="0"/>
            </w:pPr>
            <w:r>
              <w:t>2510</w:t>
            </w:r>
          </w:p>
        </w:tc>
      </w:tr>
      <w:tr>
        <w:trPr>
          <w:cnfStyle w:evenHBand="true" w:oddHBand="false" w:firstRow="false"/>
        </w:trPr>
        <w:tc>
          <w:tcPr>
            <w:cnfStyle w:evenVBand="false" w:oddVBand="true" w:firstColumn="false"/>
            <w:tcW w:w="25.000000%" w:type="pct"/>
          </w:tcPr>
          <w:p>
            <w:pPr>
              <w:ind w:leftChars="0" w:left="0" w:right="0"/>
            </w:pPr>
            <w:r>
              <w:t>XTXE</w:t>
            </w:r>
          </w:p>
        </w:tc>
        <w:tc>
          <w:tcPr>
            <w:cnfStyle w:evenVBand="true" w:oddVBand="false" w:firstColumn="false"/>
            <w:tcW w:w="25.000000%" w:type="pct"/>
          </w:tcPr>
          <w:p>
            <w:pPr>
              <w:ind w:leftChars="0" w:left="0" w:right="0"/>
            </w:pPr>
            <w:r>
              <w:t>XTXE</w:t>
            </w:r>
          </w:p>
        </w:tc>
        <w:tc>
          <w:tcPr>
            <w:cnfStyle w:evenVBand="false" w:oddVBand="true" w:firstColumn="false"/>
            <w:tcW w:w="25.000000%" w:type="pct"/>
          </w:tcPr>
          <w:p>
            <w:pPr>
              <w:ind w:leftChars="0" w:left="0" w:right="0"/>
            </w:pPr>
            <w:r>
              <w:t>XTX MARKETS SAS</w:t>
            </w:r>
          </w:p>
        </w:tc>
        <w:tc>
          <w:tcPr>
            <w:cnfStyle w:evenVBand="true" w:oddVBand="false" w:firstColumn="false"/>
            <w:tcW w:w="25.000000%" w:type="pct"/>
          </w:tcPr>
          <w:p>
            <w:pPr>
              <w:ind w:leftChars="0" w:left="0" w:right="0"/>
            </w:pPr>
            <w:r>
              <w:t>2511</w:t>
            </w:r>
          </w:p>
        </w:tc>
      </w:tr>
      <w:tr>
        <w:trPr>
          <w:cnfStyle w:evenHBand="false" w:oddHBand="true" w:firstRow="false"/>
        </w:trPr>
        <w:tc>
          <w:tcPr>
            <w:cnfStyle w:evenVBand="false" w:oddVBand="true" w:firstColumn="false"/>
            <w:tcW w:w="25.000000%" w:type="pct"/>
          </w:tcPr>
          <w:p>
            <w:pPr>
              <w:ind w:leftChars="0" w:left="0" w:right="0"/>
            </w:pPr>
            <w:r>
              <w:t>XTXM</w:t>
            </w:r>
          </w:p>
        </w:tc>
        <w:tc>
          <w:tcPr>
            <w:cnfStyle w:evenVBand="true" w:oddVBand="false" w:firstColumn="false"/>
            <w:tcW w:w="25.000000%" w:type="pct"/>
          </w:tcPr>
          <w:p>
            <w:pPr>
              <w:ind w:leftChars="0" w:left="0" w:right="0"/>
            </w:pPr>
            <w:r>
              <w:t>XTXM</w:t>
            </w:r>
          </w:p>
        </w:tc>
        <w:tc>
          <w:tcPr>
            <w:cnfStyle w:evenVBand="false" w:oddVBand="true" w:firstColumn="false"/>
            <w:tcW w:w="25.000000%" w:type="pct"/>
          </w:tcPr>
          <w:p>
            <w:pPr>
              <w:ind w:leftChars="0" w:left="0" w:right="0"/>
            </w:pPr>
            <w:r>
              <w:t>XTX MARKETS</w:t>
            </w:r>
          </w:p>
        </w:tc>
        <w:tc>
          <w:tcPr>
            <w:cnfStyle w:evenVBand="true" w:oddVBand="false" w:firstColumn="false"/>
            <w:tcW w:w="25.000000%" w:type="pct"/>
          </w:tcPr>
          <w:p>
            <w:pPr>
              <w:ind w:leftChars="0" w:left="0" w:right="0"/>
            </w:pPr>
            <w:r>
              <w:t>2512</w:t>
            </w:r>
          </w:p>
        </w:tc>
      </w:tr>
      <w:tr>
        <w:trPr>
          <w:cnfStyle w:evenHBand="true" w:oddHBand="false" w:firstRow="false"/>
        </w:trPr>
        <w:tc>
          <w:tcPr>
            <w:cnfStyle w:evenVBand="false" w:oddVBand="true" w:firstColumn="false"/>
            <w:tcW w:w="25.000000%" w:type="pct"/>
          </w:tcPr>
          <w:p>
            <w:pPr>
              <w:ind w:leftChars="0" w:left="0" w:right="0"/>
            </w:pPr>
            <w:r>
              <w:t>XUAX</w:t>
            </w:r>
          </w:p>
        </w:tc>
        <w:tc>
          <w:tcPr>
            <w:cnfStyle w:evenVBand="true" w:oddVBand="false" w:firstColumn="false"/>
            <w:tcW w:w="25.000000%" w:type="pct"/>
          </w:tcPr>
          <w:p>
            <w:pPr>
              <w:ind w:leftChars="0" w:left="0" w:right="0"/>
            </w:pPr>
            <w:r>
              <w:t>XUAX</w:t>
            </w:r>
          </w:p>
        </w:tc>
        <w:tc>
          <w:tcPr>
            <w:cnfStyle w:evenVBand="false" w:oddVBand="true" w:firstColumn="false"/>
            <w:tcW w:w="25.000000%" w:type="pct"/>
          </w:tcPr>
          <w:p>
            <w:pPr>
              <w:ind w:leftChars="0" w:left="0" w:right="0"/>
            </w:pPr>
            <w:r>
              <w:t>UKRAINIAN STOCK EXCHANGE</w:t>
            </w:r>
          </w:p>
        </w:tc>
        <w:tc>
          <w:tcPr>
            <w:cnfStyle w:evenVBand="true" w:oddVBand="false" w:firstColumn="false"/>
            <w:tcW w:w="25.000000%" w:type="pct"/>
          </w:tcPr>
          <w:p>
            <w:pPr>
              <w:ind w:leftChars="0" w:left="0" w:right="0"/>
            </w:pPr>
            <w:r>
              <w:t>2513</w:t>
            </w:r>
          </w:p>
        </w:tc>
      </w:tr>
      <w:tr>
        <w:trPr>
          <w:cnfStyle w:evenHBand="false" w:oddHBand="true" w:firstRow="false"/>
        </w:trPr>
        <w:tc>
          <w:tcPr>
            <w:cnfStyle w:evenVBand="false" w:oddVBand="true" w:firstColumn="false"/>
            <w:tcW w:w="25.000000%" w:type="pct"/>
          </w:tcPr>
          <w:p>
            <w:pPr>
              <w:ind w:leftChars="0" w:left="0" w:right="0"/>
            </w:pPr>
            <w:r>
              <w:t>XUBS</w:t>
            </w:r>
          </w:p>
        </w:tc>
        <w:tc>
          <w:tcPr>
            <w:cnfStyle w:evenVBand="true" w:oddVBand="false" w:firstColumn="false"/>
            <w:tcW w:w="25.000000%" w:type="pct"/>
          </w:tcPr>
          <w:p>
            <w:pPr>
              <w:ind w:leftChars="0" w:left="0" w:right="0"/>
            </w:pPr>
            <w:r>
              <w:t>XUBS</w:t>
            </w:r>
          </w:p>
        </w:tc>
        <w:tc>
          <w:tcPr>
            <w:cnfStyle w:evenVBand="false" w:oddVBand="true" w:firstColumn="false"/>
            <w:tcW w:w="25.000000%" w:type="pct"/>
          </w:tcPr>
          <w:p>
            <w:pPr>
              <w:ind w:leftChars="0" w:left="0" w:right="0"/>
            </w:pPr>
            <w:r>
              <w:t>AQUIS EXCHANGE PLC - AMP - DARK ORDER BOOK</w:t>
            </w:r>
          </w:p>
        </w:tc>
        <w:tc>
          <w:tcPr>
            <w:cnfStyle w:evenVBand="true" w:oddVBand="false" w:firstColumn="false"/>
            <w:tcW w:w="25.000000%" w:type="pct"/>
          </w:tcPr>
          <w:p>
            <w:pPr>
              <w:ind w:leftChars="0" w:left="0" w:right="0"/>
            </w:pPr>
            <w:r>
              <w:t>2514</w:t>
            </w:r>
          </w:p>
        </w:tc>
      </w:tr>
      <w:tr>
        <w:trPr>
          <w:cnfStyle w:evenHBand="true" w:oddHBand="false" w:firstRow="false"/>
        </w:trPr>
        <w:tc>
          <w:tcPr>
            <w:cnfStyle w:evenVBand="false" w:oddVBand="true" w:firstColumn="false"/>
            <w:tcW w:w="25.000000%" w:type="pct"/>
          </w:tcPr>
          <w:p>
            <w:pPr>
              <w:ind w:leftChars="0" w:left="0" w:right="0"/>
            </w:pPr>
            <w:r>
              <w:t>XUGA</w:t>
            </w:r>
          </w:p>
        </w:tc>
        <w:tc>
          <w:tcPr>
            <w:cnfStyle w:evenVBand="true" w:oddVBand="false" w:firstColumn="false"/>
            <w:tcW w:w="25.000000%" w:type="pct"/>
          </w:tcPr>
          <w:p>
            <w:pPr>
              <w:ind w:leftChars="0" w:left="0" w:right="0"/>
            </w:pPr>
            <w:r>
              <w:t>XUGA</w:t>
            </w:r>
          </w:p>
        </w:tc>
        <w:tc>
          <w:tcPr>
            <w:cnfStyle w:evenVBand="false" w:oddVBand="true" w:firstColumn="false"/>
            <w:tcW w:w="25.000000%" w:type="pct"/>
          </w:tcPr>
          <w:p>
            <w:pPr>
              <w:ind w:leftChars="0" w:left="0" w:right="0"/>
            </w:pPr>
            <w:r>
              <w:t>UGANDA SECURITIES EXCHANGE</w:t>
            </w:r>
          </w:p>
        </w:tc>
        <w:tc>
          <w:tcPr>
            <w:cnfStyle w:evenVBand="true" w:oddVBand="false" w:firstColumn="false"/>
            <w:tcW w:w="25.000000%" w:type="pct"/>
          </w:tcPr>
          <w:p>
            <w:pPr>
              <w:ind w:leftChars="0" w:left="0" w:right="0"/>
            </w:pPr>
            <w:r>
              <w:t>2515</w:t>
            </w:r>
          </w:p>
        </w:tc>
      </w:tr>
      <w:tr>
        <w:trPr>
          <w:cnfStyle w:evenHBand="false" w:oddHBand="true" w:firstRow="false"/>
        </w:trPr>
        <w:tc>
          <w:tcPr>
            <w:cnfStyle w:evenVBand="false" w:oddVBand="true" w:firstColumn="false"/>
            <w:tcW w:w="25.000000%" w:type="pct"/>
          </w:tcPr>
          <w:p>
            <w:pPr>
              <w:ind w:leftChars="0" w:left="0" w:right="0"/>
            </w:pPr>
            <w:r>
              <w:t>XUKR</w:t>
            </w:r>
          </w:p>
        </w:tc>
        <w:tc>
          <w:tcPr>
            <w:cnfStyle w:evenVBand="true" w:oddVBand="false" w:firstColumn="false"/>
            <w:tcW w:w="25.000000%" w:type="pct"/>
          </w:tcPr>
          <w:p>
            <w:pPr>
              <w:ind w:leftChars="0" w:left="0" w:right="0"/>
            </w:pPr>
            <w:r>
              <w:t>XUKR</w:t>
            </w:r>
          </w:p>
        </w:tc>
        <w:tc>
          <w:tcPr>
            <w:cnfStyle w:evenVBand="false" w:oddVBand="true" w:firstColumn="false"/>
            <w:tcW w:w="25.000000%" w:type="pct"/>
          </w:tcPr>
          <w:p>
            <w:pPr>
              <w:ind w:leftChars="0" w:left="0" w:right="0"/>
            </w:pPr>
            <w:r>
              <w:t>UKRAINIAN UNIVERSAL COMMODITY EXCHANGE</w:t>
            </w:r>
          </w:p>
        </w:tc>
        <w:tc>
          <w:tcPr>
            <w:cnfStyle w:evenVBand="true" w:oddVBand="false" w:firstColumn="false"/>
            <w:tcW w:w="25.000000%" w:type="pct"/>
          </w:tcPr>
          <w:p>
            <w:pPr>
              <w:ind w:leftChars="0" w:left="0" w:right="0"/>
            </w:pPr>
            <w:r>
              <w:t>2516</w:t>
            </w:r>
          </w:p>
        </w:tc>
      </w:tr>
      <w:tr>
        <w:trPr>
          <w:cnfStyle w:evenHBand="true" w:oddHBand="false" w:firstRow="false"/>
        </w:trPr>
        <w:tc>
          <w:tcPr>
            <w:cnfStyle w:evenVBand="false" w:oddVBand="true" w:firstColumn="false"/>
            <w:tcW w:w="25.000000%" w:type="pct"/>
          </w:tcPr>
          <w:p>
            <w:pPr>
              <w:ind w:leftChars="0" w:left="0" w:right="0"/>
            </w:pPr>
            <w:r>
              <w:t>XULA</w:t>
            </w:r>
          </w:p>
        </w:tc>
        <w:tc>
          <w:tcPr>
            <w:cnfStyle w:evenVBand="true" w:oddVBand="false" w:firstColumn="false"/>
            <w:tcW w:w="25.000000%" w:type="pct"/>
          </w:tcPr>
          <w:p>
            <w:pPr>
              <w:ind w:leftChars="0" w:left="0" w:right="0"/>
            </w:pPr>
            <w:r>
              <w:t>XULA</w:t>
            </w:r>
          </w:p>
        </w:tc>
        <w:tc>
          <w:tcPr>
            <w:cnfStyle w:evenVBand="false" w:oddVBand="true" w:firstColumn="false"/>
            <w:tcW w:w="25.000000%" w:type="pct"/>
          </w:tcPr>
          <w:p>
            <w:pPr>
              <w:ind w:leftChars="0" w:left="0" w:right="0"/>
            </w:pPr>
            <w:r>
              <w:t>MONGOLIAN STOCK EXCHANGE</w:t>
            </w:r>
          </w:p>
        </w:tc>
        <w:tc>
          <w:tcPr>
            <w:cnfStyle w:evenVBand="true" w:oddVBand="false" w:firstColumn="false"/>
            <w:tcW w:w="25.000000%" w:type="pct"/>
          </w:tcPr>
          <w:p>
            <w:pPr>
              <w:ind w:leftChars="0" w:left="0" w:right="0"/>
            </w:pPr>
            <w:r>
              <w:t>2517</w:t>
            </w:r>
          </w:p>
        </w:tc>
      </w:tr>
      <w:tr>
        <w:trPr>
          <w:cnfStyle w:evenHBand="false" w:oddHBand="true" w:firstRow="false"/>
        </w:trPr>
        <w:tc>
          <w:tcPr>
            <w:cnfStyle w:evenVBand="false" w:oddVBand="true" w:firstColumn="false"/>
            <w:tcW w:w="25.000000%" w:type="pct"/>
          </w:tcPr>
          <w:p>
            <w:pPr>
              <w:ind w:leftChars="0" w:left="0" w:right="0"/>
            </w:pPr>
            <w:r>
              <w:t>XUMP</w:t>
            </w:r>
          </w:p>
        </w:tc>
        <w:tc>
          <w:tcPr>
            <w:cnfStyle w:evenVBand="true" w:oddVBand="false" w:firstColumn="false"/>
            <w:tcW w:w="25.000000%" w:type="pct"/>
          </w:tcPr>
          <w:p>
            <w:pPr>
              <w:ind w:leftChars="0" w:left="0" w:right="0"/>
            </w:pPr>
            <w:r>
              <w:t>XUMP</w:t>
            </w:r>
          </w:p>
        </w:tc>
        <w:tc>
          <w:tcPr>
            <w:cnfStyle w:evenVBand="false" w:oddVBand="true" w:firstColumn="false"/>
            <w:tcW w:w="25.000000%" w:type="pct"/>
          </w:tcPr>
          <w:p>
            <w:pPr>
              <w:ind w:leftChars="0" w:left="0" w:right="0"/>
            </w:pPr>
            <w:r>
              <w:t>UBS MTF LIMITED - PERIODIC AUCTION ORDER BOOK</w:t>
            </w:r>
          </w:p>
        </w:tc>
        <w:tc>
          <w:tcPr>
            <w:cnfStyle w:evenVBand="true" w:oddVBand="false" w:firstColumn="false"/>
            <w:tcW w:w="25.000000%" w:type="pct"/>
          </w:tcPr>
          <w:p>
            <w:pPr>
              <w:ind w:leftChars="0" w:left="0" w:right="0"/>
            </w:pPr>
            <w:r>
              <w:t>2518</w:t>
            </w:r>
          </w:p>
        </w:tc>
      </w:tr>
      <w:tr>
        <w:trPr>
          <w:cnfStyle w:evenHBand="true" w:oddHBand="false" w:firstRow="false"/>
        </w:trPr>
        <w:tc>
          <w:tcPr>
            <w:cnfStyle w:evenVBand="false" w:oddVBand="true" w:firstColumn="false"/>
            <w:tcW w:w="25.000000%" w:type="pct"/>
          </w:tcPr>
          <w:p>
            <w:pPr>
              <w:ind w:leftChars="0" w:left="0" w:right="0"/>
            </w:pPr>
            <w:r>
              <w:t>XUNI</w:t>
            </w:r>
          </w:p>
        </w:tc>
        <w:tc>
          <w:tcPr>
            <w:cnfStyle w:evenVBand="true" w:oddVBand="false" w:firstColumn="false"/>
            <w:tcW w:w="25.000000%" w:type="pct"/>
          </w:tcPr>
          <w:p>
            <w:pPr>
              <w:ind w:leftChars="0" w:left="0" w:right="0"/>
            </w:pPr>
            <w:r>
              <w:t>XUNI</w:t>
            </w:r>
          </w:p>
        </w:tc>
        <w:tc>
          <w:tcPr>
            <w:cnfStyle w:evenVBand="false" w:oddVBand="true" w:firstColumn="false"/>
            <w:tcW w:w="25.000000%" w:type="pct"/>
          </w:tcPr>
          <w:p>
            <w:pPr>
              <w:ind w:leftChars="0" w:left="0" w:right="0"/>
            </w:pPr>
            <w:r>
              <w:t>UNIVERSAL BROKER’S EXCHANGE “TASHKENT”</w:t>
            </w:r>
          </w:p>
        </w:tc>
        <w:tc>
          <w:tcPr>
            <w:cnfStyle w:evenVBand="true" w:oddVBand="false" w:firstColumn="false"/>
            <w:tcW w:w="25.000000%" w:type="pct"/>
          </w:tcPr>
          <w:p>
            <w:pPr>
              <w:ind w:leftChars="0" w:left="0" w:right="0"/>
            </w:pPr>
            <w:r>
              <w:t>2519</w:t>
            </w:r>
          </w:p>
        </w:tc>
      </w:tr>
      <w:tr>
        <w:trPr>
          <w:cnfStyle w:evenHBand="false" w:oddHBand="true" w:firstRow="false"/>
        </w:trPr>
        <w:tc>
          <w:tcPr>
            <w:cnfStyle w:evenVBand="false" w:oddVBand="true" w:firstColumn="false"/>
            <w:tcW w:w="25.000000%" w:type="pct"/>
          </w:tcPr>
          <w:p>
            <w:pPr>
              <w:ind w:leftChars="0" w:left="0" w:right="0"/>
            </w:pPr>
            <w:r>
              <w:t>XUSE</w:t>
            </w:r>
          </w:p>
        </w:tc>
        <w:tc>
          <w:tcPr>
            <w:cnfStyle w:evenVBand="true" w:oddVBand="false" w:firstColumn="false"/>
            <w:tcW w:w="25.000000%" w:type="pct"/>
          </w:tcPr>
          <w:p>
            <w:pPr>
              <w:ind w:leftChars="0" w:left="0" w:right="0"/>
            </w:pPr>
            <w:r>
              <w:t>XUSE</w:t>
            </w:r>
          </w:p>
        </w:tc>
        <w:tc>
          <w:tcPr>
            <w:cnfStyle w:evenVBand="false" w:oddVBand="true" w:firstColumn="false"/>
            <w:tcW w:w="25.000000%" w:type="pct"/>
          </w:tcPr>
          <w:p>
            <w:pPr>
              <w:ind w:leftChars="0" w:left="0" w:right="0"/>
            </w:pPr>
            <w:r>
              <w:t>UNITED STOCK EXCHANGE</w:t>
            </w:r>
          </w:p>
        </w:tc>
        <w:tc>
          <w:tcPr>
            <w:cnfStyle w:evenVBand="true" w:oddVBand="false" w:firstColumn="false"/>
            <w:tcW w:w="25.000000%" w:type="pct"/>
          </w:tcPr>
          <w:p>
            <w:pPr>
              <w:ind w:leftChars="0" w:left="0" w:right="0"/>
            </w:pPr>
            <w:r>
              <w:t>2520</w:t>
            </w:r>
          </w:p>
        </w:tc>
      </w:tr>
      <w:tr>
        <w:trPr>
          <w:cnfStyle w:evenHBand="true" w:oddHBand="false" w:firstRow="false"/>
        </w:trPr>
        <w:tc>
          <w:tcPr>
            <w:cnfStyle w:evenVBand="false" w:oddVBand="true" w:firstColumn="false"/>
            <w:tcW w:w="25.000000%" w:type="pct"/>
          </w:tcPr>
          <w:p>
            <w:pPr>
              <w:ind w:leftChars="0" w:left="0" w:right="0"/>
            </w:pPr>
            <w:r>
              <w:t>XVAL</w:t>
            </w:r>
          </w:p>
        </w:tc>
        <w:tc>
          <w:tcPr>
            <w:cnfStyle w:evenVBand="true" w:oddVBand="false" w:firstColumn="false"/>
            <w:tcW w:w="25.000000%" w:type="pct"/>
          </w:tcPr>
          <w:p>
            <w:pPr>
              <w:ind w:leftChars="0" w:left="0" w:right="0"/>
            </w:pPr>
            <w:r>
              <w:t>XVAL</w:t>
            </w:r>
          </w:p>
        </w:tc>
        <w:tc>
          <w:tcPr>
            <w:cnfStyle w:evenVBand="false" w:oddVBand="true" w:firstColumn="false"/>
            <w:tcW w:w="25.000000%" w:type="pct"/>
          </w:tcPr>
          <w:p>
            <w:pPr>
              <w:ind w:leftChars="0" w:left="0" w:right="0"/>
            </w:pPr>
            <w:r>
              <w:t>BOLSA DE VALENCIA</w:t>
            </w:r>
          </w:p>
        </w:tc>
        <w:tc>
          <w:tcPr>
            <w:cnfStyle w:evenVBand="true" w:oddVBand="false" w:firstColumn="false"/>
            <w:tcW w:w="25.000000%" w:type="pct"/>
          </w:tcPr>
          <w:p>
            <w:pPr>
              <w:ind w:leftChars="0" w:left="0" w:right="0"/>
            </w:pPr>
            <w:r>
              <w:t>2521</w:t>
            </w:r>
          </w:p>
        </w:tc>
      </w:tr>
      <w:tr>
        <w:trPr>
          <w:cnfStyle w:evenHBand="false" w:oddHBand="true" w:firstRow="false"/>
        </w:trPr>
        <w:tc>
          <w:tcPr>
            <w:cnfStyle w:evenVBand="false" w:oddVBand="true" w:firstColumn="false"/>
            <w:tcW w:w="25.000000%" w:type="pct"/>
          </w:tcPr>
          <w:p>
            <w:pPr>
              <w:ind w:leftChars="0" w:left="0" w:right="0"/>
            </w:pPr>
            <w:r>
              <w:t>XVAR</w:t>
            </w:r>
          </w:p>
        </w:tc>
        <w:tc>
          <w:tcPr>
            <w:cnfStyle w:evenVBand="true" w:oddVBand="false" w:firstColumn="false"/>
            <w:tcW w:w="25.000000%" w:type="pct"/>
          </w:tcPr>
          <w:p>
            <w:pPr>
              <w:ind w:leftChars="0" w:left="0" w:right="0"/>
            </w:pPr>
            <w:r>
              <w:t>XVAR</w:t>
            </w:r>
          </w:p>
        </w:tc>
        <w:tc>
          <w:tcPr>
            <w:cnfStyle w:evenVBand="false" w:oddVBand="true" w:firstColumn="false"/>
            <w:tcW w:w="25.000000%" w:type="pct"/>
          </w:tcPr>
          <w:p>
            <w:pPr>
              <w:ind w:leftChars="0" w:left="0" w:right="0"/>
            </w:pPr>
            <w:r>
              <w:t>VARAZDIN STOCK EXCHANGE, THE</w:t>
            </w:r>
          </w:p>
        </w:tc>
        <w:tc>
          <w:tcPr>
            <w:cnfStyle w:evenVBand="true" w:oddVBand="false" w:firstColumn="false"/>
            <w:tcW w:w="25.000000%" w:type="pct"/>
          </w:tcPr>
          <w:p>
            <w:pPr>
              <w:ind w:leftChars="0" w:left="0" w:right="0"/>
            </w:pPr>
            <w:r>
              <w:t>2522</w:t>
            </w:r>
          </w:p>
        </w:tc>
      </w:tr>
      <w:tr>
        <w:trPr>
          <w:cnfStyle w:evenHBand="true" w:oddHBand="false" w:firstRow="false"/>
        </w:trPr>
        <w:tc>
          <w:tcPr>
            <w:cnfStyle w:evenVBand="false" w:oddVBand="true" w:firstColumn="false"/>
            <w:tcW w:w="25.000000%" w:type="pct"/>
          </w:tcPr>
          <w:p>
            <w:pPr>
              <w:ind w:leftChars="0" w:left="0" w:right="0"/>
            </w:pPr>
            <w:r>
              <w:t>XVES</w:t>
            </w:r>
          </w:p>
        </w:tc>
        <w:tc>
          <w:tcPr>
            <w:cnfStyle w:evenVBand="true" w:oddVBand="false" w:firstColumn="false"/>
            <w:tcW w:w="25.000000%" w:type="pct"/>
          </w:tcPr>
          <w:p>
            <w:pPr>
              <w:ind w:leftChars="0" w:left="0" w:right="0"/>
            </w:pPr>
            <w:r>
              <w:t>XVES</w:t>
            </w:r>
          </w:p>
        </w:tc>
        <w:tc>
          <w:tcPr>
            <w:cnfStyle w:evenVBand="false" w:oddVBand="true" w:firstColumn="false"/>
            <w:tcW w:w="25.000000%" w:type="pct"/>
          </w:tcPr>
          <w:p>
            <w:pPr>
              <w:ind w:leftChars="0" w:left="0" w:right="0"/>
            </w:pPr>
            <w:r>
              <w:t>VESTIMA</w:t>
            </w:r>
          </w:p>
        </w:tc>
        <w:tc>
          <w:tcPr>
            <w:cnfStyle w:evenVBand="true" w:oddVBand="false" w:firstColumn="false"/>
            <w:tcW w:w="25.000000%" w:type="pct"/>
          </w:tcPr>
          <w:p>
            <w:pPr>
              <w:ind w:leftChars="0" w:left="0" w:right="0"/>
            </w:pPr>
            <w:r>
              <w:t>2523</w:t>
            </w:r>
          </w:p>
        </w:tc>
      </w:tr>
      <w:tr>
        <w:trPr>
          <w:cnfStyle w:evenHBand="false" w:oddHBand="true" w:firstRow="false"/>
        </w:trPr>
        <w:tc>
          <w:tcPr>
            <w:cnfStyle w:evenVBand="false" w:oddVBand="true" w:firstColumn="false"/>
            <w:tcW w:w="25.000000%" w:type="pct"/>
          </w:tcPr>
          <w:p>
            <w:pPr>
              <w:ind w:leftChars="0" w:left="0" w:right="0"/>
            </w:pPr>
            <w:r>
              <w:t>XVIA</w:t>
            </w:r>
          </w:p>
        </w:tc>
        <w:tc>
          <w:tcPr>
            <w:cnfStyle w:evenVBand="true" w:oddVBand="false" w:firstColumn="false"/>
            <w:tcW w:w="25.000000%" w:type="pct"/>
          </w:tcPr>
          <w:p>
            <w:pPr>
              <w:ind w:leftChars="0" w:left="0" w:right="0"/>
            </w:pPr>
            <w:r>
              <w:t>XVIA</w:t>
            </w:r>
          </w:p>
        </w:tc>
        <w:tc>
          <w:tcPr>
            <w:cnfStyle w:evenVBand="false" w:oddVBand="true" w:firstColumn="false"/>
            <w:tcW w:w="25.000000%" w:type="pct"/>
          </w:tcPr>
          <w:p>
            <w:pPr>
              <w:ind w:leftChars="0" w:left="0" w:right="0"/>
            </w:pPr>
            <w:r>
              <w:t>ALTERNATIVE MARKET-FIRST NORTH LITHUANIA</w:t>
            </w:r>
          </w:p>
        </w:tc>
        <w:tc>
          <w:tcPr>
            <w:cnfStyle w:evenVBand="true" w:oddVBand="false" w:firstColumn="false"/>
            <w:tcW w:w="25.000000%" w:type="pct"/>
          </w:tcPr>
          <w:p>
            <w:pPr>
              <w:ind w:leftChars="0" w:left="0" w:right="0"/>
            </w:pPr>
            <w:r>
              <w:t>2524</w:t>
            </w:r>
          </w:p>
        </w:tc>
      </w:tr>
      <w:tr>
        <w:trPr>
          <w:cnfStyle w:evenHBand="true" w:oddHBand="false" w:firstRow="false"/>
        </w:trPr>
        <w:tc>
          <w:tcPr>
            <w:cnfStyle w:evenVBand="false" w:oddVBand="true" w:firstColumn="false"/>
            <w:tcW w:w="25.000000%" w:type="pct"/>
          </w:tcPr>
          <w:p>
            <w:pPr>
              <w:ind w:leftChars="0" w:left="0" w:right="0"/>
            </w:pPr>
            <w:r>
              <w:t>XVIE</w:t>
            </w:r>
          </w:p>
        </w:tc>
        <w:tc>
          <w:tcPr>
            <w:cnfStyle w:evenVBand="true" w:oddVBand="false" w:firstColumn="false"/>
            <w:tcW w:w="25.000000%" w:type="pct"/>
          </w:tcPr>
          <w:p>
            <w:pPr>
              <w:ind w:leftChars="0" w:left="0" w:right="0"/>
            </w:pPr>
            <w:r>
              <w:t>XVIE</w:t>
            </w:r>
          </w:p>
        </w:tc>
        <w:tc>
          <w:tcPr>
            <w:cnfStyle w:evenVBand="false" w:oddVBand="true" w:firstColumn="false"/>
            <w:tcW w:w="25.000000%" w:type="pct"/>
          </w:tcPr>
          <w:p>
            <w:pPr>
              <w:ind w:leftChars="0" w:left="0" w:right="0"/>
            </w:pPr>
            <w:r>
              <w:t>WIENER BOERSE AG, WERTPAPIERBOERSE (SECURITIES EXCHANGE)</w:t>
            </w:r>
          </w:p>
        </w:tc>
        <w:tc>
          <w:tcPr>
            <w:cnfStyle w:evenVBand="true" w:oddVBand="false" w:firstColumn="false"/>
            <w:tcW w:w="25.000000%" w:type="pct"/>
          </w:tcPr>
          <w:p>
            <w:pPr>
              <w:ind w:leftChars="0" w:left="0" w:right="0"/>
            </w:pPr>
            <w:r>
              <w:t>2525</w:t>
            </w:r>
          </w:p>
        </w:tc>
      </w:tr>
      <w:tr>
        <w:trPr>
          <w:cnfStyle w:evenHBand="false" w:oddHBand="true" w:firstRow="false"/>
        </w:trPr>
        <w:tc>
          <w:tcPr>
            <w:cnfStyle w:evenVBand="false" w:oddVBand="true" w:firstColumn="false"/>
            <w:tcW w:w="25.000000%" w:type="pct"/>
          </w:tcPr>
          <w:p>
            <w:pPr>
              <w:ind w:leftChars="0" w:left="0" w:right="0"/>
            </w:pPr>
            <w:r>
              <w:t>XVLA</w:t>
            </w:r>
          </w:p>
        </w:tc>
        <w:tc>
          <w:tcPr>
            <w:cnfStyle w:evenVBand="true" w:oddVBand="false" w:firstColumn="false"/>
            <w:tcW w:w="25.000000%" w:type="pct"/>
          </w:tcPr>
          <w:p>
            <w:pPr>
              <w:ind w:leftChars="0" w:left="0" w:right="0"/>
            </w:pPr>
            <w:r>
              <w:t>XVLA</w:t>
            </w:r>
          </w:p>
        </w:tc>
        <w:tc>
          <w:tcPr>
            <w:cnfStyle w:evenVBand="false" w:oddVBand="true" w:firstColumn="false"/>
            <w:tcW w:w="25.000000%" w:type="pct"/>
          </w:tcPr>
          <w:p>
            <w:pPr>
              <w:ind w:leftChars="0" w:left="0" w:right="0"/>
            </w:pPr>
            <w:r>
              <w:t>VLADIVOSTOK (RUSSIA) STOCK EXCHANGE</w:t>
            </w:r>
          </w:p>
        </w:tc>
        <w:tc>
          <w:tcPr>
            <w:cnfStyle w:evenVBand="true" w:oddVBand="false" w:firstColumn="false"/>
            <w:tcW w:w="25.000000%" w:type="pct"/>
          </w:tcPr>
          <w:p>
            <w:pPr>
              <w:ind w:leftChars="0" w:left="0" w:right="0"/>
            </w:pPr>
            <w:r>
              <w:t>2526</w:t>
            </w:r>
          </w:p>
        </w:tc>
      </w:tr>
      <w:tr>
        <w:trPr>
          <w:cnfStyle w:evenHBand="true" w:oddHBand="false" w:firstRow="false"/>
        </w:trPr>
        <w:tc>
          <w:tcPr>
            <w:cnfStyle w:evenVBand="false" w:oddVBand="true" w:firstColumn="false"/>
            <w:tcW w:w="25.000000%" w:type="pct"/>
          </w:tcPr>
          <w:p>
            <w:pPr>
              <w:ind w:leftChars="0" w:left="0" w:right="0"/>
            </w:pPr>
            <w:r>
              <w:t>XVPA</w:t>
            </w:r>
          </w:p>
        </w:tc>
        <w:tc>
          <w:tcPr>
            <w:cnfStyle w:evenVBand="true" w:oddVBand="false" w:firstColumn="false"/>
            <w:tcW w:w="25.000000%" w:type="pct"/>
          </w:tcPr>
          <w:p>
            <w:pPr>
              <w:ind w:leftChars="0" w:left="0" w:right="0"/>
            </w:pPr>
            <w:r>
              <w:t>XVPA</w:t>
            </w:r>
          </w:p>
        </w:tc>
        <w:tc>
          <w:tcPr>
            <w:cnfStyle w:evenVBand="false" w:oddVBand="true" w:firstColumn="false"/>
            <w:tcW w:w="25.000000%" w:type="pct"/>
          </w:tcPr>
          <w:p>
            <w:pPr>
              <w:ind w:leftChars="0" w:left="0" w:right="0"/>
            </w:pPr>
            <w:r>
              <w:t>BOLSA DE VALORES Y PRODUCTOS DE ASUNCION SA</w:t>
            </w:r>
          </w:p>
        </w:tc>
        <w:tc>
          <w:tcPr>
            <w:cnfStyle w:evenVBand="true" w:oddVBand="false" w:firstColumn="false"/>
            <w:tcW w:w="25.000000%" w:type="pct"/>
          </w:tcPr>
          <w:p>
            <w:pPr>
              <w:ind w:leftChars="0" w:left="0" w:right="0"/>
            </w:pPr>
            <w:r>
              <w:t>2527</w:t>
            </w:r>
          </w:p>
        </w:tc>
      </w:tr>
      <w:tr>
        <w:trPr>
          <w:cnfStyle w:evenHBand="false" w:oddHBand="true" w:firstRow="false"/>
        </w:trPr>
        <w:tc>
          <w:tcPr>
            <w:cnfStyle w:evenVBand="false" w:oddVBand="true" w:firstColumn="false"/>
            <w:tcW w:w="25.000000%" w:type="pct"/>
          </w:tcPr>
          <w:p>
            <w:pPr>
              <w:ind w:leftChars="0" w:left="0" w:right="0"/>
            </w:pPr>
            <w:r>
              <w:t>XVPB</w:t>
            </w:r>
          </w:p>
        </w:tc>
        <w:tc>
          <w:tcPr>
            <w:cnfStyle w:evenVBand="true" w:oddVBand="false" w:firstColumn="false"/>
            <w:tcW w:w="25.000000%" w:type="pct"/>
          </w:tcPr>
          <w:p>
            <w:pPr>
              <w:ind w:leftChars="0" w:left="0" w:right="0"/>
            </w:pPr>
            <w:r>
              <w:t>XVPB</w:t>
            </w:r>
          </w:p>
        </w:tc>
        <w:tc>
          <w:tcPr>
            <w:cnfStyle w:evenVBand="false" w:oddVBand="true" w:firstColumn="false"/>
            <w:tcW w:w="25.000000%" w:type="pct"/>
          </w:tcPr>
          <w:p>
            <w:pPr>
              <w:ind w:leftChars="0" w:left="0" w:right="0"/>
            </w:pPr>
            <w:r>
              <w:t>VP BANK AG - SYSTEMATIC INTERNALISER</w:t>
            </w:r>
          </w:p>
        </w:tc>
        <w:tc>
          <w:tcPr>
            <w:cnfStyle w:evenVBand="true" w:oddVBand="false" w:firstColumn="false"/>
            <w:tcW w:w="25.000000%" w:type="pct"/>
          </w:tcPr>
          <w:p>
            <w:pPr>
              <w:ind w:leftChars="0" w:left="0" w:right="0"/>
            </w:pPr>
            <w:r>
              <w:t>2528</w:t>
            </w:r>
          </w:p>
        </w:tc>
      </w:tr>
      <w:tr>
        <w:trPr>
          <w:cnfStyle w:evenHBand="true" w:oddHBand="false" w:firstRow="false"/>
        </w:trPr>
        <w:tc>
          <w:tcPr>
            <w:cnfStyle w:evenVBand="false" w:oddVBand="true" w:firstColumn="false"/>
            <w:tcW w:w="25.000000%" w:type="pct"/>
          </w:tcPr>
          <w:p>
            <w:pPr>
              <w:ind w:leftChars="0" w:left="0" w:right="0"/>
            </w:pPr>
            <w:r>
              <w:t>XVSE</w:t>
            </w:r>
          </w:p>
        </w:tc>
        <w:tc>
          <w:tcPr>
            <w:cnfStyle w:evenVBand="true" w:oddVBand="false" w:firstColumn="false"/>
            <w:tcW w:w="25.000000%" w:type="pct"/>
          </w:tcPr>
          <w:p>
            <w:pPr>
              <w:ind w:leftChars="0" w:left="0" w:right="0"/>
            </w:pPr>
            <w:r>
              <w:t>XVSE</w:t>
            </w:r>
          </w:p>
        </w:tc>
        <w:tc>
          <w:tcPr>
            <w:cnfStyle w:evenVBand="false" w:oddVBand="true" w:firstColumn="false"/>
            <w:tcW w:w="25.000000%" w:type="pct"/>
          </w:tcPr>
          <w:p>
            <w:pPr>
              <w:ind w:leftChars="0" w:left="0" w:right="0"/>
            </w:pPr>
            <w:r>
              <w:t>VANCOUVER STOCK EXCHANGE</w:t>
            </w:r>
          </w:p>
        </w:tc>
        <w:tc>
          <w:tcPr>
            <w:cnfStyle w:evenVBand="true" w:oddVBand="false" w:firstColumn="false"/>
            <w:tcW w:w="25.000000%" w:type="pct"/>
          </w:tcPr>
          <w:p>
            <w:pPr>
              <w:ind w:leftChars="0" w:left="0" w:right="0"/>
            </w:pPr>
            <w:r>
              <w:t>2529</w:t>
            </w:r>
          </w:p>
        </w:tc>
      </w:tr>
      <w:tr>
        <w:trPr>
          <w:cnfStyle w:evenHBand="false" w:oddHBand="true" w:firstRow="false"/>
        </w:trPr>
        <w:tc>
          <w:tcPr>
            <w:cnfStyle w:evenVBand="false" w:oddVBand="true" w:firstColumn="false"/>
            <w:tcW w:w="25.000000%" w:type="pct"/>
          </w:tcPr>
          <w:p>
            <w:pPr>
              <w:ind w:leftChars="0" w:left="0" w:right="0"/>
            </w:pPr>
            <w:r>
              <w:t>XVTX</w:t>
            </w:r>
          </w:p>
        </w:tc>
        <w:tc>
          <w:tcPr>
            <w:cnfStyle w:evenVBand="true" w:oddVBand="false" w:firstColumn="false"/>
            <w:tcW w:w="25.000000%" w:type="pct"/>
          </w:tcPr>
          <w:p>
            <w:pPr>
              <w:ind w:leftChars="0" w:left="0" w:right="0"/>
            </w:pPr>
            <w:r>
              <w:t>XVTX</w:t>
            </w:r>
          </w:p>
        </w:tc>
        <w:tc>
          <w:tcPr>
            <w:cnfStyle w:evenVBand="false" w:oddVBand="true" w:firstColumn="false"/>
            <w:tcW w:w="25.000000%" w:type="pct"/>
          </w:tcPr>
          <w:p>
            <w:pPr>
              <w:ind w:leftChars="0" w:left="0" w:right="0"/>
            </w:pPr>
            <w:r>
              <w:t>SIX SWISS EXCHANGE - BLUE CHIPS SEGMENT</w:t>
            </w:r>
          </w:p>
        </w:tc>
        <w:tc>
          <w:tcPr>
            <w:cnfStyle w:evenVBand="true" w:oddVBand="false" w:firstColumn="false"/>
            <w:tcW w:w="25.000000%" w:type="pct"/>
          </w:tcPr>
          <w:p>
            <w:pPr>
              <w:ind w:leftChars="0" w:left="0" w:right="0"/>
            </w:pPr>
            <w:r>
              <w:t>2530</w:t>
            </w:r>
          </w:p>
        </w:tc>
      </w:tr>
      <w:tr>
        <w:trPr>
          <w:cnfStyle w:evenHBand="true" w:oddHBand="false" w:firstRow="false"/>
        </w:trPr>
        <w:tc>
          <w:tcPr>
            <w:cnfStyle w:evenVBand="false" w:oddVBand="true" w:firstColumn="false"/>
            <w:tcW w:w="25.000000%" w:type="pct"/>
          </w:tcPr>
          <w:p>
            <w:pPr>
              <w:ind w:leftChars="0" w:left="0" w:right="0"/>
            </w:pPr>
            <w:r>
              <w:t>XWAR</w:t>
            </w:r>
          </w:p>
        </w:tc>
        <w:tc>
          <w:tcPr>
            <w:cnfStyle w:evenVBand="true" w:oddVBand="false" w:firstColumn="false"/>
            <w:tcW w:w="25.000000%" w:type="pct"/>
          </w:tcPr>
          <w:p>
            <w:pPr>
              <w:ind w:leftChars="0" w:left="0" w:right="0"/>
            </w:pPr>
            <w:r>
              <w:t>XWAR</w:t>
            </w:r>
          </w:p>
        </w:tc>
        <w:tc>
          <w:tcPr>
            <w:cnfStyle w:evenVBand="false" w:oddVBand="true" w:firstColumn="false"/>
            <w:tcW w:w="25.000000%" w:type="pct"/>
          </w:tcPr>
          <w:p>
            <w:pPr>
              <w:ind w:leftChars="0" w:left="0" w:right="0"/>
            </w:pPr>
            <w:r>
              <w:t>WARSAW STOCK EXCHANGE/EQUITIES/MAIN MARKET</w:t>
            </w:r>
          </w:p>
        </w:tc>
        <w:tc>
          <w:tcPr>
            <w:cnfStyle w:evenVBand="true" w:oddVBand="false" w:firstColumn="false"/>
            <w:tcW w:w="25.000000%" w:type="pct"/>
          </w:tcPr>
          <w:p>
            <w:pPr>
              <w:ind w:leftChars="0" w:left="0" w:right="0"/>
            </w:pPr>
            <w:r>
              <w:t>2531</w:t>
            </w:r>
          </w:p>
        </w:tc>
      </w:tr>
      <w:tr>
        <w:trPr>
          <w:cnfStyle w:evenHBand="false" w:oddHBand="true" w:firstRow="false"/>
        </w:trPr>
        <w:tc>
          <w:tcPr>
            <w:cnfStyle w:evenVBand="false" w:oddVBand="true" w:firstColumn="false"/>
            <w:tcW w:w="25.000000%" w:type="pct"/>
          </w:tcPr>
          <w:p>
            <w:pPr>
              <w:ind w:leftChars="0" w:left="0" w:right="0"/>
            </w:pPr>
            <w:r>
              <w:t>XWBO</w:t>
            </w:r>
          </w:p>
        </w:tc>
        <w:tc>
          <w:tcPr>
            <w:cnfStyle w:evenVBand="true" w:oddVBand="false" w:firstColumn="false"/>
            <w:tcW w:w="25.000000%" w:type="pct"/>
          </w:tcPr>
          <w:p>
            <w:pPr>
              <w:ind w:leftChars="0" w:left="0" w:right="0"/>
            </w:pPr>
            <w:r>
              <w:t>XWBO</w:t>
            </w:r>
          </w:p>
        </w:tc>
        <w:tc>
          <w:tcPr>
            <w:cnfStyle w:evenVBand="false" w:oddVBand="true" w:firstColumn="false"/>
            <w:tcW w:w="25.000000%" w:type="pct"/>
          </w:tcPr>
          <w:p>
            <w:pPr>
              <w:ind w:leftChars="0" w:left="0" w:right="0"/>
            </w:pPr>
            <w:r>
              <w:t>WIENER BOERSE AG</w:t>
            </w:r>
          </w:p>
        </w:tc>
        <w:tc>
          <w:tcPr>
            <w:cnfStyle w:evenVBand="true" w:oddVBand="false" w:firstColumn="false"/>
            <w:tcW w:w="25.000000%" w:type="pct"/>
          </w:tcPr>
          <w:p>
            <w:pPr>
              <w:ind w:leftChars="0" w:left="0" w:right="0"/>
            </w:pPr>
            <w:r>
              <w:t>2532</w:t>
            </w:r>
          </w:p>
        </w:tc>
      </w:tr>
      <w:tr>
        <w:trPr>
          <w:cnfStyle w:evenHBand="true" w:oddHBand="false" w:firstRow="false"/>
        </w:trPr>
        <w:tc>
          <w:tcPr>
            <w:cnfStyle w:evenVBand="false" w:oddVBand="true" w:firstColumn="false"/>
            <w:tcW w:w="25.000000%" w:type="pct"/>
          </w:tcPr>
          <w:p>
            <w:pPr>
              <w:ind w:leftChars="0" w:left="0" w:right="0"/>
            </w:pPr>
            <w:r>
              <w:t>XWCE</w:t>
            </w:r>
          </w:p>
        </w:tc>
        <w:tc>
          <w:tcPr>
            <w:cnfStyle w:evenVBand="true" w:oddVBand="false" w:firstColumn="false"/>
            <w:tcW w:w="25.000000%" w:type="pct"/>
          </w:tcPr>
          <w:p>
            <w:pPr>
              <w:ind w:leftChars="0" w:left="0" w:right="0"/>
            </w:pPr>
            <w:r>
              <w:t>XWCE</w:t>
            </w:r>
          </w:p>
        </w:tc>
        <w:tc>
          <w:tcPr>
            <w:cnfStyle w:evenVBand="false" w:oddVBand="true" w:firstColumn="false"/>
            <w:tcW w:w="25.000000%" w:type="pct"/>
          </w:tcPr>
          <w:p>
            <w:pPr>
              <w:ind w:leftChars="0" w:left="0" w:right="0"/>
            </w:pPr>
            <w:r>
              <w:t>INTERCONTINENTAL EXCHANGE - ICE FUTURES CANADA</w:t>
            </w:r>
          </w:p>
        </w:tc>
        <w:tc>
          <w:tcPr>
            <w:cnfStyle w:evenVBand="true" w:oddVBand="false" w:firstColumn="false"/>
            <w:tcW w:w="25.000000%" w:type="pct"/>
          </w:tcPr>
          <w:p>
            <w:pPr>
              <w:ind w:leftChars="0" w:left="0" w:right="0"/>
            </w:pPr>
            <w:r>
              <w:t>2533</w:t>
            </w:r>
          </w:p>
        </w:tc>
      </w:tr>
      <w:tr>
        <w:trPr>
          <w:cnfStyle w:evenHBand="false" w:oddHBand="true" w:firstRow="false"/>
        </w:trPr>
        <w:tc>
          <w:tcPr>
            <w:cnfStyle w:evenVBand="false" w:oddVBand="true" w:firstColumn="false"/>
            <w:tcW w:w="25.000000%" w:type="pct"/>
          </w:tcPr>
          <w:p>
            <w:pPr>
              <w:ind w:leftChars="0" w:left="0" w:right="0"/>
            </w:pPr>
            <w:r>
              <w:t>XWEE</w:t>
            </w:r>
          </w:p>
        </w:tc>
        <w:tc>
          <w:tcPr>
            <w:cnfStyle w:evenVBand="true" w:oddVBand="false" w:firstColumn="false"/>
            <w:tcW w:w="25.000000%" w:type="pct"/>
          </w:tcPr>
          <w:p>
            <w:pPr>
              <w:ind w:leftChars="0" w:left="0" w:right="0"/>
            </w:pPr>
            <w:r>
              <w:t>XWEE</w:t>
            </w:r>
          </w:p>
        </w:tc>
        <w:tc>
          <w:tcPr>
            <w:cnfStyle w:evenVBand="false" w:oddVBand="true" w:firstColumn="false"/>
            <w:tcW w:w="25.000000%" w:type="pct"/>
          </w:tcPr>
          <w:p>
            <w:pPr>
              <w:ind w:leftChars="0" w:left="0" w:right="0"/>
            </w:pPr>
            <w:r>
              <w:t>WEEDEN ATS</w:t>
            </w:r>
          </w:p>
        </w:tc>
        <w:tc>
          <w:tcPr>
            <w:cnfStyle w:evenVBand="true" w:oddVBand="false" w:firstColumn="false"/>
            <w:tcW w:w="25.000000%" w:type="pct"/>
          </w:tcPr>
          <w:p>
            <w:pPr>
              <w:ind w:leftChars="0" w:left="0" w:right="0"/>
            </w:pPr>
            <w:r>
              <w:t>2534</w:t>
            </w:r>
          </w:p>
        </w:tc>
      </w:tr>
      <w:tr>
        <w:trPr>
          <w:cnfStyle w:evenHBand="true" w:oddHBand="false" w:firstRow="false"/>
        </w:trPr>
        <w:tc>
          <w:tcPr>
            <w:cnfStyle w:evenVBand="false" w:oddVBand="true" w:firstColumn="false"/>
            <w:tcW w:w="25.000000%" w:type="pct"/>
          </w:tcPr>
          <w:p>
            <w:pPr>
              <w:ind w:leftChars="0" w:left="0" w:right="0"/>
            </w:pPr>
            <w:r>
              <w:t>XXSC</w:t>
            </w:r>
          </w:p>
        </w:tc>
        <w:tc>
          <w:tcPr>
            <w:cnfStyle w:evenVBand="true" w:oddVBand="false" w:firstColumn="false"/>
            <w:tcW w:w="25.000000%" w:type="pct"/>
          </w:tcPr>
          <w:p>
            <w:pPr>
              <w:ind w:leftChars="0" w:left="0" w:right="0"/>
            </w:pPr>
            <w:r>
              <w:t>XXSC</w:t>
            </w:r>
          </w:p>
        </w:tc>
        <w:tc>
          <w:tcPr>
            <w:cnfStyle w:evenVBand="false" w:oddVBand="true" w:firstColumn="false"/>
            <w:tcW w:w="25.000000%" w:type="pct"/>
          </w:tcPr>
          <w:p>
            <w:pPr>
              <w:ind w:leftChars="0" w:left="0" w:right="0"/>
            </w:pPr>
            <w:r>
              <w:t>FRANKFURT CEF SC</w:t>
            </w:r>
          </w:p>
        </w:tc>
        <w:tc>
          <w:tcPr>
            <w:cnfStyle w:evenVBand="true" w:oddVBand="false" w:firstColumn="false"/>
            <w:tcW w:w="25.000000%" w:type="pct"/>
          </w:tcPr>
          <w:p>
            <w:pPr>
              <w:ind w:leftChars="0" w:left="0" w:right="0"/>
            </w:pPr>
            <w:r>
              <w:t>2535</w:t>
            </w:r>
          </w:p>
        </w:tc>
      </w:tr>
      <w:tr>
        <w:trPr>
          <w:cnfStyle w:evenHBand="false" w:oddHBand="true" w:firstRow="false"/>
        </w:trPr>
        <w:tc>
          <w:tcPr>
            <w:cnfStyle w:evenVBand="false" w:oddVBand="true" w:firstColumn="false"/>
            <w:tcW w:w="25.000000%" w:type="pct"/>
          </w:tcPr>
          <w:p>
            <w:pPr>
              <w:ind w:leftChars="0" w:left="0" w:right="0"/>
            </w:pPr>
            <w:r>
              <w:t>XXXX</w:t>
            </w:r>
          </w:p>
        </w:tc>
        <w:tc>
          <w:tcPr>
            <w:cnfStyle w:evenVBand="true" w:oddVBand="false" w:firstColumn="false"/>
            <w:tcW w:w="25.000000%" w:type="pct"/>
          </w:tcPr>
          <w:p>
            <w:pPr>
              <w:ind w:leftChars="0" w:left="0" w:right="0"/>
            </w:pPr>
            <w:r>
              <w:t>XXXX</w:t>
            </w:r>
          </w:p>
        </w:tc>
        <w:tc>
          <w:tcPr>
            <w:cnfStyle w:evenVBand="false" w:oddVBand="true" w:firstColumn="false"/>
            <w:tcW w:w="25.000000%" w:type="pct"/>
          </w:tcPr>
          <w:p>
            <w:pPr>
              <w:ind w:leftChars="0" w:left="0" w:right="0"/>
            </w:pPr>
            <w:r>
              <w:t>NO MARKET (E.G. UNLISTED)</w:t>
            </w:r>
          </w:p>
        </w:tc>
        <w:tc>
          <w:tcPr>
            <w:cnfStyle w:evenVBand="true" w:oddVBand="false" w:firstColumn="false"/>
            <w:tcW w:w="25.000000%" w:type="pct"/>
          </w:tcPr>
          <w:p>
            <w:pPr>
              <w:ind w:leftChars="0" w:left="0" w:right="0"/>
            </w:pPr>
            <w:r>
              <w:t>2536</w:t>
            </w:r>
          </w:p>
        </w:tc>
      </w:tr>
      <w:tr>
        <w:trPr>
          <w:cnfStyle w:evenHBand="true" w:oddHBand="false" w:firstRow="false"/>
        </w:trPr>
        <w:tc>
          <w:tcPr>
            <w:cnfStyle w:evenVBand="false" w:oddVBand="true" w:firstColumn="false"/>
            <w:tcW w:w="25.000000%" w:type="pct"/>
          </w:tcPr>
          <w:p>
            <w:pPr>
              <w:ind w:leftChars="0" w:left="0" w:right="0"/>
            </w:pPr>
            <w:r>
              <w:t>XYIE</w:t>
            </w:r>
          </w:p>
        </w:tc>
        <w:tc>
          <w:tcPr>
            <w:cnfStyle w:evenVBand="true" w:oddVBand="false" w:firstColumn="false"/>
            <w:tcW w:w="25.000000%" w:type="pct"/>
          </w:tcPr>
          <w:p>
            <w:pPr>
              <w:ind w:leftChars="0" w:left="0" w:right="0"/>
            </w:pPr>
            <w:r>
              <w:t>XYIE</w:t>
            </w:r>
          </w:p>
        </w:tc>
        <w:tc>
          <w:tcPr>
            <w:cnfStyle w:evenVBand="false" w:oddVBand="true" w:firstColumn="false"/>
            <w:tcW w:w="25.000000%" w:type="pct"/>
          </w:tcPr>
          <w:p>
            <w:pPr>
              <w:ind w:leftChars="0" w:left="0" w:right="0"/>
            </w:pPr>
            <w:r>
              <w:t>YIELDBROKER PTY LTD</w:t>
            </w:r>
          </w:p>
        </w:tc>
        <w:tc>
          <w:tcPr>
            <w:cnfStyle w:evenVBand="true" w:oddVBand="false" w:firstColumn="false"/>
            <w:tcW w:w="25.000000%" w:type="pct"/>
          </w:tcPr>
          <w:p>
            <w:pPr>
              <w:ind w:leftChars="0" w:left="0" w:right="0"/>
            </w:pPr>
            <w:r>
              <w:t>2537</w:t>
            </w:r>
          </w:p>
        </w:tc>
      </w:tr>
      <w:tr>
        <w:trPr>
          <w:cnfStyle w:evenHBand="false" w:oddHBand="true" w:firstRow="false"/>
        </w:trPr>
        <w:tc>
          <w:tcPr>
            <w:cnfStyle w:evenVBand="false" w:oddVBand="true" w:firstColumn="false"/>
            <w:tcW w:w="25.000000%" w:type="pct"/>
          </w:tcPr>
          <w:p>
            <w:pPr>
              <w:ind w:leftChars="0" w:left="0" w:right="0"/>
            </w:pPr>
            <w:r>
              <w:t>XYKT</w:t>
            </w:r>
          </w:p>
        </w:tc>
        <w:tc>
          <w:tcPr>
            <w:cnfStyle w:evenVBand="true" w:oddVBand="false" w:firstColumn="false"/>
            <w:tcW w:w="25.000000%" w:type="pct"/>
          </w:tcPr>
          <w:p>
            <w:pPr>
              <w:ind w:leftChars="0" w:left="0" w:right="0"/>
            </w:pPr>
            <w:r>
              <w:t>XYKT</w:t>
            </w:r>
          </w:p>
        </w:tc>
        <w:tc>
          <w:tcPr>
            <w:cnfStyle w:evenVBand="false" w:oddVBand="true" w:firstColumn="false"/>
            <w:tcW w:w="25.000000%" w:type="pct"/>
          </w:tcPr>
          <w:p>
            <w:pPr>
              <w:ind w:leftChars="0" w:left="0" w:right="0"/>
            </w:pPr>
            <w:r>
              <w:t>YOKOHAMA COMMODITY EXCHANGE (WRONGLY RENAMED TOKYO GRAIN EXCHANGE SEPT 2006)</w:t>
            </w:r>
          </w:p>
        </w:tc>
        <w:tc>
          <w:tcPr>
            <w:cnfStyle w:evenVBand="true" w:oddVBand="false" w:firstColumn="false"/>
            <w:tcW w:w="25.000000%" w:type="pct"/>
          </w:tcPr>
          <w:p>
            <w:pPr>
              <w:ind w:leftChars="0" w:left="0" w:right="0"/>
            </w:pPr>
            <w:r>
              <w:t>2538</w:t>
            </w:r>
          </w:p>
        </w:tc>
      </w:tr>
      <w:tr>
        <w:trPr>
          <w:cnfStyle w:evenHBand="true" w:oddHBand="false" w:firstRow="false"/>
        </w:trPr>
        <w:tc>
          <w:tcPr>
            <w:cnfStyle w:evenVBand="false" w:oddVBand="true" w:firstColumn="false"/>
            <w:tcW w:w="25.000000%" w:type="pct"/>
          </w:tcPr>
          <w:p>
            <w:pPr>
              <w:ind w:leftChars="0" w:left="0" w:right="0"/>
            </w:pPr>
            <w:r>
              <w:t>XZAG</w:t>
            </w:r>
          </w:p>
        </w:tc>
        <w:tc>
          <w:tcPr>
            <w:cnfStyle w:evenVBand="true" w:oddVBand="false" w:firstColumn="false"/>
            <w:tcW w:w="25.000000%" w:type="pct"/>
          </w:tcPr>
          <w:p>
            <w:pPr>
              <w:ind w:leftChars="0" w:left="0" w:right="0"/>
            </w:pPr>
            <w:r>
              <w:t>XZAG</w:t>
            </w:r>
          </w:p>
        </w:tc>
        <w:tc>
          <w:tcPr>
            <w:cnfStyle w:evenVBand="false" w:oddVBand="true" w:firstColumn="false"/>
            <w:tcW w:w="25.000000%" w:type="pct"/>
          </w:tcPr>
          <w:p>
            <w:pPr>
              <w:ind w:leftChars="0" w:left="0" w:right="0"/>
            </w:pPr>
            <w:r>
              <w:t>ZAGREB STOCK EXCHANGE</w:t>
            </w:r>
          </w:p>
        </w:tc>
        <w:tc>
          <w:tcPr>
            <w:cnfStyle w:evenVBand="true" w:oddVBand="false" w:firstColumn="false"/>
            <w:tcW w:w="25.000000%" w:type="pct"/>
          </w:tcPr>
          <w:p>
            <w:pPr>
              <w:ind w:leftChars="0" w:left="0" w:right="0"/>
            </w:pPr>
            <w:r>
              <w:t>2539</w:t>
            </w:r>
          </w:p>
        </w:tc>
      </w:tr>
      <w:tr>
        <w:trPr>
          <w:cnfStyle w:evenHBand="false" w:oddHBand="true" w:firstRow="false"/>
        </w:trPr>
        <w:tc>
          <w:tcPr>
            <w:cnfStyle w:evenVBand="false" w:oddVBand="true" w:firstColumn="false"/>
            <w:tcW w:w="25.000000%" w:type="pct"/>
          </w:tcPr>
          <w:p>
            <w:pPr>
              <w:ind w:leftChars="0" w:left="0" w:right="0"/>
            </w:pPr>
            <w:r>
              <w:t>XZAM</w:t>
            </w:r>
          </w:p>
        </w:tc>
        <w:tc>
          <w:tcPr>
            <w:cnfStyle w:evenVBand="true" w:oddVBand="false" w:firstColumn="false"/>
            <w:tcW w:w="25.000000%" w:type="pct"/>
          </w:tcPr>
          <w:p>
            <w:pPr>
              <w:ind w:leftChars="0" w:left="0" w:right="0"/>
            </w:pPr>
            <w:r>
              <w:t>XZAM</w:t>
            </w:r>
          </w:p>
        </w:tc>
        <w:tc>
          <w:tcPr>
            <w:cnfStyle w:evenVBand="false" w:oddVBand="true" w:firstColumn="false"/>
            <w:tcW w:w="25.000000%" w:type="pct"/>
          </w:tcPr>
          <w:p>
            <w:pPr>
              <w:ind w:leftChars="0" w:left="0" w:right="0"/>
            </w:pPr>
            <w:r>
              <w:t>THE ZAGREB STOCK EXCHANGE MTF</w:t>
            </w:r>
          </w:p>
        </w:tc>
        <w:tc>
          <w:tcPr>
            <w:cnfStyle w:evenVBand="true" w:oddVBand="false" w:firstColumn="false"/>
            <w:tcW w:w="25.000000%" w:type="pct"/>
          </w:tcPr>
          <w:p>
            <w:pPr>
              <w:ind w:leftChars="0" w:left="0" w:right="0"/>
            </w:pPr>
            <w:r>
              <w:t>2540</w:t>
            </w:r>
          </w:p>
        </w:tc>
      </w:tr>
      <w:tr>
        <w:trPr>
          <w:cnfStyle w:evenHBand="true" w:oddHBand="false" w:firstRow="false"/>
        </w:trPr>
        <w:tc>
          <w:tcPr>
            <w:cnfStyle w:evenVBand="false" w:oddVBand="true" w:firstColumn="false"/>
            <w:tcW w:w="25.000000%" w:type="pct"/>
          </w:tcPr>
          <w:p>
            <w:pPr>
              <w:ind w:leftChars="0" w:left="0" w:right="0"/>
            </w:pPr>
            <w:r>
              <w:t>XZAP</w:t>
            </w:r>
          </w:p>
        </w:tc>
        <w:tc>
          <w:tcPr>
            <w:cnfStyle w:evenVBand="true" w:oddVBand="false" w:firstColumn="false"/>
            <w:tcW w:w="25.000000%" w:type="pct"/>
          </w:tcPr>
          <w:p>
            <w:pPr>
              <w:ind w:leftChars="0" w:left="0" w:right="0"/>
            </w:pPr>
            <w:r>
              <w:t>XZAP</w:t>
            </w:r>
          </w:p>
        </w:tc>
        <w:tc>
          <w:tcPr>
            <w:cnfStyle w:evenVBand="false" w:oddVBand="true" w:firstColumn="false"/>
            <w:tcW w:w="25.000000%" w:type="pct"/>
          </w:tcPr>
          <w:p>
            <w:pPr>
              <w:ind w:leftChars="0" w:left="0" w:right="0"/>
            </w:pPr>
            <w:r>
              <w:t>PROGRESS MARKET</w:t>
            </w:r>
          </w:p>
        </w:tc>
        <w:tc>
          <w:tcPr>
            <w:cnfStyle w:evenVBand="true" w:oddVBand="false" w:firstColumn="false"/>
            <w:tcW w:w="25.000000%" w:type="pct"/>
          </w:tcPr>
          <w:p>
            <w:pPr>
              <w:ind w:leftChars="0" w:left="0" w:right="0"/>
            </w:pPr>
            <w:r>
              <w:t>2541</w:t>
            </w:r>
          </w:p>
        </w:tc>
      </w:tr>
      <w:tr>
        <w:trPr>
          <w:cnfStyle w:evenHBand="false" w:oddHBand="true" w:firstRow="false"/>
        </w:trPr>
        <w:tc>
          <w:tcPr>
            <w:cnfStyle w:evenVBand="false" w:oddVBand="true" w:firstColumn="false"/>
            <w:tcW w:w="25.000000%" w:type="pct"/>
          </w:tcPr>
          <w:p>
            <w:pPr>
              <w:ind w:leftChars="0" w:left="0" w:right="0"/>
            </w:pPr>
            <w:r>
              <w:t>XZCE</w:t>
            </w:r>
          </w:p>
        </w:tc>
        <w:tc>
          <w:tcPr>
            <w:cnfStyle w:evenVBand="true" w:oddVBand="false" w:firstColumn="false"/>
            <w:tcW w:w="25.000000%" w:type="pct"/>
          </w:tcPr>
          <w:p>
            <w:pPr>
              <w:ind w:leftChars="0" w:left="0" w:right="0"/>
            </w:pPr>
            <w:r>
              <w:t>XZCE</w:t>
            </w:r>
          </w:p>
        </w:tc>
        <w:tc>
          <w:tcPr>
            <w:cnfStyle w:evenVBand="false" w:oddVBand="true" w:firstColumn="false"/>
            <w:tcW w:w="25.000000%" w:type="pct"/>
          </w:tcPr>
          <w:p>
            <w:pPr>
              <w:ind w:leftChars="0" w:left="0" w:right="0"/>
            </w:pPr>
            <w:r>
              <w:t>ZHENGZHOU COMMODITY EXCHANGE</w:t>
            </w:r>
          </w:p>
        </w:tc>
        <w:tc>
          <w:tcPr>
            <w:cnfStyle w:evenVBand="true" w:oddVBand="false" w:firstColumn="false"/>
            <w:tcW w:w="25.000000%" w:type="pct"/>
          </w:tcPr>
          <w:p>
            <w:pPr>
              <w:ind w:leftChars="0" w:left="0" w:right="0"/>
            </w:pPr>
            <w:r>
              <w:t>2542</w:t>
            </w:r>
          </w:p>
        </w:tc>
      </w:tr>
      <w:tr>
        <w:trPr>
          <w:cnfStyle w:evenHBand="true" w:oddHBand="false" w:firstRow="false"/>
        </w:trPr>
        <w:tc>
          <w:tcPr>
            <w:cnfStyle w:evenVBand="false" w:oddVBand="true" w:firstColumn="false"/>
            <w:tcW w:w="25.000000%" w:type="pct"/>
          </w:tcPr>
          <w:p>
            <w:pPr>
              <w:ind w:leftChars="0" w:left="0" w:right="0"/>
            </w:pPr>
            <w:r>
              <w:t>XZIM</w:t>
            </w:r>
          </w:p>
        </w:tc>
        <w:tc>
          <w:tcPr>
            <w:cnfStyle w:evenVBand="true" w:oddVBand="false" w:firstColumn="false"/>
            <w:tcW w:w="25.000000%" w:type="pct"/>
          </w:tcPr>
          <w:p>
            <w:pPr>
              <w:ind w:leftChars="0" w:left="0" w:right="0"/>
            </w:pPr>
            <w:r>
              <w:t>XZIM</w:t>
            </w:r>
          </w:p>
        </w:tc>
        <w:tc>
          <w:tcPr>
            <w:cnfStyle w:evenVBand="false" w:oddVBand="true" w:firstColumn="false"/>
            <w:tcW w:w="25.000000%" w:type="pct"/>
          </w:tcPr>
          <w:p>
            <w:pPr>
              <w:ind w:leftChars="0" w:left="0" w:right="0"/>
            </w:pPr>
            <w:r>
              <w:t>ZIMBABWE STOCK EXCHANGE</w:t>
            </w:r>
          </w:p>
        </w:tc>
        <w:tc>
          <w:tcPr>
            <w:cnfStyle w:evenVBand="true" w:oddVBand="false" w:firstColumn="false"/>
            <w:tcW w:w="25.000000%" w:type="pct"/>
          </w:tcPr>
          <w:p>
            <w:pPr>
              <w:ind w:leftChars="0" w:left="0" w:right="0"/>
            </w:pPr>
            <w:r>
              <w:t>2543</w:t>
            </w:r>
          </w:p>
        </w:tc>
      </w:tr>
      <w:tr>
        <w:trPr>
          <w:cnfStyle w:evenHBand="false" w:oddHBand="true" w:firstRow="false"/>
        </w:trPr>
        <w:tc>
          <w:tcPr>
            <w:cnfStyle w:evenVBand="false" w:oddVBand="true" w:firstColumn="false"/>
            <w:tcW w:w="25.000000%" w:type="pct"/>
          </w:tcPr>
          <w:p>
            <w:pPr>
              <w:ind w:leftChars="0" w:left="0" w:right="0"/>
            </w:pPr>
            <w:r>
              <w:t>YKNA</w:t>
            </w:r>
          </w:p>
        </w:tc>
        <w:tc>
          <w:tcPr>
            <w:cnfStyle w:evenVBand="true" w:oddVBand="false" w:firstColumn="false"/>
            <w:tcW w:w="25.000000%" w:type="pct"/>
          </w:tcPr>
          <w:p>
            <w:pPr>
              <w:ind w:leftChars="0" w:left="0" w:right="0"/>
            </w:pPr>
            <w:r>
              <w:t>YKNA</w:t>
            </w:r>
          </w:p>
        </w:tc>
        <w:tc>
          <w:tcPr>
            <w:cnfStyle w:evenVBand="false" w:oddVBand="true" w:firstColumn="false"/>
            <w:tcW w:w="25.000000%" w:type="pct"/>
          </w:tcPr>
          <w:p>
            <w:pPr>
              <w:ind w:leftChars="0" w:left="0" w:right="0"/>
            </w:pPr>
            <w:r>
              <w:t>COMHAR CAPITAL MARKETS, LLC - US EQUITIES</w:t>
            </w:r>
          </w:p>
        </w:tc>
        <w:tc>
          <w:tcPr>
            <w:cnfStyle w:evenVBand="true" w:oddVBand="false" w:firstColumn="false"/>
            <w:tcW w:w="25.000000%" w:type="pct"/>
          </w:tcPr>
          <w:p>
            <w:pPr>
              <w:ind w:leftChars="0" w:left="0" w:right="0"/>
            </w:pPr>
            <w:r>
              <w:t>2544</w:t>
            </w:r>
          </w:p>
        </w:tc>
      </w:tr>
      <w:tr>
        <w:trPr>
          <w:cnfStyle w:evenHBand="true" w:oddHBand="false" w:firstRow="false"/>
        </w:trPr>
        <w:tc>
          <w:tcPr>
            <w:cnfStyle w:evenVBand="false" w:oddVBand="true" w:firstColumn="false"/>
            <w:tcW w:w="25.000000%" w:type="pct"/>
          </w:tcPr>
          <w:p>
            <w:pPr>
              <w:ind w:leftChars="0" w:left="0" w:right="0"/>
            </w:pPr>
            <w:r>
              <w:t>YLDX</w:t>
            </w:r>
          </w:p>
        </w:tc>
        <w:tc>
          <w:tcPr>
            <w:cnfStyle w:evenVBand="true" w:oddVBand="false" w:firstColumn="false"/>
            <w:tcW w:w="25.000000%" w:type="pct"/>
          </w:tcPr>
          <w:p>
            <w:pPr>
              <w:ind w:leftChars="0" w:left="0" w:right="0"/>
            </w:pPr>
            <w:r>
              <w:t>YLDX</w:t>
            </w:r>
          </w:p>
        </w:tc>
        <w:tc>
          <w:tcPr>
            <w:cnfStyle w:evenVBand="false" w:oddVBand="true" w:firstColumn="false"/>
            <w:tcW w:w="25.000000%" w:type="pct"/>
          </w:tcPr>
          <w:p>
            <w:pPr>
              <w:ind w:leftChars="0" w:left="0" w:right="0"/>
            </w:pPr>
            <w:r>
              <w:t>JSE INTEREST RATE DERIVATIVES MARKET</w:t>
            </w:r>
          </w:p>
        </w:tc>
        <w:tc>
          <w:tcPr>
            <w:cnfStyle w:evenVBand="true" w:oddVBand="false" w:firstColumn="false"/>
            <w:tcW w:w="25.000000%" w:type="pct"/>
          </w:tcPr>
          <w:p>
            <w:pPr>
              <w:ind w:leftChars="0" w:left="0" w:right="0"/>
            </w:pPr>
            <w:r>
              <w:t>2545</w:t>
            </w:r>
          </w:p>
        </w:tc>
      </w:tr>
      <w:tr>
        <w:trPr>
          <w:cnfStyle w:evenHBand="false" w:oddHBand="true" w:firstRow="false"/>
        </w:trPr>
        <w:tc>
          <w:tcPr>
            <w:cnfStyle w:evenVBand="false" w:oddVBand="true" w:firstColumn="false"/>
            <w:tcW w:w="25.000000%" w:type="pct"/>
          </w:tcPr>
          <w:p>
            <w:pPr>
              <w:ind w:leftChars="0" w:left="0" w:right="0"/>
            </w:pPr>
            <w:r>
              <w:t>ZAPA</w:t>
            </w:r>
          </w:p>
        </w:tc>
        <w:tc>
          <w:tcPr>
            <w:cnfStyle w:evenVBand="true" w:oddVBand="false" w:firstColumn="false"/>
            <w:tcW w:w="25.000000%" w:type="pct"/>
          </w:tcPr>
          <w:p>
            <w:pPr>
              <w:ind w:leftChars="0" w:left="0" w:right="0"/>
            </w:pPr>
            <w:r>
              <w:t>ZAPA</w:t>
            </w:r>
          </w:p>
        </w:tc>
        <w:tc>
          <w:tcPr>
            <w:cnfStyle w:evenVBand="false" w:oddVBand="true" w:firstColumn="false"/>
            <w:tcW w:w="25.000000%" w:type="pct"/>
          </w:tcPr>
          <w:p>
            <w:pPr>
              <w:ind w:leftChars="0" w:left="0" w:right="0"/>
            </w:pPr>
            <w:r>
              <w:t>ZAGREB STOCK EXCHANGE - APA</w:t>
            </w:r>
          </w:p>
        </w:tc>
        <w:tc>
          <w:tcPr>
            <w:cnfStyle w:evenVBand="true" w:oddVBand="false" w:firstColumn="false"/>
            <w:tcW w:w="25.000000%" w:type="pct"/>
          </w:tcPr>
          <w:p>
            <w:pPr>
              <w:ind w:leftChars="0" w:left="0" w:right="0"/>
            </w:pPr>
            <w:r>
              <w:t>2546</w:t>
            </w:r>
          </w:p>
        </w:tc>
      </w:tr>
      <w:tr>
        <w:trPr>
          <w:cnfStyle w:evenHBand="true" w:oddHBand="false" w:firstRow="false"/>
        </w:trPr>
        <w:tc>
          <w:tcPr>
            <w:cnfStyle w:evenVBand="false" w:oddVBand="true" w:firstColumn="false"/>
            <w:tcW w:w="25.000000%" w:type="pct"/>
          </w:tcPr>
          <w:p>
            <w:pPr>
              <w:ind w:leftChars="0" w:left="0" w:right="0"/>
            </w:pPr>
            <w:r>
              <w:t>ZARX</w:t>
            </w:r>
          </w:p>
        </w:tc>
        <w:tc>
          <w:tcPr>
            <w:cnfStyle w:evenVBand="true" w:oddVBand="false" w:firstColumn="false"/>
            <w:tcW w:w="25.000000%" w:type="pct"/>
          </w:tcPr>
          <w:p>
            <w:pPr>
              <w:ind w:leftChars="0" w:left="0" w:right="0"/>
            </w:pPr>
            <w:r>
              <w:t>ZARX</w:t>
            </w:r>
          </w:p>
        </w:tc>
        <w:tc>
          <w:tcPr>
            <w:cnfStyle w:evenVBand="false" w:oddVBand="true" w:firstColumn="false"/>
            <w:tcW w:w="25.000000%" w:type="pct"/>
          </w:tcPr>
          <w:p>
            <w:pPr>
              <w:ind w:leftChars="0" w:left="0" w:right="0"/>
            </w:pPr>
            <w:r>
              <w:t>ZAR X</w:t>
            </w:r>
          </w:p>
        </w:tc>
        <w:tc>
          <w:tcPr>
            <w:cnfStyle w:evenVBand="true" w:oddVBand="false" w:firstColumn="false"/>
            <w:tcW w:w="25.000000%" w:type="pct"/>
          </w:tcPr>
          <w:p>
            <w:pPr>
              <w:ind w:leftChars="0" w:left="0" w:right="0"/>
            </w:pPr>
            <w:r>
              <w:t>2547</w:t>
            </w:r>
          </w:p>
        </w:tc>
      </w:tr>
      <w:tr>
        <w:trPr>
          <w:cnfStyle w:evenHBand="false" w:oddHBand="true" w:firstRow="false"/>
        </w:trPr>
        <w:tc>
          <w:tcPr>
            <w:cnfStyle w:evenVBand="false" w:oddVBand="true" w:firstColumn="false"/>
            <w:tcW w:w="25.000000%" w:type="pct"/>
          </w:tcPr>
          <w:p>
            <w:pPr>
              <w:ind w:leftChars="0" w:left="0" w:right="0"/>
            </w:pPr>
            <w:r>
              <w:t>ZBUL</w:t>
            </w:r>
          </w:p>
        </w:tc>
        <w:tc>
          <w:tcPr>
            <w:cnfStyle w:evenVBand="true" w:oddVBand="false" w:firstColumn="false"/>
            <w:tcW w:w="25.000000%" w:type="pct"/>
          </w:tcPr>
          <w:p>
            <w:pPr>
              <w:ind w:leftChars="0" w:left="0" w:right="0"/>
            </w:pPr>
            <w:r>
              <w:t>ZBUL</w:t>
            </w:r>
          </w:p>
        </w:tc>
        <w:tc>
          <w:tcPr>
            <w:cnfStyle w:evenVBand="false" w:oddVBand="true" w:firstColumn="false"/>
            <w:tcW w:w="25.000000%" w:type="pct"/>
          </w:tcPr>
          <w:p>
            <w:pPr>
              <w:ind w:leftChars="0" w:left="0" w:right="0"/>
            </w:pPr>
            <w:r>
              <w:t>BULGARIAN STOCK EXCHANGE - MAIN MARKET</w:t>
            </w:r>
          </w:p>
        </w:tc>
        <w:tc>
          <w:tcPr>
            <w:cnfStyle w:evenVBand="true" w:oddVBand="false" w:firstColumn="false"/>
            <w:tcW w:w="25.000000%" w:type="pct"/>
          </w:tcPr>
          <w:p>
            <w:pPr>
              <w:ind w:leftChars="0" w:left="0" w:right="0"/>
            </w:pPr>
            <w:r>
              <w:t>2548</w:t>
            </w:r>
          </w:p>
        </w:tc>
      </w:tr>
      <w:tr>
        <w:trPr>
          <w:cnfStyle w:evenHBand="true" w:oddHBand="false" w:firstRow="false"/>
        </w:trPr>
        <w:tc>
          <w:tcPr>
            <w:cnfStyle w:evenVBand="false" w:oddVBand="true" w:firstColumn="false"/>
            <w:tcW w:w="25.000000%" w:type="pct"/>
          </w:tcPr>
          <w:p>
            <w:pPr>
              <w:ind w:leftChars="0" w:left="0" w:right="0"/>
            </w:pPr>
            <w:r>
              <w:t>ZERO</w:t>
            </w:r>
          </w:p>
        </w:tc>
        <w:tc>
          <w:tcPr>
            <w:cnfStyle w:evenVBand="true" w:oddVBand="false" w:firstColumn="false"/>
            <w:tcW w:w="25.000000%" w:type="pct"/>
          </w:tcPr>
          <w:p>
            <w:pPr>
              <w:ind w:leftChars="0" w:left="0" w:right="0"/>
            </w:pPr>
            <w:r>
              <w:t>ZERO</w:t>
            </w:r>
          </w:p>
        </w:tc>
        <w:tc>
          <w:tcPr>
            <w:cnfStyle w:evenVBand="false" w:oddVBand="true" w:firstColumn="false"/>
            <w:tcW w:w="25.000000%" w:type="pct"/>
          </w:tcPr>
          <w:p>
            <w:pPr>
              <w:ind w:leftChars="0" w:left="0" w:right="0"/>
            </w:pPr>
            <w:r>
              <w:t>ZERO HASH</w:t>
            </w:r>
          </w:p>
        </w:tc>
        <w:tc>
          <w:tcPr>
            <w:cnfStyle w:evenVBand="true" w:oddVBand="false" w:firstColumn="false"/>
            <w:tcW w:w="25.000000%" w:type="pct"/>
          </w:tcPr>
          <w:p>
            <w:pPr>
              <w:ind w:leftChars="0" w:left="0" w:right="0"/>
            </w:pPr>
            <w:r>
              <w:t>2549</w:t>
            </w:r>
          </w:p>
        </w:tc>
      </w:tr>
      <w:tr>
        <w:trPr>
          <w:cnfStyle w:evenHBand="false" w:oddHBand="true" w:firstRow="false"/>
        </w:trPr>
        <w:tc>
          <w:tcPr>
            <w:cnfStyle w:evenVBand="false" w:oddVBand="true" w:firstColumn="false"/>
            <w:tcW w:w="25.000000%" w:type="pct"/>
          </w:tcPr>
          <w:p>
            <w:pPr>
              <w:ind w:leftChars="0" w:left="0" w:right="0"/>
            </w:pPr>
            <w:r>
              <w:t>ZFXM</w:t>
            </w:r>
          </w:p>
        </w:tc>
        <w:tc>
          <w:tcPr>
            <w:cnfStyle w:evenVBand="true" w:oddVBand="false" w:firstColumn="false"/>
            <w:tcW w:w="25.000000%" w:type="pct"/>
          </w:tcPr>
          <w:p>
            <w:pPr>
              <w:ind w:leftChars="0" w:left="0" w:right="0"/>
            </w:pPr>
            <w:r>
              <w:t>ZFXM</w:t>
            </w:r>
          </w:p>
        </w:tc>
        <w:tc>
          <w:tcPr>
            <w:cnfStyle w:evenVBand="false" w:oddVBand="true" w:firstColumn="false"/>
            <w:tcW w:w="25.000000%" w:type="pct"/>
          </w:tcPr>
          <w:p>
            <w:pPr>
              <w:ind w:leftChars="0" w:left="0" w:right="0"/>
            </w:pPr>
            <w:r>
              <w:t>JSE CURRENCY DERIVATIVES MARKET</w:t>
            </w:r>
          </w:p>
        </w:tc>
        <w:tc>
          <w:tcPr>
            <w:cnfStyle w:evenVBand="true" w:oddVBand="false" w:firstColumn="false"/>
            <w:tcW w:w="25.000000%" w:type="pct"/>
          </w:tcPr>
          <w:p>
            <w:pPr>
              <w:ind w:leftChars="0" w:left="0" w:right="0"/>
            </w:pPr>
            <w:r>
              <w:t>2550</w:t>
            </w:r>
          </w:p>
        </w:tc>
      </w:tr>
      <w:tr>
        <w:trPr>
          <w:cnfStyle w:evenHBand="true" w:oddHBand="false" w:firstRow="false"/>
        </w:trPr>
        <w:tc>
          <w:tcPr>
            <w:cnfStyle w:evenVBand="false" w:oddVBand="true" w:firstColumn="false"/>
            <w:tcW w:w="25.000000%" w:type="pct"/>
          </w:tcPr>
          <w:p>
            <w:pPr>
              <w:ind w:leftChars="0" w:left="0" w:right="0"/>
            </w:pPr>
            <w:r>
              <w:t>ZKBX</w:t>
            </w:r>
          </w:p>
        </w:tc>
        <w:tc>
          <w:tcPr>
            <w:cnfStyle w:evenVBand="true" w:oddVBand="false" w:firstColumn="false"/>
            <w:tcW w:w="25.000000%" w:type="pct"/>
          </w:tcPr>
          <w:p>
            <w:pPr>
              <w:ind w:leftChars="0" w:left="0" w:right="0"/>
            </w:pPr>
            <w:r>
              <w:t>ZKBX</w:t>
            </w:r>
          </w:p>
        </w:tc>
        <w:tc>
          <w:tcPr>
            <w:cnfStyle w:evenVBand="false" w:oddVBand="true" w:firstColumn="false"/>
            <w:tcW w:w="25.000000%" w:type="pct"/>
          </w:tcPr>
          <w:p>
            <w:pPr>
              <w:ind w:leftChars="0" w:left="0" w:right="0"/>
            </w:pPr>
            <w:r>
              <w:t>ZURCHER KANTONALBANK SECURITIES EXCHANGE</w:t>
            </w:r>
          </w:p>
        </w:tc>
        <w:tc>
          <w:tcPr>
            <w:cnfStyle w:evenVBand="true" w:oddVBand="false" w:firstColumn="false"/>
            <w:tcW w:w="25.000000%" w:type="pct"/>
          </w:tcPr>
          <w:p>
            <w:pPr>
              <w:ind w:leftChars="0" w:left="0" w:right="0"/>
            </w:pPr>
            <w:r>
              <w:t>2551</w:t>
            </w:r>
          </w:p>
        </w:tc>
      </w:tr>
      <w:tr>
        <w:trPr>
          <w:cnfStyle w:evenHBand="false" w:oddHBand="true" w:firstRow="false"/>
        </w:trPr>
        <w:tc>
          <w:tcPr>
            <w:cnfStyle w:evenVBand="false" w:oddVBand="true" w:firstColumn="false"/>
            <w:tcW w:w="25.000000%" w:type="pct"/>
          </w:tcPr>
          <w:p>
            <w:pPr>
              <w:ind w:leftChars="0" w:left="0" w:right="0"/>
            </w:pPr>
            <w:r>
              <w:t>ZOBX</w:t>
            </w:r>
          </w:p>
        </w:tc>
        <w:tc>
          <w:tcPr>
            <w:cnfStyle w:evenVBand="true" w:oddVBand="false" w:firstColumn="false"/>
            <w:tcW w:w="25.000000%" w:type="pct"/>
          </w:tcPr>
          <w:p>
            <w:pPr>
              <w:ind w:leftChars="0" w:left="0" w:right="0"/>
            </w:pPr>
            <w:r>
              <w:t>ZOBX</w:t>
            </w:r>
          </w:p>
        </w:tc>
        <w:tc>
          <w:tcPr>
            <w:cnfStyle w:evenVBand="false" w:oddVBand="true" w:firstColumn="false"/>
            <w:tcW w:w="25.000000%" w:type="pct"/>
          </w:tcPr>
          <w:p>
            <w:pPr>
              <w:ind w:leftChars="0" w:left="0" w:right="0"/>
            </w:pPr>
            <w:r>
              <w:t>ZOBEX</w:t>
            </w:r>
          </w:p>
        </w:tc>
        <w:tc>
          <w:tcPr>
            <w:cnfStyle w:evenVBand="true" w:oddVBand="false" w:firstColumn="false"/>
            <w:tcW w:w="25.000000%" w:type="pct"/>
          </w:tcPr>
          <w:p>
            <w:pPr>
              <w:ind w:leftChars="0" w:left="0" w:right="0"/>
            </w:pPr>
            <w:r>
              <w:t>2552</w:t>
            </w:r>
          </w:p>
        </w:tc>
      </w:tr>
      <w:tr>
        <w:trPr>
          <w:cnfStyle w:evenHBand="true" w:oddHBand="false" w:firstRow="false"/>
        </w:trPr>
        <w:tc>
          <w:tcPr>
            <w:cnfStyle w:evenVBand="false" w:oddVBand="true" w:firstColumn="false"/>
            <w:tcW w:w="25.000000%" w:type="pct"/>
          </w:tcPr>
          <w:p>
            <w:pPr>
              <w:ind w:leftChars="0" w:left="0" w:right="0"/>
            </w:pPr>
            <w:r>
              <w:t>ZODM</w:t>
            </w:r>
          </w:p>
        </w:tc>
        <w:tc>
          <w:tcPr>
            <w:cnfStyle w:evenVBand="true" w:oddVBand="false" w:firstColumn="false"/>
            <w:tcW w:w="25.000000%" w:type="pct"/>
          </w:tcPr>
          <w:p>
            <w:pPr>
              <w:ind w:leftChars="0" w:left="0" w:right="0"/>
            </w:pPr>
            <w:r>
              <w:t>ZODM</w:t>
            </w:r>
          </w:p>
        </w:tc>
        <w:tc>
          <w:tcPr>
            <w:cnfStyle w:evenVBand="false" w:oddVBand="true" w:firstColumn="false"/>
            <w:tcW w:w="25.000000%" w:type="pct"/>
          </w:tcPr>
          <w:p>
            <w:pPr>
              <w:ind w:leftChars="0" w:left="0" w:right="0"/>
            </w:pPr>
            <w:r>
              <w:t>ZODIA MARKETS</w:t>
            </w:r>
          </w:p>
        </w:tc>
        <w:tc>
          <w:tcPr>
            <w:cnfStyle w:evenVBand="true" w:oddVBand="false" w:firstColumn="false"/>
            <w:tcW w:w="25.000000%" w:type="pct"/>
          </w:tcPr>
          <w:p>
            <w:pPr>
              <w:ind w:leftChars="0" w:left="0" w:right="0"/>
            </w:pPr>
            <w:r>
              <w:t>2553</w:t>
            </w:r>
          </w:p>
        </w:tc>
      </w:tr>
    </w:tbl>
    <w:p>
      <w:pPr>
        <w:pStyle w:val="Table Bottom Margin"/>
      </w:pPr>
    </w:p>
    <w:bookmarkEnd w:id="376"/>
    <w:bookmarkEnd w:id="375"/>
    <w:bookmarkStart w:id="377" w:name="_6f41212defec6dc8fa7a2825d3e9100b"/>
    <w:bookmarkStart w:id="378" w:name="_f31b513dda8c54c172eba43b3f7e1bb9"/>
    <w:p>
      <w:pPr>
        <w:pStyle w:val="Heading5"/>
        <w:keepNext/>
      </w:pPr>
      <w:r>
        <w:t>IFDAT_DRGTN_TYP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w:t>
            </w:r>
          </w:p>
        </w:tc>
        <w:tc>
          <w:tcPr>
            <w:cnfStyle w:evenVBand="true" w:oddVBand="false" w:firstColumn="false"/>
            <w:tcW w:w="25.000000%" w:type="pct"/>
          </w:tcPr>
          <w:p>
            <w:pPr>
              <w:ind w:leftChars="0" w:left="0" w:right="0"/>
            </w:pPr>
            <w:r>
              <w:t>Παρρέκλιση IFDAT τύπου Α</w:t>
            </w:r>
          </w:p>
        </w:tc>
        <w:tc>
          <w:tcPr>
            <w:cnfStyle w:evenVBand="false" w:oddVBand="true" w:firstColumn="false"/>
            <w:tcW w:w="25.000000%" w:type="pct"/>
          </w:tcPr>
          <w:p>
            <w:pPr>
              <w:ind w:leftChars="0" w:left="0" w:right="0"/>
            </w:pPr>
            <w:r>
              <w:t>Παροχή των στοιχείων αναφοράς των πινάκων Β1 έως Β4 και Β9, Β10 του παραρτήματος IFDAT σύμφωνα με τις προθεσμίες υποβολής στοιχείων του Άρθρου 4 και σε τριμηνιαία βάση παροχή του λογιστικού πίνακα Α14 του παραρτήματος Ι.</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Β</w:t>
            </w:r>
          </w:p>
        </w:tc>
        <w:tc>
          <w:tcPr>
            <w:cnfStyle w:evenVBand="true" w:oddVBand="false" w:firstColumn="false"/>
            <w:tcW w:w="25.000000%" w:type="pct"/>
          </w:tcPr>
          <w:p>
            <w:pPr>
              <w:ind w:leftChars="0" w:left="0" w:right="0"/>
            </w:pPr>
            <w:r>
              <w:t>Παρρέκλιση IFDAT τύπου Β</w:t>
            </w:r>
          </w:p>
        </w:tc>
        <w:tc>
          <w:tcPr>
            <w:cnfStyle w:evenVBand="false" w:oddVBand="true" w:firstColumn="false"/>
            <w:tcW w:w="25.000000%" w:type="pct"/>
          </w:tcPr>
          <w:p>
            <w:pPr>
              <w:ind w:leftChars="0" w:left="0" w:right="0"/>
            </w:pPr>
            <w:r>
              <w:t>Παροχή των στοιχείων του άρθρου 3 με βάση τη συχνότητα και την προθεσμία αποτίμησης των στοιχείων του ενεργητικού σύμφωνα με τους ισχύοντες λογιστικούς κανόνες, αλλά κατ᾽ ελάχιστο σε ετήσια βάση και εντός ενός τριμήνου από την ημερομηνία αποτίμησης.</w:t>
            </w:r>
          </w:p>
        </w:tc>
        <w:tc>
          <w:tcPr>
            <w:cnfStyle w:evenVBand="true" w:oddVBand="false" w:firstColumn="false"/>
            <w:tcW w:w="25.000000%" w:type="pct"/>
          </w:tcPr>
          <w:p>
            <w:pPr>
              <w:ind w:leftChars="0" w:left="0" w:right="0"/>
            </w:pPr>
            <w:r>
              <w:t>2</w:t>
            </w:r>
          </w:p>
        </w:tc>
      </w:tr>
    </w:tbl>
    <w:p>
      <w:pPr>
        <w:pStyle w:val="Table Bottom Margin"/>
      </w:pPr>
    </w:p>
    <w:bookmarkEnd w:id="378"/>
    <w:bookmarkEnd w:id="377"/>
    <w:bookmarkStart w:id="379" w:name="_84403f97d0fd046389a0f222521885c9"/>
    <w:bookmarkStart w:id="380" w:name="_6e2cc298619f255a5e05d7293f8f8c94"/>
    <w:p>
      <w:pPr>
        <w:pStyle w:val="Heading5"/>
        <w:keepNext/>
      </w:pPr>
      <w:r>
        <w:t>LON_TYP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OVR</w:t>
            </w:r>
          </w:p>
        </w:tc>
        <w:tc>
          <w:tcPr>
            <w:cnfStyle w:evenVBand="true" w:oddVBand="false" w:firstColumn="false"/>
            <w:tcW w:w="25.000000%" w:type="pct"/>
          </w:tcPr>
          <w:p>
            <w:pPr>
              <w:ind w:leftChars="0" w:left="0" w:right="0"/>
            </w:pPr>
            <w:r>
              <w:t>Overdraft</w:t>
            </w:r>
          </w:p>
        </w:tc>
        <w:tc>
          <w:tcPr>
            <w:cnfStyle w:evenVBand="false" w:oddVBand="true" w:firstColumn="false"/>
            <w:tcW w:w="25.000000%" w:type="pct"/>
          </w:tcPr>
          <w:p>
            <w:pPr>
              <w:ind w:leftChars="0" w:left="0" w:right="0"/>
            </w:pPr>
            <w:r>
              <w:t>Where a deposit account has an overdraft facility and subsequently becomes overdrawn, the withdrawal to zero is the withdrawal of a deposit (recorded in the DEPOSIT relevant tables) and the amount of overdraft is recorded in the LOAN relevant tables.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REV</w:t>
            </w:r>
          </w:p>
        </w:tc>
        <w:tc>
          <w:tcPr>
            <w:cnfStyle w:evenVBand="true" w:oddVBand="false" w:firstColumn="false"/>
            <w:tcW w:w="25.000000%" w:type="pct"/>
          </w:tcPr>
          <w:p>
            <w:pPr>
              <w:ind w:leftChars="0" w:left="0" w:right="0"/>
            </w:pPr>
            <w:r>
              <w:t>Revolving loans</w:t>
            </w:r>
          </w:p>
        </w:tc>
        <w:tc>
          <w:tcPr>
            <w:cnfStyle w:evenVBand="false" w:oddVBand="true" w:firstColumn="false"/>
            <w:tcW w:w="25.000000%" w:type="pct"/>
          </w:tcPr>
          <w:p>
            <w:pPr>
              <w:ind w:leftChars="0" w:left="0" w:right="0"/>
            </w:pPr>
            <w:r>
              <w:t>Revolving loans are loans, excluding overdrafts and credit card debt, obtained through a line of credit and not yet repaid, where funds can be repeatedly repaid and drawn again (whether in one amount or in installments) up to an agreed contractual credit limit.  Revolving loans have the following features:</w:t>
            </w:r>
          </w:p>
          <w:p>
            <w:pPr>
              <w:pStyle w:val="ListBullet"/>
              <w:numPr>
                <w:ilvl w:val="0"/>
                <w:numId w:val="2"/>
              </w:numPr>
              <w:ind w:leftChars="0" w:left="480" w:right="0"/>
            </w:pPr>
            <w:r>
              <w:t>the borrower may draw on the facility up to an agreed amount without notifying the lender</w:t>
            </w:r>
          </w:p>
          <w:p>
            <w:pPr>
              <w:pStyle w:val="ListBullet"/>
              <w:numPr>
                <w:ilvl w:val="0"/>
                <w:numId w:val="2"/>
              </w:numPr>
              <w:ind w:leftChars="0" w:left="480" w:right="0"/>
            </w:pPr>
            <w:r>
              <w:t>the amount of available credit fluctuates as funds are borrowed and repaid</w:t>
            </w:r>
          </w:p>
          <w:p>
            <w:pPr>
              <w:pStyle w:val="ListBullet"/>
              <w:numPr>
                <w:ilvl w:val="0"/>
                <w:numId w:val="2"/>
              </w:numPr>
              <w:ind w:leftChars="0" w:left="480" w:right="0"/>
            </w:pPr>
            <w:r>
              <w:t>the facility may be used repeatedly</w:t>
            </w:r>
          </w:p>
          <w:p>
            <w:pPr>
              <w:pStyle w:val="ListBullet"/>
              <w:numPr>
                <w:ilvl w:val="0"/>
                <w:numId w:val="2"/>
              </w:numPr>
              <w:ind w:leftChars="0" w:left="480" w:right="0"/>
            </w:pPr>
            <w:r>
              <w:t>there is no obligation to repay regularly</w:t>
            </w:r>
          </w:p>
          <w:p>
            <w:pPr>
              <w:ind w:leftChars="0" w:left="0" w:right="0"/>
            </w:pPr>
            <w:r>
              <w:t>A margin account in which the broker-dealer lends the investor cash to purchase securities is a revolving loan.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FLS</w:t>
            </w:r>
          </w:p>
        </w:tc>
        <w:tc>
          <w:tcPr>
            <w:cnfStyle w:evenVBand="true" w:oddVBand="false" w:firstColumn="false"/>
            <w:tcW w:w="25.000000%" w:type="pct"/>
          </w:tcPr>
          <w:p>
            <w:pPr>
              <w:ind w:leftChars="0" w:left="0" w:right="0"/>
            </w:pPr>
            <w:r>
              <w:t>Financial leases</w:t>
            </w:r>
          </w:p>
        </w:tc>
        <w:tc>
          <w:tcPr>
            <w:cnfStyle w:evenVBand="false" w:oddVBand="true" w:firstColumn="false"/>
            <w:tcW w:w="25.000000%" w:type="pct"/>
          </w:tcPr>
          <w:p>
            <w:pPr>
              <w:ind w:leftChars="0" w:left="0" w:right="0"/>
            </w:pPr>
            <w:r>
              <w:t>Financial leases are defined in Regulation ECB/2013/33 as contracts under which the legal owner of a durable good (lessor) lends it to a third party (lessee) for most if not all of its economic life, in exchange for instalments covering the cost of the good and an imputed interest charge. The lessee, as the economic owner, enjoys all the benefits from the use of the good and incurs the costs and risks of ownership. In addition it is the lessee, as the economic owner, that must provide any necessary repair and maintenance of the good. For statistical purposes, financial leases are treated as loans from the lessor to the lessee, with payments treated as loan repayments rather than rentals on the asset. The durable goods which are the subject of the lease are recorded on the balance sheet of the lessee (and valued at the purchase price paid by the lessor). Hire-purchase agreements are considered a type of financial lease.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NOS</w:t>
            </w:r>
          </w:p>
        </w:tc>
        <w:tc>
          <w:tcPr>
            <w:cnfStyle w:evenVBand="true" w:oddVBand="false" w:firstColumn="false"/>
            <w:tcW w:w="25.000000%" w:type="pct"/>
          </w:tcPr>
          <w:p>
            <w:pPr>
              <w:ind w:leftChars="0" w:left="0" w:right="0"/>
            </w:pPr>
            <w:r>
              <w:t>Non-negotiable securities</w:t>
            </w:r>
          </w:p>
        </w:tc>
        <w:tc>
          <w:tcPr>
            <w:cnfStyle w:evenVBand="false" w:oddVBand="true" w:firstColumn="false"/>
            <w:tcW w:w="25.000000%" w:type="pct"/>
          </w:tcPr>
          <w:p>
            <w:pPr>
              <w:ind w:leftChars="0" w:left="0" w:right="0"/>
            </w:pPr>
            <w:r>
              <w:t>Holdings of debt securities which are not negotiable and cannot be traded on secondary markets are recorded as loans. These are instruments where the transfer of legal ownership is subject to restrictions which imply that they cannot be marketed or, although they are technically negotiable, cannot be traded owing to the absence of an organised market. Non-negotiable instruments that subsequently become negotiable and can be traded on secondary markets should be reclassified as debt securities.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TRD</w:t>
            </w:r>
          </w:p>
        </w:tc>
        <w:tc>
          <w:tcPr>
            <w:cnfStyle w:evenVBand="true" w:oddVBand="false" w:firstColumn="false"/>
            <w:tcW w:w="25.000000%" w:type="pct"/>
          </w:tcPr>
          <w:p>
            <w:pPr>
              <w:ind w:leftChars="0" w:left="0" w:right="0"/>
            </w:pPr>
            <w:r>
              <w:t>Traded loans</w:t>
            </w:r>
          </w:p>
        </w:tc>
        <w:tc>
          <w:tcPr>
            <w:cnfStyle w:evenVBand="false" w:oddVBand="true" w:firstColumn="false"/>
            <w:tcW w:w="25.000000%" w:type="pct"/>
          </w:tcPr>
          <w:p>
            <w:pPr>
              <w:ind w:leftChars="0" w:left="0" w:right="0"/>
            </w:pPr>
            <w:r>
              <w:t>Loans that have de facto become negotiable are called traded loans. Where there is no evidence of secondary market trading in the traded loans, they are classified as loans. Otherwise, they are classified as debt securities.</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INT</w:t>
            </w:r>
          </w:p>
        </w:tc>
        <w:tc>
          <w:tcPr>
            <w:cnfStyle w:evenVBand="true" w:oddVBand="false" w:firstColumn="false"/>
            <w:tcW w:w="25.000000%" w:type="pct"/>
          </w:tcPr>
          <w:p>
            <w:pPr>
              <w:ind w:leftChars="0" w:left="0" w:right="0"/>
            </w:pPr>
            <w:r>
              <w:t>Intragroup loans</w:t>
            </w:r>
          </w:p>
        </w:tc>
        <w:tc>
          <w:tcPr>
            <w:cnfStyle w:evenVBand="false" w:oddVBand="true" w:firstColumn="false"/>
            <w:tcW w:w="25.000000%" w:type="pct"/>
          </w:tcPr>
          <w:p>
            <w:pPr>
              <w:ind w:leftChars="0" w:left="0" w:right="0"/>
            </w:pPr>
            <w:r>
              <w:t>For subsidiaries, financing via inter-company or funding can be classified either as inter-company lending or as capital endowments (equity) in a subsidiary. As with subordinated debt, positions should be classified according to the criteria of loan and equity instruments.</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LVG</w:t>
            </w:r>
          </w:p>
        </w:tc>
        <w:tc>
          <w:tcPr>
            <w:cnfStyle w:evenVBand="true" w:oddVBand="false" w:firstColumn="false"/>
            <w:tcW w:w="25.000000%" w:type="pct"/>
          </w:tcPr>
          <w:p>
            <w:pPr>
              <w:ind w:leftChars="0" w:left="0" w:right="0"/>
            </w:pPr>
            <w:r>
              <w:t>Leveraged loan</w:t>
            </w:r>
          </w:p>
        </w:tc>
        <w:tc>
          <w:tcPr>
            <w:cnfStyle w:evenVBand="false" w:oddVBand="true" w:firstColumn="false"/>
            <w:tcW w:w="25.000000%" w:type="pct"/>
          </w:tcPr>
          <w:p>
            <w:pPr>
              <w:ind w:leftChars="0" w:left="0" w:right="0"/>
            </w:pPr>
            <w:r>
              <w:t>Leveraged loan is a syndicated loan extended to a corporation with low credit quality.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REP</w:t>
            </w:r>
          </w:p>
        </w:tc>
        <w:tc>
          <w:tcPr>
            <w:cnfStyle w:evenVBand="true" w:oddVBand="false" w:firstColumn="false"/>
            <w:tcW w:w="25.000000%" w:type="pct"/>
          </w:tcPr>
          <w:p>
            <w:pPr>
              <w:ind w:leftChars="0" w:left="0" w:right="0"/>
            </w:pPr>
            <w:r>
              <w:t>Repurchase transaction</w:t>
            </w:r>
          </w:p>
        </w:tc>
        <w:tc>
          <w:tcPr>
            <w:cnfStyle w:evenVBand="false" w:oddVBand="true" w:firstColumn="false"/>
            <w:tcW w:w="25.000000%" w:type="pct"/>
          </w:tcPr>
          <w:p>
            <w:pPr>
              <w:ind w:leftChars="0" w:left="480" w:right="0"/>
            </w:pPr>
            <w:r>
              <w:t>If it appears on the asset side it refers to claims under reverse repos or reverse repos type operations against cash collateral, ie, counterpart of cash paid out in exchange for securities purchased at a given price under a firm commitment to resell the same or similar securities at a fixed price on a specific future date. If it appears on the liability side it refers to repo or repo-type operations against cash collateral, ie, counterpart of cash received in exchange for securities sold at a given price under a firm commitment to repurchase the same (or similar) securities at a fixed price on a specific future date.  Amounts received in exchange for securities transferred to a third party (“temporary acquirer”) are to be classified here where there is a firm commetment to reverse the operation and not merely an option to do so.  This implies that all risks and rewards of the underlying security are retained during the operation.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SBL</w:t>
            </w:r>
          </w:p>
        </w:tc>
        <w:tc>
          <w:tcPr>
            <w:cnfStyle w:evenVBand="true" w:oddVBand="false" w:firstColumn="false"/>
            <w:tcW w:w="25.000000%" w:type="pct"/>
          </w:tcPr>
          <w:p>
            <w:pPr>
              <w:ind w:leftChars="0" w:left="0" w:right="0"/>
            </w:pPr>
            <w:r>
              <w:t>Securities lending/borrowing</w:t>
            </w:r>
          </w:p>
        </w:tc>
        <w:tc>
          <w:tcPr>
            <w:cnfStyle w:evenVBand="false" w:oddVBand="true" w:firstColumn="false"/>
            <w:tcW w:w="25.000000%" w:type="pct"/>
          </w:tcPr>
          <w:p>
            <w:pPr>
              <w:ind w:leftChars="0" w:left="480" w:right="0"/>
            </w:pPr>
            <w:r>
              <w:t>If it appears on the asset side it refers to claims under securities borrowing against cash collateral, ie, counterpart of cash paid in exchange for securities borrowed. If it appears on the liability side it refers to cash collateral received in exchange for securities lending or gold transfer, ie, amounts received in exchange for securities or gold temporarily transferred to a third party in the form of securities/gold cash lending operations against cash collateral.</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loan</w:t>
            </w:r>
          </w:p>
        </w:tc>
        <w:tc>
          <w:tcPr>
            <w:cnfStyle w:evenVBand="false" w:oddVBand="true" w:firstColumn="false"/>
            <w:tcW w:w="25.000000%" w:type="pct"/>
          </w:tcPr>
          <w:p>
            <w:pPr>
              <w:ind w:leftChars="0" w:left="0" w:right="0"/>
            </w:pPr>
            <w:r>
              <w:t>Loan other than CRD, OVR, REV, FLS, NOS, TRD, INT, LVG, REP, SBL.</w:t>
            </w:r>
          </w:p>
        </w:tc>
        <w:tc>
          <w:tcPr>
            <w:cnfStyle w:evenVBand="true" w:oddVBand="false" w:firstColumn="false"/>
            <w:tcW w:w="25.000000%" w:type="pct"/>
          </w:tcPr>
          <w:p>
            <w:pPr>
              <w:ind w:leftChars="0" w:left="0" w:right="0"/>
            </w:pPr>
            <w:r>
              <w:t>10</w:t>
            </w:r>
          </w:p>
        </w:tc>
      </w:tr>
    </w:tbl>
    <w:p>
      <w:pPr>
        <w:pStyle w:val="Table Bottom Margin"/>
      </w:pPr>
    </w:p>
    <w:bookmarkEnd w:id="380"/>
    <w:bookmarkEnd w:id="379"/>
    <w:bookmarkStart w:id="381" w:name="_9562ea3e71f4c35afbb4aa0a84b5b552"/>
    <w:bookmarkStart w:id="382" w:name="_d9930974c013a304b4cc183074f566a6"/>
    <w:p>
      <w:pPr>
        <w:pStyle w:val="Heading5"/>
        <w:keepNext/>
      </w:pPr>
      <w:r>
        <w:t>ORG_INSTTTNL_SCTR_CNTRL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0</w:t>
            </w:r>
          </w:p>
        </w:tc>
        <w:tc>
          <w:tcPr>
            <w:cnfStyle w:evenVBand="true" w:oddVBand="false" w:firstColumn="false"/>
            <w:tcW w:w="25.000000%" w:type="pct"/>
          </w:tcPr>
          <w:p>
            <w:pPr>
              <w:ind w:leftChars="0" w:left="0" w:right="0"/>
            </w:pPr>
            <w:r>
              <w:t>not applicable</w:t>
            </w:r>
          </w:p>
        </w:tc>
        <w:tc>
          <w:tcPr>
            <w:cnfStyle w:evenVBand="false" w:oddVBand="true" w:firstColumn="false"/>
            <w:tcW w:w="25.000000%" w:type="pct"/>
          </w:tcPr>
          <w:p>
            <w:pPr>
              <w:ind w:leftChars="0" w:left="0" w:right="0"/>
            </w:pPr>
            <w:r>
              <w:t>not applicable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1</w:t>
            </w:r>
          </w:p>
        </w:tc>
        <w:tc>
          <w:tcPr>
            <w:cnfStyle w:evenVBand="true" w:oddVBand="false" w:firstColumn="false"/>
            <w:tcW w:w="25.000000%" w:type="pct"/>
          </w:tcPr>
          <w:p>
            <w:pPr>
              <w:ind w:leftChars="0" w:left="0" w:right="0"/>
            </w:pPr>
            <w:r>
              <w:t>Public</w:t>
            </w:r>
          </w:p>
        </w:tc>
        <w:tc>
          <w:tcPr>
            <w:cnfStyle w:evenVBand="false" w:oddVBand="true" w:firstColumn="false"/>
            <w:tcW w:w="25.000000%" w:type="pct"/>
          </w:tcPr>
          <w:p>
            <w:pPr>
              <w:ind w:leftChars="0" w:left="0" w:right="0"/>
            </w:pPr>
            <w:r>
              <w:t>Public as defined in Regulation (EU) No 549/2013 (paragraphs 2.35 to 2.39)</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2</w:t>
            </w:r>
          </w:p>
        </w:tc>
        <w:tc>
          <w:tcPr>
            <w:cnfStyle w:evenVBand="true" w:oddVBand="false" w:firstColumn="false"/>
            <w:tcW w:w="25.000000%" w:type="pct"/>
          </w:tcPr>
          <w:p>
            <w:pPr>
              <w:ind w:leftChars="0" w:left="0" w:right="0"/>
            </w:pPr>
            <w:r>
              <w:t>National private</w:t>
            </w:r>
          </w:p>
        </w:tc>
        <w:tc>
          <w:tcPr>
            <w:cnfStyle w:evenVBand="false" w:oddVBand="true" w:firstColumn="false"/>
            <w:tcW w:w="25.000000%" w:type="pct"/>
          </w:tcPr>
          <w:p>
            <w:pPr>
              <w:ind w:leftChars="0" w:left="0" w:right="0"/>
            </w:pPr>
            <w:r>
              <w:t>National private as defined in Regulation (EU) No 549/2013 (paragraphs 2.35 to 2.39)</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3</w:t>
            </w:r>
          </w:p>
        </w:tc>
        <w:tc>
          <w:tcPr>
            <w:cnfStyle w:evenVBand="true" w:oddVBand="false" w:firstColumn="false"/>
            <w:tcW w:w="25.000000%" w:type="pct"/>
          </w:tcPr>
          <w:p>
            <w:pPr>
              <w:ind w:leftChars="0" w:left="0" w:right="0"/>
            </w:pPr>
            <w:r>
              <w:t>Foreign controlled</w:t>
            </w:r>
          </w:p>
        </w:tc>
        <w:tc>
          <w:tcPr>
            <w:cnfStyle w:evenVBand="false" w:oddVBand="true" w:firstColumn="false"/>
            <w:tcW w:w="25.000000%" w:type="pct"/>
          </w:tcPr>
          <w:p>
            <w:pPr>
              <w:ind w:leftChars="0" w:left="0" w:right="0"/>
            </w:pPr>
            <w:r>
              <w:t>Foreign controlled as defined in Regulation (EU) No 549/2013 (paragraphs 2.35 to 2.39)</w:t>
            </w:r>
          </w:p>
        </w:tc>
        <w:tc>
          <w:tcPr>
            <w:cnfStyle w:evenVBand="true" w:oddVBand="false" w:firstColumn="false"/>
            <w:tcW w:w="25.000000%" w:type="pct"/>
          </w:tcPr>
          <w:p>
            <w:pPr>
              <w:ind w:leftChars="0" w:left="0" w:right="0"/>
            </w:pPr>
            <w:r>
              <w:t>4</w:t>
            </w:r>
          </w:p>
        </w:tc>
      </w:tr>
    </w:tbl>
    <w:p>
      <w:pPr>
        <w:pStyle w:val="Table Bottom Margin"/>
      </w:pPr>
    </w:p>
    <w:bookmarkEnd w:id="382"/>
    <w:bookmarkEnd w:id="381"/>
    <w:bookmarkStart w:id="383" w:name="_5e70d2ce13d87fce769f8d5e350df3ba"/>
    <w:bookmarkStart w:id="384" w:name="_f444810deafac2d1208e5174388e5fb1"/>
    <w:p>
      <w:pPr>
        <w:pStyle w:val="Heading5"/>
        <w:keepNext/>
      </w:pPr>
      <w:r>
        <w:t>OTHER_RDMPTN_FRQNCY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480" w:right="0"/>
            </w:pPr>
            <w:r>
              <w:t>Daily redemption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W</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480" w:right="0"/>
            </w:pPr>
            <w:r>
              <w:t>Weekly redemption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480" w:right="0"/>
            </w:pPr>
            <w:r>
              <w:t>Monthly redemption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Q</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480" w:right="0"/>
            </w:pPr>
            <w:r>
              <w:t>Quarterly redemption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Biannual</w:t>
            </w:r>
          </w:p>
        </w:tc>
        <w:tc>
          <w:tcPr>
            <w:cnfStyle w:evenVBand="false" w:oddVBand="true" w:firstColumn="false"/>
            <w:tcW w:w="25.000000%" w:type="pct"/>
          </w:tcPr>
          <w:p>
            <w:pPr>
              <w:ind w:leftChars="0" w:left="480" w:right="0"/>
            </w:pPr>
            <w:r>
              <w:t>Biannual redemption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Y</w:t>
            </w:r>
          </w:p>
        </w:tc>
        <w:tc>
          <w:tcPr>
            <w:cnfStyle w:evenVBand="true" w:oddVBand="false" w:firstColumn="false"/>
            <w:tcW w:w="25.000000%" w:type="pct"/>
          </w:tcPr>
          <w:p>
            <w:pPr>
              <w:ind w:leftChars="0" w:left="0" w:right="0"/>
            </w:pPr>
            <w:r>
              <w:t>Yearly</w:t>
            </w:r>
          </w:p>
        </w:tc>
        <w:tc>
          <w:tcPr>
            <w:cnfStyle w:evenVBand="false" w:oddVBand="true" w:firstColumn="false"/>
            <w:tcW w:w="25.000000%" w:type="pct"/>
          </w:tcPr>
          <w:p>
            <w:pPr>
              <w:ind w:leftChars="0" w:left="480" w:right="0"/>
            </w:pPr>
            <w:r>
              <w:t>Yearly redemption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E</w:t>
            </w:r>
          </w:p>
        </w:tc>
        <w:tc>
          <w:tcPr>
            <w:cnfStyle w:evenVBand="true" w:oddVBand="false" w:firstColumn="false"/>
            <w:tcW w:w="25.000000%" w:type="pct"/>
          </w:tcPr>
          <w:p>
            <w:pPr>
              <w:ind w:leftChars="0" w:left="0" w:right="0"/>
            </w:pPr>
            <w:r>
              <w:t>End</w:t>
            </w:r>
          </w:p>
        </w:tc>
        <w:tc>
          <w:tcPr>
            <w:cnfStyle w:evenVBand="false" w:oddVBand="true" w:firstColumn="false"/>
            <w:tcW w:w="25.000000%" w:type="pct"/>
          </w:tcPr>
          <w:p>
            <w:pPr>
              <w:ind w:leftChars="0" w:left="480" w:right="0"/>
            </w:pPr>
            <w:r>
              <w:t>At the end of maturity redemption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w:t>
            </w:r>
          </w:p>
        </w:tc>
        <w:tc>
          <w:tcPr>
            <w:cnfStyle w:evenVBand="true" w:oddVBand="false" w:firstColumn="false"/>
            <w:tcW w:w="25.000000%" w:type="pct"/>
          </w:tcPr>
          <w:p>
            <w:pPr>
              <w:ind w:leftChars="0" w:left="0" w:right="0"/>
            </w:pPr>
            <w:r>
              <w:t>Other</w:t>
            </w:r>
          </w:p>
        </w:tc>
        <w:tc>
          <w:tcPr>
            <w:cnfStyle w:evenVBand="false" w:oddVBand="true" w:firstColumn="false"/>
            <w:tcW w:w="25.000000%" w:type="pct"/>
          </w:tcPr>
          <w:p>
            <w:pPr>
              <w:ind w:leftChars="0" w:left="480" w:right="0"/>
            </w:pPr>
            <w:r>
              <w:t>Other/irregular redemption frequency schedule</w:t>
            </w:r>
          </w:p>
        </w:tc>
        <w:tc>
          <w:tcPr>
            <w:cnfStyle w:evenVBand="true" w:oddVBand="false" w:firstColumn="false"/>
            <w:tcW w:w="25.000000%" w:type="pct"/>
          </w:tcPr>
          <w:p>
            <w:pPr>
              <w:ind w:leftChars="0" w:left="0" w:right="0"/>
            </w:pPr>
            <w:r>
              <w:t>8</w:t>
            </w:r>
          </w:p>
        </w:tc>
      </w:tr>
    </w:tbl>
    <w:p>
      <w:pPr>
        <w:pStyle w:val="Table Bottom Margin"/>
      </w:pPr>
    </w:p>
    <w:bookmarkEnd w:id="384"/>
    <w:bookmarkEnd w:id="383"/>
    <w:bookmarkStart w:id="385" w:name="_2ab02e31c1110b606a3786b6ee14e2d1"/>
    <w:bookmarkStart w:id="386" w:name="_932bdffe7f2e25310144d3c598453b8f"/>
    <w:p>
      <w:pPr>
        <w:pStyle w:val="Heading5"/>
        <w:keepNext/>
      </w:pPr>
      <w:r>
        <w:t>REM_ASSET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AI_DPST</w:t>
            </w:r>
          </w:p>
        </w:tc>
        <w:tc>
          <w:tcPr>
            <w:cnfStyle w:evenVBand="true" w:oddVBand="false" w:firstColumn="false"/>
            <w:tcW w:w="25.000000%" w:type="pct"/>
          </w:tcPr>
          <w:p>
            <w:pPr>
              <w:ind w:leftChars="0" w:left="0" w:right="0"/>
            </w:pPr>
            <w:r>
              <w:t>Accrued interest receivable on deposits</w:t>
            </w:r>
          </w:p>
        </w:tc>
        <w:tc>
          <w:tcPr>
            <w:cnfStyle w:evenVBand="false" w:oddVBand="true" w:firstColumn="false"/>
            <w:tcW w:w="25.000000%" w:type="pct"/>
          </w:tcPr>
          <w:p>
            <w:pPr>
              <w:ind w:leftChars="0" w:left="0" w:right="0"/>
            </w:pPr>
            <w:r>
              <w:t>Accrued interest receivable on deposits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AI_LN</w:t>
            </w:r>
          </w:p>
        </w:tc>
        <w:tc>
          <w:tcPr>
            <w:cnfStyle w:evenVBand="true" w:oddVBand="false" w:firstColumn="false"/>
            <w:tcW w:w="25.000000%" w:type="pct"/>
          </w:tcPr>
          <w:p>
            <w:pPr>
              <w:ind w:leftChars="0" w:left="0" w:right="0"/>
            </w:pPr>
            <w:r>
              <w:t>Accrued interest receivable on loans</w:t>
            </w:r>
          </w:p>
        </w:tc>
        <w:tc>
          <w:tcPr>
            <w:cnfStyle w:evenVBand="false" w:oddVBand="true" w:firstColumn="false"/>
            <w:tcW w:w="25.000000%" w:type="pct"/>
          </w:tcPr>
          <w:p>
            <w:pPr>
              <w:ind w:leftChars="0" w:left="0" w:right="0"/>
            </w:pPr>
            <w:r>
              <w:t>Accrued interest receivable on loans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AI_DBT</w:t>
            </w:r>
          </w:p>
        </w:tc>
        <w:tc>
          <w:tcPr>
            <w:cnfStyle w:evenVBand="true" w:oddVBand="false" w:firstColumn="false"/>
            <w:tcW w:w="25.000000%" w:type="pct"/>
          </w:tcPr>
          <w:p>
            <w:pPr>
              <w:ind w:leftChars="0" w:left="0" w:right="0"/>
            </w:pPr>
            <w:r>
              <w:t>Accrued interest receivable on debt securities</w:t>
            </w:r>
          </w:p>
        </w:tc>
        <w:tc>
          <w:tcPr>
            <w:cnfStyle w:evenVBand="false" w:oddVBand="true" w:firstColumn="false"/>
            <w:tcW w:w="25.000000%" w:type="pct"/>
          </w:tcPr>
          <w:p>
            <w:pPr>
              <w:ind w:leftChars="0" w:left="0" w:right="0"/>
            </w:pPr>
            <w:r>
              <w:t>Accrued interest receivable on debt securities</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Accrued rent receivable</w:t>
            </w:r>
          </w:p>
        </w:tc>
        <w:tc>
          <w:tcPr>
            <w:cnfStyle w:evenVBand="false" w:oddVBand="true" w:firstColumn="false"/>
            <w:tcW w:w="25.000000%" w:type="pct"/>
          </w:tcPr>
          <w:p>
            <w:pPr>
              <w:ind w:leftChars="0" w:left="0" w:right="0"/>
            </w:pPr>
            <w:r>
              <w:t>Accrued rent receivable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OTR</w:t>
            </w:r>
          </w:p>
        </w:tc>
        <w:tc>
          <w:tcPr>
            <w:cnfStyle w:evenVBand="true" w:oddVBand="false" w:firstColumn="false"/>
            <w:tcW w:w="25.000000%" w:type="pct"/>
          </w:tcPr>
          <w:p>
            <w:pPr>
              <w:ind w:leftChars="0" w:left="0" w:right="0"/>
            </w:pPr>
            <w:r>
              <w:t>Other remaining assets not due to accrued interest or accured rent</w:t>
            </w:r>
          </w:p>
        </w:tc>
        <w:tc>
          <w:tcPr>
            <w:cnfStyle w:evenVBand="false" w:oddVBand="true" w:firstColumn="false"/>
            <w:tcW w:w="25.000000%" w:type="pct"/>
          </w:tcPr>
          <w:p>
            <w:pPr>
              <w:ind w:leftChars="0" w:left="0" w:right="0"/>
            </w:pPr>
            <w:r>
              <w:t>Other remaining assets not due to accrued interest or accured rent</w:t>
            </w:r>
          </w:p>
        </w:tc>
        <w:tc>
          <w:tcPr>
            <w:cnfStyle w:evenVBand="true" w:oddVBand="false" w:firstColumn="false"/>
            <w:tcW w:w="25.000000%" w:type="pct"/>
          </w:tcPr>
          <w:p>
            <w:pPr>
              <w:ind w:leftChars="0" w:left="0" w:right="0"/>
            </w:pPr>
            <w:r>
              <w:t>5</w:t>
            </w:r>
          </w:p>
        </w:tc>
      </w:tr>
    </w:tbl>
    <w:p>
      <w:pPr>
        <w:pStyle w:val="Table Bottom Margin"/>
      </w:pPr>
    </w:p>
    <w:bookmarkEnd w:id="386"/>
    <w:bookmarkEnd w:id="385"/>
    <w:bookmarkStart w:id="387" w:name="_c2f9f7c8df59a49b999605620d9ef24a"/>
    <w:bookmarkStart w:id="388" w:name="_3eea2e982603bab965826933b6496459"/>
    <w:p>
      <w:pPr>
        <w:pStyle w:val="Heading5"/>
        <w:keepNext/>
      </w:pPr>
      <w:r>
        <w:t>REM_LIAB</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AI_LN</w:t>
            </w:r>
          </w:p>
        </w:tc>
        <w:tc>
          <w:tcPr>
            <w:cnfStyle w:evenVBand="true" w:oddVBand="false" w:firstColumn="false"/>
            <w:tcW w:w="25.000000%" w:type="pct"/>
          </w:tcPr>
          <w:p>
            <w:pPr>
              <w:ind w:leftChars="0" w:left="0" w:right="0"/>
            </w:pPr>
            <w:r>
              <w:t>Πληρωτέοι δεδουλευμένοι τόκοι δανείων</w:t>
            </w:r>
          </w:p>
        </w:tc>
        <w:tc>
          <w:tcPr>
            <w:cnfStyle w:evenVBand="false" w:oddVBand="true" w:firstColumn="false"/>
            <w:tcW w:w="25.000000%" w:type="pct"/>
          </w:tcPr>
          <w:p>
            <w:pPr>
              <w:ind w:leftChars="0" w:left="0" w:right="0"/>
            </w:pPr>
            <w:r>
              <w:t>Πληρωτέοι δεδουλευμένοι τόκοι δανείων</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AI_DBT</w:t>
            </w:r>
          </w:p>
        </w:tc>
        <w:tc>
          <w:tcPr>
            <w:cnfStyle w:evenVBand="true" w:oddVBand="false" w:firstColumn="false"/>
            <w:tcW w:w="25.000000%" w:type="pct"/>
          </w:tcPr>
          <w:p>
            <w:pPr>
              <w:ind w:leftChars="0" w:left="0" w:right="0"/>
            </w:pPr>
            <w:r>
              <w:t>Πληρωτέοι δεδουλευμένοι τόκοι εκδοθέντων χρεογράφων</w:t>
            </w:r>
          </w:p>
        </w:tc>
        <w:tc>
          <w:tcPr>
            <w:cnfStyle w:evenVBand="false" w:oddVBand="true" w:firstColumn="false"/>
            <w:tcW w:w="25.000000%" w:type="pct"/>
          </w:tcPr>
          <w:p>
            <w:pPr>
              <w:ind w:leftChars="0" w:left="0" w:right="0"/>
            </w:pPr>
            <w:r>
              <w:t>Πληρωτέοι δεδουλευμένοι τόκοι εκδοθέντων χρεογράφων</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Πληρωτέα ενοίκια</w:t>
            </w:r>
          </w:p>
        </w:tc>
        <w:tc>
          <w:tcPr>
            <w:cnfStyle w:evenVBand="false" w:oddVBand="true" w:firstColumn="false"/>
            <w:tcW w:w="25.000000%" w:type="pct"/>
          </w:tcPr>
          <w:p>
            <w:pPr>
              <w:ind w:leftChars="0" w:left="0" w:right="0"/>
            </w:pPr>
            <w:r>
              <w:t>Πληρωτέα ενοίκια</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NO_RIGHTS</w:t>
            </w:r>
          </w:p>
        </w:tc>
        <w:tc>
          <w:tcPr>
            <w:cnfStyle w:evenVBand="true" w:oddVBand="false" w:firstColumn="false"/>
            <w:tcW w:w="25.000000%" w:type="pct"/>
          </w:tcPr>
          <w:p>
            <w:pPr>
              <w:ind w:leftChars="0" w:left="0" w:right="0"/>
            </w:pPr>
            <w:r>
              <w:t>Τίτλους έκδοσης ΕΟ, πλην των συμμετοχικών τίτλων, οι οποίοι είναι συνήθως μέσα διαπραγματεύσιμα και αποτελούν αντικείμενο συναλλαγών στις δευτερογενείς αγορές ή μπορούν να συμψηφιστούν στην αγορά και δεν παρέχουν στον κάτοχο δικαιώματα ιδιοκτησίας επί του ιδρύματος έκδοσης</w:t>
            </w:r>
          </w:p>
        </w:tc>
        <w:tc>
          <w:tcPr>
            <w:cnfStyle w:evenVBand="false" w:oddVBand="true" w:firstColumn="false"/>
            <w:tcW w:w="25.000000%" w:type="pct"/>
          </w:tcPr>
          <w:p>
            <w:pPr>
              <w:ind w:leftChars="0" w:left="0" w:right="0"/>
            </w:pPr>
            <w:r>
              <w:t>Τίτλους έκδοσης ΕΟ, πλην των συμμετοχικών τίτλων, οι οποίοι είναι συνήθως μέσα διαπραγματεύσιμα και αποτελούν αντικείμενο συναλλαγών στις δευτερογενείς αγορές ή μπορούν να συμψηφιστούν στην αγορά και δεν παρέχουν στον κάτοχο δικαιώματα ιδιοκτησίας επί του ιδρύματος έκδοσης</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NOT_MAIN</w:t>
            </w:r>
          </w:p>
        </w:tc>
        <w:tc>
          <w:tcPr>
            <w:cnfStyle w:evenVBand="true" w:oddVBand="false" w:firstColumn="false"/>
            <w:tcW w:w="25.000000%" w:type="pct"/>
          </w:tcPr>
          <w:p>
            <w:pPr>
              <w:ind w:leftChars="0" w:left="0" w:right="0"/>
            </w:pPr>
            <w:r>
              <w:t>Πληρωτέα ποσά που δεν σχετίζονται με την κύρια δραστηριότητα του ΕΟ, δηλαδή ποσά οφειλόμενα σε προμηθευτές, φόρου, μισθούς, ασφαλιστικές εισφορές κ.λπ.</w:t>
            </w:r>
          </w:p>
        </w:tc>
        <w:tc>
          <w:tcPr>
            <w:cnfStyle w:evenVBand="false" w:oddVBand="true" w:firstColumn="false"/>
            <w:tcW w:w="25.000000%" w:type="pct"/>
          </w:tcPr>
          <w:p>
            <w:pPr>
              <w:ind w:leftChars="0" w:left="0" w:right="0"/>
            </w:pPr>
            <w:r>
              <w:t>Πληρωτέα ποσά που δεν σχετίζονται με την κύρια δραστηριότητα του ΕΟ, δηλαδή ποσά οφειλόμενα σε προμηθευτές, φόρου, μισθούς, ασφαλιστικές εισφορές κ.λπ.</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PRVSNS</w:t>
            </w:r>
          </w:p>
        </w:tc>
        <w:tc>
          <w:tcPr>
            <w:cnfStyle w:evenVBand="true" w:oddVBand="false" w:firstColumn="false"/>
            <w:tcW w:w="25.000000%" w:type="pct"/>
          </w:tcPr>
          <w:p>
            <w:pPr>
              <w:ind w:leftChars="0" w:left="0" w:right="0"/>
            </w:pPr>
            <w:r>
              <w:t>Προβλέψεις που αντιπροσωπεύον υποχρεώσεις έναντι τρίτων, δηλαδή συντάξεις, μερίσματα κ.λπ.</w:t>
            </w:r>
          </w:p>
        </w:tc>
        <w:tc>
          <w:tcPr>
            <w:cnfStyle w:evenVBand="false" w:oddVBand="true" w:firstColumn="false"/>
            <w:tcW w:w="25.000000%" w:type="pct"/>
          </w:tcPr>
          <w:p>
            <w:pPr>
              <w:ind w:leftChars="0" w:left="0" w:right="0"/>
            </w:pPr>
            <w:r>
              <w:t>Προβλέψεις που αντιπροσωπεύον υποχρεώσεις έναντι τρίτων, δηλαδή συντάξεις, μερίσματα κ.λπ.</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NO_CASH_SL</w:t>
            </w:r>
          </w:p>
        </w:tc>
        <w:tc>
          <w:tcPr>
            <w:cnfStyle w:evenVBand="true" w:oddVBand="false" w:firstColumn="false"/>
            <w:tcW w:w="25.000000%" w:type="pct"/>
          </w:tcPr>
          <w:p>
            <w:pPr>
              <w:ind w:leftChars="0" w:left="0" w:right="0"/>
            </w:pPr>
            <w:r>
              <w:t>καθαρές θέσεις που προκύπτουν από τον δανεισμό τίτλων χωρίς κατάθεση μετρητών</w:t>
            </w:r>
          </w:p>
        </w:tc>
        <w:tc>
          <w:tcPr>
            <w:cnfStyle w:evenVBand="false" w:oddVBand="true" w:firstColumn="false"/>
            <w:tcW w:w="25.000000%" w:type="pct"/>
          </w:tcPr>
          <w:p>
            <w:pPr>
              <w:ind w:leftChars="0" w:left="0" w:right="0"/>
            </w:pPr>
            <w:r>
              <w:t>καθαρές θέσεις που προκύπτουν από τον δανεισμό τίτλων χωρίς κατάθεση μετρητών</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FUTURE</w:t>
            </w:r>
          </w:p>
        </w:tc>
        <w:tc>
          <w:tcPr>
            <w:cnfStyle w:evenVBand="true" w:oddVBand="false" w:firstColumn="false"/>
            <w:tcW w:w="25.000000%" w:type="pct"/>
          </w:tcPr>
          <w:p>
            <w:pPr>
              <w:ind w:leftChars="0" w:left="0" w:right="0"/>
            </w:pPr>
            <w:r>
              <w:t>Καθαρά ποσά πληρωτέα σε σχέση με μελλοντικούς διακανονισμούς συναλλαγών επί τίτλων</w:t>
            </w:r>
          </w:p>
        </w:tc>
        <w:tc>
          <w:tcPr>
            <w:cnfStyle w:evenVBand="false" w:oddVBand="true" w:firstColumn="false"/>
            <w:tcW w:w="25.000000%" w:type="pct"/>
          </w:tcPr>
          <w:p>
            <w:pPr>
              <w:ind w:leftChars="0" w:left="0" w:right="0"/>
            </w:pPr>
            <w:r>
              <w:t>Καθαρά ποσά πληρωτέα σε σχέση με μελλοντικούς διακανονισμούς συναλλαγών επί τίτλων</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Άλλες λοιπές υποχρέωσεις</w:t>
            </w:r>
          </w:p>
        </w:tc>
        <w:tc>
          <w:tcPr>
            <w:cnfStyle w:evenVBand="false" w:oddVBand="true" w:firstColumn="false"/>
            <w:tcW w:w="25.000000%" w:type="pct"/>
          </w:tcPr>
          <w:p>
            <w:pPr>
              <w:ind w:leftChars="0" w:left="0" w:right="0"/>
            </w:pPr>
            <w:r>
              <w:t>Άλλες λοιπές υποχρέωσεις</w:t>
            </w:r>
          </w:p>
        </w:tc>
        <w:tc>
          <w:tcPr>
            <w:cnfStyle w:evenVBand="true" w:oddVBand="false" w:firstColumn="false"/>
            <w:tcW w:w="25.000000%" w:type="pct"/>
          </w:tcPr>
          <w:p>
            <w:pPr>
              <w:ind w:leftChars="0" w:left="0" w:right="0"/>
            </w:pPr>
            <w:r>
              <w:t>9</w:t>
            </w:r>
          </w:p>
        </w:tc>
      </w:tr>
    </w:tbl>
    <w:p>
      <w:pPr>
        <w:pStyle w:val="Table Bottom Margin"/>
      </w:pPr>
    </w:p>
    <w:bookmarkEnd w:id="388"/>
    <w:bookmarkEnd w:id="387"/>
    <w:bookmarkStart w:id="389" w:name="_cbc117fd17215ed868a5e2228256cb9a"/>
    <w:bookmarkStart w:id="390" w:name="_83bd73aa9e61a9db0d2f4db76a5b4fad"/>
    <w:p>
      <w:pPr>
        <w:pStyle w:val="Heading5"/>
        <w:keepNext/>
      </w:pPr>
      <w:r>
        <w:t>SHR_ESA_TYP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F511</w:t>
            </w:r>
          </w:p>
        </w:tc>
        <w:tc>
          <w:tcPr>
            <w:cnfStyle w:evenVBand="true" w:oddVBand="false" w:firstColumn="false"/>
            <w:tcW w:w="25.000000%" w:type="pct"/>
          </w:tcPr>
          <w:p>
            <w:pPr>
              <w:ind w:leftChars="0" w:left="0" w:right="0"/>
            </w:pPr>
            <w:r>
              <w:t>Listed shares</w:t>
            </w:r>
          </w:p>
        </w:tc>
        <w:tc>
          <w:tcPr>
            <w:cnfStyle w:evenVBand="false" w:oddVBand="true" w:firstColumn="false"/>
            <w:tcW w:w="25.000000%" w:type="pct"/>
          </w:tcPr>
          <w:p>
            <w:pPr>
              <w:ind w:leftChars="0" w:left="0" w:right="0"/>
            </w:pPr>
            <w:r>
              <w:t>Listed shares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F512</w:t>
            </w:r>
          </w:p>
        </w:tc>
        <w:tc>
          <w:tcPr>
            <w:cnfStyle w:evenVBand="true" w:oddVBand="false" w:firstColumn="false"/>
            <w:tcW w:w="25.000000%" w:type="pct"/>
          </w:tcPr>
          <w:p>
            <w:pPr>
              <w:ind w:leftChars="0" w:left="0" w:right="0"/>
            </w:pPr>
            <w:r>
              <w:t>Unlisted shares</w:t>
            </w:r>
          </w:p>
        </w:tc>
        <w:tc>
          <w:tcPr>
            <w:cnfStyle w:evenVBand="false" w:oddVBand="true" w:firstColumn="false"/>
            <w:tcW w:w="25.000000%" w:type="pct"/>
          </w:tcPr>
          <w:p>
            <w:pPr>
              <w:ind w:leftChars="0" w:left="0" w:right="0"/>
            </w:pPr>
            <w:r>
              <w:t>Unlisted shares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F519</w:t>
            </w:r>
          </w:p>
        </w:tc>
        <w:tc>
          <w:tcPr>
            <w:cnfStyle w:evenVBand="true" w:oddVBand="false" w:firstColumn="false"/>
            <w:tcW w:w="25.000000%" w:type="pct"/>
          </w:tcPr>
          <w:p>
            <w:pPr>
              <w:ind w:leftChars="0" w:left="0" w:right="0"/>
            </w:pPr>
            <w:r>
              <w:t>Other equity</w:t>
            </w:r>
          </w:p>
        </w:tc>
        <w:tc>
          <w:tcPr>
            <w:cnfStyle w:evenVBand="false" w:oddVBand="true" w:firstColumn="false"/>
            <w:tcW w:w="25.000000%" w:type="pct"/>
          </w:tcPr>
          <w:p>
            <w:pPr>
              <w:ind w:leftChars="0" w:left="0" w:right="0"/>
            </w:pPr>
            <w:r>
              <w:t>Other equity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F521</w:t>
            </w:r>
          </w:p>
        </w:tc>
        <w:tc>
          <w:tcPr>
            <w:cnfStyle w:evenVBand="true" w:oddVBand="false" w:firstColumn="false"/>
            <w:tcW w:w="25.000000%" w:type="pct"/>
          </w:tcPr>
          <w:p>
            <w:pPr>
              <w:ind w:leftChars="0" w:left="0" w:right="0"/>
            </w:pPr>
            <w:r>
              <w:t>Money market fund shares/units</w:t>
            </w:r>
          </w:p>
        </w:tc>
        <w:tc>
          <w:tcPr>
            <w:cnfStyle w:evenVBand="false" w:oddVBand="true" w:firstColumn="false"/>
            <w:tcW w:w="25.000000%" w:type="pct"/>
          </w:tcPr>
          <w:p>
            <w:pPr>
              <w:ind w:leftChars="0" w:left="0" w:right="0"/>
            </w:pPr>
            <w:r>
              <w:t>Money market fund shares/units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F522</w:t>
            </w:r>
          </w:p>
        </w:tc>
        <w:tc>
          <w:tcPr>
            <w:cnfStyle w:evenVBand="true" w:oddVBand="false" w:firstColumn="false"/>
            <w:tcW w:w="25.000000%" w:type="pct"/>
          </w:tcPr>
          <w:p>
            <w:pPr>
              <w:ind w:leftChars="0" w:left="0" w:right="0"/>
            </w:pPr>
            <w:r>
              <w:t>Non-MMF investment fund shares/units</w:t>
            </w:r>
          </w:p>
        </w:tc>
        <w:tc>
          <w:tcPr>
            <w:cnfStyle w:evenVBand="false" w:oddVBand="true" w:firstColumn="false"/>
            <w:tcW w:w="25.000000%" w:type="pct"/>
          </w:tcPr>
          <w:p>
            <w:pPr>
              <w:ind w:leftChars="0" w:left="0" w:right="0"/>
            </w:pPr>
            <w:r>
              <w:t>Non-MMF investment fund shares/units</w:t>
            </w:r>
          </w:p>
        </w:tc>
        <w:tc>
          <w:tcPr>
            <w:cnfStyle w:evenVBand="true" w:oddVBand="false" w:firstColumn="false"/>
            <w:tcW w:w="25.000000%" w:type="pct"/>
          </w:tcPr>
          <w:p>
            <w:pPr>
              <w:ind w:leftChars="0" w:left="0" w:right="0"/>
            </w:pPr>
            <w:r>
              <w:t>5</w:t>
            </w:r>
          </w:p>
        </w:tc>
      </w:tr>
    </w:tbl>
    <w:p>
      <w:pPr>
        <w:pStyle w:val="Table Bottom Margin"/>
      </w:pPr>
    </w:p>
    <w:bookmarkEnd w:id="390"/>
    <w:bookmarkEnd w:id="389"/>
    <w:bookmarkStart w:id="391" w:name="_c38da8c814d270a51a92be278efc7d9e"/>
    <w:bookmarkStart w:id="392" w:name="_40fbb59845addd66582ee2e5b573c57a"/>
    <w:p>
      <w:pPr>
        <w:pStyle w:val="Heading5"/>
        <w:keepNext/>
      </w:pPr>
      <w:r>
        <w:t>SHR_TYP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CMMN</w:t>
            </w:r>
          </w:p>
        </w:tc>
        <w:tc>
          <w:tcPr>
            <w:cnfStyle w:evenVBand="true" w:oddVBand="false" w:firstColumn="false"/>
            <w:tcW w:w="25.000000%" w:type="pct"/>
          </w:tcPr>
          <w:p>
            <w:pPr>
              <w:ind w:leftChars="0" w:left="0" w:right="0"/>
            </w:pPr>
            <w:r>
              <w:t>Ordinary / Common share</w:t>
            </w:r>
          </w:p>
        </w:tc>
        <w:tc>
          <w:tcPr>
            <w:cnfStyle w:evenVBand="false" w:oddVBand="true" w:firstColumn="false"/>
            <w:tcW w:w="25.000000%" w:type="pct"/>
          </w:tcPr>
          <w:p>
            <w:pPr>
              <w:ind w:leftChars="0" w:left="0" w:right="0"/>
            </w:pPr>
            <w:r>
              <w:t>Ordinary / Common share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PRFRRD</w:t>
            </w:r>
          </w:p>
        </w:tc>
        <w:tc>
          <w:tcPr>
            <w:cnfStyle w:evenVBand="true" w:oddVBand="false" w:firstColumn="false"/>
            <w:tcW w:w="25.000000%" w:type="pct"/>
          </w:tcPr>
          <w:p>
            <w:pPr>
              <w:ind w:leftChars="0" w:left="0" w:right="0"/>
            </w:pPr>
            <w:r>
              <w:t>Preference / Preferred share</w:t>
            </w:r>
          </w:p>
        </w:tc>
        <w:tc>
          <w:tcPr>
            <w:cnfStyle w:evenVBand="false" w:oddVBand="true" w:firstColumn="false"/>
            <w:tcW w:w="25.000000%" w:type="pct"/>
          </w:tcPr>
          <w:p>
            <w:pPr>
              <w:ind w:leftChars="0" w:left="0" w:right="0"/>
            </w:pPr>
            <w:r>
              <w:t>Preference / Preferred share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DPSTRY_RCPT</w:t>
            </w:r>
          </w:p>
        </w:tc>
        <w:tc>
          <w:tcPr>
            <w:cnfStyle w:evenVBand="true" w:oddVBand="false" w:firstColumn="false"/>
            <w:tcW w:w="25.000000%" w:type="pct"/>
          </w:tcPr>
          <w:p>
            <w:pPr>
              <w:ind w:leftChars="0" w:left="0" w:right="0"/>
            </w:pPr>
            <w:r>
              <w:t>Depository receipt</w:t>
            </w:r>
          </w:p>
        </w:tc>
        <w:tc>
          <w:tcPr>
            <w:cnfStyle w:evenVBand="false" w:oddVBand="true" w:firstColumn="false"/>
            <w:tcW w:w="25.000000%" w:type="pct"/>
          </w:tcPr>
          <w:p>
            <w:pPr>
              <w:ind w:leftChars="0" w:left="0" w:right="0"/>
            </w:pPr>
            <w:r>
              <w:t>Depository receipt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HYBRD</w:t>
            </w:r>
          </w:p>
        </w:tc>
        <w:tc>
          <w:tcPr>
            <w:cnfStyle w:evenVBand="true" w:oddVBand="false" w:firstColumn="false"/>
            <w:tcW w:w="25.000000%" w:type="pct"/>
          </w:tcPr>
          <w:p>
            <w:pPr>
              <w:ind w:leftChars="0" w:left="0" w:right="0"/>
            </w:pPr>
            <w:r>
              <w:t>Hybrid equity instrument</w:t>
            </w:r>
          </w:p>
        </w:tc>
        <w:tc>
          <w:tcPr>
            <w:cnfStyle w:evenVBand="false" w:oddVBand="true" w:firstColumn="false"/>
            <w:tcW w:w="25.000000%" w:type="pct"/>
          </w:tcPr>
          <w:p>
            <w:pPr>
              <w:ind w:leftChars="0" w:left="0" w:right="0"/>
            </w:pPr>
            <w:r>
              <w:t>Hybrid equity instrument</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OTHR_EQTY</w:t>
            </w:r>
          </w:p>
        </w:tc>
        <w:tc>
          <w:tcPr>
            <w:cnfStyle w:evenVBand="true" w:oddVBand="false" w:firstColumn="false"/>
            <w:tcW w:w="25.000000%" w:type="pct"/>
          </w:tcPr>
          <w:p>
            <w:pPr>
              <w:ind w:leftChars="0" w:left="0" w:right="0"/>
            </w:pPr>
            <w:r>
              <w:t>Other equity</w:t>
            </w:r>
          </w:p>
        </w:tc>
        <w:tc>
          <w:tcPr>
            <w:cnfStyle w:evenVBand="false" w:oddVBand="true" w:firstColumn="false"/>
            <w:tcW w:w="25.000000%" w:type="pct"/>
          </w:tcPr>
          <w:p>
            <w:pPr>
              <w:ind w:leftChars="0" w:left="0" w:right="0"/>
            </w:pPr>
            <w:r>
              <w:t>Other equity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UCITS</w:t>
            </w:r>
          </w:p>
        </w:tc>
        <w:tc>
          <w:tcPr>
            <w:cnfStyle w:evenVBand="true" w:oddVBand="false" w:firstColumn="false"/>
            <w:tcW w:w="25.000000%" w:type="pct"/>
          </w:tcPr>
          <w:p>
            <w:pPr>
              <w:ind w:leftChars="0" w:left="0" w:right="0"/>
            </w:pPr>
            <w:r>
              <w:t>Undertaking for collective investment in transferable securities (UCITS) Fund</w:t>
            </w:r>
          </w:p>
        </w:tc>
        <w:tc>
          <w:tcPr>
            <w:cnfStyle w:evenVBand="false" w:oddVBand="true" w:firstColumn="false"/>
            <w:tcW w:w="25.000000%" w:type="pct"/>
          </w:tcPr>
          <w:p>
            <w:pPr>
              <w:ind w:leftChars="0" w:left="0" w:right="0"/>
            </w:pPr>
            <w:r>
              <w:t>Undertaking for collective investment in transferable securities (UCITS) Fund</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AIF</w:t>
            </w:r>
          </w:p>
        </w:tc>
        <w:tc>
          <w:tcPr>
            <w:cnfStyle w:evenVBand="true" w:oddVBand="false" w:firstColumn="false"/>
            <w:tcW w:w="25.000000%" w:type="pct"/>
          </w:tcPr>
          <w:p>
            <w:pPr>
              <w:ind w:leftChars="0" w:left="0" w:right="0"/>
            </w:pPr>
            <w:r>
              <w:t>Alternative investment fund (AIF)</w:t>
            </w:r>
          </w:p>
        </w:tc>
        <w:tc>
          <w:tcPr>
            <w:cnfStyle w:evenVBand="false" w:oddVBand="true" w:firstColumn="false"/>
            <w:tcW w:w="25.000000%" w:type="pct"/>
          </w:tcPr>
          <w:p>
            <w:pPr>
              <w:ind w:leftChars="0" w:left="0" w:right="0"/>
            </w:pPr>
            <w:r>
              <w:t>Alternative investment fund (AIF)</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OTHR_FND</w:t>
            </w:r>
          </w:p>
        </w:tc>
        <w:tc>
          <w:tcPr>
            <w:cnfStyle w:evenVBand="true" w:oddVBand="false" w:firstColumn="false"/>
            <w:tcW w:w="25.000000%" w:type="pct"/>
          </w:tcPr>
          <w:p>
            <w:pPr>
              <w:ind w:leftChars="0" w:left="0" w:right="0"/>
            </w:pPr>
            <w:r>
              <w:t>Other fund</w:t>
            </w:r>
          </w:p>
        </w:tc>
        <w:tc>
          <w:tcPr>
            <w:cnfStyle w:evenVBand="false" w:oddVBand="true" w:firstColumn="false"/>
            <w:tcW w:w="25.000000%" w:type="pct"/>
          </w:tcPr>
          <w:p>
            <w:pPr>
              <w:ind w:leftChars="0" w:left="0" w:right="0"/>
            </w:pPr>
            <w:r>
              <w:t>Other fund</w:t>
            </w:r>
          </w:p>
        </w:tc>
        <w:tc>
          <w:tcPr>
            <w:cnfStyle w:evenVBand="true" w:oddVBand="false" w:firstColumn="false"/>
            <w:tcW w:w="25.000000%" w:type="pct"/>
          </w:tcPr>
          <w:p>
            <w:pPr>
              <w:ind w:leftChars="0" w:left="0" w:right="0"/>
            </w:pPr>
            <w:r>
              <w:t>8</w:t>
            </w:r>
          </w:p>
        </w:tc>
      </w:tr>
    </w:tbl>
    <w:p>
      <w:pPr>
        <w:pStyle w:val="Table Bottom Margin"/>
      </w:pPr>
    </w:p>
    <w:bookmarkEnd w:id="392"/>
    <w:bookmarkEnd w:id="391"/>
    <w:bookmarkStart w:id="393" w:name="_726ea572279a97c9437861763abeda50"/>
    <w:bookmarkStart w:id="394" w:name="_050920ea9d376a969b968fc75d5e80da"/>
    <w:p>
      <w:pPr>
        <w:pStyle w:val="Heading5"/>
        <w:keepNext/>
      </w:pPr>
      <w:r>
        <w:t>SOURCE_TYPE</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SUPER</w:t>
            </w:r>
          </w:p>
        </w:tc>
        <w:tc>
          <w:tcPr>
            <w:cnfStyle w:evenVBand="true" w:oddVBand="false" w:firstColumn="false"/>
            <w:tcW w:w="25.000000%" w:type="pct"/>
          </w:tcPr>
          <w:p>
            <w:pPr>
              <w:ind w:leftChars="0" w:left="0" w:right="0"/>
            </w:pPr>
            <w:r>
              <w:t>Highest ranked source.  It is the highest ranked source.  No data reported from other sources overrides non missing data from this source.</w:t>
            </w:r>
          </w:p>
        </w:tc>
        <w:tc>
          <w:tcPr>
            <w:cnfStyle w:evenVBand="false" w:oddVBand="true" w:firstColumn="false"/>
            <w:tcW w:w="25.000000%" w:type="pct"/>
          </w:tcPr>
          <w:p>
            <w:pPr>
              <w:ind w:leftChars="0" w:left="0" w:right="0"/>
            </w:pPr>
            <w:r>
              <w:t>Highest ranked source.  It is the highest ranked source.  No data reported from other sources overrides non missing data from this source.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SDR</w:t>
            </w:r>
          </w:p>
        </w:tc>
        <w:tc>
          <w:tcPr>
            <w:cnfStyle w:evenVBand="true" w:oddVBand="false" w:firstColumn="false"/>
            <w:tcW w:w="25.000000%" w:type="pct"/>
          </w:tcPr>
          <w:p>
            <w:pPr>
              <w:ind w:leftChars="0" w:left="0" w:right="0"/>
            </w:pPr>
            <w:r>
              <w:t>Self direct reporting source</w:t>
            </w:r>
          </w:p>
        </w:tc>
        <w:tc>
          <w:tcPr>
            <w:cnfStyle w:evenVBand="false" w:oddVBand="true" w:firstColumn="false"/>
            <w:tcW w:w="25.000000%" w:type="pct"/>
          </w:tcPr>
          <w:p>
            <w:pPr>
              <w:ind w:leftChars="0" w:left="0" w:right="0"/>
            </w:pPr>
            <w:r>
              <w:t>Self reference data reported from collection schemes such as IFDat.  It ranks above the REG source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REG</w:t>
            </w:r>
          </w:p>
        </w:tc>
        <w:tc>
          <w:tcPr>
            <w:cnfStyle w:evenVBand="true" w:oddVBand="false" w:firstColumn="false"/>
            <w:tcW w:w="25.000000%" w:type="pct"/>
          </w:tcPr>
          <w:p>
            <w:pPr>
              <w:ind w:leftChars="0" w:left="0" w:right="0"/>
            </w:pPr>
            <w:r>
              <w:t>Registry source</w:t>
            </w:r>
          </w:p>
        </w:tc>
        <w:tc>
          <w:tcPr>
            <w:cnfStyle w:evenVBand="false" w:oddVBand="true" w:firstColumn="false"/>
            <w:tcW w:w="25.000000%" w:type="pct"/>
          </w:tcPr>
          <w:p>
            <w:pPr>
              <w:ind w:leftChars="0" w:left="0" w:right="0"/>
            </w:pPr>
            <w:r>
              <w:t>Reference data obtained from registry databases such as RIAD, CSDD.  It ranks above the CDR source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CDR</w:t>
            </w:r>
          </w:p>
        </w:tc>
        <w:tc>
          <w:tcPr>
            <w:cnfStyle w:evenVBand="true" w:oddVBand="false" w:firstColumn="false"/>
            <w:tcW w:w="25.000000%" w:type="pct"/>
          </w:tcPr>
          <w:p>
            <w:pPr>
              <w:ind w:leftChars="0" w:left="0" w:right="0"/>
            </w:pPr>
            <w:r>
              <w:t>Counterparty direct reporting source</w:t>
            </w:r>
          </w:p>
        </w:tc>
        <w:tc>
          <w:tcPr>
            <w:cnfStyle w:evenVBand="false" w:oddVBand="true" w:firstColumn="false"/>
            <w:tcW w:w="25.000000%" w:type="pct"/>
          </w:tcPr>
          <w:p>
            <w:pPr>
              <w:ind w:leftChars="0" w:left="0" w:right="0"/>
            </w:pPr>
            <w:r>
              <w:t>Counterparty reference data reported from collection schemes such as IFDat.  It ranks above the INIT source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INIT</w:t>
            </w:r>
          </w:p>
        </w:tc>
        <w:tc>
          <w:tcPr>
            <w:cnfStyle w:evenVBand="true" w:oddVBand="false" w:firstColumn="false"/>
            <w:tcW w:w="25.000000%" w:type="pct"/>
          </w:tcPr>
          <w:p>
            <w:pPr>
              <w:ind w:leftChars="0" w:left="0" w:right="0"/>
            </w:pPr>
            <w:r>
              <w:t>Lowest ranked source</w:t>
            </w:r>
          </w:p>
        </w:tc>
        <w:tc>
          <w:tcPr>
            <w:cnfStyle w:evenVBand="false" w:oddVBand="true" w:firstColumn="false"/>
            <w:tcW w:w="25.000000%" w:type="pct"/>
          </w:tcPr>
          <w:p>
            <w:pPr>
              <w:ind w:leftChars="0" w:left="0" w:right="0"/>
            </w:pPr>
            <w:r>
              <w:t>Any other reported source overrides the reported data from this source</w:t>
            </w:r>
          </w:p>
        </w:tc>
        <w:tc>
          <w:tcPr>
            <w:cnfStyle w:evenVBand="true" w:oddVBand="false" w:firstColumn="false"/>
            <w:tcW w:w="25.000000%" w:type="pct"/>
          </w:tcPr>
          <w:p>
            <w:pPr>
              <w:ind w:leftChars="0" w:left="0" w:right="0"/>
            </w:pPr>
            <w:r>
              <w:t>5</w:t>
            </w:r>
          </w:p>
        </w:tc>
      </w:tr>
    </w:tbl>
    <w:p>
      <w:pPr>
        <w:pStyle w:val="Table Bottom Margin"/>
      </w:pPr>
    </w:p>
    <w:bookmarkEnd w:id="394"/>
    <w:bookmarkEnd w:id="393"/>
    <w:bookmarkEnd w:id="312"/>
    <w:bookmarkEnd w:id="311"/>
    <w:bookmarkEnd w:id="310"/>
    <w:bookmarkStart w:id="395" w:name="_8b36c247389f79e47cc6ab02ce80e372"/>
    <w:bookmarkStart w:id="396" w:name="_e11abdd868912e739411f5a7e4984e92"/>
    <w:p>
      <w:pPr>
        <w:pStyle w:val="Heading4"/>
        <w:keepNext/>
      </w:pPr>
      <w:r>
        <w:t>Μορφότυποι</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"_bd469f0dcb19cfa2e8821c9c35058349" \h \z \u </w:instrText>
          </w:r>
          <w:r>
            <w:fldChar w:fldCharType="separate"/>
          </w: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1"/>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1"/>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1"/>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1"/>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1"/>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1"/>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1"/>
            <w:tabs>
              <w:tab w:val="right" w:leader="dot" w:pos="8488"/>
            </w:tabs>
            <w:rPr>
              <w:b w:val="0"/>
              <w:noProof/>
            </w:rPr>
          </w:pPr>
          <w:hyperlink w:anchor="_73ba78a389ac7604748055c63d06c201" w:history="1">
            <w:r>
              <w:t>ASCII F20</w:t>
            </w:r>
            <w:r>
              <w:rPr>
                <w:webHidden/>
              </w:rPr>
              <w:tab/>
            </w:r>
            <w:r>
              <w:fldChar w:fldCharType="begin"/>
            </w:r>
            <w:r>
              <w:rPr>
                <w:webHidden/>
              </w:rPr>
              <w:instrText xml:space="preserve"> PAGEREF _73ba78a389ac7604748055c63d06c201 \h </w:instrText>
            </w:r>
            <w:r>
              <w:fldChar w:fldCharType="separate"/>
            </w:r>
            <w:r>
              <w:rPr>
                <w:webHidden/>
              </w:rPr>
              <w:t>X</w:t>
            </w:r>
            <w:r>
              <w:fldChar w:fldCharType="end"/>
            </w:r>
          </w:hyperlink>
        </w:p>
        <w:p>
          <w:pPr>
            <w:pStyle w:val="toc 1"/>
            <w:tabs>
              <w:tab w:val="right" w:leader="dot" w:pos="8488"/>
            </w:tabs>
            <w:rPr>
              <w:b w:val="0"/>
              <w:noProof/>
            </w:rPr>
          </w:pPr>
          <w:hyperlink w:anchor="_b168586ccf68990bf5b2c8c09659bb6a" w:history="1">
            <w:r>
              <w:t>ASCIII 50</w:t>
            </w:r>
            <w:r>
              <w:rPr>
                <w:webHidden/>
              </w:rPr>
              <w:tab/>
            </w:r>
            <w:r>
              <w:fldChar w:fldCharType="begin"/>
            </w:r>
            <w:r>
              <w:rPr>
                <w:webHidden/>
              </w:rPr>
              <w:instrText xml:space="preserve"> PAGEREF _b168586ccf68990bf5b2c8c09659bb6a \h </w:instrText>
            </w:r>
            <w:r>
              <w:fldChar w:fldCharType="separate"/>
            </w:r>
            <w:r>
              <w:rPr>
                <w:webHidden/>
              </w:rPr>
              <w:t>X</w:t>
            </w:r>
            <w:r>
              <w:fldChar w:fldCharType="end"/>
            </w:r>
          </w:hyperlink>
        </w:p>
        <w:p>
          <w:pPr>
            <w:pStyle w:val="toc 1"/>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1"/>
            <w:tabs>
              <w:tab w:val="right" w:leader="dot" w:pos="8488"/>
            </w:tabs>
            <w:rPr>
              <w:b w:val="0"/>
              <w:noProof/>
            </w:rPr>
          </w:pPr>
          <w:hyperlink w:anchor="_cc518be27be13f83fbaffa8d5f04a5b9" w:history="1">
            <w:r>
              <w:t>DATETIME</w:t>
            </w:r>
            <w:r>
              <w:rPr>
                <w:webHidden/>
              </w:rPr>
              <w:tab/>
            </w:r>
            <w:r>
              <w:fldChar w:fldCharType="begin"/>
            </w:r>
            <w:r>
              <w:rPr>
                <w:webHidden/>
              </w:rPr>
              <w:instrText xml:space="preserve"> PAGEREF _cc518be27be13f83fbaffa8d5f04a5b9 \h </w:instrText>
            </w:r>
            <w:r>
              <w:fldChar w:fldCharType="separate"/>
            </w:r>
            <w:r>
              <w:rPr>
                <w:webHidden/>
              </w:rPr>
              <w:t>X</w:t>
            </w:r>
            <w:r>
              <w:fldChar w:fldCharType="end"/>
            </w:r>
          </w:hyperlink>
        </w:p>
        <w:p>
          <w:pPr>
            <w:pStyle w:val="toc 1"/>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1"/>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1"/>
            <w:tabs>
              <w:tab w:val="right" w:leader="dot" w:pos="8488"/>
            </w:tabs>
            <w:rPr>
              <w:b w:val="0"/>
              <w:noProof/>
            </w:rPr>
          </w:pPr>
          <w:hyperlink w:anchor="_e0d0485a2481f2ff52fca6ae7497bdaa" w:history="1">
            <w:r>
              <w:t>DER</w:t>
            </w:r>
            <w:r>
              <w:rPr>
                <w:webHidden/>
              </w:rPr>
              <w:tab/>
            </w:r>
            <w:r>
              <w:fldChar w:fldCharType="begin"/>
            </w:r>
            <w:r>
              <w:rPr>
                <w:webHidden/>
              </w:rPr>
              <w:instrText xml:space="preserve"> PAGEREF _e0d0485a2481f2ff52fca6ae7497bdaa \h </w:instrText>
            </w:r>
            <w:r>
              <w:fldChar w:fldCharType="separate"/>
            </w:r>
            <w:r>
              <w:rPr>
                <w:webHidden/>
              </w:rPr>
              <w:t>X</w:t>
            </w:r>
            <w:r>
              <w:fldChar w:fldCharType="end"/>
            </w:r>
          </w:hyperlink>
        </w:p>
        <w:p>
          <w:pPr>
            <w:pStyle w:val="toc 1"/>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1"/>
            <w:tabs>
              <w:tab w:val="right" w:leader="dot" w:pos="8488"/>
            </w:tabs>
            <w:rPr>
              <w:b w:val="0"/>
              <w:noProof/>
            </w:rPr>
          </w:pPr>
          <w:hyperlink w:anchor="_0244416737c8cd66d56a857d6a43b080" w:history="1">
            <w:r>
              <w:t>LATIN_EXTENDED 255</w:t>
            </w:r>
            <w:r>
              <w:rPr>
                <w:webHidden/>
              </w:rPr>
              <w:tab/>
            </w:r>
            <w:r>
              <w:fldChar w:fldCharType="begin"/>
            </w:r>
            <w:r>
              <w:rPr>
                <w:webHidden/>
              </w:rPr>
              <w:instrText xml:space="preserve"> PAGEREF _0244416737c8cd66d56a857d6a43b080 \h </w:instrText>
            </w:r>
            <w:r>
              <w:fldChar w:fldCharType="separate"/>
            </w:r>
            <w:r>
              <w:rPr>
                <w:webHidden/>
              </w:rPr>
              <w:t>X</w:t>
            </w:r>
            <w:r>
              <w:fldChar w:fldCharType="end"/>
            </w:r>
          </w:hyperlink>
        </w:p>
        <w:p>
          <w:pPr>
            <w:pStyle w:val="toc 1"/>
            <w:tabs>
              <w:tab w:val="right" w:leader="dot" w:pos="8488"/>
            </w:tabs>
            <w:rPr>
              <w:b w:val="0"/>
              <w:noProof/>
            </w:rPr>
          </w:pPr>
          <w:hyperlink w:anchor="_8a73238720f95e6f9b50e9033dfe386b" w:history="1">
            <w:r>
              <w:t>LATIN_EXTENDED 32</w:t>
            </w:r>
            <w:r>
              <w:rPr>
                <w:webHidden/>
              </w:rPr>
              <w:tab/>
            </w:r>
            <w:r>
              <w:fldChar w:fldCharType="begin"/>
            </w:r>
            <w:r>
              <w:rPr>
                <w:webHidden/>
              </w:rPr>
              <w:instrText xml:space="preserve"> PAGEREF _8a73238720f95e6f9b50e9033dfe386b \h </w:instrText>
            </w:r>
            <w:r>
              <w:fldChar w:fldCharType="separate"/>
            </w:r>
            <w:r>
              <w:rPr>
                <w:webHidden/>
              </w:rPr>
              <w:t>X</w:t>
            </w:r>
            <w:r>
              <w:fldChar w:fldCharType="end"/>
            </w:r>
          </w:hyperlink>
        </w:p>
        <w:p>
          <w:pPr>
            <w:pStyle w:val="toc 1"/>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1"/>
            <w:tabs>
              <w:tab w:val="right" w:leader="dot" w:pos="8488"/>
            </w:tabs>
            <w:rPr>
              <w:b w:val="0"/>
              <w:noProof/>
            </w:rPr>
          </w:pPr>
          <w:hyperlink w:anchor="_77789e9c5756cd825dcead5c9a7bdbf2" w:history="1">
            <w:r>
              <w:t>ASCII 128</w:t>
            </w:r>
            <w:r>
              <w:rPr>
                <w:webHidden/>
              </w:rPr>
              <w:tab/>
            </w:r>
            <w:r>
              <w:fldChar w:fldCharType="begin"/>
            </w:r>
            <w:r>
              <w:rPr>
                <w:webHidden/>
              </w:rPr>
              <w:instrText xml:space="preserve"> PAGEREF _77789e9c5756cd825dcead5c9a7bdbf2 \h </w:instrText>
            </w:r>
            <w:r>
              <w:fldChar w:fldCharType="separate"/>
            </w:r>
            <w:r>
              <w:rPr>
                <w:webHidden/>
              </w:rPr>
              <w:t>X</w:t>
            </w:r>
            <w:r>
              <w:fldChar w:fldCharType="end"/>
            </w:r>
          </w:hyperlink>
        </w:p>
        <w:p>
          <w:pPr>
            <w:pStyle w:val="toc 1"/>
            <w:tabs>
              <w:tab w:val="right" w:leader="dot" w:pos="8488"/>
            </w:tabs>
            <w:rPr>
              <w:b w:val="0"/>
              <w:noProof/>
            </w:rPr>
          </w:pPr>
          <w:hyperlink w:anchor="_abcdd1ea94e323144d8d95b499091299" w:history="1">
            <w:r>
              <w:t>LEI</w:t>
            </w:r>
            <w:r>
              <w:rPr>
                <w:webHidden/>
              </w:rPr>
              <w:tab/>
            </w:r>
            <w:r>
              <w:fldChar w:fldCharType="begin"/>
            </w:r>
            <w:r>
              <w:rPr>
                <w:webHidden/>
              </w:rPr>
              <w:instrText xml:space="preserve"> PAGEREF _abcdd1ea94e323144d8d95b499091299 \h </w:instrText>
            </w:r>
            <w:r>
              <w:fldChar w:fldCharType="separate"/>
            </w:r>
            <w:r>
              <w:rPr>
                <w:webHidden/>
              </w:rPr>
              <w:t>X</w:t>
            </w:r>
            <w:r>
              <w:fldChar w:fldCharType="end"/>
            </w:r>
          </w:hyperlink>
        </w:p>
        <w:p>
          <w:pPr>
            <w:pStyle w:val="toc 1"/>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1"/>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1"/>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1"/>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1"/>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1"/>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1"/>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1"/>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1"/>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1"/>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1"/>
            <w:tabs>
              <w:tab w:val="right" w:leader="dot" w:pos="8488"/>
            </w:tabs>
            <w:rPr>
              <w:b w:val="0"/>
              <w:noProof/>
            </w:rPr>
          </w:pPr>
          <w:hyperlink w:anchor="_969ad42e0e607c169f5aed8c64a0c071" w:history="1">
            <w:r>
              <w:t>STRING 256</w:t>
            </w:r>
            <w:r>
              <w:rPr>
                <w:webHidden/>
              </w:rPr>
              <w:tab/>
            </w:r>
            <w:r>
              <w:fldChar w:fldCharType="begin"/>
            </w:r>
            <w:r>
              <w:rPr>
                <w:webHidden/>
              </w:rPr>
              <w:instrText xml:space="preserve"> PAGEREF _969ad42e0e607c169f5aed8c64a0c071 \h </w:instrText>
            </w:r>
            <w:r>
              <w:fldChar w:fldCharType="separate"/>
            </w:r>
            <w:r>
              <w:rPr>
                <w:webHidden/>
              </w:rPr>
              <w:t>X</w:t>
            </w:r>
            <w:r>
              <w:fldChar w:fldCharType="end"/>
            </w:r>
          </w:hyperlink>
        </w:p>
        <w:p>
          <w:pPr>
            <w:pStyle w:val="toc 1"/>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1"/>
            <w:tabs>
              <w:tab w:val="right" w:leader="dot" w:pos="8488"/>
            </w:tabs>
            <w:rPr>
              <w:b w:val="0"/>
              <w:noProof/>
            </w:rPr>
          </w:pPr>
          <w:hyperlink w:anchor="_b6dab2688405967f2a4ad67297247595" w:history="1">
            <w:r>
              <w:t>STRING 512</w:t>
            </w:r>
            <w:r>
              <w:rPr>
                <w:webHidden/>
              </w:rPr>
              <w:tab/>
            </w:r>
            <w:r>
              <w:fldChar w:fldCharType="begin"/>
            </w:r>
            <w:r>
              <w:rPr>
                <w:webHidden/>
              </w:rPr>
              <w:instrText xml:space="preserve"> PAGEREF _b6dab2688405967f2a4ad67297247595 \h </w:instrText>
            </w:r>
            <w:r>
              <w:fldChar w:fldCharType="separate"/>
            </w:r>
            <w:r>
              <w:rPr>
                <w:webHidden/>
              </w:rPr>
              <w:t>X</w:t>
            </w:r>
            <w:r>
              <w:fldChar w:fldCharType="end"/>
            </w:r>
          </w:hyperlink>
        </w:p>
        <w:p>
          <w:pPr>
            <w:pStyle w:val="toc 1"/>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1"/>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1"/>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397" w:name="_bd469f0dcb19cfa2e8821c9c35058349"/>
    <w:bookmarkStart w:id="398" w:name="_5e1f387acda874c06b8211425977ec29"/>
    <w:bookmarkStart w:id="399" w:name="_975b493cf4a1a49edfec182cde3e31d6"/>
    <w:p>
      <w:pPr>
        <w:pStyle w:val="Heading5"/>
        <w:keepNext/>
      </w:pPr>
      <w:r>
        <w:t>ASCII 12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w:t>
      </w:r>
    </w:p>
    <w:bookmarkEnd w:id="399"/>
    <w:bookmarkEnd w:id="398"/>
    <w:bookmarkStart w:id="400" w:name="_b26ae5e7334b4de03bf62d8dddde247a"/>
    <w:bookmarkStart w:id="401" w:name="_fd2a19ed33c9ef76fc8725808253e3e0"/>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401"/>
    <w:bookmarkEnd w:id="400"/>
    <w:bookmarkStart w:id="402" w:name="_c6881b9cc566dc5064905c7e53ecaa08"/>
    <w:bookmarkStart w:id="403" w:name="_1eef4ee69058345e36d05e95882518fd"/>
    <w:p>
      <w:pPr>
        <w:pStyle w:val="Heading5"/>
        <w:keepNext/>
      </w:pPr>
      <w:r>
        <w:t>ASCII 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20</w:t>
      </w:r>
    </w:p>
    <w:bookmarkEnd w:id="403"/>
    <w:bookmarkEnd w:id="402"/>
    <w:bookmarkStart w:id="404" w:name="_c38388d025e9ff05d2f3286d71311e44"/>
    <w:bookmarkStart w:id="405" w:name="_a26edcf75c492c68bc8cff8e1b4e0b9f"/>
    <w:p>
      <w:pPr>
        <w:pStyle w:val="Heading5"/>
        <w:keepNext/>
      </w:pPr>
      <w:r>
        <w:t>ASCII 31</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31</w:t>
      </w:r>
    </w:p>
    <w:bookmarkEnd w:id="405"/>
    <w:bookmarkEnd w:id="404"/>
    <w:bookmarkStart w:id="406" w:name="_acf77be8a1d1f1b63ded6137bcad6fff"/>
    <w:bookmarkStart w:id="407" w:name="_ecbe0b974f8114b71af4440966084dd1"/>
    <w:p>
      <w:pPr>
        <w:pStyle w:val="Heading5"/>
        <w:keepNext/>
      </w:pPr>
      <w:r>
        <w:t>ASCII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407"/>
    <w:bookmarkEnd w:id="406"/>
    <w:bookmarkStart w:id="408" w:name="_9a7a477a88017a47518a3d4e7cf181df"/>
    <w:bookmarkStart w:id="409" w:name="_610b1fba6f29e1b204d7638c0e7e2516"/>
    <w:p>
      <w:pPr>
        <w:pStyle w:val="Heading5"/>
        <w:keepNext/>
      </w:pPr>
      <w:r>
        <w:t>ASCII 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w:t>
      </w:r>
    </w:p>
    <w:bookmarkEnd w:id="409"/>
    <w:bookmarkEnd w:id="408"/>
    <w:bookmarkStart w:id="410" w:name="_63f8d5f698ad126be429a7e0b483287a"/>
    <w:bookmarkStart w:id="411" w:name="_9e120a5aaaa4571f1ac26d58e0e75bb4"/>
    <w:p>
      <w:pPr>
        <w:pStyle w:val="Heading5"/>
        <w:keepNext/>
      </w:pPr>
      <w:r>
        <w:t>ASCII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64</w:t>
      </w:r>
    </w:p>
    <w:bookmarkEnd w:id="411"/>
    <w:bookmarkEnd w:id="410"/>
    <w:bookmarkStart w:id="412" w:name="_73ba78a389ac7604748055c63d06c201"/>
    <w:bookmarkStart w:id="413" w:name="_233edf4b5dcd0a172523bf2a885bdd0e"/>
    <w:p>
      <w:pPr>
        <w:pStyle w:val="Heading5"/>
        <w:keepNext/>
      </w:pPr>
      <w:r>
        <w:t>ASCII F20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^[a-zA-Z0-9_]{20}</w:t>
      </w:r>
    </w:p>
    <w:bookmarkEnd w:id="413"/>
    <w:bookmarkEnd w:id="412"/>
    <w:bookmarkStart w:id="414" w:name="_b168586ccf68990bf5b2c8c09659bb6a"/>
    <w:bookmarkStart w:id="415" w:name="_2e811773f4c7e2c2da9bf24ae930d7db"/>
    <w:p>
      <w:pPr>
        <w:pStyle w:val="Heading5"/>
        <w:keepNext/>
      </w:pPr>
      <w:r>
        <w:t>ASCIII 50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(^[A-Za-z0-9_@$-][!-~]{1,49}$)|(^.$)</w:t>
      </w:r>
    </w:p>
    <w:p>
      <w:pPr>
        <w:pStyle w:val="DefinitionTerm"/>
        <w:ind w:leftChars="0" w:left="0" w:right="0"/>
        <w:keepNext/>
      </w:pPr>
      <w:r>
        <w:t>max_length</w:t>
      </w:r>
    </w:p>
    <w:p>
      <w:pPr>
        <w:pStyle w:val="Definition"/>
        <w:ind w:leftChars="0" w:left="480" w:right="0"/>
      </w:pPr>
      <w:r>
        <w:t>50</w:t>
      </w:r>
    </w:p>
    <w:bookmarkEnd w:id="415"/>
    <w:bookmarkEnd w:id="414"/>
    <w:bookmarkStart w:id="416" w:name="_61475e06de6a7be1f8dfa817f566b5a6"/>
    <w:bookmarkStart w:id="417" w:name="_6c293bfb876a64b89652add52c5cd17e"/>
    <w:p>
      <w:pPr>
        <w:pStyle w:val="Heading5"/>
        <w:keepNext/>
      </w:pPr>
      <w:r>
        <w:t>BOOLEAN</w:t>
      </w:r>
    </w:p>
    <w:p>
      <w:pPr>
        <w:pStyle w:val="DefinitionTerm"/>
        <w:ind w:leftChars="0" w:left="0" w:right="0"/>
        <w:keepNext/>
      </w:pPr>
      <w:r>
        <w:t>type</w:t>
      </w:r>
    </w:p>
    <w:p>
      <w:pPr>
        <w:pStyle w:val="Definition"/>
        <w:ind w:leftChars="0" w:left="480" w:right="0"/>
      </w:pPr>
      <w:r>
        <w:t>bool</w:t>
      </w:r>
    </w:p>
    <w:bookmarkEnd w:id="417"/>
    <w:bookmarkEnd w:id="416"/>
    <w:bookmarkStart w:id="418" w:name="_cc518be27be13f83fbaffa8d5f04a5b9"/>
    <w:bookmarkStart w:id="419" w:name="_078e5b17a10fc822f44f1f74a358a4d6"/>
    <w:p>
      <w:pPr>
        <w:pStyle w:val="Heading5"/>
        <w:keepNext/>
      </w:pPr>
      <w:r>
        <w:t>DATETIME</w:t>
      </w:r>
    </w:p>
    <w:p>
      <w:pPr>
        <w:pStyle w:val="DefinitionTerm"/>
        <w:ind w:leftChars="0" w:left="0" w:right="0"/>
        <w:keepNext/>
      </w:pPr>
      <w:r>
        <w:t>type</w:t>
      </w:r>
    </w:p>
    <w:p>
      <w:pPr>
        <w:pStyle w:val="Definition"/>
        <w:ind w:leftChars="0" w:left="480" w:right="0"/>
      </w:pPr>
      <w:r>
        <w:t>datetime</w:t>
      </w:r>
    </w:p>
    <w:p>
      <w:pPr>
        <w:pStyle w:val="DefinitionTerm"/>
        <w:ind w:leftChars="0" w:left="0" w:right="0"/>
        <w:keepNext/>
      </w:pPr>
      <w:r>
        <w:t>pattern</w:t>
      </w:r>
    </w:p>
    <w:p>
      <w:pPr>
        <w:pStyle w:val="Definition"/>
        <w:ind w:leftChars="0" w:left="480" w:right="0"/>
      </w:pPr>
      <w:r>
        <w:t>«{YYYY}-{MM}-{DD}T{HH}:{MM}:{SS}»</w:t>
      </w:r>
    </w:p>
    <w:bookmarkEnd w:id="419"/>
    <w:bookmarkEnd w:id="418"/>
    <w:bookmarkStart w:id="420" w:name="_6ec1ed5d3bde231985c3b17321221400"/>
    <w:bookmarkStart w:id="421" w:name="_aa060cc0c70647543abefbfff7ee6545"/>
    <w:p>
      <w:pPr>
        <w:pStyle w:val="Heading5"/>
        <w:keepNext/>
      </w:pPr>
      <w:r>
        <w:t>DBT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1"/>
    <w:bookmarkEnd w:id="420"/>
    <w:bookmarkStart w:id="422" w:name="_728a9d51f474d30d4f91e02d628d2bd5"/>
    <w:bookmarkStart w:id="423" w:name="_052538fd8e33238244a4e3dfa991ea5c"/>
    <w:p>
      <w:pPr>
        <w:pStyle w:val="Heading5"/>
        <w:keepNext/>
      </w:pPr>
      <w:r>
        <w:t>DEP</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3"/>
    <w:bookmarkEnd w:id="422"/>
    <w:bookmarkStart w:id="424" w:name="_e0d0485a2481f2ff52fca6ae7497bdaa"/>
    <w:bookmarkStart w:id="425" w:name="_8c27c9778e383d82c775ef44318273ae"/>
    <w:p>
      <w:pPr>
        <w:pStyle w:val="Heading5"/>
        <w:keepNext/>
      </w:pPr>
      <w:r>
        <w:t>DER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5"/>
    <w:bookmarkEnd w:id="424"/>
    <w:bookmarkStart w:id="426" w:name="_6d8a743a67be27d15c94914c8c69bd8c"/>
    <w:bookmarkStart w:id="427" w:name="_50d7a180d178ac119ac9cae7f72730a4"/>
    <w:p>
      <w:pPr>
        <w:pStyle w:val="Heading5"/>
        <w:keepNext/>
      </w:pPr>
      <w:r>
        <w:t>EMAIL ADDRESS</w:t>
      </w:r>
    </w:p>
    <w:p>
      <w:pPr>
        <w:pStyle w:val="DefinitionTerm"/>
        <w:ind w:leftChars="0" w:left="0" w:right="0"/>
        <w:keepNext/>
      </w:pPr>
      <w:r>
        <w:t>type</w:t>
      </w:r>
    </w:p>
    <w:p>
      <w:pPr>
        <w:pStyle w:val="Definition"/>
        <w:ind w:leftChars="0" w:left="480" w:right="0"/>
      </w:pPr>
      <w:r>
        <w:t>email address</w:t>
      </w:r>
    </w:p>
    <w:bookmarkEnd w:id="427"/>
    <w:bookmarkEnd w:id="426"/>
    <w:bookmarkStart w:id="428" w:name="_0244416737c8cd66d56a857d6a43b080"/>
    <w:bookmarkStart w:id="429" w:name="_e257f9a1f70046c5826b4b3aa5abc155"/>
    <w:p>
      <w:pPr>
        <w:pStyle w:val="Heading5"/>
        <w:keepNext/>
      </w:pPr>
      <w:r>
        <w:t>LATIN_EXTENDED 255</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^[u0000-u024F‘-‟€]{1,255}$)|(^.$)</w:t>
      </w:r>
    </w:p>
    <w:p>
      <w:pPr>
        <w:pStyle w:val="DefinitionTerm"/>
        <w:ind w:leftChars="0" w:left="0" w:right="0"/>
        <w:keepNext/>
      </w:pPr>
      <w:r>
        <w:t>max_length</w:t>
      </w:r>
    </w:p>
    <w:p>
      <w:pPr>
        <w:pStyle w:val="Definition"/>
        <w:ind w:leftChars="0" w:left="480" w:right="0"/>
      </w:pPr>
      <w:r>
        <w:t>255</w:t>
      </w:r>
    </w:p>
    <w:bookmarkEnd w:id="429"/>
    <w:bookmarkEnd w:id="428"/>
    <w:bookmarkStart w:id="430" w:name="_8a73238720f95e6f9b50e9033dfe386b"/>
    <w:bookmarkStart w:id="431" w:name="_2d0821c975fcc3bbc298d3211a6176a0"/>
    <w:p>
      <w:pPr>
        <w:pStyle w:val="Heading5"/>
        <w:keepNext/>
      </w:pPr>
      <w:r>
        <w:t>LATIN_EXTENDED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^[u0000-u024F‘-‟€]{1,255}$)|(^.$)</w:t>
      </w:r>
    </w:p>
    <w:p>
      <w:pPr>
        <w:pStyle w:val="DefinitionTerm"/>
        <w:ind w:leftChars="0" w:left="0" w:right="0"/>
        <w:keepNext/>
      </w:pPr>
      <w:r>
        <w:t>max_length</w:t>
      </w:r>
    </w:p>
    <w:p>
      <w:pPr>
        <w:pStyle w:val="Definition"/>
        <w:ind w:leftChars="0" w:left="480" w:right="0"/>
      </w:pPr>
      <w:r>
        <w:t>32</w:t>
      </w:r>
    </w:p>
    <w:bookmarkEnd w:id="431"/>
    <w:bookmarkEnd w:id="430"/>
    <w:bookmarkStart w:id="432" w:name="_048dbe2ce23391860a17e2de68c4f6e6"/>
    <w:bookmarkStart w:id="433" w:name="_a149fe2fa1c2e8e9d25d2c73b44ce42b"/>
    <w:p>
      <w:pPr>
        <w:pStyle w:val="Heading5"/>
        <w:keepNext/>
      </w:pPr>
      <w:r>
        <w:t>FLOAT</w:t>
      </w:r>
    </w:p>
    <w:p>
      <w:pPr>
        <w:pStyle w:val="DefinitionTerm"/>
        <w:ind w:leftChars="0" w:left="0" w:right="0"/>
        <w:keepNext/>
      </w:pPr>
      <w:r>
        <w:t>type</w:t>
      </w:r>
    </w:p>
    <w:p>
      <w:pPr>
        <w:pStyle w:val="Definition"/>
        <w:ind w:leftChars="0" w:left="480" w:right="0"/>
      </w:pPr>
      <w:r>
        <w:t>Float</w:t>
      </w:r>
    </w:p>
    <w:bookmarkEnd w:id="433"/>
    <w:bookmarkEnd w:id="432"/>
    <w:bookmarkStart w:id="434" w:name="_77789e9c5756cd825dcead5c9a7bdbf2"/>
    <w:bookmarkStart w:id="435" w:name="_c2c099c3ce5c9e173906d1c0e905e569"/>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435"/>
    <w:bookmarkEnd w:id="434"/>
    <w:bookmarkStart w:id="436" w:name="_abcdd1ea94e323144d8d95b499091299"/>
    <w:bookmarkStart w:id="437" w:name="_9ab8aa4d835aa4728c6eeb5c093dc61e"/>
    <w:p>
      <w:pPr>
        <w:pStyle w:val="Heading5"/>
        <w:keepNext/>
      </w:pPr>
      <w:r>
        <w:t>LEI</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(^[0-9]{4}[0]{2}[A-Z0-9]{12}[0-9]{2}$)|(^.$)</w:t>
      </w:r>
    </w:p>
    <w:p>
      <w:pPr>
        <w:pStyle w:val="DefinitionTerm"/>
        <w:ind w:leftChars="0" w:left="0" w:right="0"/>
        <w:keepNext/>
      </w:pPr>
      <w:r>
        <w:t>max_length</w:t>
      </w:r>
    </w:p>
    <w:p>
      <w:pPr>
        <w:pStyle w:val="Definition"/>
        <w:ind w:leftChars="0" w:left="480" w:right="0"/>
      </w:pPr>
      <w:r>
        <w:t>20</w:t>
      </w:r>
    </w:p>
    <w:bookmarkEnd w:id="437"/>
    <w:bookmarkEnd w:id="436"/>
    <w:bookmarkStart w:id="438" w:name="_c6feed824415b7c08531d52ef91de9d8"/>
    <w:bookmarkStart w:id="439" w:name="_2fbc72ac8dbb1ead0d97496a887d3154"/>
    <w:p>
      <w:pPr>
        <w:pStyle w:val="Heading5"/>
        <w:keepNext/>
      </w:pPr>
      <w:r>
        <w:t>LON</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39"/>
    <w:bookmarkEnd w:id="438"/>
    <w:bookmarkStart w:id="440" w:name="_5ae9f1dfd6721c7ba5903574639b19af"/>
    <w:bookmarkStart w:id="441" w:name="_19d547aabf71cb84a6e35f714a7f67b9"/>
    <w:p>
      <w:pPr>
        <w:pStyle w:val="Heading5"/>
        <w:keepNext/>
      </w:pPr>
      <w:r>
        <w:t>NON NEGATIVE FLOAT</w:t>
      </w:r>
    </w:p>
    <w:p>
      <w:pPr>
        <w:pStyle w:val="DefinitionTerm"/>
        <w:ind w:leftChars="0" w:left="0" w:right="0"/>
        <w:keepNext/>
      </w:pPr>
      <w:r>
        <w:t>type</w:t>
      </w:r>
    </w:p>
    <w:p>
      <w:pPr>
        <w:pStyle w:val="Definition"/>
        <w:ind w:leftChars="0" w:left="480" w:right="0"/>
      </w:pPr>
      <w:r>
        <w:t>NonNegativeFloat</w:t>
      </w:r>
    </w:p>
    <w:bookmarkEnd w:id="441"/>
    <w:bookmarkEnd w:id="440"/>
    <w:bookmarkStart w:id="442" w:name="_1e303f6ea2ee1c5d5548f84158c699ac"/>
    <w:bookmarkStart w:id="443" w:name="_e1b5412a062605cc7b3fbf73c6d338ab"/>
    <w:p>
      <w:pPr>
        <w:pStyle w:val="Heading5"/>
        <w:keepNext/>
      </w:pPr>
      <w:r>
        <w:t>NON NEGATIVE INTEGER</w:t>
      </w:r>
    </w:p>
    <w:p>
      <w:pPr>
        <w:pStyle w:val="DefinitionTerm"/>
        <w:ind w:leftChars="0" w:left="0" w:right="0"/>
        <w:keepNext/>
      </w:pPr>
      <w:r>
        <w:t>type</w:t>
      </w:r>
    </w:p>
    <w:p>
      <w:pPr>
        <w:pStyle w:val="Definition"/>
        <w:ind w:leftChars="0" w:left="480" w:right="0"/>
      </w:pPr>
      <w:r>
        <w:t>NonNegativeInt</w:t>
      </w:r>
    </w:p>
    <w:bookmarkEnd w:id="443"/>
    <w:bookmarkEnd w:id="442"/>
    <w:bookmarkStart w:id="444" w:name="_c80d79b9dd8b2066648386e937d42e6f"/>
    <w:bookmarkStart w:id="445" w:name="_5d3f510f9b67761b4a2be6ea04931dab"/>
    <w:p>
      <w:pPr>
        <w:pStyle w:val="Heading5"/>
        <w:keepNext/>
      </w:pPr>
      <w:r>
        <w:t>ODR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45"/>
    <w:bookmarkEnd w:id="444"/>
    <w:bookmarkStart w:id="446" w:name="_c49b55d385412337e2e29741e3972627"/>
    <w:bookmarkStart w:id="447" w:name="_80b3ffad4a03832b2c38f39dc43f9941"/>
    <w:p>
      <w:pPr>
        <w:pStyle w:val="Heading5"/>
        <w:keepNext/>
      </w:pPr>
      <w:r>
        <w:t>ORG</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^[ELTBP][a-zA-Z0-9_]+</w:t>
      </w:r>
    </w:p>
    <w:p>
      <w:pPr>
        <w:pStyle w:val="DefinitionTerm"/>
        <w:ind w:leftChars="0" w:left="0" w:right="0"/>
        <w:keepNext/>
      </w:pPr>
      <w:r>
        <w:t>max_length</w:t>
      </w:r>
    </w:p>
    <w:p>
      <w:pPr>
        <w:pStyle w:val="Definition"/>
        <w:ind w:leftChars="0" w:left="480" w:right="0"/>
      </w:pPr>
      <w:r>
        <w:t>32</w:t>
      </w:r>
    </w:p>
    <w:bookmarkEnd w:id="447"/>
    <w:bookmarkEnd w:id="446"/>
    <w:bookmarkStart w:id="448" w:name="_5c3c63f83fcf6e040288b10e293b9542"/>
    <w:bookmarkStart w:id="449" w:name="_99814d6aacd504e372e7d305cc944a71"/>
    <w:p>
      <w:pPr>
        <w:pStyle w:val="Heading5"/>
        <w:keepNext/>
      </w:pPr>
      <w:r>
        <w:t>POSITIVE FLOAT</w:t>
      </w:r>
    </w:p>
    <w:p>
      <w:pPr>
        <w:pStyle w:val="DefinitionTerm"/>
        <w:ind w:leftChars="0" w:left="0" w:right="0"/>
        <w:keepNext/>
      </w:pPr>
      <w:r>
        <w:t>type</w:t>
      </w:r>
    </w:p>
    <w:p>
      <w:pPr>
        <w:pStyle w:val="Definition"/>
        <w:ind w:leftChars="0" w:left="480" w:right="0"/>
      </w:pPr>
      <w:r>
        <w:t>Positive float</w:t>
      </w:r>
    </w:p>
    <w:bookmarkEnd w:id="449"/>
    <w:bookmarkEnd w:id="448"/>
    <w:bookmarkStart w:id="450" w:name="_752e2bb17bbf75f4a7803255b3f330cc"/>
    <w:bookmarkStart w:id="451" w:name="_b6d4a78fac37b7899bb5518dea659841"/>
    <w:p>
      <w:pPr>
        <w:pStyle w:val="Heading5"/>
        <w:keepNext/>
      </w:pPr>
      <w:r>
        <w:t>SFT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51"/>
    <w:bookmarkEnd w:id="450"/>
    <w:bookmarkStart w:id="452" w:name="_707997ece689747a8236dae4f790b4a3"/>
    <w:bookmarkStart w:id="453" w:name="_23f3287053fe466af9093d7c5637f1cb"/>
    <w:p>
      <w:pPr>
        <w:pStyle w:val="Heading5"/>
        <w:keepNext/>
      </w:pPr>
      <w:r>
        <w:t>SHR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53"/>
    <w:bookmarkEnd w:id="452"/>
    <w:bookmarkStart w:id="454" w:name="_2fb1f200bc23c8b4b94bae91c78616c5"/>
    <w:bookmarkStart w:id="455" w:name="_dc6f0429023ac3c993b540fe5629d43d"/>
    <w:p>
      <w:pPr>
        <w:pStyle w:val="Heading5"/>
        <w:keepNext/>
      </w:pPr>
      <w:r>
        <w:t>STRING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128</w:t>
      </w:r>
    </w:p>
    <w:bookmarkEnd w:id="455"/>
    <w:bookmarkEnd w:id="454"/>
    <w:bookmarkStart w:id="456" w:name="_faf8bcd4ad2b8ae668c3650a1780e619"/>
    <w:bookmarkStart w:id="457" w:name="_4fcc7e424372a1aa0ca8df0eee9140e1"/>
    <w:p>
      <w:pPr>
        <w:pStyle w:val="Heading5"/>
        <w:keepNext/>
      </w:pPr>
      <w:r>
        <w:t>STRING 16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16</w:t>
      </w:r>
    </w:p>
    <w:bookmarkEnd w:id="457"/>
    <w:bookmarkEnd w:id="456"/>
    <w:bookmarkStart w:id="458" w:name="_969ad42e0e607c169f5aed8c64a0c071"/>
    <w:bookmarkStart w:id="459" w:name="_d2f880fee29c53c561dfc525fb42ce96"/>
    <w:p>
      <w:pPr>
        <w:pStyle w:val="Heading5"/>
        <w:keepNext/>
      </w:pPr>
      <w:r>
        <w:t>STRING 256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256</w:t>
      </w:r>
    </w:p>
    <w:bookmarkEnd w:id="459"/>
    <w:bookmarkEnd w:id="458"/>
    <w:bookmarkStart w:id="460" w:name="_5110f880ae5518868ec771617dc71fef"/>
    <w:bookmarkStart w:id="461" w:name="_214b1b981898ffe8a558526a271a5988"/>
    <w:p>
      <w:pPr>
        <w:pStyle w:val="Heading5"/>
        <w:keepNext/>
      </w:pPr>
      <w:r>
        <w:t>STRING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32</w:t>
      </w:r>
    </w:p>
    <w:bookmarkEnd w:id="461"/>
    <w:bookmarkEnd w:id="460"/>
    <w:bookmarkStart w:id="462" w:name="_b6dab2688405967f2a4ad67297247595"/>
    <w:bookmarkStart w:id="463" w:name="_ca086acb62f2ce334d02bdd9da711995"/>
    <w:p>
      <w:pPr>
        <w:pStyle w:val="Heading5"/>
        <w:keepNext/>
      </w:pPr>
      <w:r>
        <w:t>STRING 512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512</w:t>
      </w:r>
    </w:p>
    <w:bookmarkEnd w:id="463"/>
    <w:bookmarkEnd w:id="462"/>
    <w:bookmarkStart w:id="464" w:name="_e5a72e4d8de4963d5b55ba220abc4eed"/>
    <w:bookmarkStart w:id="465" w:name="_966ae6a367a2657dec322af49883e34a"/>
    <w:p>
      <w:pPr>
        <w:pStyle w:val="Heading5"/>
        <w:keepNext/>
      </w:pPr>
      <w:r>
        <w:t>STRING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64</w:t>
      </w:r>
    </w:p>
    <w:bookmarkEnd w:id="465"/>
    <w:bookmarkEnd w:id="464"/>
    <w:bookmarkStart w:id="466" w:name="_54421c3d0e3699d78fa78e233cecbec2"/>
    <w:bookmarkStart w:id="467" w:name="_23bc2b1587c1fedf030955962b5de452"/>
    <w:p>
      <w:pPr>
        <w:pStyle w:val="Heading5"/>
        <w:keepNext/>
      </w:pPr>
      <w:r>
        <w:t>URL ADDRESS</w:t>
      </w:r>
    </w:p>
    <w:p>
      <w:pPr>
        <w:pStyle w:val="DefinitionTerm"/>
        <w:ind w:leftChars="0" w:left="0" w:right="0"/>
        <w:keepNext/>
      </w:pPr>
      <w:r>
        <w:t>type</w:t>
      </w:r>
    </w:p>
    <w:p>
      <w:pPr>
        <w:pStyle w:val="Definition"/>
        <w:ind w:leftChars="0" w:left="480" w:right="0"/>
      </w:pPr>
      <w:r>
        <w:t>URL address</w:t>
      </w:r>
    </w:p>
    <w:bookmarkEnd w:id="467"/>
    <w:bookmarkEnd w:id="466"/>
    <w:bookmarkStart w:id="468" w:name="_5f7371353570f06cc623351a84dcb08d"/>
    <w:bookmarkStart w:id="469" w:name="_9b542190dab02b0e7010d79b4e5f966a"/>
    <w:p>
      <w:pPr>
        <w:pStyle w:val="Heading5"/>
        <w:keepNext/>
      </w:pPr>
      <w:r>
        <w:t>USR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469"/>
    <w:bookmarkEnd w:id="468"/>
    <w:bookmarkEnd w:id="397"/>
    <w:bookmarkEnd w:id="396"/>
    <w:bookmarkEnd w:id="395"/>
    <w:bookmarkEnd w:id="309"/>
    <w:bookmarkEnd w:id="308"/>
    <w:bookmarkEnd w:id="307"/>
    <w:bookmarkStart w:id="470" w:name="_c552cb8718cde5cb792e181f78f5fde1"/>
    <w:bookmarkStart w:id="471" w:name="_6ff42c5f4161f16e00dcb4959252e38d"/>
    <w:p>
      <w:pPr>
        <w:pStyle w:val="Heading3"/>
        <w:keepNext/>
      </w:pPr>
      <w:r>
        <w:t>Γρήγορες Λήψεις</w:t>
      </w:r>
    </w:p>
    <w:p>
      <w:pPr>
        <w:pStyle w:val="ListBullet"/>
        <w:numPr>
          <w:ilvl w:val="0"/>
          <w:numId w:val="2"/>
        </w:numPr>
        <w:ind w:leftChars="0" w:left="480" w:right="0"/>
      </w:pPr>
      <w:r>
        <w:rPr>
          <w:rFonts w:ascii="Consolas" w:eastAsia="ＭＳ ゴシック" w:hansitheme="majorhansi"/>
          <w:color w:val="E74C3C"/>
          <w:sz w:val="20"/>
          <w:szCs w:val="20"/>
          <w:noProof/>
        </w:rPr>
        <w:t>Data Model</w:t>
      </w:r>
    </w:p>
    <w:p>
      <w:pPr>
        <w:pStyle w:val="ListBullet"/>
        <w:numPr>
          <w:ilvl w:val="0"/>
          <w:numId w:val="2"/>
        </w:numPr>
        <w:ind w:leftChars="0" w:left="480" w:right="0"/>
      </w:pPr>
      <w:r>
        <w:rPr>
          <w:rFonts w:ascii="Consolas" w:eastAsia="ＭＳ ゴシック" w:hansitheme="majorhansi"/>
          <w:color w:val="E74C3C"/>
          <w:sz w:val="20"/>
          <w:szCs w:val="20"/>
          <w:noProof/>
        </w:rPr>
        <w:t>Υπόδειγμα EXCEL</w:t>
      </w:r>
    </w:p>
    <w:p>
      <w:pPr>
        <w:pStyle w:val="ListBullet"/>
        <w:numPr>
          <w:ilvl w:val="0"/>
          <w:numId w:val="2"/>
        </w:numPr>
        <w:ind w:leftChars="0" w:left="480" w:right="0"/>
      </w:pPr>
      <w:r>
        <w:rPr>
          <w:rFonts w:ascii="Consolas" w:eastAsia="ＭＳ ゴシック" w:hansitheme="majorhansi"/>
          <w:color w:val="E74C3C"/>
          <w:sz w:val="20"/>
          <w:szCs w:val="20"/>
          <w:noProof/>
        </w:rPr>
        <w:t>JSON Schema</w:t>
      </w:r>
    </w:p>
    <w:p>
      <w:pPr>
        <w:pStyle w:val="ListBullet"/>
        <w:numPr>
          <w:ilvl w:val="0"/>
          <w:numId w:val="2"/>
        </w:numPr>
        <w:ind w:leftChars="0" w:left="480" w:right="0"/>
      </w:pPr>
      <w:r>
        <w:rPr>
          <w:rFonts w:ascii="Consolas" w:eastAsia="ＭＳ ゴシック" w:hansitheme="majorhansi"/>
          <w:color w:val="E74C3C"/>
          <w:sz w:val="20"/>
          <w:szCs w:val="20"/>
          <w:noProof/>
        </w:rPr>
        <w:t>IFDAT-LIST</w:t>
      </w:r>
    </w:p>
    <w:p>
      <w:pPr>
        <w:pStyle w:val="Body Text"/>
        <w:ind w:leftChars="0" w:left="0" w:right="0"/>
      </w:pPr>
      <w:r>
        <w:t xml:space="preserve">Τις οδηγιές για offline χρήση θα τις κατεβάσετε κάνοντας click κάτω αριστερά στο </w:t>
      </w:r>
      <w:r>
        <w:rPr>
          <w:b/>
          <w:bCs/>
        </w:rPr>
        <w:t>Read The docs</w:t>
      </w:r>
      <w:r>
        <w:t xml:space="preserve"> και έπειτα </w:t>
      </w:r>
      <w:r>
        <w:rPr>
          <w:b/>
          <w:bCs/>
        </w:rPr>
        <w:t>Downloads</w:t>
      </w:r>
      <w:r>
        <w:t xml:space="preserve"> εκτός από τις οδηγίες σε WORD που θα τις κατεβάσετε από </w:t>
      </w:r>
      <w:r>
        <w:rPr>
          <w:rFonts w:ascii="Consolas" w:eastAsia="ＭＳ ゴシック" w:hansitheme="majorhansi"/>
          <w:color w:val="E74C3C"/>
          <w:sz w:val="20"/>
          <w:szCs w:val="20"/>
          <w:noProof/>
        </w:rPr>
        <w:t>εδώ</w:t>
      </w:r>
    </w:p>
    <w:bookmarkEnd w:id="471"/>
    <w:bookmarkEnd w:id="470"/>
    <w:bookmarkStart w:id="472" w:name="_d28a4824dc47e487b107a5db32ef43c4"/>
    <w:bookmarkStart w:id="473" w:name="_e58f79cfe3f08f95777a259d905c902f"/>
    <w:p>
      <w:pPr>
        <w:pStyle w:val="Heading3"/>
        <w:keepNext/>
      </w:pPr>
      <w:r>
        <w:t>Παραδείγματα Αναγγελλίας Στοιχείων</w:t>
      </w:r>
    </w:p>
    <w:p>
      <w:pPr>
        <w:pStyle w:val="Body Text"/>
        <w:ind w:leftChars="0" w:left="0" w:right="0"/>
      </w:pPr>
      <w:r>
        <w:t>Στην ενότητα αυτή δίδονται υποθετικά παραδείγματα αναγγελλίας στοιχείων IFDAT με σκοπό την εξοικείωση με το DATAMODEL.</w:t>
      </w:r>
    </w:p>
    <w:p>
      <w:pPr>
        <w:pStyle w:val="Body Text"/>
        <w:ind w:leftChars="0" w:left="0" w:right="0"/>
      </w:pPr>
      <w:r>
        <w:t>Μια προτεινόμενη ροή εργασίας για την αναγγελλία στοιχείων IFDAT είναι η ακόλουθη:</w:t>
      </w:r>
    </w:p>
    <w:p>
      <w:pPr>
        <w:pStyle w:val="Body Text"/>
        <w:ind w:leftChars="0" w:left="0" w:right="0"/>
      </w:pPr>
      <w:r>
        <w:t>Εισάγονται σειριακά τα λογιστικά στοιχεία των Επενδυτικών Οργανισμών και κάθε φορά που είσαγεται ένας αναγνωριστικός κωδικός εισάγονται τα στοιχεία αναφοράς του αν δεν έχουν εισαχθεί ξανά στο παρελθόν ή αν έχουν αλλάξει.  Στοιχεία αναφοράς δεν εισαγονται αν πρόκειται για συμμετοχικούς τίτλους/χρεόγραφα με isin.</w:t>
      </w:r>
    </w:p>
    <w:p>
      <w:pPr>
        <w:pStyle w:val="Body Text"/>
        <w:ind w:leftChars="0" w:left="0" w:right="0"/>
      </w:pPr>
      <w:r>
        <w:t>Ακολουθούν παραδείγματα αναγγελλίας στοιχείων IFDAT:</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"_84b21718bf659ad65db573fd9d465133" \h \z \u </w:instrText>
          </w:r>
          <w:r>
            <w:fldChar w:fldCharType="separate"/>
          </w:r>
          <w:hyperlink w:anchor="_f04d340fae0e8f33aa6b4316c81c8f4c" w:history="1">
            <w:r>
              <w:t>Νέοι Επενδυτικοί Οργανισμοί - Διαδικασία Σύστασης</w:t>
            </w:r>
            <w:r>
              <w:rPr>
                <w:webHidden/>
              </w:rPr>
              <w:tab/>
            </w:r>
            <w:r>
              <w:fldChar w:fldCharType="begin"/>
            </w:r>
            <w:r>
              <w:rPr>
                <w:webHidden/>
              </w:rPr>
              <w:instrText xml:space="preserve"> PAGEREF _f04d340fae0e8f33aa6b4316c81c8f4c \h </w:instrText>
            </w:r>
            <w:r>
              <w:fldChar w:fldCharType="separate"/>
            </w:r>
            <w:r>
              <w:rPr>
                <w:webHidden/>
              </w:rPr>
              <w:t>X</w:t>
            </w:r>
            <w:r>
              <w:fldChar w:fldCharType="end"/>
            </w:r>
          </w:hyperlink>
        </w:p>
        <w:p>
          <w:pPr>
            <w:pStyle w:val="toc 1"/>
            <w:tabs>
              <w:tab w:val="right" w:leader="dot" w:pos="8488"/>
            </w:tabs>
            <w:rPr>
              <w:b w:val="0"/>
              <w:noProof/>
            </w:rPr>
          </w:pPr>
          <w:hyperlink w:anchor="_d8deeedca5e95caafa0fbd0dd4d571ea" w:history="1">
            <w:r>
              <w:t>Αρχική υποβολή στοιχείων αναφοράς και λογιστικών στοιχείων</w:t>
            </w:r>
            <w:r>
              <w:rPr>
                <w:webHidden/>
              </w:rPr>
              <w:tab/>
            </w:r>
            <w:r>
              <w:fldChar w:fldCharType="begin"/>
            </w:r>
            <w:r>
              <w:rPr>
                <w:webHidden/>
              </w:rPr>
              <w:instrText xml:space="preserve"> PAGEREF _d8deeedca5e95caafa0fbd0dd4d571ea \h </w:instrText>
            </w:r>
            <w:r>
              <w:fldChar w:fldCharType="separate"/>
            </w:r>
            <w:r>
              <w:rPr>
                <w:webHidden/>
              </w:rPr>
              <w:t>X</w:t>
            </w:r>
            <w:r>
              <w:fldChar w:fldCharType="end"/>
            </w:r>
          </w:hyperlink>
        </w:p>
        <w:p>
          <w:r>
            <w:fldChar w:fldCharType="end"/>
          </w:r>
        </w:p>
      </w:sdtContent>
    </w:sdt>
    <w:bookmarkStart w:id="474" w:name="_84b21718bf659ad65db573fd9d465133"/>
    <w:bookmarkStart w:id="475" w:name="_f04d340fae0e8f33aa6b4316c81c8f4c"/>
    <w:bookmarkStart w:id="476" w:name="_57d9956e2d7ff593812ef96155c02373"/>
    <w:p>
      <w:pPr>
        <w:pStyle w:val="Heading4"/>
        <w:keepNext/>
      </w:pPr>
      <w:r>
        <w:t>Νέοι Επενδυτικοί Οργανισμοί - Διαδικασία Σύστασης</w:t>
      </w:r>
    </w:p>
    <w:p>
      <w:pPr>
        <w:pStyle w:val="Body Text"/>
        <w:ind w:leftChars="0" w:left="0" w:right="0"/>
      </w:pPr>
      <w:r>
        <w:t>Οι ΕΟ ενημερώνουν για τη σύστασή τους εντός μίας εβδομάδας από την ημερομηνία ανάληψης δραστηριότητας και συμπληρώνοντας αρχείο IFDAT με βάση το παράδειγμα που ακολουθεί.</w:t>
      </w:r>
    </w:p>
    <w:bookmarkStart w:id="477" w:name="_04d801b87801ca86f5a69cc9c5b101e9"/>
    <w:p>
      <w:pPr>
        <w:pStyle w:val="Heading5"/>
        <w:keepNext/>
      </w:pPr>
      <w:r>
        <w:t>Παράδειγμα σύστασης σε μορφή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"EGR123456789"</w:t>
      </w:r>
      <w:r>
        <w:t>,</w:t>
      </w:r>
      <w:r>
        <w:rPr>
          <w:color w:val="bbbbbb"/>
        </w:rPr>
        <w:t/>
      </w:r>
      <w:r>
        <w:br/>
      </w:r>
      <w:r>
        <w:rPr>
          <w:color w:val="bbbbbb"/>
        </w:rPr>
        <w:t xml:space="preserve">    </w:t>
      </w:r>
      <w:r>
        <w:rPr>
          <w:color w:val="062873"/>
          <w:b/>
        </w:rPr>
        <w:t>"USERNAME"</w:t>
      </w:r>
      <w:r>
        <w:t>:</w:t>
      </w:r>
      <w:r>
        <w:rPr>
          <w:color w:val="bbbbbb"/>
        </w:rPr>
        <w:t xml:space="preserve"> </w:t>
      </w:r>
      <w:r>
        <w:rPr>
          <w:color w:val="4070a0"/>
        </w:rPr>
        <w:t>"zuser"</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"REF.FND_DYNMC"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"PEGR123456789_AKES"</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"L887600ED3C2BA1B01C34"</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"L787600ED3C2BA1B01C45"</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77"/>
    <w:bookmarkStart w:id="478" w:name="_f49dd196a90bc5fee9334eb305fb0f52"/>
    <w:p>
      <w:pPr>
        <w:pStyle w:val="Heading5"/>
        <w:keepNext/>
      </w:pPr>
      <w:r>
        <w:t>Παράδειγμα σύστασης σε μορϕη Excel:</w:t>
      </w:r>
    </w:p>
    <w:p>
      <w:pPr>
        <w:pStyle w:val="Body Text"/>
        <w:ind w:leftChars="0" w:left="0" w:right="0"/>
      </w:pPr>
      <w:r>
        <w:rPr>
          <w:rFonts w:ascii="Consolas" w:eastAsia="ＭＳ ゴシック" w:hansitheme="majorhansi"/>
          <w:color w:val="E74C3C"/>
          <w:sz w:val="20"/>
          <w:szCs w:val="20"/>
          <w:noProof/>
        </w:rPr>
        <w:t>INIT</w:t>
      </w:r>
    </w:p>
    <w:bookmarkEnd w:id="478"/>
    <w:bookmarkEnd w:id="476"/>
    <w:bookmarkEnd w:id="475"/>
    <w:bookmarkStart w:id="479" w:name="_d8deeedca5e95caafa0fbd0dd4d571ea"/>
    <w:bookmarkStart w:id="480" w:name="_0498ba8fec210f007d53c8b36c58cb41"/>
    <w:p>
      <w:pPr>
        <w:pStyle w:val="Heading4"/>
        <w:keepNext/>
      </w:pPr>
      <w:r>
        <w:t>Αρχική υποβολή στοιχείων αναφοράς και λογιστικών στοιχείων</w:t>
      </w:r>
    </w:p>
    <w:p>
      <w:pPr>
        <w:pStyle w:val="Body Text"/>
        <w:ind w:leftChars="0" w:left="0" w:right="0"/>
      </w:pPr>
      <w:r>
        <w:t>Στο παράδειγμα που ακολουθεί συμπληρώνονται για πρώτη (και για τελευταία εκτός αν υπάρχουν αλλαγές ή προσθήκες) φορά όλα τα στοιχεία αναφοράς καθώς και τα λογισιτκά στοιχεία.</w:t>
      </w:r>
    </w:p>
    <w:p>
      <w:pPr>
        <w:pStyle w:val="Body Text"/>
        <w:ind w:leftChars="0" w:left="0" w:right="0"/>
      </w:pPr>
      <w:r>
        <w:t>Αφού υποβληθούν τα στοιχεία ενημερώνεται η IFDAT-LIST για επιλεγμένα στοιχεία αναφοράς τόσο σε στατική μορφή αλλά και σε δυναμική (IFDATFULL_REPORT) όπου φαίνεται η εξέλιξη των μεταβλητών χαρακτηριστικών στη διάρκεια του χρόνου.</w:t>
      </w:r>
    </w:p>
    <w:bookmarkStart w:id="481" w:name="_4f585dd4e9f72334da497aa733105178"/>
    <w:p>
      <w:pPr>
        <w:pStyle w:val="Heading5"/>
        <w:keepNext/>
      </w:pPr>
      <w:r>
        <w:t>Παράδειγμα σε μορϕη Excel:</w:t>
      </w:r>
    </w:p>
    <w:p>
      <w:pPr>
        <w:pStyle w:val="Body Text"/>
        <w:ind w:leftChars="0" w:left="0" w:right="0"/>
      </w:pPr>
      <w:r>
        <w:rPr>
          <w:rFonts w:ascii="Consolas" w:eastAsia="ＭＳ ゴシック" w:hansitheme="majorhansi"/>
          <w:color w:val="E74C3C"/>
          <w:sz w:val="20"/>
          <w:szCs w:val="20"/>
          <w:noProof/>
        </w:rPr>
        <w:t>Example IFDAT-LIST</w:t>
      </w:r>
      <w:r>
        <w:t xml:space="preserve"> </w:t>
      </w:r>
      <w:r>
        <w:rPr>
          <w:rFonts w:ascii="Consolas" w:eastAsia="ＭＳ ゴシック" w:hansitheme="majorhansi"/>
          <w:color w:val="E74C3C"/>
          <w:sz w:val="20"/>
          <w:szCs w:val="20"/>
          <w:noProof/>
        </w:rPr>
        <w:t>Example IFDAT-FULL_LIST</w:t>
      </w:r>
    </w:p>
    <w:bookmarkEnd w:id="481"/>
    <w:bookmarkStart w:id="482" w:name="_16198b910c7b37965a011dd32e4ac9e3"/>
    <w:p>
      <w:pPr>
        <w:pStyle w:val="Heading5"/>
        <w:keepNext/>
      </w:pPr>
      <w:r>
        <w:t>Παράδειγμα σε μορφή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"EGR123456789"</w:t>
      </w:r>
      <w:r>
        <w:t>,</w:t>
      </w:r>
      <w:r>
        <w:rPr>
          <w:color w:val="bbbbbb"/>
        </w:rPr>
        <w:t/>
      </w:r>
      <w:r>
        <w:br/>
      </w:r>
      <w:r>
        <w:rPr>
          <w:color w:val="bbbbbb"/>
        </w:rPr>
        <w:t xml:space="preserve">    </w:t>
      </w:r>
      <w:r>
        <w:rPr>
          <w:color w:val="062873"/>
          <w:b/>
        </w:rPr>
        <w:t>"USERNAME"</w:t>
      </w:r>
      <w:r>
        <w:t>:</w:t>
      </w:r>
      <w:r>
        <w:rPr>
          <w:color w:val="bbbbbb"/>
        </w:rPr>
        <w:t xml:space="preserve"> </w:t>
      </w:r>
      <w:r>
        <w:rPr>
          <w:color w:val="4070a0"/>
        </w:rPr>
        <w:t>"zuser"</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"ACC.DPST"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"_EUR_EGRAKZ1"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"IGR0001100000000000000000000"</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"PEGRAZ2_DPST"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200000.0</w:t>
      </w:r>
      <w:r>
        <w:t>,</w:t>
      </w:r>
      <w:r>
        <w:rPr>
          <w:color w:val="bbbbbb"/>
        </w:rPr>
        <w:t/>
      </w:r>
      <w:r>
        <w:br/>
      </w:r>
      <w:r>
        <w:rPr>
          <w:color w:val="bbbbbb"/>
        </w:rPr>
        <w:t xml:space="preserve">        </w:t>
      </w:r>
      <w:r>
        <w:rPr>
          <w:color w:val="062873"/>
          <w:b/>
        </w:rPr>
        <w:t>"FLS"</w:t>
      </w:r>
      <w:r>
        <w:t>:</w:t>
      </w:r>
      <w:r>
        <w:rPr>
          <w:color w:val="bbbbbb"/>
        </w:rPr>
        <w:t xml:space="preserve"> </w:t>
      </w:r>
      <w:r>
        <w:rPr>
          <w:color w:val="208050"/>
        </w:rPr>
        <w:t>200000.0</w:t>
      </w:r>
      <w:r>
        <w:t>,</w:t>
      </w:r>
      <w:r>
        <w:rPr>
          <w:color w:val="bbbbbb"/>
        </w:rPr>
        <w:t/>
      </w:r>
      <w:r>
        <w:br/>
      </w:r>
      <w:r>
        <w:rPr>
          <w:color w:val="bbbbbb"/>
        </w:rPr>
        <w:t xml:space="preserve">        </w:t>
      </w:r>
      <w:r>
        <w:rPr>
          <w:color w:val="062873"/>
          <w:b/>
        </w:rPr>
        <w:t>"ACCRLS"</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"IGR0002600000000000000000001"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w:t>
      </w:r>
      <w:r>
        <w:t>,</w:t>
      </w:r>
      <w:r>
        <w:rPr>
          <w:color w:val="bbbbbb"/>
        </w:rPr>
        <w:t/>
      </w:r>
      <w:r>
        <w:br/>
      </w:r>
      <w:r>
        <w:rPr>
          <w:color w:val="bbbbbb"/>
        </w:rPr>
        <w:t xml:space="preserve">        </w:t>
      </w:r>
      <w:r>
        <w:rPr>
          <w:color w:val="062873"/>
          <w:b/>
        </w:rPr>
        <w:t>"FLS"</w:t>
      </w:r>
      <w:r>
        <w:t>:</w:t>
      </w:r>
      <w:r>
        <w:rPr>
          <w:color w:val="bbbbbb"/>
        </w:rPr>
        <w:t xml:space="preserve"> </w:t>
      </w:r>
      <w:r>
        <w:rPr>
          <w:color w:val="208050"/>
        </w:rPr>
        <w:t>10000.0</w:t>
      </w:r>
      <w:r>
        <w:t>,</w:t>
      </w:r>
      <w:r>
        <w:rPr>
          <w:color w:val="bbbbbb"/>
        </w:rPr>
        <w:t/>
      </w:r>
      <w:r>
        <w:br/>
      </w:r>
      <w:r>
        <w:rPr>
          <w:color w:val="bbbbbb"/>
        </w:rPr>
        <w:t xml:space="preserve">        </w:t>
      </w:r>
      <w:r>
        <w:rPr>
          <w:color w:val="062873"/>
          <w:b/>
        </w:rPr>
        <w:t>"ACCRLS"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"PEGRAZ3_DPST"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500000.0</w:t>
      </w:r>
      <w:r>
        <w:t>,</w:t>
      </w:r>
      <w:r>
        <w:rPr>
          <w:color w:val="bbbbbb"/>
        </w:rPr>
        <w:t/>
      </w:r>
      <w:r>
        <w:br/>
      </w:r>
      <w:r>
        <w:rPr>
          <w:color w:val="bbbbbb"/>
        </w:rPr>
        <w:t xml:space="preserve">        </w:t>
      </w:r>
      <w:r>
        <w:rPr>
          <w:color w:val="062873"/>
          <w:b/>
        </w:rPr>
        <w:t>"FLS"</w:t>
      </w:r>
      <w:r>
        <w:t>:</w:t>
      </w:r>
      <w:r>
        <w:rPr>
          <w:color w:val="bbbbbb"/>
        </w:rPr>
        <w:t xml:space="preserve"> </w:t>
      </w:r>
      <w:r>
        <w:rPr>
          <w:color w:val="208050"/>
        </w:rPr>
        <w:t>500000.0</w:t>
      </w:r>
      <w:r>
        <w:t>,</w:t>
      </w:r>
      <w:r>
        <w:rPr>
          <w:color w:val="bbbbbb"/>
        </w:rPr>
        <w:t/>
      </w:r>
      <w:r>
        <w:br/>
      </w:r>
      <w:r>
        <w:rPr>
          <w:color w:val="bbbbbb"/>
        </w:rPr>
        <w:t xml:space="preserve">        </w:t>
      </w:r>
      <w:r>
        <w:rPr>
          <w:color w:val="062873"/>
          <w:b/>
        </w:rPr>
        <w:t>"ACCRLS"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"ACC.ASST_DBT"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w:t>
      </w:r>
      <w:r>
        <w:t>,</w:t>
      </w:r>
      <w:r>
        <w:rPr>
          <w:color w:val="bbbbbb"/>
        </w:rPr>
        <w:t/>
      </w:r>
      <w:r>
        <w:br/>
      </w:r>
      <w:r>
        <w:rPr>
          <w:color w:val="bbbbbb"/>
        </w:rPr>
        <w:t xml:space="preserve">        </w:t>
      </w:r>
      <w:r>
        <w:rPr>
          <w:color w:val="062873"/>
          <w:b/>
        </w:rPr>
        <w:t>"NMNL_STCK"</w:t>
      </w:r>
      <w:r>
        <w:t>:</w:t>
      </w:r>
      <w:r>
        <w:rPr>
          <w:color w:val="bbbbbb"/>
        </w:rPr>
        <w:t xml:space="preserve"> </w:t>
      </w:r>
      <w:r>
        <w:rPr>
          <w:color w:val="208050"/>
        </w:rPr>
        <w:t>100000.0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150000.0</w:t>
      </w:r>
      <w:r>
        <w:t>,</w:t>
      </w:r>
      <w:r>
        <w:rPr>
          <w:color w:val="bbbbbb"/>
        </w:rPr>
        <w:t/>
      </w:r>
      <w:r>
        <w:br/>
      </w:r>
      <w:r>
        <w:rPr>
          <w:color w:val="bbbbbb"/>
        </w:rPr>
        <w:t xml:space="preserve">        </w:t>
      </w:r>
      <w:r>
        <w:rPr>
          <w:color w:val="062873"/>
          <w:b/>
        </w:rPr>
        <w:t>"FLS"</w:t>
      </w:r>
      <w:r>
        <w:t>:</w:t>
      </w:r>
      <w:r>
        <w:rPr>
          <w:color w:val="bbbbbb"/>
        </w:rPr>
        <w:t xml:space="preserve"> </w:t>
      </w:r>
      <w:r>
        <w:rPr>
          <w:color w:val="208050"/>
        </w:rPr>
        <w:t>50000.0</w:t>
      </w:r>
      <w:r>
        <w:t>,</w:t>
      </w:r>
      <w:r>
        <w:rPr>
          <w:color w:val="bbbbbb"/>
        </w:rPr>
        <w:t/>
      </w:r>
      <w:r>
        <w:br/>
      </w:r>
      <w:r>
        <w:rPr>
          <w:color w:val="bbbbbb"/>
        </w:rPr>
        <w:t xml:space="preserve">        </w:t>
      </w:r>
      <w:r>
        <w:rPr>
          <w:color w:val="062873"/>
          <w:b/>
        </w:rPr>
        <w:t>"NMNL_STCK"</w:t>
      </w:r>
      <w:r>
        <w:t>:</w:t>
      </w:r>
      <w:r>
        <w:rPr>
          <w:color w:val="bbbbbb"/>
        </w:rPr>
        <w:t xml:space="preserve"> </w:t>
      </w:r>
      <w:r>
        <w:rPr>
          <w:color w:val="208050"/>
        </w:rPr>
        <w:t>150000.0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3000.0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150000.0</w:t>
      </w:r>
      <w:r>
        <w:t>,</w:t>
      </w:r>
      <w:r>
        <w:rPr>
          <w:color w:val="bbbbbb"/>
        </w:rPr>
        <w:t/>
      </w:r>
      <w:r>
        <w:br/>
      </w:r>
      <w:r>
        <w:rPr>
          <w:color w:val="bbbbbb"/>
        </w:rPr>
        <w:t xml:space="preserve">        </w:t>
      </w:r>
      <w:r>
        <w:rPr>
          <w:color w:val="062873"/>
          <w:b/>
        </w:rPr>
        <w:t>"FLS"</w:t>
      </w:r>
      <w:r>
        <w:t>:</w:t>
      </w:r>
      <w:r>
        <w:rPr>
          <w:color w:val="bbbbbb"/>
        </w:rPr>
        <w:t xml:space="preserve"> </w:t>
      </w:r>
      <w:r>
        <w:rPr>
          <w:color w:val="208050"/>
        </w:rPr>
        <w:t>0.0</w:t>
      </w:r>
      <w:r>
        <w:t>,</w:t>
      </w:r>
      <w:r>
        <w:rPr>
          <w:color w:val="bbbbbb"/>
        </w:rPr>
        <w:t/>
      </w:r>
      <w:r>
        <w:br/>
      </w:r>
      <w:r>
        <w:rPr>
          <w:color w:val="bbbbbb"/>
        </w:rPr>
        <w:t xml:space="preserve">        </w:t>
      </w:r>
      <w:r>
        <w:rPr>
          <w:color w:val="062873"/>
          <w:b/>
        </w:rPr>
        <w:t>"NMNL_STCK"</w:t>
      </w:r>
      <w:r>
        <w:t>:</w:t>
      </w:r>
      <w:r>
        <w:rPr>
          <w:color w:val="bbbbbb"/>
        </w:rPr>
        <w:t xml:space="preserve"> </w:t>
      </w:r>
      <w:r>
        <w:rPr>
          <w:color w:val="208050"/>
        </w:rPr>
        <w:t>150000.0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"2024-12-31T00:00:00"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-150000.0</w:t>
      </w:r>
      <w:r>
        <w:t>,</w:t>
      </w:r>
      <w:r>
        <w:rPr>
          <w:color w:val="bbbbbb"/>
        </w:rPr>
        <w:t/>
      </w:r>
      <w:r>
        <w:br/>
      </w:r>
      <w:r>
        <w:rPr>
          <w:color w:val="bbbbbb"/>
        </w:rPr>
        <w:t xml:space="preserve">        </w:t>
      </w:r>
      <w:r>
        <w:rPr>
          <w:color w:val="062873"/>
          <w:b/>
        </w:rPr>
        <w:t>"NMNL_STCK"</w:t>
      </w:r>
      <w:r>
        <w:t>:</w:t>
      </w:r>
      <w:r>
        <w:rPr>
          <w:color w:val="bbbbbb"/>
        </w:rPr>
        <w:t xml:space="preserve"> </w:t>
      </w:r>
      <w:r>
        <w:rPr>
          <w:color w:val="208050"/>
        </w:rPr>
        <w:t>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198000.0</w:t>
      </w:r>
      <w:r>
        <w:t>,</w:t>
      </w:r>
      <w:r>
        <w:rPr>
          <w:color w:val="bbbbbb"/>
        </w:rPr>
        <w:t/>
      </w:r>
      <w:r>
        <w:br/>
      </w:r>
      <w:r>
        <w:rPr>
          <w:color w:val="bbbbbb"/>
        </w:rPr>
        <w:t xml:space="preserve">        </w:t>
      </w:r>
      <w:r>
        <w:rPr>
          <w:color w:val="062873"/>
          <w:b/>
        </w:rPr>
        <w:t>"FLS"</w:t>
      </w:r>
      <w:r>
        <w:t>:</w:t>
      </w:r>
      <w:r>
        <w:rPr>
          <w:color w:val="bbbbbb"/>
        </w:rPr>
        <w:t xml:space="preserve"> </w:t>
      </w:r>
      <w:r>
        <w:rPr>
          <w:color w:val="208050"/>
        </w:rPr>
        <w:t>198000.0</w:t>
      </w:r>
      <w:r>
        <w:t>,</w:t>
      </w:r>
      <w:r>
        <w:rPr>
          <w:color w:val="bbbbbb"/>
        </w:rPr>
        <w:t/>
      </w:r>
      <w:r>
        <w:br/>
      </w:r>
      <w:r>
        <w:rPr>
          <w:color w:val="bbbbbb"/>
        </w:rPr>
        <w:t xml:space="preserve">        </w:t>
      </w:r>
      <w:r>
        <w:rPr>
          <w:color w:val="062873"/>
          <w:b/>
        </w:rPr>
        <w:t>"NMNL_STCK"</w:t>
      </w:r>
      <w:r>
        <w:t>:</w:t>
      </w:r>
      <w:r>
        <w:rPr>
          <w:color w:val="bbbbbb"/>
        </w:rPr>
        <w:t xml:space="preserve"> </w:t>
      </w:r>
      <w:r>
        <w:rPr>
          <w:color w:val="208050"/>
        </w:rPr>
        <w:t>200000.0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198000.0</w:t>
      </w:r>
      <w:r>
        <w:t>,</w:t>
      </w:r>
      <w:r>
        <w:rPr>
          <w:color w:val="bbbbbb"/>
        </w:rPr>
        <w:t/>
      </w:r>
      <w:r>
        <w:br/>
      </w:r>
      <w:r>
        <w:rPr>
          <w:color w:val="bbbbbb"/>
        </w:rPr>
        <w:t xml:space="preserve">        </w:t>
      </w:r>
      <w:r>
        <w:rPr>
          <w:color w:val="062873"/>
          <w:b/>
        </w:rPr>
        <w:t>"FLS"</w:t>
      </w:r>
      <w:r>
        <w:t>:</w:t>
      </w:r>
      <w:r>
        <w:rPr>
          <w:color w:val="bbbbbb"/>
        </w:rPr>
        <w:t xml:space="preserve"> </w:t>
      </w:r>
      <w:r>
        <w:rPr>
          <w:color w:val="208050"/>
        </w:rPr>
        <w:t>0.0</w:t>
      </w:r>
      <w:r>
        <w:t>,</w:t>
      </w:r>
      <w:r>
        <w:rPr>
          <w:color w:val="bbbbbb"/>
        </w:rPr>
        <w:t/>
      </w:r>
      <w:r>
        <w:br/>
      </w:r>
      <w:r>
        <w:rPr>
          <w:color w:val="bbbbbb"/>
        </w:rPr>
        <w:t xml:space="preserve">        </w:t>
      </w:r>
      <w:r>
        <w:rPr>
          <w:color w:val="062873"/>
          <w:b/>
        </w:rPr>
        <w:t>"NMNL_STCK"</w:t>
      </w:r>
      <w:r>
        <w:t>:</w:t>
      </w:r>
      <w:r>
        <w:rPr>
          <w:color w:val="bbbbbb"/>
        </w:rPr>
        <w:t xml:space="preserve"> </w:t>
      </w:r>
      <w:r>
        <w:rPr>
          <w:color w:val="208050"/>
        </w:rPr>
        <w:t>200000.0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-200000.0</w:t>
      </w:r>
      <w:r>
        <w:t>,</w:t>
      </w:r>
      <w:r>
        <w:rPr>
          <w:color w:val="bbbbbb"/>
        </w:rPr>
        <w:t/>
      </w:r>
      <w:r>
        <w:br/>
      </w:r>
      <w:r>
        <w:rPr>
          <w:color w:val="bbbbbb"/>
        </w:rPr>
        <w:t xml:space="preserve">        </w:t>
      </w:r>
      <w:r>
        <w:rPr>
          <w:color w:val="062873"/>
          <w:b/>
        </w:rPr>
        <w:t>"NMNL_STCK"</w:t>
      </w:r>
      <w:r>
        <w:t>:</w:t>
      </w:r>
      <w:r>
        <w:rPr>
          <w:color w:val="bbbbbb"/>
        </w:rPr>
        <w:t xml:space="preserve"> </w:t>
      </w:r>
      <w:r>
        <w:rPr>
          <w:color w:val="208050"/>
        </w:rPr>
        <w:t>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"PEGRAKZ1_SH1"</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1000000.0</w:t>
      </w:r>
      <w:r>
        <w:t>,</w:t>
      </w:r>
      <w:r>
        <w:rPr>
          <w:color w:val="bbbbbb"/>
        </w:rPr>
        <w:t/>
      </w:r>
      <w:r>
        <w:br/>
      </w:r>
      <w:r>
        <w:rPr>
          <w:color w:val="bbbbbb"/>
        </w:rPr>
        <w:t xml:space="preserve">        </w:t>
      </w:r>
      <w:r>
        <w:rPr>
          <w:color w:val="062873"/>
          <w:b/>
        </w:rPr>
        <w:t>"QNTTY"</w:t>
      </w:r>
      <w:r>
        <w:t>:</w:t>
      </w:r>
      <w:r>
        <w:rPr>
          <w:color w:val="bbbbbb"/>
        </w:rPr>
        <w:t xml:space="preserve"> </w:t>
      </w:r>
      <w:r>
        <w:rPr>
          <w:color w:val="208050"/>
        </w:rPr>
        <w:t>1000.0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"IS_DRCT_INVSTMNT"</w:t>
      </w:r>
      <w:r>
        <w:t>:</w:t>
      </w:r>
      <w:r>
        <w:rPr>
          <w:color w:val="bbbbbb"/>
        </w:rPr>
        <w:t xml:space="preserve"> </w:t>
      </w:r>
      <w:r>
        <w:rPr>
          <w:color w:val="4070a0"/>
        </w:rPr>
        <w:t>"T"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"ACC.DER"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"MXADE_FTSE24L"</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-1000.0</w:t>
      </w:r>
      <w:r>
        <w:t>,</w:t>
      </w:r>
      <w:r>
        <w:rPr>
          <w:color w:val="bbbbbb"/>
        </w:rPr>
        <w:t/>
      </w:r>
      <w:r>
        <w:br/>
      </w:r>
      <w:r>
        <w:rPr>
          <w:color w:val="bbbbbb"/>
        </w:rPr>
        <w:t xml:space="preserve">        </w:t>
      </w:r>
      <w:r>
        <w:rPr>
          <w:color w:val="062873"/>
          <w:b/>
        </w:rPr>
        <w:t>"QNTTY"</w:t>
      </w:r>
      <w:r>
        <w:t>:</w:t>
      </w:r>
      <w:r>
        <w:rPr>
          <w:color w:val="bbbbbb"/>
        </w:rPr>
        <w:t xml:space="preserve"> </w:t>
      </w:r>
      <w:r>
        <w:rPr>
          <w:color w:val="208050"/>
        </w:rPr>
        <w:t>5.0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"MXADE_FTSE25R3000"</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200.0</w:t>
      </w:r>
      <w:r>
        <w:t>,</w:t>
      </w:r>
      <w:r>
        <w:rPr>
          <w:color w:val="bbbbbb"/>
        </w:rPr>
        <w:t/>
      </w:r>
      <w:r>
        <w:br/>
      </w:r>
      <w:r>
        <w:rPr>
          <w:color w:val="bbbbbb"/>
        </w:rPr>
        <w:t xml:space="preserve">        </w:t>
      </w:r>
      <w:r>
        <w:rPr>
          <w:color w:val="062873"/>
          <w:b/>
        </w:rPr>
        <w:t>"FLS"</w:t>
      </w:r>
      <w:r>
        <w:t>:</w:t>
      </w:r>
      <w:r>
        <w:rPr>
          <w:color w:val="bbbbbb"/>
        </w:rPr>
        <w:t xml:space="preserve"> </w:t>
      </w:r>
      <w:r>
        <w:rPr>
          <w:color w:val="208050"/>
        </w:rPr>
        <w:t>250.0</w:t>
      </w:r>
      <w:r>
        <w:t>,</w:t>
      </w:r>
      <w:r>
        <w:rPr>
          <w:color w:val="bbbbbb"/>
        </w:rPr>
        <w:t/>
      </w:r>
      <w:r>
        <w:br/>
      </w:r>
      <w:r>
        <w:rPr>
          <w:color w:val="bbbbbb"/>
        </w:rPr>
        <w:t xml:space="preserve">        </w:t>
      </w:r>
      <w:r>
        <w:rPr>
          <w:color w:val="062873"/>
          <w:b/>
        </w:rPr>
        <w:t>"QNTTY"</w:t>
      </w:r>
      <w:r>
        <w:t>:</w:t>
      </w:r>
      <w:r>
        <w:rPr>
          <w:color w:val="bbbbbb"/>
        </w:rPr>
        <w:t xml:space="preserve"> </w:t>
      </w:r>
      <w:r>
        <w:rPr>
          <w:color w:val="208050"/>
        </w:rPr>
        <w:t>2.0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"IGRV00000HMG8"</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t>,</w:t>
      </w:r>
      <w:r>
        <w:rPr>
          <w:color w:val="bbbbbb"/>
        </w:rPr>
        <w:t/>
      </w:r>
      <w:r>
        <w:br/>
      </w:r>
      <w:r>
        <w:rPr>
          <w:color w:val="bbbbbb"/>
        </w:rPr>
        <w:t xml:space="preserve">        </w:t>
      </w:r>
      <w:r>
        <w:rPr>
          <w:color w:val="062873"/>
          <w:b/>
        </w:rPr>
        <w:t>"QNTTY"</w:t>
      </w:r>
      <w:r>
        <w:t>:</w:t>
      </w:r>
      <w:r>
        <w:rPr>
          <w:color w:val="bbbbbb"/>
        </w:rPr>
        <w:t xml:space="preserve"> </w:t>
      </w:r>
      <w:r>
        <w:rPr>
          <w:color w:val="208050"/>
        </w:rPr>
        <w:t>3.0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"PEGRAKZ3_SWP"</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300.0</w:t>
      </w:r>
      <w:r>
        <w:t>,</w:t>
      </w:r>
      <w:r>
        <w:rPr>
          <w:color w:val="bbbbbb"/>
        </w:rPr>
        <w:t/>
      </w:r>
      <w:r>
        <w:br/>
      </w:r>
      <w:r>
        <w:rPr>
          <w:color w:val="bbbbbb"/>
        </w:rPr>
        <w:t xml:space="preserve">        </w:t>
      </w:r>
      <w:r>
        <w:rPr>
          <w:color w:val="062873"/>
          <w:b/>
        </w:rPr>
        <w:t>"QNTTY"</w:t>
      </w:r>
      <w:r>
        <w:t>:</w:t>
      </w:r>
      <w:r>
        <w:rPr>
          <w:color w:val="bbbbbb"/>
        </w:rPr>
        <w:t xml:space="preserve"> </w:t>
      </w:r>
      <w:r>
        <w:rPr>
          <w:color w:val="208050"/>
        </w:rPr>
        <w:t>1.0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"ACC.ASST_NN_FNNCL"</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"NFA4"</w:t>
      </w:r>
      <w:r>
        <w:t>,</w:t>
      </w:r>
      <w:r>
        <w:rPr>
          <w:color w:val="bbbbbb"/>
        </w:rPr>
        <w:t/>
      </w:r>
      <w:r>
        <w:br/>
      </w:r>
      <w:r>
        <w:rPr>
          <w:color w:val="bbbbbb"/>
        </w:rPr>
        <w:t xml:space="preserve">        </w:t>
      </w:r>
      <w:r>
        <w:rPr>
          <w:color w:val="062873"/>
          <w:b/>
        </w:rPr>
        <w:t>"CNTRY"</w:t>
      </w:r>
      <w:r>
        <w:t>:</w:t>
      </w:r>
      <w:r>
        <w:rPr>
          <w:color w:val="bbbbbb"/>
        </w:rPr>
        <w:t xml:space="preserve"> </w:t>
      </w:r>
      <w:r>
        <w:rPr>
          <w:color w:val="4070a0"/>
        </w:rPr>
        <w:t>"GR"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500000.0</w:t>
      </w:r>
      <w:r>
        <w:t>,</w:t>
      </w:r>
      <w:r>
        <w:rPr>
          <w:color w:val="bbbbbb"/>
        </w:rPr>
        <w:t/>
      </w:r>
      <w:r>
        <w:br/>
      </w:r>
      <w:r>
        <w:rPr>
          <w:color w:val="bbbbbb"/>
        </w:rPr>
        <w:t xml:space="preserve">        </w:t>
      </w:r>
      <w:r>
        <w:rPr>
          <w:color w:val="062873"/>
          <w:b/>
        </w:rPr>
        <w:t>"FLS"</w:t>
      </w:r>
      <w:r>
        <w:t>:</w:t>
      </w:r>
      <w:r>
        <w:rPr>
          <w:color w:val="bbbbbb"/>
        </w:rPr>
        <w:t xml:space="preserve"> </w:t>
      </w:r>
      <w:r>
        <w:rPr>
          <w:color w:val="208050"/>
        </w:rPr>
        <w:t>500000.0</w:t>
      </w:r>
      <w:r>
        <w:t>,</w:t>
      </w:r>
      <w:r>
        <w:rPr>
          <w:color w:val="bbbbbb"/>
        </w:rPr>
        <w:t/>
      </w:r>
      <w:r>
        <w:br/>
      </w:r>
      <w:r>
        <w:rPr>
          <w:color w:val="bbbbbb"/>
        </w:rPr>
        <w:t xml:space="preserve">        </w:t>
      </w:r>
      <w:r>
        <w:rPr>
          <w:color w:val="062873"/>
          <w:b/>
        </w:rPr>
        <w:t>"ACCRLS"</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700.0</w:t>
      </w:r>
      <w:r>
        <w:t>,</w:t>
      </w:r>
      <w:r>
        <w:rPr>
          <w:color w:val="bbbbbb"/>
        </w:rPr>
        <w:t/>
      </w:r>
      <w:r>
        <w:br/>
      </w:r>
      <w:r>
        <w:rPr>
          <w:color w:val="bbbbbb"/>
        </w:rPr>
        <w:t xml:space="preserve">        </w:t>
      </w:r>
      <w:r>
        <w:rPr>
          <w:color w:val="062873"/>
          <w:b/>
        </w:rPr>
        <w:t>"FLS"</w:t>
      </w:r>
      <w:r>
        <w:t>:</w:t>
      </w:r>
      <w:r>
        <w:rPr>
          <w:color w:val="bbbbbb"/>
        </w:rPr>
        <w:t xml:space="preserve"> </w:t>
      </w:r>
      <w:r>
        <w:rPr>
          <w:color w:val="208050"/>
        </w:rPr>
        <w:t>700.0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500.0</w:t>
      </w:r>
      <w:r>
        <w:t>,</w:t>
      </w:r>
      <w:r>
        <w:rPr>
          <w:color w:val="bbbbbb"/>
        </w:rPr>
        <w:t/>
      </w:r>
      <w:r>
        <w:br/>
      </w:r>
      <w:r>
        <w:rPr>
          <w:color w:val="bbbbbb"/>
        </w:rPr>
        <w:t xml:space="preserve">        </w:t>
      </w:r>
      <w:r>
        <w:rPr>
          <w:color w:val="062873"/>
          <w:b/>
        </w:rPr>
        <w:t>"FLS"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1200.0</w:t>
      </w:r>
      <w:r>
        <w:t>,</w:t>
      </w:r>
      <w:r>
        <w:rPr>
          <w:color w:val="bbbbbb"/>
        </w:rPr>
        <w:t/>
      </w:r>
      <w:r>
        <w:br/>
      </w:r>
      <w:r>
        <w:rPr>
          <w:color w:val="bbbbbb"/>
        </w:rPr>
        <w:t xml:space="preserve">        </w:t>
      </w:r>
      <w:r>
        <w:rPr>
          <w:color w:val="062873"/>
          <w:b/>
        </w:rPr>
        <w:t>"FLS"</w:t>
      </w:r>
      <w:r>
        <w:t>:</w:t>
      </w:r>
      <w:r>
        <w:rPr>
          <w:color w:val="bbbbbb"/>
        </w:rPr>
        <w:t xml:space="preserve"> </w:t>
      </w:r>
      <w:r>
        <w:rPr>
          <w:color w:val="208050"/>
        </w:rPr>
        <w:t>1200.0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4000.0</w:t>
      </w:r>
      <w:r>
        <w:t>,</w:t>
      </w:r>
      <w:r>
        <w:rPr>
          <w:color w:val="bbbbbb"/>
        </w:rPr>
        <w:t/>
      </w:r>
      <w:r>
        <w:br/>
      </w:r>
      <w:r>
        <w:rPr>
          <w:color w:val="bbbbbb"/>
        </w:rPr>
        <w:t xml:space="preserve">        </w:t>
      </w:r>
      <w:r>
        <w:rPr>
          <w:color w:val="062873"/>
          <w:b/>
        </w:rPr>
        <w:t>"FLS"</w:t>
      </w:r>
      <w:r>
        <w:t>:</w:t>
      </w:r>
      <w:r>
        <w:rPr>
          <w:color w:val="bbbbbb"/>
        </w:rPr>
        <w:t xml:space="preserve"> </w:t>
      </w:r>
      <w:r>
        <w:rPr>
          <w:color w:val="208050"/>
        </w:rPr>
        <w:t>4000.0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-5400.0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"2024-12-31T00:00:00"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"AR"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2000.0</w:t>
      </w:r>
      <w:r>
        <w:t>,</w:t>
      </w:r>
      <w:r>
        <w:rPr>
          <w:color w:val="bbbbbb"/>
        </w:rPr>
        <w:t/>
      </w:r>
      <w:r>
        <w:br/>
      </w:r>
      <w:r>
        <w:rPr>
          <w:color w:val="bbbbbb"/>
        </w:rPr>
        <w:t xml:space="preserve">        </w:t>
      </w:r>
      <w:r>
        <w:rPr>
          <w:color w:val="062873"/>
          <w:b/>
        </w:rPr>
        <w:t>"FLS"</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"ACC.LBLTY_LN"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"PEGRAKZ2_OVR1"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w:t>
      </w:r>
      <w:r>
        <w:t>,</w:t>
      </w:r>
      <w:r>
        <w:rPr>
          <w:color w:val="bbbbbb"/>
        </w:rPr>
        <w:t/>
      </w:r>
      <w:r>
        <w:br/>
      </w:r>
      <w:r>
        <w:rPr>
          <w:color w:val="bbbbbb"/>
        </w:rPr>
        <w:t xml:space="preserve">        </w:t>
      </w:r>
      <w:r>
        <w:rPr>
          <w:color w:val="062873"/>
          <w:b/>
        </w:rPr>
        <w:t>"FLS"</w:t>
      </w:r>
      <w:r>
        <w:t>:</w:t>
      </w:r>
      <w:r>
        <w:rPr>
          <w:color w:val="bbbbbb"/>
        </w:rPr>
        <w:t xml:space="preserve"> </w:t>
      </w:r>
      <w:r>
        <w:rPr>
          <w:color w:val="208050"/>
        </w:rPr>
        <w:t>10000.0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t>,</w:t>
      </w:r>
      <w:r>
        <w:rPr>
          <w:color w:val="bbbbbb"/>
        </w:rPr>
        <w:t/>
      </w:r>
      <w:r>
        <w:br/>
      </w:r>
      <w:r>
        <w:rPr>
          <w:color w:val="bbbbbb"/>
        </w:rPr>
        <w:t xml:space="preserve">        </w:t>
      </w:r>
      <w:r>
        <w:rPr>
          <w:color w:val="062873"/>
          <w:b/>
        </w:rPr>
        <w:t>"IS_GRP_LN"</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"ACC.LBLTY_RMNNG"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"AI_LN"</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"PEGRAKZ1_SHR"</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"PEGR123456789_PRSN1"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"QNTTY"</w:t>
      </w:r>
      <w:r>
        <w:t>:</w:t>
      </w:r>
      <w:r>
        <w:rPr>
          <w:color w:val="bbbbbb"/>
        </w:rPr>
        <w:t xml:space="preserve"> </w:t>
      </w:r>
      <w:r>
        <w:rPr>
          <w:color w:val="208050"/>
        </w:rPr>
        <w:t>1000.0</w:t>
      </w:r>
      <w:r>
        <w:t>,</w:t>
      </w:r>
      <w:r>
        <w:rPr>
          <w:color w:val="bbbbbb"/>
        </w:rPr>
        <w:t/>
      </w:r>
      <w:r>
        <w:br/>
      </w:r>
      <w:r>
        <w:rPr>
          <w:color w:val="bbbbbb"/>
        </w:rPr>
        <w:t xml:space="preserve">        </w:t>
      </w:r>
      <w:r>
        <w:rPr>
          <w:color w:val="062873"/>
          <w:b/>
        </w:rPr>
        <w:t>"SBSCRPTNS"</w:t>
      </w:r>
      <w:r>
        <w:t>:</w:t>
      </w:r>
      <w:r>
        <w:rPr>
          <w:color w:val="bbbbbb"/>
        </w:rPr>
        <w:t xml:space="preserve"> </w:t>
      </w:r>
      <w:r>
        <w:rPr>
          <w:color w:val="208050"/>
        </w:rPr>
        <w:t>1600100.0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"IGRF123456789"</w:t>
      </w:r>
      <w:r>
        <w:t>,</w:t>
      </w:r>
      <w:r>
        <w:rPr>
          <w:color w:val="bbbbbb"/>
        </w:rPr>
        <w:t/>
      </w:r>
      <w:r>
        <w:br/>
      </w:r>
      <w:r>
        <w:rPr>
          <w:color w:val="bbbbbb"/>
        </w:rPr>
        <w:t xml:space="preserve">        </w:t>
      </w:r>
      <w:r>
        <w:rPr>
          <w:color w:val="062873"/>
          <w:b/>
        </w:rPr>
        <w:t>"ID"</w:t>
      </w:r>
      <w:r>
        <w:t>:</w:t>
      </w:r>
      <w:r>
        <w:rPr>
          <w:color w:val="bbbbbb"/>
        </w:rPr>
        <w:t xml:space="preserve"> </w:t>
      </w:r>
      <w:r>
        <w:rPr>
          <w:color w:val="4070a0"/>
        </w:rPr>
        <w:t>"TGR321654987"</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"QNTTY"</w:t>
      </w:r>
      <w:r>
        <w:t>:</w:t>
      </w:r>
      <w:r>
        <w:rPr>
          <w:color w:val="bbbbbb"/>
        </w:rPr>
        <w:t xml:space="preserve"> </w:t>
      </w:r>
      <w:r>
        <w:rPr>
          <w:color w:val="208050"/>
        </w:rPr>
        <w:t>10000.0</w:t>
      </w:r>
      <w:r>
        <w:t>,</w:t>
      </w:r>
      <w:r>
        <w:rPr>
          <w:color w:val="bbbbbb"/>
        </w:rPr>
        <w:t/>
      </w:r>
      <w:r>
        <w:br/>
      </w:r>
      <w:r>
        <w:rPr>
          <w:color w:val="bbbbbb"/>
        </w:rPr>
        <w:t xml:space="preserve">        </w:t>
      </w:r>
      <w:r>
        <w:rPr>
          <w:color w:val="062873"/>
          <w:b/>
        </w:rPr>
        <w:t>"SBSCRPTNS"</w:t>
      </w:r>
      <w:r>
        <w:t>:</w:t>
      </w:r>
      <w:r>
        <w:rPr>
          <w:color w:val="bbbbbb"/>
        </w:rPr>
        <w:t xml:space="preserve"> </w:t>
      </w:r>
      <w:r>
        <w:rPr>
          <w:color w:val="208050"/>
        </w:rPr>
        <w:t>497250.0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"IGRF987654321"</w:t>
      </w:r>
      <w:r>
        <w:t>,</w:t>
      </w:r>
      <w:r>
        <w:rPr>
          <w:color w:val="bbbbbb"/>
        </w:rPr>
        <w:t/>
      </w:r>
      <w:r>
        <w:br/>
      </w:r>
      <w:r>
        <w:rPr>
          <w:color w:val="bbbbbb"/>
        </w:rPr>
        <w:t xml:space="preserve">        </w:t>
      </w:r>
      <w:r>
        <w:rPr>
          <w:color w:val="062873"/>
          <w:b/>
        </w:rPr>
        <w:t>"ID"</w:t>
      </w:r>
      <w:r>
        <w:t>:</w:t>
      </w:r>
      <w:r>
        <w:rPr>
          <w:color w:val="bbbbbb"/>
        </w:rPr>
        <w:t xml:space="preserve"> </w:t>
      </w:r>
      <w:r>
        <w:rPr>
          <w:color w:val="4070a0"/>
        </w:rPr>
        <w:t>"TGR123789456"</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"QNTTY"</w:t>
      </w:r>
      <w:r>
        <w:t>:</w:t>
      </w:r>
      <w:r>
        <w:rPr>
          <w:color w:val="bbbbbb"/>
        </w:rPr>
        <w:t xml:space="preserve"> </w:t>
      </w:r>
      <w:r>
        <w:rPr>
          <w:color w:val="208050"/>
        </w:rPr>
        <w:t>20000.0</w:t>
      </w:r>
      <w:r>
        <w:t>,</w:t>
      </w:r>
      <w:r>
        <w:rPr>
          <w:color w:val="bbbbbb"/>
        </w:rPr>
        <w:t/>
      </w:r>
      <w:r>
        <w:br/>
      </w:r>
      <w:r>
        <w:rPr>
          <w:color w:val="bbbbbb"/>
        </w:rPr>
        <w:t xml:space="preserve">        </w:t>
      </w:r>
      <w:r>
        <w:rPr>
          <w:color w:val="062873"/>
          <w:b/>
        </w:rPr>
        <w:t>"SBSCRPTNS"</w:t>
      </w:r>
      <w:r>
        <w:t>:</w:t>
      </w:r>
      <w:r>
        <w:rPr>
          <w:color w:val="bbbbbb"/>
        </w:rPr>
        <w:t xml:space="preserve"> </w:t>
      </w:r>
      <w:r>
        <w:rPr>
          <w:color w:val="208050"/>
        </w:rPr>
        <w:t>490200.0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"ACC.SHR_KEY"</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"BK_PRC"</w:t>
      </w:r>
      <w:r>
        <w:t>:</w:t>
      </w:r>
      <w:r>
        <w:rPr>
          <w:color w:val="bbbbbb"/>
        </w:rPr>
        <w:t xml:space="preserve"> </w:t>
      </w:r>
      <w:r>
        <w:rPr>
          <w:color w:val="208050"/>
        </w:rPr>
        <w:t>1602.2</w:t>
      </w:r>
      <w:r>
        <w:t>,</w:t>
      </w:r>
      <w:r>
        <w:rPr>
          <w:color w:val="bbbbbb"/>
        </w:rPr>
        <w:t/>
      </w:r>
      <w:r>
        <w:br/>
      </w:r>
      <w:r>
        <w:rPr>
          <w:color w:val="bbbbbb"/>
        </w:rPr>
        <w:t xml:space="preserve">        </w:t>
      </w:r>
      <w:r>
        <w:rPr>
          <w:color w:val="062873"/>
          <w:b/>
        </w:rPr>
        <w:t>"INCM"</w:t>
      </w:r>
      <w:r>
        <w:t>:</w:t>
      </w:r>
      <w:r>
        <w:rPr>
          <w:color w:val="bbbbbb"/>
        </w:rPr>
        <w:t xml:space="preserve"> </w:t>
      </w:r>
      <w:r>
        <w:rPr>
          <w:color w:val="208050"/>
        </w:rPr>
        <w:t>2.1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"IGRF123456789"</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"BK_PRC"</w:t>
      </w:r>
      <w:r>
        <w:t>:</w:t>
      </w:r>
      <w:r>
        <w:rPr>
          <w:color w:val="bbbbbb"/>
        </w:rPr>
        <w:t xml:space="preserve"> </w:t>
      </w:r>
      <w:r>
        <w:rPr>
          <w:color w:val="208050"/>
        </w:rPr>
        <w:t>49.93</w:t>
      </w:r>
      <w:r>
        <w:t>,</w:t>
      </w:r>
      <w:r>
        <w:rPr>
          <w:color w:val="bbbbbb"/>
        </w:rPr>
        <w:t/>
      </w:r>
      <w:r>
        <w:br/>
      </w:r>
      <w:r>
        <w:rPr>
          <w:color w:val="bbbbbb"/>
        </w:rPr>
        <w:t xml:space="preserve">        </w:t>
      </w:r>
      <w:r>
        <w:rPr>
          <w:color w:val="062873"/>
          <w:b/>
        </w:rPr>
        <w:t>"INCM"</w:t>
      </w:r>
      <w:r>
        <w:t>:</w:t>
      </w:r>
      <w:r>
        <w:rPr>
          <w:color w:val="bbbbbb"/>
        </w:rPr>
        <w:t xml:space="preserve"> </w:t>
      </w:r>
      <w:r>
        <w:rPr>
          <w:color w:val="208050"/>
        </w:rPr>
        <w:t>0.18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"IGRF987654321"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"BK_PRC"</w:t>
      </w:r>
      <w:r>
        <w:t>:</w:t>
      </w:r>
      <w:r>
        <w:rPr>
          <w:color w:val="bbbbbb"/>
        </w:rPr>
        <w:t xml:space="preserve"> </w:t>
      </w:r>
      <w:r>
        <w:rPr>
          <w:color w:val="208050"/>
        </w:rPr>
        <w:t>25.0</w:t>
      </w:r>
      <w:r>
        <w:t>,</w:t>
      </w:r>
      <w:r>
        <w:rPr>
          <w:color w:val="bbbbbb"/>
        </w:rPr>
        <w:t/>
      </w:r>
      <w:r>
        <w:br/>
      </w:r>
      <w:r>
        <w:rPr>
          <w:color w:val="bbbbbb"/>
        </w:rPr>
        <w:t xml:space="preserve">        </w:t>
      </w:r>
      <w:r>
        <w:rPr>
          <w:color w:val="062873"/>
          <w:b/>
        </w:rPr>
        <w:t>"INCM"</w:t>
      </w:r>
      <w:r>
        <w:t>:</w:t>
      </w:r>
      <w:r>
        <w:rPr>
          <w:color w:val="bbbbbb"/>
        </w:rPr>
        <w:t xml:space="preserve"> </w:t>
      </w:r>
      <w:r>
        <w:rPr>
          <w:color w:val="208050"/>
        </w:rPr>
        <w:t>0.02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"REF.MNGMNT"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"DT_BRTH"</w:t>
      </w:r>
      <w:r>
        <w:t>:</w:t>
      </w:r>
      <w:r>
        <w:rPr>
          <w:color w:val="bbbbbb"/>
        </w:rPr>
        <w:t xml:space="preserve"> </w:t>
      </w:r>
      <w:r>
        <w:rPr>
          <w:color w:val="4070a0"/>
        </w:rPr>
        <w:t>"2024-09-01T00:00:00"</w:t>
      </w:r>
      <w:r>
        <w:t>,</w:t>
      </w:r>
      <w:r>
        <w:rPr>
          <w:color w:val="bbbbbb"/>
        </w:rPr>
        <w:t/>
      </w:r>
      <w:r>
        <w:br/>
      </w:r>
      <w:r>
        <w:rPr>
          <w:color w:val="bbbbbb"/>
        </w:rPr>
        <w:t xml:space="preserve">        </w:t>
      </w:r>
      <w:r>
        <w:rPr>
          <w:color w:val="062873"/>
          <w:b/>
        </w:rPr>
        <w:t>"LEI_ID"</w:t>
      </w:r>
      <w:r>
        <w:t>:</w:t>
      </w:r>
      <w:r>
        <w:rPr>
          <w:color w:val="bbbbbb"/>
        </w:rPr>
        <w:t xml:space="preserve"> </w:t>
      </w:r>
      <w:r>
        <w:rPr>
          <w:color w:val="4070a0"/>
        </w:rPr>
        <w:t>"987600ED3C2BA1B01C23"</w:t>
      </w:r>
      <w:r>
        <w:t>,</w:t>
      </w:r>
      <w:r>
        <w:rPr>
          <w:color w:val="bbbbbb"/>
        </w:rPr>
        <w:t/>
      </w:r>
      <w:r>
        <w:br/>
      </w:r>
      <w:r>
        <w:rPr>
          <w:color w:val="bbbbbb"/>
        </w:rPr>
        <w:t xml:space="preserve">        </w:t>
      </w:r>
      <w:r>
        <w:rPr>
          <w:color w:val="062873"/>
          <w:b/>
        </w:rPr>
        <w:t>"TAX_ID"</w:t>
      </w:r>
      <w:r>
        <w:t>:</w:t>
      </w:r>
      <w:r>
        <w:rPr>
          <w:color w:val="bbbbbb"/>
        </w:rPr>
        <w:t xml:space="preserve"> </w:t>
      </w:r>
      <w:r>
        <w:rPr>
          <w:color w:val="4070a0"/>
        </w:rPr>
        <w:t>"123456789"</w:t>
      </w:r>
      <w:r>
        <w:t>,</w:t>
      </w:r>
      <w:r>
        <w:rPr>
          <w:color w:val="bbbbbb"/>
        </w:rPr>
        <w:t/>
      </w:r>
      <w:r>
        <w:br/>
      </w:r>
      <w:r>
        <w:rPr>
          <w:color w:val="bbbbbb"/>
        </w:rPr>
        <w:t xml:space="preserve">        </w:t>
      </w:r>
      <w:r>
        <w:rPr>
          <w:color w:val="062873"/>
          <w:b/>
        </w:rPr>
        <w:t>"NBR_ID"</w:t>
      </w:r>
      <w:r>
        <w:t>:</w:t>
      </w:r>
      <w:r>
        <w:rPr>
          <w:color w:val="bbbbbb"/>
        </w:rPr>
        <w:t xml:space="preserve"> </w:t>
      </w:r>
      <w:r>
        <w:rPr>
          <w:color w:val="4070a0"/>
        </w:rPr>
        <w:t>"987654321000"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"ΖΖΖ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"ZZZ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"ΖΖΖ"</w:t>
      </w:r>
      <w:r>
        <w:t>,</w:t>
      </w:r>
      <w:r>
        <w:rPr>
          <w:color w:val="bbbbbb"/>
        </w:rPr>
        <w:t/>
      </w:r>
      <w:r>
        <w:br/>
      </w:r>
      <w:r>
        <w:rPr>
          <w:color w:val="bbbbbb"/>
        </w:rPr>
        <w:t xml:space="preserve">        </w:t>
      </w:r>
      <w:r>
        <w:rPr>
          <w:color w:val="062873"/>
          <w:b/>
        </w:rPr>
        <w:t>"STRT"</w:t>
      </w:r>
      <w:r>
        <w:t>:</w:t>
      </w:r>
      <w:r>
        <w:rPr>
          <w:color w:val="bbbbbb"/>
        </w:rPr>
        <w:t xml:space="preserve"> </w:t>
      </w:r>
      <w:r>
        <w:rPr>
          <w:color w:val="4070a0"/>
        </w:rPr>
        <w:t xml:space="preserve">"Ακαδημίας 0"</w:t>
      </w:r>
      <w:r>
        <w:t>,</w:t>
      </w:r>
      <w:r>
        <w:rPr>
          <w:color w:val="bbbbbb"/>
        </w:rPr>
        <w:t/>
      </w:r>
      <w:r>
        <w:br/>
      </w:r>
      <w:r>
        <w:rPr>
          <w:color w:val="bbbbbb"/>
        </w:rPr>
        <w:t xml:space="preserve">        </w:t>
      </w:r>
      <w:r>
        <w:rPr>
          <w:color w:val="062873"/>
          <w:b/>
        </w:rPr>
        <w:t>"STRT_LTN"</w:t>
      </w:r>
      <w:r>
        <w:t>:</w:t>
      </w:r>
      <w:r>
        <w:rPr>
          <w:color w:val="bbbbbb"/>
        </w:rPr>
        <w:t xml:space="preserve"> </w:t>
      </w:r>
      <w:r>
        <w:rPr>
          <w:color w:val="4070a0"/>
        </w:rPr>
        <w:t xml:space="preserve">"Akadimias 0"</w:t>
      </w:r>
      <w:r>
        <w:t>,</w:t>
      </w:r>
      <w:r>
        <w:rPr>
          <w:color w:val="bbbbbb"/>
        </w:rPr>
        <w:t/>
      </w:r>
      <w:r>
        <w:br/>
      </w:r>
      <w:r>
        <w:rPr>
          <w:color w:val="bbbbbb"/>
        </w:rPr>
        <w:t xml:space="preserve">        </w:t>
      </w:r>
      <w:r>
        <w:rPr>
          <w:color w:val="062873"/>
          <w:b/>
        </w:rPr>
        <w:t>"CTY"</w:t>
      </w:r>
      <w:r>
        <w:t>:</w:t>
      </w:r>
      <w:r>
        <w:rPr>
          <w:color w:val="bbbbbb"/>
        </w:rPr>
        <w:t xml:space="preserve"> </w:t>
      </w:r>
      <w:r>
        <w:rPr>
          <w:color w:val="4070a0"/>
        </w:rPr>
        <w:t>"Αθήνα"</w:t>
      </w:r>
      <w:r>
        <w:t>,</w:t>
      </w:r>
      <w:r>
        <w:rPr>
          <w:color w:val="bbbbbb"/>
        </w:rPr>
        <w:t/>
      </w:r>
      <w:r>
        <w:br/>
      </w:r>
      <w:r>
        <w:rPr>
          <w:color w:val="bbbbbb"/>
        </w:rPr>
        <w:t xml:space="preserve">        </w:t>
      </w:r>
      <w:r>
        <w:rPr>
          <w:color w:val="062873"/>
          <w:b/>
        </w:rPr>
        <w:t>"CTY_LTN"</w:t>
      </w:r>
      <w:r>
        <w:t>:</w:t>
      </w:r>
      <w:r>
        <w:rPr>
          <w:color w:val="bbbbbb"/>
        </w:rPr>
        <w:t xml:space="preserve"> </w:t>
      </w:r>
      <w:r>
        <w:rPr>
          <w:color w:val="4070a0"/>
        </w:rPr>
        <w:t>"Athens"</w:t>
      </w:r>
      <w:r>
        <w:t>,</w:t>
      </w:r>
      <w:r>
        <w:rPr>
          <w:color w:val="bbbbbb"/>
        </w:rPr>
        <w:t/>
      </w:r>
      <w:r>
        <w:br/>
      </w:r>
      <w:r>
        <w:rPr>
          <w:color w:val="bbbbbb"/>
        </w:rPr>
        <w:t xml:space="preserve">        </w:t>
      </w:r>
      <w:r>
        <w:rPr>
          <w:color w:val="062873"/>
          <w:b/>
        </w:rPr>
        <w:t>"PSTL_CD"</w:t>
      </w:r>
      <w:r>
        <w:t>:</w:t>
      </w:r>
      <w:r>
        <w:rPr>
          <w:color w:val="bbbbbb"/>
        </w:rPr>
        <w:t xml:space="preserve"> </w:t>
      </w:r>
      <w:r>
        <w:rPr>
          <w:color w:val="4070a0"/>
        </w:rPr>
        <w:t>"100000"</w:t>
      </w:r>
      <w:r>
        <w:t>,</w:t>
      </w:r>
      <w:r>
        <w:rPr>
          <w:color w:val="bbbbbb"/>
        </w:rPr>
        <w:t/>
      </w:r>
      <w:r>
        <w:br/>
      </w:r>
      <w:r>
        <w:rPr>
          <w:color w:val="bbbbbb"/>
        </w:rPr>
        <w:t xml:space="preserve">        </w:t>
      </w:r>
      <w:r>
        <w:rPr>
          <w:color w:val="062873"/>
          <w:b/>
        </w:rPr>
        <w:t>"URL"</w:t>
      </w:r>
      <w:r>
        <w:t>:</w:t>
      </w:r>
      <w:r>
        <w:rPr>
          <w:color w:val="bbbbbb"/>
        </w:rPr>
        <w:t xml:space="preserve"> </w:t>
      </w:r>
      <w:r>
        <w:rPr>
          <w:color w:val="4070a0"/>
        </w:rPr>
        <w:t>"https://z.gr/"</w:t>
      </w:r>
      <w:r>
        <w:t>,</w:t>
      </w:r>
      <w:r>
        <w:rPr>
          <w:color w:val="bbbbbb"/>
        </w:rPr>
        <w:t/>
      </w:r>
      <w:r>
        <w:br/>
      </w:r>
      <w:r>
        <w:rPr>
          <w:color w:val="bbbbbb"/>
        </w:rPr>
        <w:t xml:space="preserve">        </w:t>
      </w:r>
      <w:r>
        <w:rPr>
          <w:color w:val="062873"/>
          <w:b/>
        </w:rPr>
        <w:t>"EMAIL"</w:t>
      </w:r>
      <w:r>
        <w:t>:</w:t>
      </w:r>
      <w:r>
        <w:rPr>
          <w:color w:val="bbbbbb"/>
        </w:rPr>
        <w:t xml:space="preserve"> </w:t>
      </w:r>
      <w:r>
        <w:rPr>
          <w:color w:val="4070a0"/>
        </w:rPr>
        <w:t>"info@z.gr"</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"VLD_FRM"</w:t>
      </w:r>
      <w:r>
        <w:t>:</w:t>
      </w:r>
      <w:r>
        <w:rPr>
          <w:color w:val="bbbbbb"/>
        </w:rPr>
        <w:t xml:space="preserve"> </w:t>
      </w:r>
      <w:r>
        <w:rPr>
          <w:color w:val="4070a0"/>
        </w:rPr>
        <w:t>"2024-09-10T00:00:00"</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"ΖΖΖΖ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"ZZZZ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"ΖΖΖΖ"</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"VLD_FRM"</w:t>
      </w:r>
      <w:r>
        <w:t>:</w:t>
      </w:r>
      <w:r>
        <w:rPr>
          <w:color w:val="bbbbbb"/>
        </w:rPr>
        <w:t xml:space="preserve"> </w:t>
      </w:r>
      <w:r>
        <w:rPr>
          <w:color w:val="4070a0"/>
        </w:rPr>
        <w:t>"2024-09-20T00:00:00"</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"REF.FND"</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"LEI_ID"</w:t>
      </w:r>
      <w:r>
        <w:t>:</w:t>
      </w:r>
      <w:r>
        <w:rPr>
          <w:color w:val="bbbbbb"/>
        </w:rPr>
        <w:t xml:space="preserve"> </w:t>
      </w:r>
      <w:r>
        <w:rPr>
          <w:color w:val="4070a0"/>
        </w:rPr>
        <w:t>"887600ED3C2BA1B01C34"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"LEI_ID"</w:t>
      </w:r>
      <w:r>
        <w:t>:</w:t>
      </w:r>
      <w:r>
        <w:rPr>
          <w:color w:val="bbbbbb"/>
        </w:rPr>
        <w:t xml:space="preserve"> </w:t>
      </w:r>
      <w:r>
        <w:rPr>
          <w:color w:val="4070a0"/>
        </w:rPr>
        <w:t>"787600ED3C2BA1B01C45"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Venture Fund"</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Venture Fund"</w:t>
      </w:r>
      <w:r>
        <w:t>,</w:t>
      </w:r>
      <w:r>
        <w:rPr>
          <w:color w:val="bbbbbb"/>
        </w:rPr>
        <w:t/>
      </w:r>
      <w:r>
        <w:br/>
      </w:r>
      <w:r>
        <w:rPr>
          <w:color w:val="bbbbbb"/>
        </w:rPr>
        <w:t xml:space="preserve">        </w:t>
      </w:r>
      <w:r>
        <w:rPr>
          <w:color w:val="062873"/>
          <w:b/>
        </w:rPr>
        <w:t>"NM_SHRT"</w:t>
      </w:r>
      <w:r>
        <w:t>:</w:t>
      </w:r>
      <w:r>
        <w:rPr>
          <w:color w:val="bbbbbb"/>
        </w:rPr>
        <w:t xml:space="preserve"> </w:t>
      </w:r>
      <w:r>
        <w:rPr>
          <w:color w:val="4070a0"/>
        </w:rPr>
        <w:t>"ZVF"</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"https://z.gr/vf"</w:t>
      </w:r>
      <w:r>
        <w:t>,</w:t>
      </w:r>
      <w:r>
        <w:rPr>
          <w:color w:val="bbbbbb"/>
        </w:rPr>
        <w:t/>
      </w:r>
      <w:r>
        <w:br/>
      </w:r>
      <w:r>
        <w:rPr>
          <w:color w:val="bbbbbb"/>
        </w:rPr>
        <w:t xml:space="preserve">        </w:t>
      </w:r>
      <w:r>
        <w:rPr>
          <w:color w:val="062873"/>
          <w:b/>
        </w:rPr>
        <w:t>"LGL_TYP"</w:t>
      </w:r>
      <w:r>
        <w:t>:</w:t>
      </w:r>
      <w:r>
        <w:rPr>
          <w:color w:val="bbbbbb"/>
        </w:rPr>
        <w:t xml:space="preserve"> </w:t>
      </w:r>
      <w:r>
        <w:rPr>
          <w:color w:val="4070a0"/>
        </w:rPr>
        <w:t>"OAIF"</w:t>
      </w:r>
      <w:r>
        <w:t>,</w:t>
      </w:r>
      <w:r>
        <w:rPr>
          <w:color w:val="bbbbbb"/>
        </w:rPr>
        <w:t/>
      </w:r>
      <w:r>
        <w:br/>
      </w:r>
      <w:r>
        <w:rPr>
          <w:color w:val="bbbbbb"/>
        </w:rPr>
        <w:t xml:space="preserve">        </w:t>
      </w:r>
      <w:r>
        <w:rPr>
          <w:color w:val="062873"/>
          <w:b/>
        </w:rPr>
        <w:t>"INVSTMNT_PLCY"</w:t>
      </w:r>
      <w:r>
        <w:t>:</w:t>
      </w:r>
      <w:r>
        <w:rPr>
          <w:color w:val="bbbbbb"/>
        </w:rPr>
        <w:t xml:space="preserve"> </w:t>
      </w:r>
      <w:r>
        <w:rPr>
          <w:color w:val="4070a0"/>
        </w:rPr>
        <w:t>"EQT"</w:t>
      </w:r>
      <w:r>
        <w:t>,</w:t>
      </w:r>
      <w:r>
        <w:rPr>
          <w:color w:val="bbbbbb"/>
        </w:rPr>
        <w:t/>
      </w:r>
      <w:r>
        <w:br/>
      </w:r>
      <w:r>
        <w:rPr>
          <w:color w:val="bbbbbb"/>
        </w:rPr>
        <w:t xml:space="preserve">        </w:t>
      </w:r>
      <w:r>
        <w:rPr>
          <w:color w:val="062873"/>
          <w:b/>
        </w:rPr>
        <w:t>"EQTY_TYP"</w:t>
      </w:r>
      <w:r>
        <w:t>:</w:t>
      </w:r>
      <w:r>
        <w:rPr>
          <w:color w:val="bbbbbb"/>
        </w:rPr>
        <w:t xml:space="preserve"> </w:t>
      </w:r>
      <w:r>
        <w:rPr>
          <w:color w:val="4070a0"/>
        </w:rPr>
        <w:t>"CLOSE"</w:t>
      </w:r>
      <w:r>
        <w:t>,</w:t>
      </w:r>
      <w:r>
        <w:rPr>
          <w:color w:val="bbbbbb"/>
        </w:rPr>
        <w:t/>
      </w:r>
      <w:r>
        <w:br/>
      </w:r>
      <w:r>
        <w:rPr>
          <w:color w:val="bbbbbb"/>
        </w:rPr>
        <w:t xml:space="preserve">        </w:t>
      </w:r>
      <w:r>
        <w:rPr>
          <w:color w:val="062873"/>
          <w:b/>
        </w:rPr>
        <w:t>"DSTRBTN_PLCY"</w:t>
      </w:r>
      <w:r>
        <w:t>:</w:t>
      </w:r>
      <w:r>
        <w:rPr>
          <w:color w:val="bbbbbb"/>
        </w:rPr>
        <w:t xml:space="preserve"> </w:t>
      </w:r>
      <w:r>
        <w:rPr>
          <w:color w:val="4070a0"/>
        </w:rPr>
        <w:t>"MIX"</w:t>
      </w:r>
      <w:r>
        <w:t>,</w:t>
      </w:r>
      <w:r>
        <w:rPr>
          <w:color w:val="bbbbbb"/>
        </w:rPr>
        <w:t/>
      </w:r>
      <w:r>
        <w:br/>
      </w:r>
      <w:r>
        <w:rPr>
          <w:color w:val="bbbbbb"/>
        </w:rPr>
        <w:t xml:space="preserve">        </w:t>
      </w:r>
      <w:r>
        <w:rPr>
          <w:color w:val="062873"/>
          <w:b/>
        </w:rPr>
        <w:t>"INVSTR_TYP"</w:t>
      </w:r>
      <w:r>
        <w:t>:</w:t>
      </w:r>
      <w:r>
        <w:rPr>
          <w:color w:val="bbbbbb"/>
        </w:rPr>
        <w:t xml:space="preserve"> </w:t>
      </w:r>
      <w:r>
        <w:rPr>
          <w:color w:val="4070a0"/>
        </w:rPr>
        <w:t>"RTL"</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"DOM"</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Ομολογιακό"</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Bond Fund"</w:t>
      </w:r>
      <w:r>
        <w:t>,</w:t>
      </w:r>
      <w:r>
        <w:rPr>
          <w:color w:val="bbbbbb"/>
        </w:rPr>
        <w:t/>
      </w:r>
      <w:r>
        <w:br/>
      </w:r>
      <w:r>
        <w:rPr>
          <w:color w:val="bbbbbb"/>
        </w:rPr>
        <w:t xml:space="preserve">        </w:t>
      </w:r>
      <w:r>
        <w:rPr>
          <w:color w:val="062873"/>
          <w:b/>
        </w:rPr>
        <w:t>"NM_SHRT"</w:t>
      </w:r>
      <w:r>
        <w:t>:</w:t>
      </w:r>
      <w:r>
        <w:rPr>
          <w:color w:val="bbbbbb"/>
        </w:rPr>
        <w:t xml:space="preserve"> </w:t>
      </w:r>
      <w:r>
        <w:rPr>
          <w:color w:val="4070a0"/>
        </w:rPr>
        <w:t>"ZBOND"</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"https://z.gr/zbond"</w:t>
      </w:r>
      <w:r>
        <w:t>,</w:t>
      </w:r>
      <w:r>
        <w:rPr>
          <w:color w:val="bbbbbb"/>
        </w:rPr>
        <w:t/>
      </w:r>
      <w:r>
        <w:br/>
      </w:r>
      <w:r>
        <w:rPr>
          <w:color w:val="bbbbbb"/>
        </w:rPr>
        <w:t xml:space="preserve">        </w:t>
      </w:r>
      <w:r>
        <w:rPr>
          <w:color w:val="062873"/>
          <w:b/>
        </w:rPr>
        <w:t>"LGL_TYP"</w:t>
      </w:r>
      <w:r>
        <w:t>:</w:t>
      </w:r>
      <w:r>
        <w:rPr>
          <w:color w:val="bbbbbb"/>
        </w:rPr>
        <w:t xml:space="preserve"> </w:t>
      </w:r>
      <w:r>
        <w:rPr>
          <w:color w:val="4070a0"/>
        </w:rPr>
        <w:t>"UCITS"</w:t>
      </w:r>
      <w:r>
        <w:t>,</w:t>
      </w:r>
      <w:r>
        <w:rPr>
          <w:color w:val="bbbbbb"/>
        </w:rPr>
        <w:t/>
      </w:r>
      <w:r>
        <w:br/>
      </w:r>
      <w:r>
        <w:rPr>
          <w:color w:val="bbbbbb"/>
        </w:rPr>
        <w:t xml:space="preserve">        </w:t>
      </w:r>
      <w:r>
        <w:rPr>
          <w:color w:val="062873"/>
          <w:b/>
        </w:rPr>
        <w:t>"INVSTMNT_PLCY"</w:t>
      </w:r>
      <w:r>
        <w:t>:</w:t>
      </w:r>
      <w:r>
        <w:rPr>
          <w:color w:val="bbbbbb"/>
        </w:rPr>
        <w:t xml:space="preserve"> </w:t>
      </w:r>
      <w:r>
        <w:rPr>
          <w:color w:val="4070a0"/>
        </w:rPr>
        <w:t>"BON"</w:t>
      </w:r>
      <w:r>
        <w:t>,</w:t>
      </w:r>
      <w:r>
        <w:rPr>
          <w:color w:val="bbbbbb"/>
        </w:rPr>
        <w:t/>
      </w:r>
      <w:r>
        <w:br/>
      </w:r>
      <w:r>
        <w:rPr>
          <w:color w:val="bbbbbb"/>
        </w:rPr>
        <w:t xml:space="preserve">        </w:t>
      </w:r>
      <w:r>
        <w:rPr>
          <w:color w:val="062873"/>
          <w:b/>
        </w:rPr>
        <w:t>"EQTY_TYP"</w:t>
      </w:r>
      <w:r>
        <w:t>:</w:t>
      </w:r>
      <w:r>
        <w:rPr>
          <w:color w:val="bbbbbb"/>
        </w:rPr>
        <w:t xml:space="preserve"> </w:t>
      </w:r>
      <w:r>
        <w:rPr>
          <w:color w:val="4070a0"/>
        </w:rPr>
        <w:t>"OPEN"</w:t>
      </w:r>
      <w:r>
        <w:t>,</w:t>
      </w:r>
      <w:r>
        <w:rPr>
          <w:color w:val="bbbbbb"/>
        </w:rPr>
        <w:t/>
      </w:r>
      <w:r>
        <w:br/>
      </w:r>
      <w:r>
        <w:rPr>
          <w:color w:val="bbbbbb"/>
        </w:rPr>
        <w:t xml:space="preserve">        </w:t>
      </w:r>
      <w:r>
        <w:rPr>
          <w:color w:val="062873"/>
          <w:b/>
        </w:rPr>
        <w:t>"DSTRBTN_PLCY"</w:t>
      </w:r>
      <w:r>
        <w:t>:</w:t>
      </w:r>
      <w:r>
        <w:rPr>
          <w:color w:val="bbbbbb"/>
        </w:rPr>
        <w:t xml:space="preserve"> </w:t>
      </w:r>
      <w:r>
        <w:rPr>
          <w:color w:val="4070a0"/>
        </w:rPr>
        <w:t>"DIS"</w:t>
      </w:r>
      <w:r>
        <w:t>,</w:t>
      </w:r>
      <w:r>
        <w:rPr>
          <w:color w:val="bbbbbb"/>
        </w:rPr>
        <w:t/>
      </w:r>
      <w:r>
        <w:br/>
      </w:r>
      <w:r>
        <w:rPr>
          <w:color w:val="bbbbbb"/>
        </w:rPr>
        <w:t xml:space="preserve">        </w:t>
      </w:r>
      <w:r>
        <w:rPr>
          <w:color w:val="062873"/>
          <w:b/>
        </w:rPr>
        <w:t>"INVSTR_TYP"</w:t>
      </w:r>
      <w:r>
        <w:t>:</w:t>
      </w:r>
      <w:r>
        <w:rPr>
          <w:color w:val="bbbbbb"/>
        </w:rPr>
        <w:t xml:space="preserve"> </w:t>
      </w:r>
      <w:r>
        <w:rPr>
          <w:color w:val="4070a0"/>
        </w:rPr>
        <w:t>"PRF"</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"EEA"</w:t>
      </w:r>
      <w:r>
        <w:t>,</w:t>
      </w:r>
      <w:r>
        <w:rPr>
          <w:color w:val="bbbbbb"/>
        </w:rPr>
        <w:t/>
      </w:r>
      <w:r>
        <w:br/>
      </w:r>
      <w:r>
        <w:rPr>
          <w:color w:val="bbbbbb"/>
        </w:rPr>
        <w:t xml:space="preserve">        </w:t>
      </w:r>
      <w:r>
        <w:rPr>
          <w:color w:val="062873"/>
          <w:b/>
        </w:rPr>
        <w:t>"BND_FCS"</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Μικτό"</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Balanced Fund"</w:t>
      </w:r>
      <w:r>
        <w:t>,</w:t>
      </w:r>
      <w:r>
        <w:rPr>
          <w:color w:val="bbbbbb"/>
        </w:rPr>
        <w:t/>
      </w:r>
      <w:r>
        <w:br/>
      </w:r>
      <w:r>
        <w:rPr>
          <w:color w:val="bbbbbb"/>
        </w:rPr>
        <w:t xml:space="preserve">        </w:t>
      </w:r>
      <w:r>
        <w:rPr>
          <w:color w:val="062873"/>
          <w:b/>
        </w:rPr>
        <w:t>"NM_SHRT"</w:t>
      </w:r>
      <w:r>
        <w:t>:</w:t>
      </w:r>
      <w:r>
        <w:rPr>
          <w:color w:val="bbbbbb"/>
        </w:rPr>
        <w:t xml:space="preserve"> </w:t>
      </w:r>
      <w:r>
        <w:rPr>
          <w:color w:val="4070a0"/>
        </w:rPr>
        <w:t>"ZBALANCED"</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"https://z.gr/zbalanced"</w:t>
      </w:r>
      <w:r>
        <w:t>,</w:t>
      </w:r>
      <w:r>
        <w:rPr>
          <w:color w:val="bbbbbb"/>
        </w:rPr>
        <w:t/>
      </w:r>
      <w:r>
        <w:br/>
      </w:r>
      <w:r>
        <w:rPr>
          <w:color w:val="bbbbbb"/>
        </w:rPr>
        <w:t xml:space="preserve">        </w:t>
      </w:r>
      <w:r>
        <w:rPr>
          <w:color w:val="062873"/>
          <w:b/>
        </w:rPr>
        <w:t>"LGL_TYP"</w:t>
      </w:r>
      <w:r>
        <w:t>:</w:t>
      </w:r>
      <w:r>
        <w:rPr>
          <w:color w:val="bbbbbb"/>
        </w:rPr>
        <w:t xml:space="preserve"> </w:t>
      </w:r>
      <w:r>
        <w:rPr>
          <w:color w:val="4070a0"/>
        </w:rPr>
        <w:t>"UCITS"</w:t>
      </w:r>
      <w:r>
        <w:t>,</w:t>
      </w:r>
      <w:r>
        <w:rPr>
          <w:color w:val="bbbbbb"/>
        </w:rPr>
        <w:t/>
      </w:r>
      <w:r>
        <w:br/>
      </w:r>
      <w:r>
        <w:rPr>
          <w:color w:val="bbbbbb"/>
        </w:rPr>
        <w:t xml:space="preserve">        </w:t>
      </w:r>
      <w:r>
        <w:rPr>
          <w:color w:val="062873"/>
          <w:b/>
        </w:rPr>
        <w:t>"INVSTMNT_PLCY"</w:t>
      </w:r>
      <w:r>
        <w:t>:</w:t>
      </w:r>
      <w:r>
        <w:rPr>
          <w:color w:val="bbbbbb"/>
        </w:rPr>
        <w:t xml:space="preserve"> </w:t>
      </w:r>
      <w:r>
        <w:rPr>
          <w:color w:val="4070a0"/>
        </w:rPr>
        <w:t>"MIX"</w:t>
      </w:r>
      <w:r>
        <w:t>,</w:t>
      </w:r>
      <w:r>
        <w:rPr>
          <w:color w:val="bbbbbb"/>
        </w:rPr>
        <w:t/>
      </w:r>
      <w:r>
        <w:br/>
      </w:r>
      <w:r>
        <w:rPr>
          <w:color w:val="bbbbbb"/>
        </w:rPr>
        <w:t xml:space="preserve">        </w:t>
      </w:r>
      <w:r>
        <w:rPr>
          <w:color w:val="062873"/>
          <w:b/>
        </w:rPr>
        <w:t>"EQTY_TYP"</w:t>
      </w:r>
      <w:r>
        <w:t>:</w:t>
      </w:r>
      <w:r>
        <w:rPr>
          <w:color w:val="bbbbbb"/>
        </w:rPr>
        <w:t xml:space="preserve"> </w:t>
      </w:r>
      <w:r>
        <w:rPr>
          <w:color w:val="4070a0"/>
        </w:rPr>
        <w:t>"OPEN"</w:t>
      </w:r>
      <w:r>
        <w:t>,</w:t>
      </w:r>
      <w:r>
        <w:rPr>
          <w:color w:val="bbbbbb"/>
        </w:rPr>
        <w:t/>
      </w:r>
      <w:r>
        <w:br/>
      </w:r>
      <w:r>
        <w:rPr>
          <w:color w:val="bbbbbb"/>
        </w:rPr>
        <w:t xml:space="preserve">        </w:t>
      </w:r>
      <w:r>
        <w:rPr>
          <w:color w:val="062873"/>
          <w:b/>
        </w:rPr>
        <w:t>"DSTRBTN_PLCY"</w:t>
      </w:r>
      <w:r>
        <w:t>:</w:t>
      </w:r>
      <w:r>
        <w:rPr>
          <w:color w:val="bbbbbb"/>
        </w:rPr>
        <w:t xml:space="preserve"> </w:t>
      </w:r>
      <w:r>
        <w:rPr>
          <w:color w:val="4070a0"/>
        </w:rPr>
        <w:t>"DIS"</w:t>
      </w:r>
      <w:r>
        <w:t>,</w:t>
      </w:r>
      <w:r>
        <w:rPr>
          <w:color w:val="bbbbbb"/>
        </w:rPr>
        <w:t/>
      </w:r>
      <w:r>
        <w:br/>
      </w:r>
      <w:r>
        <w:rPr>
          <w:color w:val="bbbbbb"/>
        </w:rPr>
        <w:t xml:space="preserve">        </w:t>
      </w:r>
      <w:r>
        <w:rPr>
          <w:color w:val="062873"/>
          <w:b/>
        </w:rPr>
        <w:t>"INVSTR_TYP"</w:t>
      </w:r>
      <w:r>
        <w:t>:</w:t>
      </w:r>
      <w:r>
        <w:rPr>
          <w:color w:val="bbbbbb"/>
        </w:rPr>
        <w:t xml:space="preserve"> </w:t>
      </w:r>
      <w:r>
        <w:rPr>
          <w:color w:val="4070a0"/>
        </w:rPr>
        <w:t>"PRF"</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"REF.SELF_SHR"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"PEGRAKZ1_SHR"</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"IGRF123456789"</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"IGRF987654321"</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"REF.SELF_SHR_DYNMC"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"PEGRAKZ1_SHR"</w:t>
      </w:r>
      <w:r>
        <w:t>,</w:t>
      </w:r>
      <w:r>
        <w:rPr>
          <w:color w:val="bbbbbb"/>
        </w:rPr>
        <w:t/>
      </w:r>
      <w:r>
        <w:br/>
      </w:r>
      <w:r>
        <w:rPr>
          <w:color w:val="bbbbbb"/>
        </w:rPr>
        <w:t xml:space="preserve">        </w:t>
      </w:r>
      <w:r>
        <w:rPr>
          <w:color w:val="062873"/>
          <w:b/>
        </w:rPr>
        <w:t>"ISSD_BY"</w:t>
      </w:r>
      <w:r>
        <w:t>:</w:t>
      </w:r>
      <w:r>
        <w:rPr>
          <w:color w:val="bbbbbb"/>
        </w:rPr>
        <w:t xml:space="preserve"> </w:t>
      </w:r>
      <w:r>
        <w:rPr>
          <w:color w:val="4070a0"/>
        </w:rPr>
        <w:t>"EGRAKZ1"</w:t>
      </w:r>
      <w:r>
        <w:t>,</w:t>
      </w:r>
      <w:r>
        <w:rPr>
          <w:color w:val="bbbbbb"/>
        </w:rPr>
        <w:t/>
      </w:r>
      <w:r>
        <w:br/>
      </w:r>
      <w:r>
        <w:rPr>
          <w:color w:val="bbbbbb"/>
        </w:rPr>
        <w:t xml:space="preserve">        </w:t>
      </w:r>
      <w:r>
        <w:rPr>
          <w:color w:val="062873"/>
          <w:b/>
        </w:rPr>
        <w:t>"NMNL_PRC"</w:t>
      </w:r>
      <w:r>
        <w:t>:</w:t>
      </w:r>
      <w:r>
        <w:rPr>
          <w:color w:val="bbbbbb"/>
        </w:rPr>
        <w:t xml:space="preserve"> </w:t>
      </w:r>
      <w:r>
        <w:rPr>
          <w:color w:val="208050"/>
        </w:rPr>
        <w:t>100.0</w:t>
      </w:r>
      <w:r>
        <w:t>,</w:t>
      </w:r>
      <w:r>
        <w:rPr>
          <w:color w:val="bbbbbb"/>
        </w:rPr>
        <w:t/>
      </w:r>
      <w:r>
        <w:br/>
      </w:r>
      <w:r>
        <w:rPr>
          <w:color w:val="bbbbbb"/>
        </w:rPr>
        <w:t xml:space="preserve">        </w:t>
      </w:r>
      <w:r>
        <w:rPr>
          <w:color w:val="062873"/>
          <w:b/>
        </w:rPr>
        <w:t>"RDMPTN_FRQNCY"</w:t>
      </w:r>
      <w:r>
        <w:t>:</w:t>
      </w:r>
      <w:r>
        <w:rPr>
          <w:color w:val="bbbbbb"/>
        </w:rPr>
        <w:t xml:space="preserve"> </w:t>
      </w:r>
      <w:r>
        <w:rPr>
          <w:color w:val="4070a0"/>
        </w:rPr>
        <w:t>"E"</w:t>
      </w:r>
      <w:r>
        <w:t>,</w:t>
      </w:r>
      <w:r>
        <w:rPr>
          <w:color w:val="bbbbbb"/>
        </w:rPr>
        <w:t/>
      </w:r>
      <w:r>
        <w:br/>
      </w:r>
      <w:r>
        <w:rPr>
          <w:color w:val="bbbbbb"/>
        </w:rPr>
        <w:t xml:space="preserve">        </w:t>
      </w:r>
      <w:r>
        <w:rPr>
          <w:color w:val="062873"/>
          <w:b/>
        </w:rPr>
        <w:t>"MNMM_AMNT"</w:t>
      </w:r>
      <w:r>
        <w:t>:</w:t>
      </w:r>
      <w:r>
        <w:rPr>
          <w:color w:val="bbbbbb"/>
        </w:rPr>
        <w:t xml:space="preserve"> </w:t>
      </w:r>
      <w:r>
        <w:rPr>
          <w:color w:val="208050"/>
        </w:rPr>
        <w:t>1000.0</w:t>
      </w:r>
      <w:r>
        <w:t>,</w:t>
      </w:r>
      <w:r>
        <w:rPr>
          <w:color w:val="bbbbbb"/>
        </w:rPr>
        <w:t/>
      </w:r>
      <w:r>
        <w:br/>
      </w:r>
      <w:r>
        <w:rPr>
          <w:color w:val="bbbbbb"/>
        </w:rPr>
        <w:t xml:space="preserve">        </w:t>
      </w:r>
      <w:r>
        <w:rPr>
          <w:color w:val="062873"/>
          <w:b/>
        </w:rPr>
        <w:t>"TYP"</w:t>
      </w:r>
      <w:r>
        <w:t>:</w:t>
      </w:r>
      <w:r>
        <w:rPr>
          <w:color w:val="bbbbbb"/>
        </w:rPr>
        <w:t xml:space="preserve"> </w:t>
      </w:r>
      <w:r>
        <w:rPr>
          <w:color w:val="4070a0"/>
        </w:rPr>
        <w:t>"AIF"</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"IGRF123456789"</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Bond Fund Retail"</w:t>
      </w:r>
      <w:r>
        <w:t>,</w:t>
      </w:r>
      <w:r>
        <w:rPr>
          <w:color w:val="bbbbbb"/>
        </w:rPr>
        <w:t/>
      </w:r>
      <w:r>
        <w:br/>
      </w:r>
      <w:r>
        <w:rPr>
          <w:color w:val="bbbbbb"/>
        </w:rPr>
        <w:t xml:space="preserve">        </w:t>
      </w:r>
      <w:r>
        <w:rPr>
          <w:color w:val="062873"/>
          <w:b/>
        </w:rPr>
        <w:t>"NM_SHRT"</w:t>
      </w:r>
      <w:r>
        <w:t>:</w:t>
      </w:r>
      <w:r>
        <w:rPr>
          <w:color w:val="bbbbbb"/>
        </w:rPr>
        <w:t xml:space="preserve"> </w:t>
      </w:r>
      <w:r>
        <w:rPr>
          <w:color w:val="4070a0"/>
        </w:rPr>
        <w:t xml:space="preserve">"Z BD FD/UT"</w:t>
      </w:r>
      <w:r>
        <w:t>,</w:t>
      </w:r>
      <w:r>
        <w:rPr>
          <w:color w:val="bbbbbb"/>
        </w:rPr>
        <w:t/>
      </w:r>
      <w:r>
        <w:br/>
      </w:r>
      <w:r>
        <w:rPr>
          <w:color w:val="bbbbbb"/>
        </w:rPr>
        <w:t xml:space="preserve">        </w:t>
      </w:r>
      <w:r>
        <w:rPr>
          <w:color w:val="062873"/>
          <w:b/>
        </w:rPr>
        <w:t>"ISSD_BY"</w:t>
      </w:r>
      <w:r>
        <w:t>:</w:t>
      </w:r>
      <w:r>
        <w:rPr>
          <w:color w:val="bbbbbb"/>
        </w:rPr>
        <w:t xml:space="preserve"> </w:t>
      </w:r>
      <w:r>
        <w:rPr>
          <w:color w:val="4070a0"/>
        </w:rPr>
        <w:t>"EGRAKZ2"</w:t>
      </w:r>
      <w:r>
        <w:t>,</w:t>
      </w:r>
      <w:r>
        <w:rPr>
          <w:color w:val="bbbbbb"/>
        </w:rPr>
        <w:t/>
      </w:r>
      <w:r>
        <w:br/>
      </w:r>
      <w:r>
        <w:rPr>
          <w:color w:val="bbbbbb"/>
        </w:rPr>
        <w:t xml:space="preserve">        </w:t>
      </w:r>
      <w:r>
        <w:rPr>
          <w:color w:val="062873"/>
          <w:b/>
        </w:rPr>
        <w:t>"NMNL_PRC"</w:t>
      </w:r>
      <w:r>
        <w:t>:</w:t>
      </w:r>
      <w:r>
        <w:rPr>
          <w:color w:val="bbbbbb"/>
        </w:rPr>
        <w:t xml:space="preserve"> </w:t>
      </w:r>
      <w:r>
        <w:rPr>
          <w:color w:val="208050"/>
        </w:rPr>
        <w:t>10.0</w:t>
      </w:r>
      <w:r>
        <w:t>,</w:t>
      </w:r>
      <w:r>
        <w:rPr>
          <w:color w:val="bbbbbb"/>
        </w:rPr>
        <w:t/>
      </w:r>
      <w:r>
        <w:br/>
      </w:r>
      <w:r>
        <w:rPr>
          <w:color w:val="bbbbbb"/>
        </w:rPr>
        <w:t xml:space="preserve">        </w:t>
      </w:r>
      <w:r>
        <w:rPr>
          <w:color w:val="062873"/>
          <w:b/>
        </w:rPr>
        <w:t>"CFI"</w:t>
      </w:r>
      <w:r>
        <w:t>:</w:t>
      </w:r>
      <w:r>
        <w:rPr>
          <w:color w:val="bbbbbb"/>
        </w:rPr>
        <w:t xml:space="preserve"> </w:t>
      </w:r>
      <w:r>
        <w:rPr>
          <w:color w:val="4070a0"/>
        </w:rPr>
        <w:t>"CIOJBU"</w:t>
      </w:r>
      <w:r>
        <w:t>,</w:t>
      </w:r>
      <w:r>
        <w:rPr>
          <w:color w:val="bbbbbb"/>
        </w:rPr>
        <w:t/>
      </w:r>
      <w:r>
        <w:br/>
      </w:r>
      <w:r>
        <w:rPr>
          <w:color w:val="bbbbbb"/>
        </w:rPr>
        <w:t xml:space="preserve">        </w:t>
      </w:r>
      <w:r>
        <w:rPr>
          <w:color w:val="062873"/>
          <w:b/>
        </w:rPr>
        <w:t>"RDMPTN_FRQNCY"</w:t>
      </w:r>
      <w:r>
        <w:t>:</w:t>
      </w:r>
      <w:r>
        <w:rPr>
          <w:color w:val="bbbbbb"/>
        </w:rPr>
        <w:t xml:space="preserve"> </w:t>
      </w:r>
      <w:r>
        <w:rPr>
          <w:color w:val="4070a0"/>
        </w:rPr>
        <w:t>"D"</w:t>
      </w:r>
      <w:r>
        <w:t>,</w:t>
      </w:r>
      <w:r>
        <w:rPr>
          <w:color w:val="bbbbbb"/>
        </w:rPr>
        <w:t/>
      </w:r>
      <w:r>
        <w:br/>
      </w:r>
      <w:r>
        <w:rPr>
          <w:color w:val="bbbbbb"/>
        </w:rPr>
        <w:t xml:space="preserve">        </w:t>
      </w:r>
      <w:r>
        <w:rPr>
          <w:color w:val="062873"/>
          <w:b/>
        </w:rPr>
        <w:t>"TYP"</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"IGRF987654321"</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Mixed Fund Retail"</w:t>
      </w:r>
      <w:r>
        <w:t>,</w:t>
      </w:r>
      <w:r>
        <w:rPr>
          <w:color w:val="bbbbbb"/>
        </w:rPr>
        <w:t/>
      </w:r>
      <w:r>
        <w:br/>
      </w:r>
      <w:r>
        <w:rPr>
          <w:color w:val="bbbbbb"/>
        </w:rPr>
        <w:t xml:space="preserve">        </w:t>
      </w:r>
      <w:r>
        <w:rPr>
          <w:color w:val="062873"/>
          <w:b/>
        </w:rPr>
        <w:t>"NM_SHRT"</w:t>
      </w:r>
      <w:r>
        <w:t>:</w:t>
      </w:r>
      <w:r>
        <w:rPr>
          <w:color w:val="bbbbbb"/>
        </w:rPr>
        <w:t xml:space="preserve"> </w:t>
      </w:r>
      <w:r>
        <w:rPr>
          <w:color w:val="4070a0"/>
        </w:rPr>
        <w:t xml:space="preserve">"Z BALANCED FUND"</w:t>
      </w:r>
      <w:r>
        <w:t>,</w:t>
      </w:r>
      <w:r>
        <w:rPr>
          <w:color w:val="bbbbbb"/>
        </w:rPr>
        <w:t/>
      </w:r>
      <w:r>
        <w:br/>
      </w:r>
      <w:r>
        <w:rPr>
          <w:color w:val="bbbbbb"/>
        </w:rPr>
        <w:t xml:space="preserve">        </w:t>
      </w:r>
      <w:r>
        <w:rPr>
          <w:color w:val="062873"/>
          <w:b/>
        </w:rPr>
        <w:t>"ISSD_BY"</w:t>
      </w:r>
      <w:r>
        <w:t>:</w:t>
      </w:r>
      <w:r>
        <w:rPr>
          <w:color w:val="bbbbbb"/>
        </w:rPr>
        <w:t xml:space="preserve"> </w:t>
      </w:r>
      <w:r>
        <w:rPr>
          <w:color w:val="4070a0"/>
        </w:rPr>
        <w:t>"EGRAKZ3"</w:t>
      </w:r>
      <w:r>
        <w:t>,</w:t>
      </w:r>
      <w:r>
        <w:rPr>
          <w:color w:val="bbbbbb"/>
        </w:rPr>
        <w:t/>
      </w:r>
      <w:r>
        <w:br/>
      </w:r>
      <w:r>
        <w:rPr>
          <w:color w:val="bbbbbb"/>
        </w:rPr>
        <w:t xml:space="preserve">        </w:t>
      </w:r>
      <w:r>
        <w:rPr>
          <w:color w:val="062873"/>
          <w:b/>
        </w:rPr>
        <w:t>"NMNL_PRC"</w:t>
      </w:r>
      <w:r>
        <w:t>:</w:t>
      </w:r>
      <w:r>
        <w:rPr>
          <w:color w:val="bbbbbb"/>
        </w:rPr>
        <w:t xml:space="preserve"> </w:t>
      </w:r>
      <w:r>
        <w:rPr>
          <w:color w:val="208050"/>
        </w:rPr>
        <w:t>10.0</w:t>
      </w:r>
      <w:r>
        <w:t>,</w:t>
      </w:r>
      <w:r>
        <w:rPr>
          <w:color w:val="bbbbbb"/>
        </w:rPr>
        <w:t/>
      </w:r>
      <w:r>
        <w:br/>
      </w:r>
      <w:r>
        <w:rPr>
          <w:color w:val="bbbbbb"/>
        </w:rPr>
        <w:t xml:space="preserve">        </w:t>
      </w:r>
      <w:r>
        <w:rPr>
          <w:color w:val="062873"/>
          <w:b/>
        </w:rPr>
        <w:t>"CFI"</w:t>
      </w:r>
      <w:r>
        <w:t>:</w:t>
      </w:r>
      <w:r>
        <w:rPr>
          <w:color w:val="bbbbbb"/>
        </w:rPr>
        <w:t xml:space="preserve"> </w:t>
      </w:r>
      <w:r>
        <w:rPr>
          <w:color w:val="4070a0"/>
        </w:rPr>
        <w:t>"CIOJLU"</w:t>
      </w:r>
      <w:r>
        <w:t>,</w:t>
      </w:r>
      <w:r>
        <w:rPr>
          <w:color w:val="bbbbbb"/>
        </w:rPr>
        <w:t/>
      </w:r>
      <w:r>
        <w:br/>
      </w:r>
      <w:r>
        <w:rPr>
          <w:color w:val="bbbbbb"/>
        </w:rPr>
        <w:t xml:space="preserve">        </w:t>
      </w:r>
      <w:r>
        <w:rPr>
          <w:color w:val="062873"/>
          <w:b/>
        </w:rPr>
        <w:t>"RDMPTN_FRQNCY"</w:t>
      </w:r>
      <w:r>
        <w:t>:</w:t>
      </w:r>
      <w:r>
        <w:rPr>
          <w:color w:val="bbbbbb"/>
        </w:rPr>
        <w:t xml:space="preserve"> </w:t>
      </w:r>
      <w:r>
        <w:rPr>
          <w:color w:val="4070a0"/>
        </w:rPr>
        <w:t>"D"</w:t>
      </w:r>
      <w:r>
        <w:t>,</w:t>
      </w:r>
      <w:r>
        <w:rPr>
          <w:color w:val="bbbbbb"/>
        </w:rPr>
        <w:t/>
      </w:r>
      <w:r>
        <w:br/>
      </w:r>
      <w:r>
        <w:rPr>
          <w:color w:val="bbbbbb"/>
        </w:rPr>
        <w:t xml:space="preserve">        </w:t>
      </w:r>
      <w:r>
        <w:rPr>
          <w:color w:val="062873"/>
          <w:b/>
        </w:rPr>
        <w:t>"TYP"</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"REF.CNTRPRTY"</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"EGR011"</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"National Bank of Greece"</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"EGR026N"</w:t>
      </w:r>
      <w:r>
        <w:t>,</w:t>
      </w:r>
      <w:r>
        <w:rPr>
          <w:color w:val="bbbbbb"/>
        </w:rPr>
        <w:t/>
      </w:r>
      <w:r>
        <w:br/>
      </w:r>
      <w:r>
        <w:rPr>
          <w:color w:val="bbbbbb"/>
        </w:rPr>
        <w:t xml:space="preserve">        </w:t>
      </w:r>
      <w:r>
        <w:rPr>
          <w:color w:val="062873"/>
          <w:b/>
        </w:rPr>
        <w:t>"NM_LTN"</w:t>
      </w:r>
      <w:r>
        <w:t>:</w:t>
      </w:r>
      <w:r>
        <w:rPr>
          <w:color w:val="bbbbbb"/>
        </w:rPr>
        <w:t xml:space="preserve"> </w:t>
      </w:r>
      <w:r>
        <w:rPr>
          <w:color w:val="4070a0"/>
        </w:rPr>
        <w:t>"EUROBANK"</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"EGR014N"</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"ALPHA BANK"</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"TGR987612345"</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"AI DATA MODELS"</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"LIGJSJL3JD5P30I6NJZ34"</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"Morgan Stanley"</w:t>
      </w:r>
      <w:r>
        <w:t>,</w:t>
      </w:r>
      <w:r>
        <w:rPr>
          <w:color w:val="bbbbbb"/>
        </w:rPr>
        <w:t/>
      </w:r>
      <w:r>
        <w:br/>
      </w:r>
      <w:r>
        <w:rPr>
          <w:color w:val="bbbbbb"/>
        </w:rPr>
        <w:t xml:space="preserve">        </w:t>
      </w:r>
      <w:r>
        <w:rPr>
          <w:color w:val="062873"/>
          <w:b/>
        </w:rPr>
        <w:t>"CNTRY_RSDNC"</w:t>
      </w:r>
      <w:r>
        <w:t>:</w:t>
      </w:r>
      <w:r>
        <w:rPr>
          <w:color w:val="bbbbbb"/>
        </w:rPr>
        <w:t xml:space="preserve"> </w:t>
      </w:r>
      <w:r>
        <w:rPr>
          <w:color w:val="4070a0"/>
        </w:rPr>
        <w:t>"US"</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"PEGR123456789_PRSN1"</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"TGR321654987"</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AEPEY"</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"TGR123789456"</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"FOO SA"</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"IGR0001100000000000000000000"</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"TYP"</w:t>
      </w:r>
      <w:r>
        <w:t>:</w:t>
      </w:r>
      <w:r>
        <w:rPr>
          <w:color w:val="bbbbbb"/>
        </w:rPr>
        <w:t xml:space="preserve"> </w:t>
      </w:r>
      <w:r>
        <w:rPr>
          <w:color w:val="4070a0"/>
        </w:rPr>
        <w:t>"SIGHT"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"EGRAZ1"</w:t>
      </w:r>
      <w:r>
        <w:t>,</w:t>
      </w:r>
      <w:r>
        <w:rPr>
          <w:color w:val="bbbbbb"/>
        </w:rPr>
        <w:t/>
      </w:r>
      <w:r>
        <w:br/>
      </w:r>
      <w:r>
        <w:rPr>
          <w:color w:val="bbbbbb"/>
        </w:rPr>
        <w:t xml:space="preserve">        </w:t>
      </w:r>
      <w:r>
        <w:rPr>
          <w:color w:val="062873"/>
          <w:b/>
        </w:rPr>
        <w:t>"CNTRPRTY"</w:t>
      </w:r>
      <w:r>
        <w:t>:</w:t>
      </w:r>
      <w:r>
        <w:rPr>
          <w:color w:val="bbbbbb"/>
        </w:rPr>
        <w:t xml:space="preserve"> </w:t>
      </w:r>
      <w:r>
        <w:rPr>
          <w:color w:val="4070a0"/>
        </w:rPr>
        <w:t>"EGR011"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"PEGRAZ2_DPST"</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"DT_CLS"</w:t>
      </w:r>
      <w:r>
        <w:t>:</w:t>
      </w:r>
      <w:r>
        <w:rPr>
          <w:color w:val="bbbbbb"/>
        </w:rPr>
        <w:t xml:space="preserve"> </w:t>
      </w:r>
      <w:r>
        <w:rPr>
          <w:color w:val="4070a0"/>
        </w:rPr>
        <w:t>"2024-09-20T00:00:00"</w:t>
      </w:r>
      <w:r>
        <w:t>,</w:t>
      </w:r>
      <w:r>
        <w:rPr>
          <w:color w:val="bbbbbb"/>
        </w:rPr>
        <w:t/>
      </w:r>
      <w:r>
        <w:br/>
      </w:r>
      <w:r>
        <w:rPr>
          <w:color w:val="bbbbbb"/>
        </w:rPr>
        <w:t xml:space="preserve">        </w:t>
      </w:r>
      <w:r>
        <w:rPr>
          <w:color w:val="062873"/>
          <w:b/>
        </w:rPr>
        <w:t>"TYP"</w:t>
      </w:r>
      <w:r>
        <w:t>:</w:t>
      </w:r>
      <w:r>
        <w:rPr>
          <w:color w:val="bbbbbb"/>
        </w:rPr>
        <w:t xml:space="preserve"> </w:t>
      </w:r>
      <w:r>
        <w:rPr>
          <w:color w:val="4070a0"/>
        </w:rPr>
        <w:t>"AMAT"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"IGR0002600000000000000000001"</w:t>
      </w:r>
      <w:r>
        <w:t>,</w:t>
      </w:r>
      <w:r>
        <w:rPr>
          <w:color w:val="bbbbbb"/>
        </w:rPr>
        <w:t/>
      </w:r>
      <w:r>
        <w:br/>
      </w:r>
      <w:r>
        <w:rPr>
          <w:color w:val="bbbbbb"/>
        </w:rPr>
        <w:t xml:space="preserve">        </w:t>
      </w:r>
      <w:r>
        <w:rPr>
          <w:color w:val="062873"/>
          <w:b/>
        </w:rPr>
        <w:t>"DT_BRTH"</w:t>
      </w:r>
      <w:r>
        <w:t>:</w:t>
      </w:r>
      <w:r>
        <w:rPr>
          <w:color w:val="bbbbbb"/>
        </w:rPr>
        <w:t xml:space="preserve"> </w:t>
      </w:r>
      <w:r>
        <w:rPr>
          <w:color w:val="4070a0"/>
        </w:rPr>
        <w:t>"2024-09-21T00:00:00"</w:t>
      </w:r>
      <w:r>
        <w:t>,</w:t>
      </w:r>
      <w:r>
        <w:rPr>
          <w:color w:val="bbbbbb"/>
        </w:rPr>
        <w:t/>
      </w:r>
      <w:r>
        <w:br/>
      </w:r>
      <w:r>
        <w:rPr>
          <w:color w:val="bbbbbb"/>
        </w:rPr>
        <w:t xml:space="preserve">        </w:t>
      </w:r>
      <w:r>
        <w:rPr>
          <w:color w:val="062873"/>
          <w:b/>
        </w:rPr>
        <w:t>"TYP"</w:t>
      </w:r>
      <w:r>
        <w:t>:</w:t>
      </w:r>
      <w:r>
        <w:rPr>
          <w:color w:val="bbbbbb"/>
        </w:rPr>
        <w:t xml:space="preserve"> </w:t>
      </w:r>
      <w:r>
        <w:rPr>
          <w:color w:val="4070a0"/>
        </w:rPr>
        <w:t>"SIGHT"</w:t>
      </w:r>
      <w:r>
        <w:t>,</w:t>
      </w:r>
      <w:r>
        <w:rPr>
          <w:color w:val="bbbbbb"/>
        </w:rPr>
        <w:t/>
      </w:r>
      <w:r>
        <w:br/>
      </w:r>
      <w:r>
        <w:rPr>
          <w:color w:val="bbbbbb"/>
        </w:rPr>
        <w:t xml:space="preserve">        </w:t>
      </w:r>
      <w:r>
        <w:rPr>
          <w:color w:val="062873"/>
          <w:b/>
        </w:rPr>
        <w:t>"CRRNCY"</w:t>
      </w:r>
      <w:r>
        <w:t>:</w:t>
      </w:r>
      <w:r>
        <w:rPr>
          <w:color w:val="bbbbbb"/>
        </w:rPr>
        <w:t xml:space="preserve"> </w:t>
      </w:r>
      <w:r>
        <w:rPr>
          <w:color w:val="4070a0"/>
        </w:rPr>
        <w:t>"USD"</w:t>
      </w:r>
      <w:r>
        <w:t>,</w:t>
      </w:r>
      <w:r>
        <w:rPr>
          <w:color w:val="bbbbbb"/>
        </w:rPr>
        <w:t/>
      </w:r>
      <w:r>
        <w:br/>
      </w:r>
      <w:r>
        <w:rPr>
          <w:color w:val="bbbbbb"/>
        </w:rPr>
        <w:t xml:space="preserve">        </w:t>
      </w:r>
      <w:r>
        <w:rPr>
          <w:color w:val="062873"/>
          <w:b/>
        </w:rPr>
        <w:t>"OAID"</w:t>
      </w:r>
      <w:r>
        <w:t>:</w:t>
      </w:r>
      <w:r>
        <w:rPr>
          <w:color w:val="bbbbbb"/>
        </w:rPr>
        <w:t xml:space="preserve"> </w:t>
      </w:r>
      <w:r>
        <w:rPr>
          <w:color w:val="4070a0"/>
        </w:rPr>
        <w:t>"EGRAZ2"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"PEGRAZ3_DPST"</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"TYP"</w:t>
      </w:r>
      <w:r>
        <w:t>:</w:t>
      </w:r>
      <w:r>
        <w:rPr>
          <w:color w:val="bbbbbb"/>
        </w:rPr>
        <w:t xml:space="preserve"> </w:t>
      </w:r>
      <w:r>
        <w:rPr>
          <w:color w:val="4070a0"/>
        </w:rPr>
        <w:t>"ANOT"</w:t>
      </w:r>
      <w:r>
        <w:t>,</w:t>
      </w:r>
      <w:r>
        <w:rPr>
          <w:color w:val="bbbbbb"/>
        </w:rPr>
        <w:t/>
      </w:r>
      <w:r>
        <w:br/>
      </w:r>
      <w:r>
        <w:rPr>
          <w:color w:val="bbbbbb"/>
        </w:rPr>
        <w:t xml:space="preserve">        </w:t>
      </w:r>
      <w:r>
        <w:rPr>
          <w:color w:val="062873"/>
          <w:b/>
        </w:rPr>
        <w:t>"NTC"</w:t>
      </w:r>
      <w:r>
        <w:t>:</w:t>
      </w:r>
      <w:r>
        <w:rPr>
          <w:color w:val="bbbbbb"/>
        </w:rPr>
        <w:t xml:space="preserve"> </w:t>
      </w:r>
      <w:r>
        <w:rPr>
          <w:color w:val="4070a0"/>
        </w:rPr>
        <w:t>"S"</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"EGRAZ3"</w:t>
      </w:r>
      <w:r>
        <w:t>,</w:t>
      </w:r>
      <w:r>
        <w:rPr>
          <w:color w:val="bbbbbb"/>
        </w:rPr>
        <w:t/>
      </w:r>
      <w:r>
        <w:br/>
      </w:r>
      <w:r>
        <w:rPr>
          <w:color w:val="bbbbbb"/>
        </w:rPr>
        <w:t xml:space="preserve">        </w:t>
      </w:r>
      <w:r>
        <w:rPr>
          <w:color w:val="062873"/>
          <w:b/>
        </w:rPr>
        <w:t>"CNTRPRTY"</w:t>
      </w:r>
      <w:r>
        <w:t>:</w:t>
      </w:r>
      <w:r>
        <w:rPr>
          <w:color w:val="bbbbbb"/>
        </w:rPr>
        <w:t xml:space="preserve"> </w:t>
      </w:r>
      <w:r>
        <w:rPr>
          <w:color w:val="4070a0"/>
        </w:rPr>
        <w:t>"EGR014N"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"REF.LN"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"PEGRAKZ2_OVR1"</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"TYP"</w:t>
      </w:r>
      <w:r>
        <w:t>:</w:t>
      </w:r>
      <w:r>
        <w:rPr>
          <w:color w:val="bbbbbb"/>
        </w:rPr>
        <w:t xml:space="preserve"> </w:t>
      </w:r>
      <w:r>
        <w:rPr>
          <w:color w:val="4070a0"/>
        </w:rPr>
        <w:t>"OVR"</w:t>
      </w:r>
      <w:r>
        <w:t>,</w:t>
      </w:r>
      <w:r>
        <w:rPr>
          <w:color w:val="bbbbbb"/>
        </w:rPr>
        <w:t/>
      </w:r>
      <w:r>
        <w:br/>
      </w:r>
      <w:r>
        <w:rPr>
          <w:color w:val="bbbbbb"/>
        </w:rPr>
        <w:t xml:space="preserve">        </w:t>
      </w:r>
      <w:r>
        <w:rPr>
          <w:color w:val="062873"/>
          <w:b/>
        </w:rPr>
        <w:t>"OAID"</w:t>
      </w:r>
      <w:r>
        <w:t>:</w:t>
      </w:r>
      <w:r>
        <w:rPr>
          <w:color w:val="bbbbbb"/>
        </w:rPr>
        <w:t xml:space="preserve"> </w:t>
      </w:r>
      <w:r>
        <w:rPr>
          <w:color w:val="4070a0"/>
        </w:rPr>
        <w:t>"EGRAKZ2"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"PEGRAKZ1_SH1"</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"TYP"</w:t>
      </w:r>
      <w:r>
        <w:t>:</w:t>
      </w:r>
      <w:r>
        <w:rPr>
          <w:color w:val="bbbbbb"/>
        </w:rPr>
        <w:t xml:space="preserve"> </w:t>
      </w:r>
      <w:r>
        <w:rPr>
          <w:color w:val="4070a0"/>
        </w:rPr>
        <w:t>"F512"</w:t>
      </w:r>
      <w:r>
        <w:t>,</w:t>
      </w:r>
      <w:r>
        <w:rPr>
          <w:color w:val="bbbbbb"/>
        </w:rPr>
        <w:t/>
      </w:r>
      <w:r>
        <w:br/>
      </w:r>
      <w:r>
        <w:rPr>
          <w:color w:val="bbbbbb"/>
        </w:rPr>
        <w:t xml:space="preserve">        </w:t>
      </w:r>
      <w:r>
        <w:rPr>
          <w:color w:val="062873"/>
          <w:b/>
        </w:rPr>
        <w:t>"ISSD_BY"</w:t>
      </w:r>
      <w:r>
        <w:t>:</w:t>
      </w:r>
      <w:r>
        <w:rPr>
          <w:color w:val="bbbbbb"/>
        </w:rPr>
        <w:t xml:space="preserve"> </w:t>
      </w:r>
      <w:r>
        <w:rPr>
          <w:color w:val="4070a0"/>
        </w:rPr>
        <w:t>"TGR987612345"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"REF.DER"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"MXADE_FTSE24L"</w:t>
      </w:r>
      <w:r>
        <w:t>,</w:t>
      </w:r>
      <w:r>
        <w:rPr>
          <w:color w:val="bbbbbb"/>
        </w:rPr>
        <w:t/>
      </w:r>
      <w:r>
        <w:br/>
      </w:r>
      <w:r>
        <w:rPr>
          <w:color w:val="bbbbbb"/>
        </w:rPr>
        <w:t xml:space="preserve">        </w:t>
      </w:r>
      <w:r>
        <w:rPr>
          <w:color w:val="062873"/>
          <w:b/>
        </w:rPr>
        <w:t>"TCKR"</w:t>
      </w:r>
      <w:r>
        <w:t>:</w:t>
      </w:r>
      <w:r>
        <w:rPr>
          <w:color w:val="bbbbbb"/>
        </w:rPr>
        <w:t xml:space="preserve"> </w:t>
      </w:r>
      <w:r>
        <w:rPr>
          <w:color w:val="4070a0"/>
        </w:rPr>
        <w:t>"FTSE24K"</w:t>
      </w:r>
      <w:r>
        <w:t>,</w:t>
      </w:r>
      <w:r>
        <w:rPr>
          <w:color w:val="bbbbbb"/>
        </w:rPr>
        <w:t/>
      </w:r>
      <w:r>
        <w:br/>
      </w:r>
      <w:r>
        <w:rPr>
          <w:color w:val="bbbbbb"/>
        </w:rPr>
        <w:t xml:space="preserve">        </w:t>
      </w:r>
      <w:r>
        <w:rPr>
          <w:color w:val="062873"/>
          <w:b/>
        </w:rPr>
        <w:t>"TYP"</w:t>
      </w:r>
      <w:r>
        <w:t>:</w:t>
      </w:r>
      <w:r>
        <w:rPr>
          <w:color w:val="bbbbbb"/>
        </w:rPr>
        <w:t xml:space="preserve"> </w:t>
      </w:r>
      <w:r>
        <w:rPr>
          <w:color w:val="4070a0"/>
        </w:rPr>
        <w:t>"FUT"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"MXADE_FTSE25R3000"</w:t>
      </w:r>
      <w:r>
        <w:t>,</w:t>
      </w:r>
      <w:r>
        <w:rPr>
          <w:color w:val="bbbbbb"/>
        </w:rPr>
        <w:t/>
      </w:r>
      <w:r>
        <w:br/>
      </w:r>
      <w:r>
        <w:rPr>
          <w:color w:val="bbbbbb"/>
        </w:rPr>
        <w:t xml:space="preserve">        </w:t>
      </w:r>
      <w:r>
        <w:rPr>
          <w:color w:val="062873"/>
          <w:b/>
        </w:rPr>
        <w:t>"TCKR"</w:t>
      </w:r>
      <w:r>
        <w:t>:</w:t>
      </w:r>
      <w:r>
        <w:rPr>
          <w:color w:val="bbbbbb"/>
        </w:rPr>
        <w:t xml:space="preserve"> </w:t>
      </w:r>
      <w:r>
        <w:rPr>
          <w:color w:val="4070a0"/>
        </w:rPr>
        <w:t>"FTSE25R3000"</w:t>
      </w:r>
      <w:r>
        <w:t>,</w:t>
      </w:r>
      <w:r>
        <w:rPr>
          <w:color w:val="bbbbbb"/>
        </w:rPr>
        <w:t/>
      </w:r>
      <w:r>
        <w:br/>
      </w:r>
      <w:r>
        <w:rPr>
          <w:color w:val="bbbbbb"/>
        </w:rPr>
        <w:t xml:space="preserve">        </w:t>
      </w:r>
      <w:r>
        <w:rPr>
          <w:color w:val="062873"/>
          <w:b/>
        </w:rPr>
        <w:t>"TYP"</w:t>
      </w:r>
      <w:r>
        <w:t>:</w:t>
      </w:r>
      <w:r>
        <w:rPr>
          <w:color w:val="bbbbbb"/>
        </w:rPr>
        <w:t xml:space="preserve"> </w:t>
      </w:r>
      <w:r>
        <w:rPr>
          <w:color w:val="4070a0"/>
        </w:rPr>
        <w:t>"PUT"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"IGRV00000HMG8"</w:t>
      </w:r>
      <w:r>
        <w:t>,</w:t>
      </w:r>
      <w:r>
        <w:rPr>
          <w:color w:val="bbbbbb"/>
        </w:rPr>
        <w:t/>
      </w:r>
      <w:r>
        <w:br/>
      </w:r>
      <w:r>
        <w:rPr>
          <w:color w:val="bbbbbb"/>
        </w:rPr>
        <w:t xml:space="preserve">        </w:t>
      </w:r>
      <w:r>
        <w:rPr>
          <w:color w:val="062873"/>
          <w:b/>
        </w:rPr>
        <w:t>"FISN"</w:t>
      </w:r>
      <w:r>
        <w:t>:</w:t>
      </w:r>
      <w:r>
        <w:rPr>
          <w:color w:val="bbbbbb"/>
        </w:rPr>
        <w:t xml:space="preserve"> </w:t>
      </w:r>
      <w:r>
        <w:rPr>
          <w:color w:val="4070a0"/>
        </w:rPr>
        <w:t>"ATHEX/F20241220PPC"</w:t>
      </w:r>
      <w:r>
        <w:t>,</w:t>
      </w:r>
      <w:r>
        <w:rPr>
          <w:color w:val="bbbbbb"/>
        </w:rPr>
        <w:t/>
      </w:r>
      <w:r>
        <w:br/>
      </w:r>
      <w:r>
        <w:rPr>
          <w:color w:val="bbbbbb"/>
        </w:rPr>
        <w:t xml:space="preserve">        </w:t>
      </w:r>
      <w:r>
        <w:rPr>
          <w:color w:val="062873"/>
          <w:b/>
        </w:rPr>
        <w:t>"TCKR"</w:t>
      </w:r>
      <w:r>
        <w:t>:</w:t>
      </w:r>
      <w:r>
        <w:rPr>
          <w:color w:val="bbbbbb"/>
        </w:rPr>
        <w:t xml:space="preserve"> </w:t>
      </w:r>
      <w:r>
        <w:rPr>
          <w:color w:val="4070a0"/>
        </w:rPr>
        <w:t>"PPC24L"</w:t>
      </w:r>
      <w:r>
        <w:t>,</w:t>
      </w:r>
      <w:r>
        <w:rPr>
          <w:color w:val="bbbbbb"/>
        </w:rPr>
        <w:t/>
      </w:r>
      <w:r>
        <w:br/>
      </w:r>
      <w:r>
        <w:rPr>
          <w:color w:val="bbbbbb"/>
        </w:rPr>
        <w:t xml:space="preserve">        </w:t>
      </w:r>
      <w:r>
        <w:rPr>
          <w:color w:val="062873"/>
          <w:b/>
        </w:rPr>
        <w:t>"TYP"</w:t>
      </w:r>
      <w:r>
        <w:t>:</w:t>
      </w:r>
      <w:r>
        <w:rPr>
          <w:color w:val="bbbbbb"/>
        </w:rPr>
        <w:t xml:space="preserve"> </w:t>
      </w:r>
      <w:r>
        <w:rPr>
          <w:color w:val="4070a0"/>
        </w:rPr>
        <w:t>"FUT"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"PEGRAKZ3_SWP"</w:t>
      </w:r>
      <w:r>
        <w:t>,</w:t>
      </w:r>
      <w:r>
        <w:rPr>
          <w:color w:val="bbbbbb"/>
        </w:rPr>
        <w:t/>
      </w:r>
      <w:r>
        <w:br/>
      </w:r>
      <w:r>
        <w:rPr>
          <w:color w:val="bbbbbb"/>
        </w:rPr>
        <w:t xml:space="preserve">        </w:t>
      </w:r>
      <w:r>
        <w:rPr>
          <w:color w:val="062873"/>
          <w:b/>
        </w:rPr>
        <w:t>"DT_BRTH"</w:t>
      </w:r>
      <w:r>
        <w:t>:</w:t>
      </w:r>
      <w:r>
        <w:rPr>
          <w:color w:val="bbbbbb"/>
        </w:rPr>
        <w:t xml:space="preserve"> </w:t>
      </w:r>
      <w:r>
        <w:rPr>
          <w:color w:val="4070a0"/>
        </w:rPr>
        <w:t>"2024-09-26T00:00:00"</w:t>
      </w:r>
      <w:r>
        <w:t>,</w:t>
      </w:r>
      <w:r>
        <w:rPr>
          <w:color w:val="bbbbbb"/>
        </w:rPr>
        <w:t/>
      </w:r>
      <w:r>
        <w:br/>
      </w:r>
      <w:r>
        <w:rPr>
          <w:color w:val="bbbbbb"/>
        </w:rPr>
        <w:t xml:space="preserve">        </w:t>
      </w:r>
      <w:r>
        <w:rPr>
          <w:color w:val="062873"/>
          <w:b/>
        </w:rPr>
        <w:t>"TYP"</w:t>
      </w:r>
      <w:r>
        <w:t>:</w:t>
      </w:r>
      <w:r>
        <w:rPr>
          <w:color w:val="bbbbbb"/>
        </w:rPr>
        <w:t xml:space="preserve"> </w:t>
      </w:r>
      <w:r>
        <w:rPr>
          <w:color w:val="4070a0"/>
        </w:rPr>
        <w:t>"SWA"</w:t>
      </w:r>
      <w:r>
        <w:t>,</w:t>
      </w:r>
      <w:r>
        <w:rPr>
          <w:color w:val="bbbbbb"/>
        </w:rPr>
        <w:t/>
      </w:r>
      <w:r>
        <w:br/>
      </w:r>
      <w:r>
        <w:rPr>
          <w:color w:val="bbbbbb"/>
        </w:rPr>
        <w:t xml:space="preserve">        </w:t>
      </w:r>
      <w:r>
        <w:rPr>
          <w:color w:val="062873"/>
          <w:b/>
        </w:rPr>
        <w:t>"CRRNCY"</w:t>
      </w:r>
      <w:r>
        <w:t>:</w:t>
      </w:r>
      <w:r>
        <w:rPr>
          <w:color w:val="bbbbbb"/>
        </w:rPr>
        <w:t xml:space="preserve"> </w:t>
      </w:r>
      <w:r>
        <w:rPr>
          <w:color w:val="4070a0"/>
        </w:rPr>
        <w:t>"USD"</w:t>
      </w:r>
      <w:r>
        <w:t>,</w:t>
      </w:r>
      <w:r>
        <w:rPr>
          <w:color w:val="bbbbbb"/>
        </w:rPr>
        <w:t/>
      </w:r>
      <w:r>
        <w:br/>
      </w:r>
      <w:r>
        <w:rPr>
          <w:color w:val="bbbbbb"/>
        </w:rPr>
        <w:t xml:space="preserve">        </w:t>
      </w:r>
      <w:r>
        <w:rPr>
          <w:color w:val="062873"/>
          <w:b/>
        </w:rPr>
        <w:t>"CNTRPRTY"</w:t>
      </w:r>
      <w:r>
        <w:t>:</w:t>
      </w:r>
      <w:r>
        <w:rPr>
          <w:color w:val="bbbbbb"/>
        </w:rPr>
        <w:t xml:space="preserve"> </w:t>
      </w:r>
      <w:r>
        <w:rPr>
          <w:color w:val="4070a0"/>
        </w:rPr>
        <w:t>"LIGJSJL3JD5P30I6NJZ34"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82"/>
    <w:bookmarkStart w:id="483" w:name="_626a1550f2fbb0f251408127f8e12aba"/>
    <w:p>
      <w:pPr>
        <w:pStyle w:val="Heading5"/>
        <w:keepNext/>
      </w:pPr>
      <w:r>
        <w:t>IFDAT-LIST</w:t>
      </w:r>
    </w:p>
    <w:p>
      <w:pPr>
        <w:pStyle w:val="Body Text"/>
        <w:ind w:leftChars="0" w:left="0" w:right="0"/>
      </w:pPr>
      <w:r>
        <w:rPr>
          <w:rFonts w:ascii="Consolas" w:eastAsia="ＭＳ ゴシック" w:hansitheme="majorhansi"/>
          <w:color w:val="E74C3C"/>
          <w:sz w:val="20"/>
          <w:szCs w:val="20"/>
          <w:noProof/>
        </w:rPr>
        <w:t>ΜΑΙΝ</w:t>
      </w:r>
    </w:p>
    <w:bookmarkEnd w:id="483"/>
    <w:bookmarkEnd w:id="480"/>
    <w:bookmarkEnd w:id="479"/>
    <w:bookmarkEnd w:id="474"/>
    <w:bookmarkEnd w:id="473"/>
    <w:bookmarkEnd w:id="472"/>
    <w:bookmarkStart w:id="484" w:name="_b23c978d82e74094d5a88bfa48a952e0"/>
    <w:bookmarkStart w:id="485" w:name="_d34caeca324157e8aae35fc6e3813bf0"/>
    <w:p>
      <w:pPr>
        <w:pStyle w:val="Heading3"/>
        <w:keepNext/>
      </w:pPr>
      <w:r>
        <w:t>What’s new?</w:t>
      </w:r>
    </w:p>
    <w:bookmarkStart w:id="486" w:name="_d96020e7cd2925d28ee3a71a453bae50"/>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487" w:name="_b55d63d352d4b227865d886f499f58ce"/>
                  <w:hyperlink w:anchor="_87be9f3a1619b19446edf15980925ff9">
                    <w:r>
                      <w:rPr>
                        <w:rStyle w:val="Hyperlink"/>
                      </w:rPr>
                      <w:t>v0.8.4 (2024-11-20)</w:t>
                    </w:r>
                  </w:hyperlink>
                  <w:bookmarkEnd w:id="487"/>
                </w:p>
                <w:p>
                  <w:pPr>
                    <w:pStyle w:val="ListBullet"/>
                    <w:numPr>
                      <w:ilvl w:val="0"/>
                      <w:numId w:val="2"/>
                    </w:numPr>
                    <w:ind w:leftChars="0" w:left="480" w:right="0"/>
                  </w:pPr>
                  <w:bookmarkStart w:id="488" w:name="_887fc94374c622aaa881926e0c1a6a07"/>
                  <w:hyperlink w:anchor="_83c6aa47675ed6609f245b27dc2a6cf8">
                    <w:r>
                      <w:rPr>
                        <w:rStyle w:val="Hyperlink"/>
                      </w:rPr>
                      <w:t>v0.8.3 (2024-11-11)</w:t>
                    </w:r>
                  </w:hyperlink>
                  <w:bookmarkEnd w:id="488"/>
                </w:p>
                <w:p>
                  <w:pPr>
                    <w:pStyle w:val="ListBullet"/>
                    <w:numPr>
                      <w:ilvl w:val="0"/>
                      <w:numId w:val="2"/>
                    </w:numPr>
                    <w:ind w:leftChars="0" w:left="480" w:right="0"/>
                  </w:pPr>
                  <w:bookmarkStart w:id="489" w:name="_97ec985377c299f97cf6f85b6c7fc464"/>
                  <w:hyperlink w:anchor="_f1db1442163b18db0ad61daee08c7984">
                    <w:r>
                      <w:rPr>
                        <w:rStyle w:val="Hyperlink"/>
                      </w:rPr>
                      <w:t>v0.8.2 (2024-11-06)</w:t>
                    </w:r>
                  </w:hyperlink>
                  <w:bookmarkEnd w:id="489"/>
                </w:p>
                <w:p>
                  <w:pPr>
                    <w:pStyle w:val="ListBullet"/>
                    <w:numPr>
                      <w:ilvl w:val="0"/>
                      <w:numId w:val="2"/>
                    </w:numPr>
                    <w:ind w:leftChars="0" w:left="480" w:right="0"/>
                  </w:pPr>
                  <w:bookmarkStart w:id="490" w:name="_f5b9f2176b4c4fe1a810546a9f2f5acb"/>
                  <w:hyperlink w:anchor="_c0cee3fff3640c4159e629e985371bef">
                    <w:r>
                      <w:rPr>
                        <w:rStyle w:val="Hyperlink"/>
                      </w:rPr>
                      <w:t>v0.8.1 (2024-10-29)</w:t>
                    </w:r>
                  </w:hyperlink>
                  <w:bookmarkEnd w:id="490"/>
                </w:p>
                <w:p>
                  <w:pPr>
                    <w:pStyle w:val="ListBullet"/>
                    <w:numPr>
                      <w:ilvl w:val="0"/>
                      <w:numId w:val="2"/>
                    </w:numPr>
                    <w:ind w:leftChars="0" w:left="480" w:right="0"/>
                  </w:pPr>
                  <w:bookmarkStart w:id="491" w:name="_29c31a05903def4cf5913fa8b5a9916e"/>
                  <w:hyperlink w:anchor="_1c32458ecda5b9c135e0379a0a2cb977">
                    <w:r>
                      <w:rPr>
                        <w:rStyle w:val="Hyperlink"/>
                      </w:rPr>
                      <w:t>v0.8.0 (2024-10-28)</w:t>
                    </w:r>
                  </w:hyperlink>
                  <w:bookmarkEnd w:id="491"/>
                </w:p>
                <w:p>
                  <w:pPr>
                    <w:pStyle w:val="ListBullet"/>
                    <w:numPr>
                      <w:ilvl w:val="0"/>
                      <w:numId w:val="2"/>
                    </w:numPr>
                    <w:ind w:leftChars="0" w:left="480" w:right="0"/>
                  </w:pPr>
                  <w:bookmarkStart w:id="492" w:name="_16820a05115c5f23113759c7d14d6e91"/>
                  <w:hyperlink w:anchor="_124a157146caa2b5b94f47d2f1740445">
                    <w:r>
                      <w:rPr>
                        <w:rStyle w:val="Hyperlink"/>
                      </w:rPr>
                      <w:t>v0.7.6 (2024-10-24)</w:t>
                    </w:r>
                  </w:hyperlink>
                  <w:bookmarkEnd w:id="492"/>
                </w:p>
                <w:p>
                  <w:pPr>
                    <w:pStyle w:val="ListBullet"/>
                    <w:numPr>
                      <w:ilvl w:val="0"/>
                      <w:numId w:val="2"/>
                    </w:numPr>
                    <w:ind w:leftChars="0" w:left="480" w:right="0"/>
                  </w:pPr>
                  <w:bookmarkStart w:id="493" w:name="_e7e76e80d806ec4b97a9ae656abc5e54"/>
                  <w:hyperlink w:anchor="_cc2a174a8465378795019b37f05ef507">
                    <w:r>
                      <w:rPr>
                        <w:rStyle w:val="Hyperlink"/>
                      </w:rPr>
                      <w:t>v0.7.5 (2024-10-23)</w:t>
                    </w:r>
                  </w:hyperlink>
                  <w:bookmarkEnd w:id="493"/>
                </w:p>
                <w:p>
                  <w:pPr>
                    <w:pStyle w:val="ListBullet"/>
                    <w:numPr>
                      <w:ilvl w:val="0"/>
                      <w:numId w:val="2"/>
                    </w:numPr>
                    <w:ind w:leftChars="0" w:left="480" w:right="0"/>
                  </w:pPr>
                  <w:bookmarkStart w:id="494" w:name="_8446a263f6085e4934f161ee98e3f1d0"/>
                  <w:hyperlink w:anchor="_0bc48bd9c86b283fafeabd1b84c70b69">
                    <w:r>
                      <w:rPr>
                        <w:rStyle w:val="Hyperlink"/>
                      </w:rPr>
                      <w:t>v0.7.4 (2024-10-18)</w:t>
                    </w:r>
                  </w:hyperlink>
                  <w:bookmarkEnd w:id="494"/>
                </w:p>
                <w:p>
                  <w:pPr>
                    <w:pStyle w:val="ListBullet"/>
                    <w:numPr>
                      <w:ilvl w:val="0"/>
                      <w:numId w:val="2"/>
                    </w:numPr>
                    <w:ind w:leftChars="0" w:left="480" w:right="0"/>
                  </w:pPr>
                  <w:bookmarkStart w:id="495" w:name="_dd83f9bd783bf9cbeac32d88d0e28459"/>
                  <w:hyperlink w:anchor="_eccfa9455ca43ef61bbfb15874345ee6">
                    <w:r>
                      <w:rPr>
                        <w:rStyle w:val="Hyperlink"/>
                      </w:rPr>
                      <w:t>v0.7.3 (2024-10-17)</w:t>
                    </w:r>
                  </w:hyperlink>
                  <w:bookmarkEnd w:id="495"/>
                </w:p>
                <w:p>
                  <w:pPr>
                    <w:pStyle w:val="ListBullet"/>
                    <w:numPr>
                      <w:ilvl w:val="0"/>
                      <w:numId w:val="2"/>
                    </w:numPr>
                    <w:ind w:leftChars="0" w:left="480" w:right="0"/>
                  </w:pPr>
                  <w:bookmarkStart w:id="496" w:name="_f8774cca75472430dae7c515d0aa498c"/>
                  <w:hyperlink w:anchor="_0b62a907c155fd92c910d24425255c55">
                    <w:r>
                      <w:rPr>
                        <w:rStyle w:val="Hyperlink"/>
                      </w:rPr>
                      <w:t>v0.7.2 (2024-10-13)</w:t>
                    </w:r>
                  </w:hyperlink>
                  <w:bookmarkEnd w:id="496"/>
                </w:p>
                <w:p>
                  <w:pPr>
                    <w:pStyle w:val="ListBullet"/>
                    <w:numPr>
                      <w:ilvl w:val="0"/>
                      <w:numId w:val="2"/>
                    </w:numPr>
                    <w:ind w:leftChars="0" w:left="480" w:right="0"/>
                  </w:pPr>
                  <w:bookmarkStart w:id="497" w:name="_b13ad25d5961062b1bc1575273ad3fc9"/>
                  <w:hyperlink w:anchor="_17a3722bb76b643f844a98e11a75bc85">
                    <w:r>
                      <w:rPr>
                        <w:rStyle w:val="Hyperlink"/>
                      </w:rPr>
                      <w:t>v0.7.1 (2024-10-07)</w:t>
                    </w:r>
                  </w:hyperlink>
                  <w:bookmarkEnd w:id="497"/>
                </w:p>
                <w:p>
                  <w:pPr>
                    <w:pStyle w:val="ListBullet"/>
                    <w:numPr>
                      <w:ilvl w:val="0"/>
                      <w:numId w:val="2"/>
                    </w:numPr>
                    <w:ind w:leftChars="0" w:left="480" w:right="0"/>
                  </w:pPr>
                  <w:bookmarkStart w:id="498" w:name="_dca88b992afff9da46b4d02dd3c5c25a"/>
                  <w:hyperlink w:anchor="_c578efd0e263ad37a86a6285636cbd4b">
                    <w:r>
                      <w:rPr>
                        <w:rStyle w:val="Hyperlink"/>
                      </w:rPr>
                      <w:t>v0.7.0 (2024-02-29)</w:t>
                    </w:r>
                  </w:hyperlink>
                  <w:bookmarkEnd w:id="498"/>
                </w:p>
                <w:p>
                  <w:pPr>
                    <w:pStyle w:val="ListBullet"/>
                    <w:numPr>
                      <w:ilvl w:val="0"/>
                      <w:numId w:val="2"/>
                    </w:numPr>
                    <w:ind w:leftChars="0" w:left="480" w:right="0"/>
                  </w:pPr>
                  <w:bookmarkStart w:id="499" w:name="_43fc1ac074028cf5bd6775637680c733"/>
                  <w:hyperlink w:anchor="_1e4bfa4e3b268d46449f4e561d6be43d">
                    <w:r>
                      <w:rPr>
                        <w:rStyle w:val="Hyperlink"/>
                      </w:rPr>
                      <w:t>v0.6.1 (2023-09-15)</w:t>
                    </w:r>
                  </w:hyperlink>
                  <w:bookmarkEnd w:id="499"/>
                </w:p>
                <w:p>
                  <w:pPr>
                    <w:pStyle w:val="ListBullet"/>
                    <w:numPr>
                      <w:ilvl w:val="0"/>
                      <w:numId w:val="2"/>
                    </w:numPr>
                    <w:ind w:leftChars="0" w:left="480" w:right="0"/>
                  </w:pPr>
                  <w:bookmarkStart w:id="500" w:name="_d573087286237b6b1f637960c7ec9142"/>
                  <w:hyperlink w:anchor="_e7c24fd616c0bc7cf883a48cb1184512">
                    <w:r>
                      <w:rPr>
                        <w:rStyle w:val="Hyperlink"/>
                      </w:rPr>
                      <w:t>v0.6.0 (2023-06-11)</w:t>
                    </w:r>
                  </w:hyperlink>
                  <w:bookmarkEnd w:id="500"/>
                </w:p>
                <w:p>
                  <w:pPr>
                    <w:pStyle w:val="ListBullet"/>
                    <w:numPr>
                      <w:ilvl w:val="0"/>
                      <w:numId w:val="2"/>
                    </w:numPr>
                    <w:ind w:leftChars="0" w:left="480" w:right="0"/>
                  </w:pPr>
                  <w:bookmarkStart w:id="501" w:name="_a613536e153846f5685b2b7ffbcbb560"/>
                  <w:hyperlink w:anchor="_53a5ad83bd5f0ab62c50a88d5047716f">
                    <w:r>
                      <w:rPr>
                        <w:rStyle w:val="Hyperlink"/>
                      </w:rPr>
                      <w:t>v0.5.4 (2023-05-30)</w:t>
                    </w:r>
                  </w:hyperlink>
                  <w:bookmarkEnd w:id="501"/>
                </w:p>
                <w:p>
                  <w:pPr>
                    <w:pStyle w:val="ListBullet"/>
                    <w:numPr>
                      <w:ilvl w:val="0"/>
                      <w:numId w:val="2"/>
                    </w:numPr>
                    <w:ind w:leftChars="0" w:left="480" w:right="0"/>
                  </w:pPr>
                  <w:bookmarkStart w:id="502" w:name="_91f67a903b8c37c59a3f1025d0952618"/>
                  <w:hyperlink w:anchor="_fdec0919064dea5b57296a496cce2d2c">
                    <w:r>
                      <w:rPr>
                        <w:rStyle w:val="Hyperlink"/>
                      </w:rPr>
                      <w:t>v0.5.3 (2023-05-28)</w:t>
                    </w:r>
                  </w:hyperlink>
                  <w:bookmarkEnd w:id="502"/>
                </w:p>
                <w:p>
                  <w:pPr>
                    <w:pStyle w:val="ListBullet"/>
                    <w:numPr>
                      <w:ilvl w:val="0"/>
                      <w:numId w:val="2"/>
                    </w:numPr>
                    <w:ind w:leftChars="0" w:left="480" w:right="0"/>
                  </w:pPr>
                  <w:bookmarkStart w:id="503" w:name="_17abe7b007a2c0f167f6fccdbf52fdb1"/>
                  <w:hyperlink w:anchor="_4d39ab2c89d200e12a3515e44784f006">
                    <w:r>
                      <w:rPr>
                        <w:rStyle w:val="Hyperlink"/>
                      </w:rPr>
                      <w:t>v0.5.2 (2023-05-26)</w:t>
                    </w:r>
                  </w:hyperlink>
                  <w:bookmarkEnd w:id="503"/>
                </w:p>
                <w:p>
                  <w:pPr>
                    <w:pStyle w:val="ListBullet"/>
                    <w:numPr>
                      <w:ilvl w:val="0"/>
                      <w:numId w:val="2"/>
                    </w:numPr>
                    <w:ind w:leftChars="0" w:left="480" w:right="0"/>
                  </w:pPr>
                  <w:bookmarkStart w:id="504" w:name="_c4a33031728ac83e263d853859e54a49"/>
                  <w:hyperlink w:anchor="_c982d84501ef96d2407dfcf628300e7e">
                    <w:r>
                      <w:rPr>
                        <w:rStyle w:val="Hyperlink"/>
                      </w:rPr>
                      <w:t>v0.5.1 (2023-05-24)</w:t>
                    </w:r>
                  </w:hyperlink>
                  <w:bookmarkEnd w:id="504"/>
                </w:p>
                <w:p>
                  <w:pPr>
                    <w:pStyle w:val="ListBullet"/>
                    <w:numPr>
                      <w:ilvl w:val="0"/>
                      <w:numId w:val="2"/>
                    </w:numPr>
                    <w:ind w:leftChars="0" w:left="480" w:right="0"/>
                  </w:pPr>
                  <w:bookmarkStart w:id="505" w:name="_29f6102cfd2dadfd21920cdf824d6205"/>
                  <w:hyperlink w:anchor="_f87bcfe4c7d7d509277998cc1a2232c5">
                    <w:r>
                      <w:rPr>
                        <w:rStyle w:val="Hyperlink"/>
                      </w:rPr>
                      <w:t>v0.5.0 (2023-05-16)</w:t>
                    </w:r>
                  </w:hyperlink>
                  <w:bookmarkEnd w:id="505"/>
                </w:p>
                <w:p>
                  <w:pPr>
                    <w:pStyle w:val="ListBullet"/>
                    <w:numPr>
                      <w:ilvl w:val="0"/>
                      <w:numId w:val="2"/>
                    </w:numPr>
                    <w:ind w:leftChars="0" w:left="480" w:right="0"/>
                  </w:pPr>
                  <w:bookmarkStart w:id="506" w:name="_c2cd0d15eb7594a6db20e58bd6f38654"/>
                  <w:hyperlink w:anchor="_eac790e6c7cfad10e5df6d1e4c3e4b11">
                    <w:r>
                      <w:rPr>
                        <w:rStyle w:val="Hyperlink"/>
                      </w:rPr>
                      <w:t>v0.4.3 (2023-05-11)</w:t>
                    </w:r>
                  </w:hyperlink>
                  <w:bookmarkEnd w:id="506"/>
                </w:p>
                <w:p>
                  <w:pPr>
                    <w:pStyle w:val="ListBullet"/>
                    <w:numPr>
                      <w:ilvl w:val="0"/>
                      <w:numId w:val="2"/>
                    </w:numPr>
                    <w:ind w:leftChars="0" w:left="480" w:right="0"/>
                  </w:pPr>
                  <w:bookmarkStart w:id="507" w:name="_a6210220e3e42c623d641efafeb5cf44"/>
                  <w:hyperlink w:anchor="_4833fb4d07f0f75bd781ef95190b4d04">
                    <w:r>
                      <w:rPr>
                        <w:rStyle w:val="Hyperlink"/>
                      </w:rPr>
                      <w:t>v0.4.2 (2023-04-18)</w:t>
                    </w:r>
                  </w:hyperlink>
                  <w:bookmarkEnd w:id="507"/>
                </w:p>
                <w:p>
                  <w:pPr>
                    <w:pStyle w:val="ListBullet"/>
                    <w:numPr>
                      <w:ilvl w:val="0"/>
                      <w:numId w:val="2"/>
                    </w:numPr>
                    <w:ind w:leftChars="0" w:left="480" w:right="0"/>
                  </w:pPr>
                  <w:bookmarkStart w:id="508" w:name="_8bcd38c1a177961cf497d6b7cfa48560"/>
                  <w:hyperlink w:anchor="_66ccc53f6fb12b3dd2b5d658e3810772">
                    <w:r>
                      <w:rPr>
                        <w:rStyle w:val="Hyperlink"/>
                      </w:rPr>
                      <w:t>v0.4.1 (2023-04-18)</w:t>
                    </w:r>
                  </w:hyperlink>
                  <w:bookmarkEnd w:id="508"/>
                </w:p>
                <w:p>
                  <w:pPr>
                    <w:pStyle w:val="ListBullet"/>
                    <w:numPr>
                      <w:ilvl w:val="0"/>
                      <w:numId w:val="2"/>
                    </w:numPr>
                    <w:ind w:leftChars="0" w:left="480" w:right="0"/>
                  </w:pPr>
                  <w:bookmarkStart w:id="509" w:name="_5cd6e6f25289e63184210e2bf2d297a4"/>
                  <w:hyperlink w:anchor="_5e10f4551379ad44f9b589e94cd7b026">
                    <w:r>
                      <w:rPr>
                        <w:rStyle w:val="Hyperlink"/>
                      </w:rPr>
                      <w:t>v0.4.0 (2023-04-18)</w:t>
                    </w:r>
                  </w:hyperlink>
                  <w:bookmarkEnd w:id="509"/>
                </w:p>
                <w:p>
                  <w:pPr>
                    <w:pStyle w:val="ListBullet"/>
                    <w:numPr>
                      <w:ilvl w:val="0"/>
                      <w:numId w:val="2"/>
                    </w:numPr>
                    <w:ind w:leftChars="0" w:left="480" w:right="0"/>
                  </w:pPr>
                  <w:bookmarkStart w:id="510" w:name="_12539f4b8659be8e7ade4527a8ba3745"/>
                  <w:hyperlink w:anchor="_870552f9661a46056ff3428197a312e6">
                    <w:r>
                      <w:rPr>
                        <w:rStyle w:val="Hyperlink"/>
                      </w:rPr>
                      <w:t>v0.3.1 (2023-04-13)</w:t>
                    </w:r>
                  </w:hyperlink>
                  <w:bookmarkEnd w:id="510"/>
                </w:p>
                <w:p>
                  <w:pPr>
                    <w:pStyle w:val="ListBullet"/>
                    <w:numPr>
                      <w:ilvl w:val="0"/>
                      <w:numId w:val="2"/>
                    </w:numPr>
                    <w:ind w:leftChars="0" w:left="480" w:right="0"/>
                  </w:pPr>
                  <w:bookmarkStart w:id="511" w:name="_608cf3147f69881875eb0843458ee93e"/>
                  <w:hyperlink w:anchor="_bbf19731a3770ce0d91f3583412c941e">
                    <w:r>
                      <w:rPr>
                        <w:rStyle w:val="Hyperlink"/>
                      </w:rPr>
                      <w:t>v0.3.0 (2023-04-11)</w:t>
                    </w:r>
                  </w:hyperlink>
                  <w:bookmarkEnd w:id="511"/>
                </w:p>
                <w:p>
                  <w:pPr>
                    <w:pStyle w:val="ListBullet"/>
                    <w:numPr>
                      <w:ilvl w:val="0"/>
                      <w:numId w:val="2"/>
                    </w:numPr>
                    <w:ind w:leftChars="0" w:left="480" w:right="0"/>
                  </w:pPr>
                  <w:bookmarkStart w:id="512" w:name="_76b687b6154bb712195e7f1ca8a0160f"/>
                  <w:hyperlink w:anchor="_70a1272fc8ac04ddfb0fded7ecdecbf0">
                    <w:r>
                      <w:rPr>
                        <w:rStyle w:val="Hyperlink"/>
                      </w:rPr>
                      <w:t>v0.2.3 (2023-04-03)</w:t>
                    </w:r>
                  </w:hyperlink>
                  <w:bookmarkEnd w:id="512"/>
                </w:p>
                <w:p>
                  <w:pPr>
                    <w:pStyle w:val="ListBullet"/>
                    <w:numPr>
                      <w:ilvl w:val="0"/>
                      <w:numId w:val="2"/>
                    </w:numPr>
                    <w:ind w:leftChars="0" w:left="480" w:right="0"/>
                  </w:pPr>
                  <w:bookmarkStart w:id="513" w:name="_5334ab37fdc3131de1dc003bc83c7032"/>
                  <w:hyperlink w:anchor="_c8c19e08dfe961c067df8e899e74105e">
                    <w:r>
                      <w:rPr>
                        <w:rStyle w:val="Hyperlink"/>
                      </w:rPr>
                      <w:t>v0.2.2 (2023-03-31)</w:t>
                    </w:r>
                  </w:hyperlink>
                  <w:bookmarkEnd w:id="513"/>
                </w:p>
                <w:p>
                  <w:pPr>
                    <w:pStyle w:val="ListBullet"/>
                    <w:numPr>
                      <w:ilvl w:val="0"/>
                      <w:numId w:val="2"/>
                    </w:numPr>
                    <w:ind w:leftChars="0" w:left="480" w:right="0"/>
                  </w:pPr>
                  <w:bookmarkStart w:id="514" w:name="_35ce886579735937da26c040cccc50ac"/>
                  <w:hyperlink w:anchor="_88cb5932faa909a62642f1f10be760d9">
                    <w:r>
                      <w:rPr>
                        <w:rStyle w:val="Hyperlink"/>
                      </w:rPr>
                      <w:t>v0.2.1 (2023-03-29)</w:t>
                    </w:r>
                  </w:hyperlink>
                  <w:bookmarkEnd w:id="514"/>
                </w:p>
                <w:p>
                  <w:pPr>
                    <w:pStyle w:val="ListBullet"/>
                    <w:numPr>
                      <w:ilvl w:val="0"/>
                      <w:numId w:val="2"/>
                    </w:numPr>
                    <w:ind w:leftChars="0" w:left="480" w:right="0"/>
                  </w:pPr>
                  <w:bookmarkStart w:id="515" w:name="_724f8842ca4a84ac5ea8cbca45b9429b"/>
                  <w:hyperlink w:anchor="_b236e4bea2004416912a10ac722acbaf">
                    <w:r>
                      <w:rPr>
                        <w:rStyle w:val="Hyperlink"/>
                      </w:rPr>
                      <w:t>v0.2.0 (2023-01-16)</w:t>
                    </w:r>
                  </w:hyperlink>
                  <w:bookmarkEnd w:id="515"/>
                </w:p>
                <w:p>
                  <w:pPr>
                    <w:pStyle w:val="ListBullet"/>
                    <w:numPr>
                      <w:ilvl w:val="0"/>
                      <w:numId w:val="2"/>
                    </w:numPr>
                    <w:ind w:leftChars="0" w:left="480" w:right="0"/>
                  </w:pPr>
                  <w:bookmarkStart w:id="516" w:name="_47fc7dd6f8b5f8f190c974ef4c551be5"/>
                  <w:hyperlink w:anchor="_3fb132d8413250b990570a79fe8db5d4">
                    <w:r>
                      <w:rPr>
                        <w:rStyle w:val="Hyperlink"/>
                      </w:rPr>
                      <w:t>v0.1.1 (2023-01-04)</w:t>
                    </w:r>
                  </w:hyperlink>
                  <w:bookmarkEnd w:id="516"/>
                </w:p>
                <w:p>
                  <w:pPr>
                    <w:pStyle w:val="ListBullet"/>
                    <w:numPr>
                      <w:ilvl w:val="0"/>
                      <w:numId w:val="2"/>
                    </w:numPr>
                    <w:ind w:leftChars="0" w:left="480" w:right="0"/>
                  </w:pPr>
                  <w:bookmarkStart w:id="517" w:name="_57c8539beeed49bdfbca801a69f0e0e5"/>
                  <w:hyperlink w:anchor="_a1e5c180142a89201f900f20c00ca8ed">
                    <w:r>
                      <w:rPr>
                        <w:rStyle w:val="Hyperlink"/>
                      </w:rPr>
                      <w:t>v0.1.0 (2023-01-04)</w:t>
                    </w:r>
                  </w:hyperlink>
                  <w:bookmarkEnd w:id="517"/>
                </w:p>
              </w:txbxContent>
            </v:textbox>
          </v:rect>
        </w:pict>
      </w:r>
    </w:p>
    <w:bookmarkEnd w:id="486"/>
    <w:bookmarkStart w:id="518" w:name="_87be9f3a1619b19446edf15980925ff9"/>
    <w:p>
      <w:pPr>
        <w:pStyle w:val="Heading4"/>
        <w:keepNext/>
      </w:pPr>
      <w:r>
        <w:t>v0.8.4 (2024-11-20)</w:t>
      </w:r>
    </w:p>
    <w:p>
      <w:pPr>
        <w:pStyle w:val="ListBullet"/>
        <w:numPr>
          <w:ilvl w:val="0"/>
          <w:numId w:val="2"/>
        </w:numPr>
        <w:ind w:leftChars="0" w:left="480" w:right="0"/>
      </w:pPr>
      <w:r>
        <w:t>Regulation updated and sent to the legal department</w:t>
      </w:r>
    </w:p>
    <w:p>
      <w:pPr>
        <w:pStyle w:val="ListBullet"/>
        <w:numPr>
          <w:ilvl w:val="0"/>
          <w:numId w:val="2"/>
        </w:numPr>
        <w:ind w:leftChars="0" w:left="480" w:right="0"/>
      </w:pPr>
      <w:r>
        <w:t>Added derogation tables</w:t>
      </w:r>
    </w:p>
    <w:p>
      <w:pPr>
        <w:pStyle w:val="ListBullet"/>
        <w:numPr>
          <w:ilvl w:val="0"/>
          <w:numId w:val="2"/>
        </w:numPr>
        <w:ind w:leftChars="0" w:left="480" w:right="0"/>
      </w:pPr>
      <w:r>
        <w:t>Created IFDAT-LIST reports at the end of the main example</w:t>
      </w:r>
    </w:p>
    <w:p>
      <w:pPr>
        <w:pStyle w:val="ListBullet"/>
        <w:numPr>
          <w:ilvl w:val="0"/>
          <w:numId w:val="2"/>
        </w:numPr>
        <w:ind w:leftChars="0" w:left="480" w:right="0"/>
      </w:pPr>
      <w:r>
        <w:t>Updated tables docs to be consistent with the regulation</w:t>
      </w:r>
    </w:p>
    <w:p>
      <w:pPr>
        <w:pStyle w:val="ListBullet"/>
        <w:numPr>
          <w:ilvl w:val="0"/>
          <w:numId w:val="2"/>
        </w:numPr>
        <w:ind w:leftChars="0" w:left="480" w:right="0"/>
      </w:pPr>
      <w:r>
        <w:t>Fix bugs</w:t>
      </w:r>
    </w:p>
    <w:bookmarkEnd w:id="518"/>
    <w:bookmarkStart w:id="519" w:name="_83c6aa47675ed6609f245b27dc2a6cf8"/>
    <w:p>
      <w:pPr>
        <w:pStyle w:val="Heading4"/>
        <w:keepNext/>
      </w:pPr>
      <w:r>
        <w:t>v0.8.3 (2024-11-11)</w:t>
      </w:r>
    </w:p>
    <w:p>
      <w:pPr>
        <w:pStyle w:val="ListBullet"/>
        <w:numPr>
          <w:ilvl w:val="0"/>
          <w:numId w:val="2"/>
        </w:numPr>
        <w:ind w:leftChars="0" w:left="480" w:right="0"/>
      </w:pPr>
      <w:r>
        <w:t>Updated regulation body</w:t>
      </w:r>
    </w:p>
    <w:p>
      <w:pPr>
        <w:pStyle w:val="ListBullet"/>
        <w:numPr>
          <w:ilvl w:val="0"/>
          <w:numId w:val="2"/>
        </w:numPr>
        <w:ind w:leftChars="0" w:left="480" w:right="0"/>
      </w:pPr>
      <w:r>
        <w:t>Updated tables to be consistent with regulation body</w:t>
      </w:r>
    </w:p>
    <w:p>
      <w:pPr>
        <w:pStyle w:val="ListBullet"/>
        <w:numPr>
          <w:ilvl w:val="0"/>
          <w:numId w:val="2"/>
        </w:numPr>
        <w:ind w:leftChars="0" w:left="480" w:right="0"/>
      </w:pPr>
      <w:r>
        <w:t>Fix bugs</w:t>
      </w:r>
    </w:p>
    <w:bookmarkEnd w:id="519"/>
    <w:bookmarkStart w:id="520" w:name="_f1db1442163b18db0ad61daee08c7984"/>
    <w:p>
      <w:pPr>
        <w:pStyle w:val="Heading4"/>
        <w:keepNext/>
      </w:pPr>
      <w:r>
        <w:t>v0.8.2 (2024-11-06)</w:t>
      </w:r>
    </w:p>
    <w:p>
      <w:pPr>
        <w:pStyle w:val="ListBullet"/>
        <w:numPr>
          <w:ilvl w:val="0"/>
          <w:numId w:val="2"/>
        </w:numPr>
        <w:ind w:leftChars="0" w:left="480" w:right="0"/>
      </w:pPr>
      <w:r>
        <w:t>Merge SFT tables into LON tables</w:t>
      </w:r>
    </w:p>
    <w:p>
      <w:pPr>
        <w:pStyle w:val="ListBullet"/>
        <w:numPr>
          <w:ilvl w:val="0"/>
          <w:numId w:val="2"/>
        </w:numPr>
        <w:ind w:leftChars="0" w:left="480" w:right="0"/>
      </w:pPr>
      <w:r>
        <w:t>Update init and main examples based on IFDAT 30/10/2024 presentation</w:t>
      </w:r>
    </w:p>
    <w:p>
      <w:pPr>
        <w:pStyle w:val="ListBullet"/>
        <w:numPr>
          <w:ilvl w:val="0"/>
          <w:numId w:val="2"/>
        </w:numPr>
        <w:ind w:leftChars="0" w:left="480" w:right="0"/>
      </w:pPr>
      <w:r>
        <w:t>Fix bugs</w:t>
      </w:r>
    </w:p>
    <w:bookmarkEnd w:id="520"/>
    <w:bookmarkStart w:id="521" w:name="_c0cee3fff3640c4159e629e985371bef"/>
    <w:p>
      <w:pPr>
        <w:pStyle w:val="Heading4"/>
        <w:keepNext/>
      </w:pPr>
      <w:r>
        <w:t>v0.8.1 (2024-10-29)</w:t>
      </w:r>
    </w:p>
    <w:p>
      <w:pPr>
        <w:pStyle w:val="ListBullet"/>
        <w:numPr>
          <w:ilvl w:val="0"/>
          <w:numId w:val="2"/>
        </w:numPr>
        <w:ind w:leftChars="0" w:left="480" w:right="0"/>
      </w:pPr>
      <w:r>
        <w:t>Removed IID dimension from ACC.LBLTY_DBT table</w:t>
      </w:r>
    </w:p>
    <w:p>
      <w:pPr>
        <w:pStyle w:val="ListBullet"/>
        <w:numPr>
          <w:ilvl w:val="0"/>
          <w:numId w:val="2"/>
        </w:numPr>
        <w:ind w:leftChars="0" w:left="480" w:right="0"/>
      </w:pPr>
      <w:r>
        <w:t>Improve DER identifier</w:t>
      </w:r>
    </w:p>
    <w:bookmarkEnd w:id="521"/>
    <w:bookmarkStart w:id="522" w:name="_1c32458ecda5b9c135e0379a0a2cb977"/>
    <w:p>
      <w:pPr>
        <w:pStyle w:val="Heading4"/>
        <w:keepNext/>
      </w:pPr>
      <w:r>
        <w:t>v0.8.0 (2024-10-28)</w:t>
      </w:r>
    </w:p>
    <w:p>
      <w:pPr>
        <w:pStyle w:val="ListBullet"/>
        <w:numPr>
          <w:ilvl w:val="0"/>
          <w:numId w:val="2"/>
        </w:numPr>
        <w:ind w:leftChars="0" w:left="480" w:right="0"/>
      </w:pPr>
      <w:r>
        <w:t>Add ACC.FND_KEY table so that IFs explicitly provide fees per fund</w:t>
      </w:r>
    </w:p>
    <w:p>
      <w:pPr>
        <w:pStyle w:val="ListBullet"/>
        <w:numPr>
          <w:ilvl w:val="0"/>
          <w:numId w:val="2"/>
        </w:numPr>
        <w:ind w:leftChars="0" w:left="480" w:right="0"/>
      </w:pPr>
      <w:r>
        <w:t>Renamed ACC.KEY to ACC.SHR_KEY</w:t>
      </w:r>
    </w:p>
    <w:p>
      <w:pPr>
        <w:pStyle w:val="ListBullet"/>
        <w:numPr>
          <w:ilvl w:val="0"/>
          <w:numId w:val="2"/>
        </w:numPr>
        <w:ind w:leftChars="0" w:left="480" w:right="0"/>
      </w:pPr>
      <w:r>
        <w:t>Dropped MLTPLR from REF.DER table and renamed NM_LTN to FISN</w:t>
      </w:r>
    </w:p>
    <w:p>
      <w:pPr>
        <w:pStyle w:val="ListBullet"/>
        <w:numPr>
          <w:ilvl w:val="0"/>
          <w:numId w:val="2"/>
        </w:numPr>
        <w:ind w:leftChars="0" w:left="480" w:right="0"/>
      </w:pPr>
      <w:r>
        <w:t>Imporoved examples</w:t>
      </w:r>
    </w:p>
    <w:p>
      <w:pPr>
        <w:pStyle w:val="ListBullet"/>
        <w:numPr>
          <w:ilvl w:val="0"/>
          <w:numId w:val="2"/>
        </w:numPr>
        <w:ind w:leftChars="0" w:left="480" w:right="0"/>
      </w:pPr>
      <w:r>
        <w:t>Modify regulation</w:t>
      </w:r>
    </w:p>
    <w:p>
      <w:pPr>
        <w:pStyle w:val="ListBullet"/>
        <w:numPr>
          <w:ilvl w:val="0"/>
          <w:numId w:val="2"/>
        </w:numPr>
        <w:ind w:leftChars="0" w:left="480" w:right="0"/>
      </w:pPr>
      <w:r>
        <w:t>Update data base checks</w:t>
      </w:r>
    </w:p>
    <w:p>
      <w:pPr>
        <w:pStyle w:val="ListBullet"/>
        <w:numPr>
          <w:ilvl w:val="0"/>
          <w:numId w:val="2"/>
        </w:numPr>
        <w:ind w:leftChars="0" w:left="480" w:right="0"/>
      </w:pPr>
      <w:r>
        <w:t>Bug fixes</w:t>
      </w:r>
    </w:p>
    <w:bookmarkEnd w:id="522"/>
    <w:bookmarkStart w:id="523" w:name="_124a157146caa2b5b94f47d2f1740445"/>
    <w:p>
      <w:pPr>
        <w:pStyle w:val="Heading4"/>
        <w:keepNext/>
      </w:pPr>
      <w:r>
        <w:t>v0.7.6 (2024-10-24)</w:t>
      </w:r>
    </w:p>
    <w:p>
      <w:pPr>
        <w:pStyle w:val="ListBullet"/>
        <w:numPr>
          <w:ilvl w:val="0"/>
          <w:numId w:val="2"/>
        </w:numPr>
        <w:ind w:leftChars="0" w:left="480" w:right="0"/>
      </w:pPr>
      <w:r>
        <w:t>Remove ACC.RVN and ACC.EXPNS and drop check</w:t>
      </w:r>
    </w:p>
    <w:p>
      <w:pPr>
        <w:pStyle w:val="ListBullet"/>
        <w:numPr>
          <w:ilvl w:val="0"/>
          <w:numId w:val="2"/>
        </w:numPr>
        <w:ind w:leftChars="0" w:left="480" w:right="0"/>
      </w:pPr>
      <w:r>
        <w:t>Modify sbscrpt, rdmptn defs</w:t>
      </w:r>
    </w:p>
    <w:p>
      <w:pPr>
        <w:pStyle w:val="ListBullet"/>
        <w:numPr>
          <w:ilvl w:val="0"/>
          <w:numId w:val="2"/>
        </w:numPr>
        <w:ind w:leftChars="0" w:left="480" w:right="0"/>
      </w:pPr>
      <w:r>
        <w:t>Bug fixes</w:t>
      </w:r>
    </w:p>
    <w:bookmarkEnd w:id="523"/>
    <w:bookmarkStart w:id="524" w:name="_cc2a174a8465378795019b37f05ef507"/>
    <w:p>
      <w:pPr>
        <w:pStyle w:val="Heading4"/>
        <w:keepNext/>
      </w:pPr>
      <w:r>
        <w:t>v0.7.5 (2024-10-23)</w:t>
      </w:r>
    </w:p>
    <w:p>
      <w:pPr>
        <w:pStyle w:val="ListBullet"/>
        <w:numPr>
          <w:ilvl w:val="0"/>
          <w:numId w:val="2"/>
        </w:numPr>
        <w:ind w:leftChars="0" w:left="480" w:right="0"/>
      </w:pPr>
      <w:r>
        <w:t>Fix bugs</w:t>
      </w:r>
    </w:p>
    <w:p>
      <w:pPr>
        <w:pStyle w:val="ListBullet"/>
        <w:numPr>
          <w:ilvl w:val="0"/>
          <w:numId w:val="2"/>
        </w:numPr>
        <w:ind w:leftChars="0" w:left="480" w:right="0"/>
      </w:pPr>
      <w:r>
        <w:t>Reintroduce examples</w:t>
      </w:r>
    </w:p>
    <w:p>
      <w:pPr>
        <w:pStyle w:val="ListBullet"/>
        <w:numPr>
          <w:ilvl w:val="0"/>
          <w:numId w:val="2"/>
        </w:numPr>
        <w:ind w:leftChars="0" w:left="480" w:right="0"/>
      </w:pPr>
      <w:r>
        <w:t>Improve data model and schema</w:t>
      </w:r>
    </w:p>
    <w:bookmarkEnd w:id="524"/>
    <w:bookmarkStart w:id="525" w:name="_0bc48bd9c86b283fafeabd1b84c70b69"/>
    <w:p>
      <w:pPr>
        <w:pStyle w:val="Heading4"/>
        <w:keepNext/>
      </w:pPr>
      <w:r>
        <w:t>v0.7.4 (2024-10-18)</w:t>
      </w:r>
    </w:p>
    <w:p>
      <w:pPr>
        <w:pStyle w:val="ListBullet"/>
        <w:numPr>
          <w:ilvl w:val="0"/>
          <w:numId w:val="2"/>
        </w:numPr>
        <w:ind w:leftChars="0" w:left="480" w:right="0"/>
      </w:pPr>
      <w:r>
        <w:t>Transform to Greek some enumerations</w:t>
      </w:r>
    </w:p>
    <w:p>
      <w:pPr>
        <w:pStyle w:val="ListBullet"/>
        <w:numPr>
          <w:ilvl w:val="0"/>
          <w:numId w:val="2"/>
        </w:numPr>
        <w:ind w:leftChars="0" w:left="480" w:right="0"/>
      </w:pPr>
      <w:r>
        <w:t>Fix bugs</w:t>
      </w:r>
    </w:p>
    <w:bookmarkEnd w:id="525"/>
    <w:bookmarkStart w:id="526" w:name="_eccfa9455ca43ef61bbfb15874345ee6"/>
    <w:p>
      <w:pPr>
        <w:pStyle w:val="Heading4"/>
        <w:keepNext/>
      </w:pPr>
      <w:r>
        <w:t>v0.7.3 (2024-10-17)</w:t>
      </w:r>
    </w:p>
    <w:p>
      <w:pPr>
        <w:pStyle w:val="ListBullet"/>
        <w:numPr>
          <w:ilvl w:val="0"/>
          <w:numId w:val="2"/>
        </w:numPr>
        <w:ind w:leftChars="0" w:left="480" w:right="0"/>
      </w:pPr>
      <w:r>
        <w:t>Introduce once again examples</w:t>
      </w:r>
    </w:p>
    <w:p>
      <w:pPr>
        <w:pStyle w:val="ListBullet"/>
        <w:numPr>
          <w:ilvl w:val="0"/>
          <w:numId w:val="2"/>
        </w:numPr>
        <w:ind w:leftChars="0" w:left="480" w:right="0"/>
      </w:pPr>
      <w:r>
        <w:t>Refactor the data model</w:t>
      </w:r>
    </w:p>
    <w:bookmarkEnd w:id="526"/>
    <w:bookmarkStart w:id="527" w:name="_0b62a907c155fd92c910d24425255c55"/>
    <w:p>
      <w:pPr>
        <w:pStyle w:val="Heading4"/>
        <w:keepNext/>
      </w:pPr>
      <w:r>
        <w:t>v0.7.2 (2024-10-13)</w:t>
      </w:r>
    </w:p>
    <w:p>
      <w:pPr>
        <w:pStyle w:val="ListBullet"/>
        <w:numPr>
          <w:ilvl w:val="0"/>
          <w:numId w:val="2"/>
        </w:numPr>
        <w:ind w:leftChars="0" w:left="480" w:right="0"/>
      </w:pPr>
      <w:r>
        <w:t>Minor changes in data model</w:t>
      </w:r>
    </w:p>
    <w:p>
      <w:pPr>
        <w:pStyle w:val="ListBullet"/>
        <w:numPr>
          <w:ilvl w:val="0"/>
          <w:numId w:val="2"/>
        </w:numPr>
        <w:ind w:leftChars="0" w:left="480" w:right="0"/>
      </w:pPr>
      <w:r>
        <w:t>Improve documentation</w:t>
      </w:r>
    </w:p>
    <w:bookmarkEnd w:id="527"/>
    <w:bookmarkStart w:id="528" w:name="_17a3722bb76b643f844a98e11a75bc85"/>
    <w:p>
      <w:pPr>
        <w:pStyle w:val="Heading4"/>
        <w:keepNext/>
      </w:pPr>
      <w:r>
        <w:t>v0.7.1 (2024-10-07)</w:t>
      </w:r>
    </w:p>
    <w:p>
      <w:pPr>
        <w:pStyle w:val="ListBullet"/>
        <w:numPr>
          <w:ilvl w:val="0"/>
          <w:numId w:val="2"/>
        </w:numPr>
        <w:ind w:leftChars="0" w:left="480" w:right="0"/>
      </w:pPr>
      <w:r>
        <w:t>Refactored excel data model</w:t>
      </w:r>
    </w:p>
    <w:p>
      <w:pPr>
        <w:pStyle w:val="ListBullet"/>
        <w:numPr>
          <w:ilvl w:val="0"/>
          <w:numId w:val="2"/>
        </w:numPr>
        <w:ind w:leftChars="0" w:left="480" w:right="0"/>
      </w:pPr>
      <w:r>
        <w:t>New json schema for improvements in data model</w:t>
      </w:r>
    </w:p>
    <w:p>
      <w:pPr>
        <w:pStyle w:val="ListBullet"/>
        <w:numPr>
          <w:ilvl w:val="0"/>
          <w:numId w:val="2"/>
        </w:numPr>
        <w:ind w:leftChars="0" w:left="480" w:right="0"/>
      </w:pPr>
      <w:r>
        <w:t>Removed temporarily acknowledgment schema</w:t>
      </w:r>
    </w:p>
    <w:p>
      <w:pPr>
        <w:pStyle w:val="ListBullet"/>
        <w:numPr>
          <w:ilvl w:val="0"/>
          <w:numId w:val="2"/>
        </w:numPr>
        <w:ind w:leftChars="0" w:left="480" w:right="0"/>
      </w:pPr>
      <w:r>
        <w:t>Removed examples temporarily</w:t>
      </w:r>
    </w:p>
    <w:p>
      <w:pPr>
        <w:pStyle w:val="ListBullet"/>
        <w:numPr>
          <w:ilvl w:val="0"/>
          <w:numId w:val="2"/>
        </w:numPr>
        <w:ind w:leftChars="0" w:left="480" w:right="0"/>
      </w:pPr>
      <w:r>
        <w:t>Improve documentation</w:t>
      </w:r>
    </w:p>
    <w:p>
      <w:pPr>
        <w:pStyle w:val="ListBullet"/>
        <w:numPr>
          <w:ilvl w:val="0"/>
          <w:numId w:val="2"/>
        </w:numPr>
        <w:ind w:leftChars="0" w:left="480" w:right="0"/>
      </w:pPr>
      <w:r>
        <w:t>Improve regular expressions</w:t>
      </w:r>
    </w:p>
    <w:p>
      <w:pPr>
        <w:pStyle w:val="ListBullet"/>
        <w:numPr>
          <w:ilvl w:val="0"/>
          <w:numId w:val="2"/>
        </w:numPr>
        <w:ind w:leftChars="0" w:left="480" w:right="0"/>
      </w:pPr>
      <w:r>
        <w:t>Added IF reporting agents report</w:t>
      </w:r>
    </w:p>
    <w:bookmarkEnd w:id="528"/>
    <w:bookmarkStart w:id="529" w:name="_c578efd0e263ad37a86a6285636cbd4b"/>
    <w:p>
      <w:pPr>
        <w:pStyle w:val="Heading4"/>
        <w:keepNext/>
      </w:pPr>
      <w:r>
        <w:t>v0.7.0 (2024-02-29)</w:t>
      </w:r>
    </w:p>
    <w:p>
      <w:pPr>
        <w:pStyle w:val="ListBullet"/>
        <w:numPr>
          <w:ilvl w:val="0"/>
          <w:numId w:val="2"/>
        </w:numPr>
        <w:ind w:leftChars="0" w:left="480" w:right="0"/>
      </w:pPr>
      <w:r>
        <w:t>Refactored excel data model</w:t>
      </w:r>
    </w:p>
    <w:p>
      <w:pPr>
        <w:pStyle w:val="ListBullet"/>
        <w:numPr>
          <w:ilvl w:val="0"/>
          <w:numId w:val="2"/>
        </w:numPr>
        <w:ind w:leftChars="0" w:left="480" w:right="0"/>
      </w:pPr>
      <w:r>
        <w:t>Added acknowledgment schema</w:t>
      </w:r>
    </w:p>
    <w:p>
      <w:pPr>
        <w:pStyle w:val="ListBullet"/>
        <w:numPr>
          <w:ilvl w:val="0"/>
          <w:numId w:val="2"/>
        </w:numPr>
        <w:ind w:leftChars="0" w:left="480" w:right="0"/>
      </w:pPr>
      <w:r>
        <w:t>Other syntactic changes</w:t>
      </w:r>
    </w:p>
    <w:p>
      <w:pPr>
        <w:pStyle w:val="ListBullet"/>
        <w:numPr>
          <w:ilvl w:val="0"/>
          <w:numId w:val="2"/>
        </w:numPr>
        <w:ind w:leftChars="0" w:left="480" w:right="0"/>
      </w:pPr>
      <w:r>
        <w:t>Example section (not available on this version)</w:t>
      </w:r>
    </w:p>
    <w:bookmarkEnd w:id="529"/>
    <w:bookmarkStart w:id="530" w:name="_1e4bfa4e3b268d46449f4e561d6be43d"/>
    <w:p>
      <w:pPr>
        <w:pStyle w:val="Heading4"/>
        <w:keepNext/>
      </w:pPr>
      <w:r>
        <w:t>v0.6.1 (2023-09-15)</w:t>
      </w:r>
    </w:p>
    <w:p>
      <w:pPr>
        <w:pStyle w:val="ListBullet"/>
        <w:numPr>
          <w:ilvl w:val="0"/>
          <w:numId w:val="2"/>
        </w:numPr>
        <w:ind w:leftChars="0" w:left="480" w:right="0"/>
      </w:pPr>
      <w:r>
        <w:t>Merge ACC.CSH table into ACC.DPST</w:t>
      </w:r>
    </w:p>
    <w:p>
      <w:pPr>
        <w:pStyle w:val="ListBullet"/>
        <w:numPr>
          <w:ilvl w:val="0"/>
          <w:numId w:val="2"/>
        </w:numPr>
        <w:ind w:leftChars="0" w:left="480" w:right="0"/>
      </w:pPr>
      <w:r>
        <w:t>Rename ACC.AGG to ACC.KEY, PSN to USR</w:t>
      </w:r>
    </w:p>
    <w:p>
      <w:pPr>
        <w:pStyle w:val="ListBullet"/>
        <w:numPr>
          <w:ilvl w:val="0"/>
          <w:numId w:val="2"/>
        </w:numPr>
        <w:ind w:leftChars="0" w:left="480" w:right="0"/>
      </w:pPr>
      <w:r>
        <w:t>Created formats DBT, DEP, EDR, LON, ODR, ORG, SFT, SHR, USR</w:t>
      </w:r>
    </w:p>
    <w:p>
      <w:pPr>
        <w:pStyle w:val="ListBullet"/>
        <w:numPr>
          <w:ilvl w:val="0"/>
          <w:numId w:val="2"/>
        </w:numPr>
        <w:ind w:leftChars="0" w:left="480" w:right="0"/>
      </w:pPr>
      <w:r>
        <w:t>Rename Κατηγορίες to Δέσμες in categories.rst</w:t>
      </w:r>
    </w:p>
    <w:p>
      <w:pPr>
        <w:pStyle w:val="ListBullet"/>
        <w:numPr>
          <w:ilvl w:val="0"/>
          <w:numId w:val="2"/>
        </w:numPr>
        <w:ind w:leftChars="0" w:left="480" w:right="0"/>
      </w:pPr>
      <w:r>
        <w:t>Improve categories documentation</w:t>
      </w:r>
    </w:p>
    <w:p>
      <w:pPr>
        <w:pStyle w:val="ListBullet"/>
        <w:numPr>
          <w:ilvl w:val="0"/>
          <w:numId w:val="2"/>
        </w:numPr>
        <w:ind w:leftChars="0" w:left="480" w:right="0"/>
      </w:pPr>
      <w:r>
        <w:t>Improve and refactor codelists (dbt_prmry_clss to dbt_typ, fnd_dstrbtn_typ to fnd_dstrbtn_plcy, fnd_typ to fnd_lgl_typ, fnd_sbtyp to fnd_eqty_typ, shr_prmry_clss to shr_typ)</w:t>
      </w:r>
    </w:p>
    <w:p>
      <w:pPr>
        <w:pStyle w:val="ListBullet"/>
        <w:numPr>
          <w:ilvl w:val="0"/>
          <w:numId w:val="2"/>
        </w:numPr>
        <w:ind w:leftChars="0" w:left="480" w:right="0"/>
      </w:pPr>
      <w:r>
        <w:t>Refactor REF.DPST</w:t>
      </w:r>
    </w:p>
    <w:p>
      <w:pPr>
        <w:pStyle w:val="ListBullet"/>
        <w:numPr>
          <w:ilvl w:val="0"/>
          <w:numId w:val="2"/>
        </w:numPr>
        <w:ind w:leftChars="0" w:left="480" w:right="0"/>
      </w:pPr>
      <w:r>
        <w:t>Fix bug in regex A-z to A-Z</w:t>
      </w:r>
    </w:p>
    <w:p>
      <w:pPr>
        <w:pStyle w:val="ListBullet"/>
        <w:numPr>
          <w:ilvl w:val="0"/>
          <w:numId w:val="2"/>
        </w:numPr>
        <w:ind w:leftChars="0" w:left="480" w:right="0"/>
      </w:pPr>
      <w:r>
        <w:t>Add to glossary</w:t>
      </w:r>
    </w:p>
    <w:p>
      <w:pPr>
        <w:pStyle w:val="ListBullet"/>
        <w:numPr>
          <w:ilvl w:val="0"/>
          <w:numId w:val="2"/>
        </w:numPr>
        <w:ind w:leftChars="0" w:left="480" w:right="0"/>
      </w:pPr>
      <w:r>
        <w:t>Improve generic.rst description</w:t>
      </w:r>
    </w:p>
    <w:p>
      <w:pPr>
        <w:pStyle w:val="ListBullet"/>
        <w:numPr>
          <w:ilvl w:val="0"/>
          <w:numId w:val="2"/>
        </w:numPr>
        <w:ind w:leftChars="0" w:left="480" w:right="0"/>
      </w:pPr>
      <w:r>
        <w:t>Improve identifiers description</w:t>
      </w:r>
    </w:p>
    <w:p>
      <w:pPr>
        <w:pStyle w:val="ListBullet"/>
        <w:numPr>
          <w:ilvl w:val="0"/>
          <w:numId w:val="2"/>
        </w:numPr>
        <w:ind w:leftChars="0" w:left="480" w:right="0"/>
      </w:pPr>
      <w:r>
        <w:t>Add Ελληνικη Αναπτυξιακή Τράπεζα to RAs</w:t>
      </w:r>
    </w:p>
    <w:p>
      <w:pPr>
        <w:pStyle w:val="ListBullet"/>
        <w:numPr>
          <w:ilvl w:val="0"/>
          <w:numId w:val="2"/>
        </w:numPr>
        <w:ind w:leftChars="0" w:left="480" w:right="0"/>
      </w:pPr>
      <w:r>
        <w:t>Update accounting checks</w:t>
      </w:r>
    </w:p>
    <w:p>
      <w:pPr>
        <w:pStyle w:val="ListBullet"/>
        <w:numPr>
          <w:ilvl w:val="0"/>
          <w:numId w:val="2"/>
        </w:numPr>
        <w:ind w:leftChars="0" w:left="480" w:right="0"/>
      </w:pPr>
      <w:r>
        <w:t>Spell check</w:t>
      </w:r>
    </w:p>
    <w:p>
      <w:pPr>
        <w:pStyle w:val="ListBullet"/>
        <w:numPr>
          <w:ilvl w:val="0"/>
          <w:numId w:val="2"/>
        </w:numPr>
        <w:ind w:leftChars="0" w:left="480" w:right="0"/>
      </w:pPr>
      <w:r>
        <w:t>Note: Examples have not yet been updated to reflect the updated model</w:t>
      </w:r>
    </w:p>
    <w:bookmarkEnd w:id="530"/>
    <w:bookmarkStart w:id="531" w:name="_e7c24fd616c0bc7cf883a48cb1184512"/>
    <w:p>
      <w:pPr>
        <w:pStyle w:val="Heading4"/>
        <w:keepNext/>
      </w:pPr>
      <w:r>
        <w:t>v0.6.0 (2023-06-11)</w:t>
      </w:r>
    </w:p>
    <w:p>
      <w:pPr>
        <w:pStyle w:val="ListBullet"/>
        <w:numPr>
          <w:ilvl w:val="0"/>
          <w:numId w:val="2"/>
        </w:numPr>
        <w:ind w:leftChars="0" w:left="480" w:right="0"/>
      </w:pPr>
      <w:r>
        <w:t>Merge ACC tables regarding non-financial assets into ASST_NN_FNNCL</w:t>
      </w:r>
    </w:p>
    <w:p>
      <w:pPr>
        <w:pStyle w:val="ListBullet"/>
        <w:numPr>
          <w:ilvl w:val="0"/>
          <w:numId w:val="2"/>
        </w:numPr>
        <w:ind w:leftChars="0" w:left="480" w:right="0"/>
      </w:pPr>
      <w:r>
        <w:t>Refactor ACC tables ASST_RMNNG, LBLTY_RMNNG by adding types in the dimensions.</w:t>
      </w:r>
    </w:p>
    <w:p>
      <w:pPr>
        <w:pStyle w:val="ListBullet"/>
        <w:numPr>
          <w:ilvl w:val="0"/>
          <w:numId w:val="2"/>
        </w:numPr>
        <w:ind w:leftChars="0" w:left="480" w:right="0"/>
      </w:pPr>
      <w:r>
        <w:t>Refactor all ACC tables to include FLOWS (FLS)</w:t>
      </w:r>
    </w:p>
    <w:p>
      <w:pPr>
        <w:pStyle w:val="ListBullet"/>
        <w:numPr>
          <w:ilvl w:val="0"/>
          <w:numId w:val="2"/>
        </w:numPr>
        <w:ind w:leftChars="0" w:left="480" w:right="0"/>
      </w:pPr>
      <w:r>
        <w:t>Accrued interest, rent not included in STOCK</w:t>
      </w:r>
    </w:p>
    <w:p>
      <w:pPr>
        <w:pStyle w:val="ListBullet"/>
        <w:numPr>
          <w:ilvl w:val="0"/>
          <w:numId w:val="2"/>
        </w:numPr>
        <w:ind w:leftChars="0" w:left="480" w:right="0"/>
      </w:pPr>
      <w:r>
        <w:t>If not explicitly stated in the variables definitions all monetary variables are expressed in Euros (and thus removed explicit variables for Euro and FSC in ACC tables)</w:t>
      </w:r>
    </w:p>
    <w:p>
      <w:pPr>
        <w:pStyle w:val="ListBullet"/>
        <w:numPr>
          <w:ilvl w:val="0"/>
          <w:numId w:val="2"/>
        </w:numPr>
        <w:ind w:leftChars="0" w:left="480" w:right="0"/>
      </w:pPr>
      <w:r>
        <w:t>Refactor examples</w:t>
      </w:r>
    </w:p>
    <w:p>
      <w:pPr>
        <w:pStyle w:val="ListBullet"/>
        <w:numPr>
          <w:ilvl w:val="0"/>
          <w:numId w:val="2"/>
        </w:numPr>
        <w:ind w:leftChars="0" w:left="480" w:right="0"/>
      </w:pPr>
      <w:r>
        <w:t>Merge DEBT TRANCHE and REDEMPTION tables in REF into OUTSTANDING_CHANGE</w:t>
      </w:r>
    </w:p>
    <w:p>
      <w:pPr>
        <w:pStyle w:val="ListBullet"/>
        <w:numPr>
          <w:ilvl w:val="0"/>
          <w:numId w:val="2"/>
        </w:numPr>
        <w:ind w:leftChars="0" w:left="480" w:right="0"/>
      </w:pPr>
      <w:r>
        <w:t>Add validation section</w:t>
      </w:r>
    </w:p>
    <w:p>
      <w:pPr>
        <w:pStyle w:val="ListBullet"/>
        <w:numPr>
          <w:ilvl w:val="0"/>
          <w:numId w:val="2"/>
        </w:numPr>
        <w:ind w:leftChars="0" w:left="480" w:right="0"/>
      </w:pPr>
      <w:r>
        <w:t>Refactor documentation to reflect the above changes</w:t>
      </w:r>
    </w:p>
    <w:p>
      <w:pPr>
        <w:pStyle w:val="ListBullet"/>
        <w:numPr>
          <w:ilvl w:val="0"/>
          <w:numId w:val="2"/>
        </w:numPr>
        <w:ind w:leftChars="0" w:left="480" w:right="0"/>
      </w:pPr>
      <w:r>
        <w:t>Clean documentation</w:t>
      </w:r>
    </w:p>
    <w:bookmarkEnd w:id="531"/>
    <w:bookmarkStart w:id="532" w:name="_53a5ad83bd5f0ab62c50a88d5047716f"/>
    <w:p>
      <w:pPr>
        <w:pStyle w:val="Heading4"/>
        <w:keepNext/>
      </w:pPr>
      <w:r>
        <w:t>v0.5.4 (2023-05-30)</w:t>
      </w:r>
    </w:p>
    <w:p>
      <w:pPr>
        <w:pStyle w:val="ListBullet"/>
        <w:numPr>
          <w:ilvl w:val="0"/>
          <w:numId w:val="2"/>
        </w:numPr>
        <w:ind w:leftChars="0" w:left="480" w:right="0"/>
      </w:pPr>
      <w:r>
        <w:t>Add FSC valuation in acc tables</w:t>
      </w:r>
    </w:p>
    <w:p>
      <w:pPr>
        <w:pStyle w:val="ListBullet"/>
        <w:numPr>
          <w:ilvl w:val="0"/>
          <w:numId w:val="2"/>
        </w:numPr>
        <w:ind w:leftChars="0" w:left="480" w:right="0"/>
      </w:pPr>
      <w:r>
        <w:t>Add T1 correction example file for MFMC</w:t>
      </w:r>
    </w:p>
    <w:p>
      <w:pPr>
        <w:pStyle w:val="ListBullet"/>
        <w:numPr>
          <w:ilvl w:val="0"/>
          <w:numId w:val="2"/>
        </w:numPr>
        <w:ind w:leftChars="0" w:left="480" w:right="0"/>
      </w:pPr>
      <w:r>
        <w:t>Other minor changes</w:t>
      </w:r>
    </w:p>
    <w:bookmarkEnd w:id="532"/>
    <w:bookmarkStart w:id="533" w:name="_fdec0919064dea5b57296a496cce2d2c"/>
    <w:p>
      <w:pPr>
        <w:pStyle w:val="Heading4"/>
        <w:keepNext/>
      </w:pPr>
      <w:r>
        <w:t>v0.5.3 (2023-05-28)</w:t>
      </w:r>
    </w:p>
    <w:p>
      <w:pPr>
        <w:pStyle w:val="ListBullet"/>
        <w:numPr>
          <w:ilvl w:val="0"/>
          <w:numId w:val="2"/>
        </w:numPr>
        <w:ind w:leftChars="0" w:left="480" w:right="0"/>
      </w:pPr>
      <w:r>
        <w:t>Refactor IFDat categories to three (REF, ACC)</w:t>
      </w:r>
    </w:p>
    <w:p>
      <w:pPr>
        <w:pStyle w:val="ListBullet"/>
        <w:numPr>
          <w:ilvl w:val="0"/>
          <w:numId w:val="2"/>
        </w:numPr>
        <w:ind w:leftChars="0" w:left="480" w:right="0"/>
      </w:pPr>
      <w:r>
        <w:t>Complete t0 and t1 full examples for MFMC</w:t>
      </w:r>
    </w:p>
    <w:p>
      <w:pPr>
        <w:pStyle w:val="ListBullet"/>
        <w:numPr>
          <w:ilvl w:val="0"/>
          <w:numId w:val="2"/>
        </w:numPr>
        <w:ind w:leftChars="0" w:left="480" w:right="0"/>
      </w:pPr>
      <w:r>
        <w:t>Other minor changes</w:t>
      </w:r>
    </w:p>
    <w:bookmarkEnd w:id="533"/>
    <w:bookmarkStart w:id="534" w:name="_4d39ab2c89d200e12a3515e44784f006"/>
    <w:p>
      <w:pPr>
        <w:pStyle w:val="Heading4"/>
        <w:keepNext/>
      </w:pPr>
      <w:r>
        <w:t>v0.5.2 (2023-05-26)</w:t>
      </w:r>
    </w:p>
    <w:p>
      <w:pPr>
        <w:pStyle w:val="ListBullet"/>
        <w:numPr>
          <w:ilvl w:val="0"/>
          <w:numId w:val="2"/>
        </w:numPr>
        <w:ind w:leftChars="0" w:left="480" w:right="0"/>
      </w:pPr>
      <w:r>
        <w:t>Refactor IFDat categories to three (REF, BSI, INC)</w:t>
      </w:r>
    </w:p>
    <w:p>
      <w:pPr>
        <w:pStyle w:val="ListBullet"/>
        <w:numPr>
          <w:ilvl w:val="0"/>
          <w:numId w:val="2"/>
        </w:numPr>
        <w:ind w:leftChars="0" w:left="480" w:right="0"/>
      </w:pPr>
      <w:r>
        <w:t>Refactor data category presentation</w:t>
      </w:r>
    </w:p>
    <w:p>
      <w:pPr>
        <w:pStyle w:val="ListBullet"/>
        <w:numPr>
          <w:ilvl w:val="0"/>
          <w:numId w:val="2"/>
        </w:numPr>
        <w:ind w:leftChars="0" w:left="480" w:right="0"/>
      </w:pPr>
      <w:r>
        <w:t>Start introducing variable data types into docs</w:t>
      </w:r>
    </w:p>
    <w:p>
      <w:pPr>
        <w:pStyle w:val="ListBullet"/>
        <w:numPr>
          <w:ilvl w:val="0"/>
          <w:numId w:val="2"/>
        </w:numPr>
        <w:ind w:leftChars="0" w:left="480" w:right="0"/>
      </w:pPr>
      <w:r>
        <w:t>Refactor examples</w:t>
      </w:r>
    </w:p>
    <w:p>
      <w:pPr>
        <w:pStyle w:val="ListBullet"/>
        <w:numPr>
          <w:ilvl w:val="0"/>
          <w:numId w:val="2"/>
        </w:numPr>
        <w:ind w:leftChars="0" w:left="480" w:right="0"/>
      </w:pPr>
      <w:r>
        <w:t>Other minor changes</w:t>
      </w:r>
    </w:p>
    <w:bookmarkEnd w:id="534"/>
    <w:bookmarkStart w:id="535" w:name="_c982d84501ef96d2407dfcf628300e7e"/>
    <w:p>
      <w:pPr>
        <w:pStyle w:val="Heading4"/>
        <w:keepNext/>
      </w:pPr>
      <w:r>
        <w:t>v0.5.1 (2023-05-24)</w:t>
      </w:r>
    </w:p>
    <w:p>
      <w:pPr>
        <w:pStyle w:val="ListBullet"/>
        <w:numPr>
          <w:ilvl w:val="0"/>
          <w:numId w:val="2"/>
        </w:numPr>
        <w:ind w:leftChars="0" w:left="480" w:right="0"/>
      </w:pPr>
      <w:r>
        <w:t>Add codelist section and links of enumerated variables and dimensions to codelists</w:t>
      </w:r>
    </w:p>
    <w:p>
      <w:pPr>
        <w:pStyle w:val="ListBullet"/>
        <w:numPr>
          <w:ilvl w:val="0"/>
          <w:numId w:val="2"/>
        </w:numPr>
        <w:ind w:leftChars="0" w:left="480" w:right="0"/>
      </w:pPr>
      <w:r>
        <w:t>Start introducing greek names for categories and variables</w:t>
      </w:r>
    </w:p>
    <w:p>
      <w:pPr>
        <w:pStyle w:val="ListBullet"/>
        <w:numPr>
          <w:ilvl w:val="0"/>
          <w:numId w:val="2"/>
        </w:numPr>
        <w:ind w:leftChars="0" w:left="480" w:right="0"/>
      </w:pPr>
      <w:r>
        <w:t>Start refactoring examples</w:t>
      </w:r>
    </w:p>
    <w:p>
      <w:pPr>
        <w:pStyle w:val="ListBullet"/>
        <w:numPr>
          <w:ilvl w:val="0"/>
          <w:numId w:val="2"/>
        </w:numPr>
        <w:ind w:leftChars="0" w:left="480" w:right="0"/>
      </w:pPr>
      <w:r>
        <w:t>Other minor changes</w:t>
      </w:r>
    </w:p>
    <w:bookmarkEnd w:id="535"/>
    <w:bookmarkStart w:id="536" w:name="_f87bcfe4c7d7d509277998cc1a2232c5"/>
    <w:p>
      <w:pPr>
        <w:pStyle w:val="Heading4"/>
        <w:keepNext/>
      </w:pPr>
      <w:r>
        <w:t>v0.5.0 (2023-05-16)</w:t>
      </w:r>
    </w:p>
    <w:p>
      <w:pPr>
        <w:pStyle w:val="ListBullet"/>
        <w:numPr>
          <w:ilvl w:val="0"/>
          <w:numId w:val="2"/>
        </w:numPr>
        <w:ind w:leftChars="0" w:left="480" w:right="0"/>
      </w:pPr>
      <w:r>
        <w:t>Reorganize categories</w:t>
      </w:r>
    </w:p>
    <w:p>
      <w:pPr>
        <w:pStyle w:val="ListBullet"/>
        <w:numPr>
          <w:ilvl w:val="0"/>
          <w:numId w:val="2"/>
        </w:numPr>
        <w:ind w:leftChars="0" w:left="480" w:right="0"/>
      </w:pPr>
      <w:r>
        <w:t>Drop other_key category</w:t>
      </w:r>
    </w:p>
    <w:p>
      <w:pPr>
        <w:pStyle w:val="ListBullet"/>
        <w:numPr>
          <w:ilvl w:val="0"/>
          <w:numId w:val="2"/>
        </w:numPr>
        <w:ind w:leftChars="0" w:left="480" w:right="0"/>
      </w:pPr>
      <w:r>
        <w:t>Introduce examples per table</w:t>
      </w:r>
    </w:p>
    <w:p>
      <w:pPr>
        <w:pStyle w:val="ListBullet"/>
        <w:numPr>
          <w:ilvl w:val="0"/>
          <w:numId w:val="2"/>
        </w:numPr>
        <w:ind w:leftChars="0" w:left="480" w:right="0"/>
      </w:pPr>
      <w:r>
        <w:t>Drop not needed variables</w:t>
      </w:r>
    </w:p>
    <w:p>
      <w:pPr>
        <w:pStyle w:val="ListBullet"/>
        <w:numPr>
          <w:ilvl w:val="0"/>
          <w:numId w:val="2"/>
        </w:numPr>
        <w:ind w:leftChars="0" w:left="480" w:right="0"/>
      </w:pPr>
      <w:r>
        <w:t>Drop all other static tables</w:t>
      </w:r>
    </w:p>
    <w:bookmarkEnd w:id="536"/>
    <w:bookmarkStart w:id="537" w:name="_eac790e6c7cfad10e5df6d1e4c3e4b11"/>
    <w:p>
      <w:pPr>
        <w:pStyle w:val="Heading4"/>
        <w:keepNext/>
      </w:pPr>
      <w:r>
        <w:t>v0.4.3 (2023-05-11)</w:t>
      </w:r>
    </w:p>
    <w:p>
      <w:pPr>
        <w:pStyle w:val="ListBullet"/>
        <w:numPr>
          <w:ilvl w:val="0"/>
          <w:numId w:val="2"/>
        </w:numPr>
        <w:ind w:leftChars="0" w:left="480" w:right="0"/>
      </w:pPr>
      <w:r>
        <w:t>Adjust SI and SK to reflect current data needs</w:t>
      </w:r>
    </w:p>
    <w:p>
      <w:pPr>
        <w:pStyle w:val="ListBullet"/>
        <w:numPr>
          <w:ilvl w:val="0"/>
          <w:numId w:val="2"/>
        </w:numPr>
        <w:ind w:leftChars="0" w:left="480" w:right="0"/>
      </w:pPr>
      <w:r>
        <w:t>Drop attributes</w:t>
      </w:r>
    </w:p>
    <w:p>
      <w:pPr>
        <w:pStyle w:val="ListBullet"/>
        <w:numPr>
          <w:ilvl w:val="0"/>
          <w:numId w:val="2"/>
        </w:numPr>
        <w:ind w:leftChars="0" w:left="480" w:right="0"/>
      </w:pPr>
      <w:r>
        <w:t>Added to SK TRANCHE and REDEMPTION tables</w:t>
      </w:r>
    </w:p>
    <w:bookmarkEnd w:id="537"/>
    <w:bookmarkStart w:id="538" w:name="_4833fb4d07f0f75bd781ef95190b4d04"/>
    <w:p>
      <w:pPr>
        <w:pStyle w:val="Heading4"/>
        <w:keepNext/>
      </w:pPr>
      <w:r>
        <w:t>v0.4.2 (2023-04-18)</w:t>
      </w:r>
    </w:p>
    <w:p>
      <w:pPr>
        <w:pStyle w:val="ListBullet"/>
        <w:numPr>
          <w:ilvl w:val="0"/>
          <w:numId w:val="2"/>
        </w:numPr>
        <w:ind w:leftChars="0" w:left="480" w:right="0"/>
      </w:pPr>
      <w:r>
        <w:t>Add Reporting Agents</w:t>
      </w:r>
    </w:p>
    <w:bookmarkEnd w:id="538"/>
    <w:bookmarkStart w:id="539" w:name="_66ccc53f6fb12b3dd2b5d658e3810772"/>
    <w:p>
      <w:pPr>
        <w:pStyle w:val="Heading4"/>
        <w:keepNext/>
      </w:pPr>
      <w:r>
        <w:t>v0.4.1 (2023-04-18)</w:t>
      </w:r>
    </w:p>
    <w:p>
      <w:pPr>
        <w:pStyle w:val="ListBullet"/>
        <w:numPr>
          <w:ilvl w:val="0"/>
          <w:numId w:val="2"/>
        </w:numPr>
        <w:ind w:leftChars="0" w:left="480" w:right="0"/>
      </w:pPr>
      <w:r>
        <w:t>Introduce docx documentation</w:t>
      </w:r>
    </w:p>
    <w:bookmarkEnd w:id="539"/>
    <w:bookmarkStart w:id="540" w:name="_5e10f4551379ad44f9b589e94cd7b026"/>
    <w:p>
      <w:pPr>
        <w:pStyle w:val="Heading4"/>
        <w:keepNext/>
      </w:pPr>
      <w:r>
        <w:t>v0.4.0 (2023-04-18)</w:t>
      </w:r>
    </w:p>
    <w:p>
      <w:pPr>
        <w:pStyle w:val="ListBullet"/>
        <w:numPr>
          <w:ilvl w:val="0"/>
          <w:numId w:val="2"/>
        </w:numPr>
        <w:ind w:leftChars="0" w:left="480" w:right="0"/>
      </w:pPr>
      <w:r>
        <w:t>Introduce one DATA MODEL, one json schema and one template file rather than seperate ones for each category</w:t>
      </w:r>
    </w:p>
    <w:bookmarkEnd w:id="540"/>
    <w:bookmarkStart w:id="541" w:name="_870552f9661a46056ff3428197a312e6"/>
    <w:p>
      <w:pPr>
        <w:pStyle w:val="Heading4"/>
        <w:keepNext/>
      </w:pPr>
      <w:r>
        <w:t>v0.3.1 (2023-04-13)</w:t>
      </w:r>
    </w:p>
    <w:p>
      <w:pPr>
        <w:pStyle w:val="ListBullet"/>
        <w:numPr>
          <w:ilvl w:val="0"/>
          <w:numId w:val="2"/>
        </w:numPr>
        <w:ind w:leftChars="0" w:left="480" w:right="0"/>
      </w:pPr>
      <w:r>
        <w:t>Fix INTERNAL ID format</w:t>
      </w:r>
    </w:p>
    <w:p>
      <w:pPr>
        <w:pStyle w:val="ListBullet"/>
        <w:numPr>
          <w:ilvl w:val="0"/>
          <w:numId w:val="2"/>
        </w:numPr>
        <w:ind w:leftChars="0" w:left="480" w:right="0"/>
      </w:pPr>
      <w:r>
        <w:t>Fix minor bugs</w:t>
      </w:r>
    </w:p>
    <w:p>
      <w:pPr>
        <w:pStyle w:val="ListBullet"/>
        <w:numPr>
          <w:ilvl w:val="0"/>
          <w:numId w:val="2"/>
        </w:numPr>
        <w:ind w:leftChars="0" w:left="480" w:right="0"/>
      </w:pPr>
      <w:r>
        <w:t>Fix syntax</w:t>
      </w:r>
    </w:p>
    <w:bookmarkEnd w:id="541"/>
    <w:bookmarkStart w:id="542" w:name="_bbf19731a3770ce0d91f3583412c941e"/>
    <w:p>
      <w:pPr>
        <w:pStyle w:val="Heading4"/>
        <w:keepNext/>
      </w:pPr>
      <w:r>
        <w:t>v0.3.0 (2023-04-11)</w:t>
      </w:r>
    </w:p>
    <w:p>
      <w:pPr>
        <w:pStyle w:val="ListBullet"/>
        <w:numPr>
          <w:ilvl w:val="0"/>
          <w:numId w:val="2"/>
        </w:numPr>
        <w:ind w:leftChars="0" w:left="480" w:right="0"/>
      </w:pPr>
      <w:r>
        <w:t>Refactor to IFDat-Docs</w:t>
      </w:r>
    </w:p>
    <w:bookmarkEnd w:id="542"/>
    <w:bookmarkStart w:id="543" w:name="_70a1272fc8ac04ddfb0fded7ecdecbf0"/>
    <w:p>
      <w:pPr>
        <w:pStyle w:val="Heading4"/>
        <w:keepNext/>
      </w:pPr>
      <w:r>
        <w:t>v0.2.3 (2023-04-03)</w:t>
      </w:r>
    </w:p>
    <w:p>
      <w:pPr>
        <w:pStyle w:val="ListBullet"/>
        <w:numPr>
          <w:ilvl w:val="0"/>
          <w:numId w:val="2"/>
        </w:numPr>
        <w:ind w:leftChars="0" w:left="480" w:right="0"/>
      </w:pPr>
      <w:r>
        <w:t>Fix bug in restricting Greek IF reporting population.</w:t>
      </w:r>
    </w:p>
    <w:bookmarkEnd w:id="543"/>
    <w:bookmarkStart w:id="544" w:name="_c8c19e08dfe961c067df8e899e74105e"/>
    <w:p>
      <w:pPr>
        <w:pStyle w:val="Heading4"/>
        <w:keepNext/>
      </w:pPr>
      <w:r>
        <w:t>v0.2.2 (2023-03-31)</w:t>
      </w:r>
    </w:p>
    <w:p>
      <w:pPr>
        <w:pStyle w:val="ListBullet"/>
        <w:numPr>
          <w:ilvl w:val="0"/>
          <w:numId w:val="2"/>
        </w:numPr>
        <w:ind w:leftChars="0" w:left="480" w:right="0"/>
      </w:pPr>
      <w:r>
        <w:t>In Greek Regulation removed the need to get data from foreign IFs, added data submission concerning to IF sector reclassification or IF type change and some more minor improvements.</w:t>
      </w:r>
    </w:p>
    <w:bookmarkEnd w:id="544"/>
    <w:bookmarkStart w:id="545" w:name="_88cb5932faa909a62642f1f10be760d9"/>
    <w:p>
      <w:pPr>
        <w:pStyle w:val="Heading4"/>
        <w:keepNext/>
      </w:pPr>
      <w:r>
        <w:t>v0.2.1 (2023-03-29)</w:t>
      </w:r>
    </w:p>
    <w:p>
      <w:pPr>
        <w:pStyle w:val="ListBullet"/>
        <w:numPr>
          <w:ilvl w:val="0"/>
          <w:numId w:val="2"/>
        </w:numPr>
        <w:ind w:leftChars="0" w:left="480" w:right="0"/>
      </w:pPr>
      <w:r>
        <w:t>In IFDat, BSI, DEPOSIT removed arrears and write-offs</w:t>
      </w:r>
    </w:p>
    <w:p>
      <w:pPr>
        <w:pStyle w:val="ListBullet"/>
        <w:numPr>
          <w:ilvl w:val="0"/>
          <w:numId w:val="2"/>
        </w:numPr>
        <w:ind w:leftChars="0" w:left="480" w:right="0"/>
      </w:pPr>
      <w:r>
        <w:t>Fix OTC_DERIVATIVE BSI stock greek definition</w:t>
      </w:r>
    </w:p>
    <w:p>
      <w:pPr>
        <w:pStyle w:val="ListBullet"/>
        <w:numPr>
          <w:ilvl w:val="0"/>
          <w:numId w:val="2"/>
        </w:numPr>
        <w:ind w:leftChars="0" w:left="480" w:right="0"/>
      </w:pPr>
      <w:r>
        <w:t>Bug fixes</w:t>
      </w:r>
    </w:p>
    <w:bookmarkEnd w:id="545"/>
    <w:bookmarkStart w:id="546" w:name="_b236e4bea2004416912a10ac722acbaf"/>
    <w:p>
      <w:pPr>
        <w:pStyle w:val="Heading4"/>
        <w:keepNext/>
      </w:pPr>
      <w:r>
        <w:t>v0.2.0 (2023-01-16)</w:t>
      </w:r>
    </w:p>
    <w:p>
      <w:pPr>
        <w:pStyle w:val="ListBullet"/>
        <w:numPr>
          <w:ilvl w:val="0"/>
          <w:numId w:val="2"/>
        </w:numPr>
        <w:ind w:leftChars="0" w:left="480" w:right="0"/>
      </w:pPr>
      <w:r>
        <w:t>In IFDat domain new RA tables in self_info category.</w:t>
      </w:r>
    </w:p>
    <w:p>
      <w:pPr>
        <w:pStyle w:val="ListBullet"/>
        <w:numPr>
          <w:ilvl w:val="0"/>
          <w:numId w:val="2"/>
        </w:numPr>
        <w:ind w:leftChars="0" w:left="480" w:right="0"/>
      </w:pPr>
      <w:r>
        <w:t xml:space="preserve">In IFDat domain introduce DEDUPLICATE OF measures in case of a change in </w:t>
      </w:r>
      <w:r>
        <w:rPr>
          <w:rFonts w:ascii="Consolas" w:eastAsia="ＭＳ ゴシック" w:hansitheme="majorhansi"/>
          <w:color w:val="E74C3C"/>
          <w:sz w:val="20"/>
          <w:szCs w:val="20"/>
          <w:noProof/>
        </w:rPr>
        <w:t>RA</w:t>
      </w:r>
      <w:r>
        <w:t>.</w:t>
      </w:r>
    </w:p>
    <w:p>
      <w:pPr>
        <w:pStyle w:val="ListBullet"/>
        <w:numPr>
          <w:ilvl w:val="0"/>
          <w:numId w:val="2"/>
        </w:numPr>
        <w:ind w:leftChars="0" w:left="480" w:right="0"/>
      </w:pPr>
      <w:r>
        <w:t>Update documentation to accomodate above changes.</w:t>
      </w:r>
    </w:p>
    <w:p>
      <w:pPr>
        <w:pStyle w:val="ListBullet"/>
        <w:numPr>
          <w:ilvl w:val="0"/>
          <w:numId w:val="2"/>
        </w:numPr>
        <w:ind w:leftChars="0" w:left="480" w:right="0"/>
      </w:pPr>
      <w:r>
        <w:t>Fix syntax and spelling bugs in documentation.</w:t>
      </w:r>
    </w:p>
    <w:bookmarkEnd w:id="546"/>
    <w:bookmarkStart w:id="547" w:name="_3fb132d8413250b990570a79fe8db5d4"/>
    <w:p>
      <w:pPr>
        <w:pStyle w:val="Heading4"/>
        <w:keepNext/>
      </w:pPr>
      <w:r>
        <w:t>v0.1.1 (2023-01-04)</w:t>
      </w:r>
    </w:p>
    <w:p>
      <w:pPr>
        <w:pStyle w:val="ListBullet"/>
        <w:numPr>
          <w:ilvl w:val="0"/>
          <w:numId w:val="2"/>
        </w:numPr>
        <w:ind w:leftChars="0" w:left="480" w:right="0"/>
      </w:pPr>
      <w:r>
        <w:t>Introduce License</w:t>
      </w:r>
    </w:p>
    <w:p>
      <w:pPr>
        <w:pStyle w:val="ListBullet"/>
        <w:numPr>
          <w:ilvl w:val="0"/>
          <w:numId w:val="2"/>
        </w:numPr>
        <w:ind w:leftChars="0" w:left="480" w:right="0"/>
      </w:pPr>
      <w:r>
        <w:t>Documentation fixes</w:t>
      </w:r>
    </w:p>
    <w:bookmarkEnd w:id="547"/>
    <w:bookmarkStart w:id="548" w:name="_a1e5c180142a89201f900f20c00ca8ed"/>
    <w:p>
      <w:pPr>
        <w:pStyle w:val="Heading4"/>
        <w:keepNext/>
      </w:pPr>
      <w:r>
        <w:t>v0.1.0 (2023-01-04)</w:t>
      </w:r>
    </w:p>
    <w:p>
      <w:pPr>
        <w:pStyle w:val="ListBullet"/>
        <w:numPr>
          <w:ilvl w:val="0"/>
          <w:numId w:val="2"/>
        </w:numPr>
        <w:ind w:leftChars="0" w:left="480" w:right="0"/>
      </w:pPr>
      <w:r>
        <w:t>Pre-release of documentation</w:t>
      </w:r>
    </w:p>
    <w:bookmarkEnd w:id="548"/>
    <w:bookmarkEnd w:id="485"/>
    <w:bookmarkEnd w:id="484"/>
    <w:bookmarkStart w:id="549" w:name="_5fc0168d11760b9445bd29fa15d9290f"/>
    <w:bookmarkStart w:id="550" w:name="_7b4c3d1dac262f9aaf1421e58df7a967"/>
    <w:p>
      <w:pPr>
        <w:pStyle w:val="Heading3"/>
        <w:keepNext/>
      </w:pPr>
      <w:r>
        <w:t>Development</w:t>
      </w:r>
    </w:p>
    <w:p>
      <w:pPr>
        <w:pStyle w:val="Body Text"/>
        <w:ind w:leftChars="0" w:left="0" w:right="0"/>
      </w:pPr>
      <w:r>
        <w:t xml:space="preserve">We’d love you to contribute to </w:t>
      </w:r>
      <w:r>
        <w:rPr>
          <w:i/>
          <w:iCs/>
        </w:rPr>
        <w:t>IFDat-docs</w:t>
      </w:r>
      <w:r>
        <w:t>!</w:t>
      </w:r>
    </w:p>
    <w:bookmarkStart w:id="551" w:name="_32e8bd48324a0786f97b7410557d5fa3"/>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552" w:name="_551ac696a365e742d039d40e2e9e7c63"/>
                  <w:hyperlink w:anchor="_0d38545c1171efb444d432769333eaba">
                    <w:r>
                      <w:rPr>
                        <w:rStyle w:val="Hyperlink"/>
                      </w:rPr>
                      <w:t>Issues</w:t>
                    </w:r>
                  </w:hyperlink>
                  <w:bookmarkEnd w:id="552"/>
                </w:p>
                <w:p>
                  <w:pPr>
                    <w:pStyle w:val="ListBullet"/>
                    <w:numPr>
                      <w:ilvl w:val="0"/>
                      <w:numId w:val="2"/>
                    </w:numPr>
                    <w:ind w:leftChars="0" w:left="480" w:right="0"/>
                  </w:pPr>
                  <w:bookmarkStart w:id="553" w:name="_41f4245e50f8276fe3be27aecd42a56a"/>
                  <w:hyperlink w:anchor="_5d1c07ba6ee49886781b69dee467b9da">
                    <w:r>
                      <w:rPr>
                        <w:rStyle w:val="Hyperlink"/>
                      </w:rPr>
                      <w:t>Pull Requests</w:t>
                    </w:r>
                  </w:hyperlink>
                  <w:bookmarkEnd w:id="553"/>
                </w:p>
              </w:txbxContent>
            </v:textbox>
          </v:rect>
        </w:pict>
      </w:r>
    </w:p>
    <w:bookmarkEnd w:id="551"/>
    <w:bookmarkStart w:id="554" w:name="_0d38545c1171efb444d432769333eaba"/>
    <w:p>
      <w:pPr>
        <w:pStyle w:val="Heading4"/>
        <w:keepNext/>
      </w:pPr>
      <w:r>
        <w:t>Issues</w:t>
      </w:r>
    </w:p>
    <w:p>
      <w:pPr>
        <w:pStyle w:val="Body Text"/>
        <w:ind w:leftChars="0" w:left="0" w:right="0"/>
      </w:pPr>
      <w:r>
        <w:t>Questions, feature requests and bug reports are all welcome as [discussions or issues](</w:t>
      </w:r>
      <w:hyperlink xmlns:r="http://schemas.openxmlformats.org/officeDocument/2006/relationships" r:id="rId23">
        <w:r>
          <w:rPr>
            <w:rStyle w:val="Hyperlink"/>
          </w:rPr>
          <w:t>https://github.com/lerooze/ifdat-docs/issues/new/choose</w:t>
        </w:r>
      </w:hyperlink>
      <w:r>
        <w:t>).</w:t>
      </w:r>
    </w:p>
    <w:bookmarkEnd w:id="554"/>
    <w:bookmarkStart w:id="555" w:name="_5d1c07ba6ee49886781b69dee467b9da"/>
    <w:p>
      <w:pPr>
        <w:pStyle w:val="Heading4"/>
        <w:keepNext/>
      </w:pPr>
      <w:r>
        <w:t>Pull Requests</w:t>
      </w:r>
    </w:p>
    <w:p>
      <w:pPr>
        <w:pStyle w:val="Body Text"/>
        <w:ind w:leftChars="0" w:left="0" w:right="0"/>
      </w:pPr>
      <w:r>
        <w:t>It should be relatively simple to get started and create a Pull Request.</w:t>
      </w:r>
    </w:p>
    <w:p>
      <w:pPr>
        <w:pStyle w:val="Body Text"/>
        <w:ind w:leftChars="0" w:left="0" w:right="0"/>
      </w:pPr>
      <w:r>
        <w:t xml:space="preserve">You’ll need to have a version between </w:t>
      </w:r>
      <w:r>
        <w:rPr>
          <w:b/>
          <w:bCs/>
        </w:rPr>
        <w:t>python 3.8 and 3.12</w:t>
      </w:r>
      <w:r>
        <w:t xml:space="preserve"> and </w:t>
      </w:r>
      <w:r>
        <w:rPr>
          <w:b/>
          <w:bCs/>
        </w:rPr>
        <w:t>git</w:t>
      </w:r>
      <w:r>
        <w:t xml:space="preserve"> installed.</w:t>
      </w:r>
    </w:p>
    <w:p>
      <w:pPr>
        <w:pStyle w:val="LiteralBlock"/>
        <w:ind w:leftChars="0" w:left="0" w:right="0"/>
        <w:shd w:val="clear" w:color="auto" w:fill="eeffcc"/>
      </w:pPr>
      <w:r>
        <w:rPr>
          <w:color w:val="408090"/>
          <w:i/>
        </w:rPr>
        <w:t xml:space="preserve"># 1. clone your fork and cd into the repo directory</w:t>
      </w:r>
      <w:r>
        <w:br/>
      </w:r>
      <w:r>
        <w:t>git</w:t>
      </w:r>
      <w:r>
        <w:rPr>
          <w:color w:val="bbbbbb"/>
        </w:rPr>
        <w:t xml:space="preserve"> </w:t>
      </w:r>
      <w:r>
        <w:t>clone</w:t>
      </w:r>
      <w:r>
        <w:rPr>
          <w:color w:val="bbbbbb"/>
        </w:rPr>
        <w:t xml:space="preserve"> </w:t>
      </w:r>
      <w:r>
        <w:t>git@github.com:</w:t>
      </w:r>
      <w:r>
        <w:t>&lt;</w:t>
      </w:r>
      <w:r>
        <w:t>your</w:t>
      </w:r>
      <w:r>
        <w:rPr>
          <w:color w:val="bbbbbb"/>
        </w:rPr>
        <w:t xml:space="preserve"> </w:t>
      </w:r>
      <w:r>
        <w:t>username&gt;/ifdat-docs.git</w:t>
      </w:r>
      <w:r>
        <w:br/>
      </w:r>
      <w:r>
        <w:rPr>
          <w:color w:val="007020"/>
        </w:rPr>
        <w:t>cd</w:t>
      </w:r>
      <w:r>
        <w:rPr>
          <w:color w:val="bbbbbb"/>
        </w:rPr>
        <w:t xml:space="preserve"> </w:t>
      </w:r>
      <w:r>
        <w:t>ifdat-docs</w:t>
      </w:r>
      <w:r>
        <w:rPr>
          <w:color w:val="bbbbbb"/>
        </w:rPr>
        <w:t/>
      </w:r>
      <w:r>
        <w:br/>
      </w:r>
      <w:r>
        <w:rPr>
          <w:color w:val="bbbbbb"/>
        </w:rPr>
        <w:t/>
      </w:r>
      <w:r>
        <w:br/>
      </w:r>
      <w:r>
        <w:rPr>
          <w:color w:val="408090"/>
          <w:i/>
        </w:rPr>
        <w:t xml:space="preserve"># 2. Set up a virtualenv</w:t>
      </w:r>
      <w:r>
        <w:br/>
      </w:r>
      <w:r>
        <w:t>python</w:t>
      </w:r>
      <w:r>
        <w:rPr>
          <w:color w:val="bbbbbb"/>
        </w:rPr>
        <w:t xml:space="preserve"> </w:t>
      </w:r>
      <w:r>
        <w:t>-m</w:t>
      </w:r>
      <w:r>
        <w:rPr>
          <w:color w:val="bbbbbb"/>
        </w:rPr>
        <w:t xml:space="preserve"> </w:t>
      </w:r>
      <w:r>
        <w:t>venv</w:t>
      </w:r>
      <w:r>
        <w:rPr>
          <w:color w:val="bbbbbb"/>
        </w:rPr>
        <w:t xml:space="preserve"> </w:t>
      </w:r>
      <w:r>
        <w:t>env</w:t>
      </w:r>
      <w:r>
        <w:rPr>
          <w:color w:val="bbbbbb"/>
        </w:rPr>
        <w:t/>
      </w:r>
      <w:r>
        <w:br/>
      </w:r>
      <w:r>
        <w:rPr>
          <w:color w:val="bbbbbb"/>
        </w:rPr>
        <w:t/>
      </w:r>
      <w:r>
        <w:br/>
      </w:r>
      <w:r>
        <w:rPr>
          <w:color w:val="408090"/>
          <w:i/>
        </w:rPr>
        <w:t xml:space="preserve"># 3. Activate virtualenv</w:t>
      </w:r>
      <w:r>
        <w:br/>
      </w:r>
      <w:r>
        <w:rPr>
          <w:color w:val="007020"/>
        </w:rPr>
        <w:t>source</w:t>
      </w:r>
      <w:r>
        <w:rPr>
          <w:color w:val="bbbbbb"/>
        </w:rPr>
        <w:t xml:space="preserve"> </w:t>
      </w:r>
      <w:r>
        <w:t>env/bin/activate</w:t>
      </w:r>
      <w:r>
        <w:rPr>
          <w:color w:val="bbbbbb"/>
        </w:rPr>
        <w:t/>
      </w:r>
      <w:r>
        <w:br/>
      </w:r>
      <w:r>
        <w:rPr>
          <w:color w:val="bbbbbb"/>
        </w:rPr>
        <w:t/>
      </w:r>
      <w:r>
        <w:br/>
      </w:r>
      <w:r>
        <w:rPr>
          <w:color w:val="408090"/>
          <w:i/>
        </w:rPr>
        <w:t xml:space="preserve"># 4. Inatall ifdat-docs</w:t>
      </w:r>
      <w:r>
        <w:br/>
      </w:r>
      <w:r>
        <w:t>pip</w:t>
      </w:r>
      <w:r>
        <w:rPr>
          <w:color w:val="bbbbbb"/>
        </w:rPr>
        <w:t xml:space="preserve"> </w:t>
      </w:r>
      <w:r>
        <w:t>install</w:t>
      </w:r>
      <w:r>
        <w:rPr>
          <w:color w:val="bbbbbb"/>
        </w:rPr>
        <w:t xml:space="preserve"> </w:t>
      </w:r>
      <w:r>
        <w:t>--editable</w:t>
      </w:r>
      <w:r>
        <w:rPr>
          <w:color w:val="bbbbbb"/>
        </w:rPr>
        <w:t xml:space="preserve"> </w:t>
      </w:r>
      <w:r>
        <w:t>.</w:t>
      </w:r>
      <w:r>
        <w:rPr>
          <w:color w:val="666666"/>
        </w:rPr>
        <w:t>[</w:t>
      </w:r>
      <w:r>
        <w:t>docs</w:t>
      </w:r>
      <w:r>
        <w:rPr>
          <w:color w:val="666666"/>
        </w:rPr>
        <w:t>]</w:t>
      </w:r>
      <w:r>
        <w:rPr>
          <w:color w:val="bbbbbb"/>
        </w:rPr>
        <w:t/>
      </w:r>
      <w:r>
        <w:br/>
      </w:r>
      <w:r>
        <w:rPr>
          <w:color w:val="bbbbbb"/>
        </w:rPr>
        <w:t/>
      </w:r>
      <w:r>
        <w:br/>
      </w:r>
      <w:r>
        <w:rPr>
          <w:color w:val="408090"/>
          <w:i/>
        </w:rPr>
        <w:t xml:space="preserve"># 5. Checkout a new branch and cd into docs</w:t>
      </w:r>
      <w:r>
        <w:br/>
      </w:r>
      <w:r>
        <w:t>git</w:t>
      </w:r>
      <w:r>
        <w:rPr>
          <w:color w:val="bbbbbb"/>
        </w:rPr>
        <w:t xml:space="preserve"> </w:t>
      </w:r>
      <w:r>
        <w:t>checkout</w:t>
      </w:r>
      <w:r>
        <w:rPr>
          <w:color w:val="bbbbbb"/>
        </w:rPr>
        <w:t xml:space="preserve"> </w:t>
      </w:r>
      <w:r>
        <w:t>-b</w:t>
      </w:r>
      <w:r>
        <w:rPr>
          <w:color w:val="bbbbbb"/>
        </w:rPr>
        <w:t xml:space="preserve"> </w:t>
      </w:r>
      <w:r>
        <w:t>my-new-feature-branch</w:t>
      </w:r>
      <w:r>
        <w:br/>
      </w:r>
      <w:r>
        <w:rPr>
          <w:color w:val="007020"/>
        </w:rPr>
        <w:t>cd</w:t>
      </w:r>
      <w:r>
        <w:rPr>
          <w:color w:val="bbbbbb"/>
        </w:rPr>
        <w:t xml:space="preserve"> </w:t>
      </w:r>
      <w:r>
        <w:t>docs</w:t>
      </w:r>
      <w:r>
        <w:rPr>
          <w:color w:val="bbbbbb"/>
        </w:rPr>
        <w:t/>
      </w:r>
      <w:r>
        <w:br/>
      </w:r>
      <w:r>
        <w:rPr>
          <w:color w:val="bbbbbb"/>
        </w:rPr>
        <w:t/>
      </w:r>
      <w:r>
        <w:br/>
      </w:r>
      <w:r>
        <w:rPr>
          <w:color w:val="408090"/>
          <w:i/>
        </w:rPr>
        <w:t xml:space="preserve"># 5a (optional). Copy static files and recreate csv table source</w:t>
      </w:r>
      <w:r>
        <w:br/>
      </w:r>
      <w:r>
        <w:t>make</w:t>
      </w:r>
      <w:r>
        <w:rPr>
          <w:color w:val="bbbbbb"/>
        </w:rPr>
        <w:t xml:space="preserve"> </w:t>
      </w:r>
      <w:r>
        <w:t>copy</w:t>
      </w:r>
      <w:r>
        <w:rPr>
          <w:color w:val="bbbbbb"/>
        </w:rPr>
        <w:t/>
      </w:r>
      <w:r>
        <w:br/>
      </w:r>
      <w:r>
        <w:rPr>
          <w:color w:val="bbbbbb"/>
        </w:rPr>
        <w:t/>
      </w:r>
      <w:r>
        <w:br/>
      </w:r>
      <w:r>
        <w:rPr>
          <w:color w:val="408090"/>
          <w:i/>
        </w:rPr>
        <w:t xml:space="preserve"># 6 Make your changes</w:t>
      </w:r>
      <w:r>
        <w:br/>
      </w:r>
      <w:r>
        <w:br/>
      </w:r>
      <w:r>
        <w:rPr>
          <w:color w:val="408090"/>
          <w:i/>
        </w:rPr>
        <w:t xml:space="preserve"># 7. Build docx documentation</w:t>
      </w:r>
      <w:r>
        <w:br/>
      </w:r>
      <w:r>
        <w:t>make</w:t>
      </w:r>
      <w:r>
        <w:rPr>
          <w:color w:val="bbbbbb"/>
        </w:rPr>
        <w:t xml:space="preserve"> </w:t>
      </w:r>
      <w:r>
        <w:t>docx</w:t>
      </w:r>
      <w:r>
        <w:rPr>
          <w:color w:val="bbbbbb"/>
        </w:rPr>
        <w:t/>
      </w:r>
      <w:r>
        <w:br/>
      </w:r>
      <w:r>
        <w:rPr>
          <w:color w:val="bbbbbb"/>
        </w:rPr>
        <w:t/>
      </w:r>
      <w:r>
        <w:br/>
      </w:r>
      <w:r>
        <w:rPr>
          <w:color w:val="408090"/>
          <w:i/>
        </w:rPr>
        <w:t xml:space="preserve"># 8. Copy docx documentation to static</w:t>
      </w:r>
      <w:r>
        <w:br/>
      </w:r>
      <w:r>
        <w:t>make</w:t>
      </w:r>
      <w:r>
        <w:rPr>
          <w:color w:val="bbbbbb"/>
        </w:rPr>
        <w:t xml:space="preserve"> </w:t>
      </w:r>
      <w:r>
        <w:t>copy_docx</w:t>
      </w:r>
      <w:r>
        <w:rPr>
          <w:color w:val="bbbbbb"/>
        </w:rPr>
        <w:t/>
      </w:r>
      <w:r>
        <w:br/>
      </w:r>
      <w:r>
        <w:rPr>
          <w:color w:val="bbbbbb"/>
        </w:rPr>
        <w:t/>
      </w:r>
      <w:r>
        <w:br/>
      </w:r>
      <w:r>
        <w:rPr>
          <w:color w:val="408090"/>
          <w:i/>
        </w:rPr>
        <w:t xml:space="preserve"># 9. Build html documentation</w:t>
      </w:r>
      <w:r>
        <w:br/>
      </w:r>
      <w:r>
        <w:t>makc</w:t>
      </w:r>
      <w:r>
        <w:rPr>
          <w:color w:val="bbbbbb"/>
        </w:rPr>
        <w:t xml:space="preserve"> </w:t>
      </w:r>
      <w:r>
        <w:t>html</w:t>
      </w:r>
      <w:r>
        <w:rPr>
          <w:color w:val="bbbbbb"/>
        </w:rPr>
        <w:t/>
      </w:r>
      <w:r>
        <w:br/>
      </w:r>
      <w:r>
        <w:rPr>
          <w:color w:val="bbbbbb"/>
        </w:rPr>
        <w:t/>
      </w:r>
      <w:r>
        <w:br/>
      </w:r>
      <w:r>
        <w:rPr>
          <w:color w:val="408090"/>
          <w:i/>
        </w:rPr>
        <w:t xml:space="preserve">#... commit, push, and create your pull request</w:t>
      </w:r>
    </w:p>
    <w:bookmarkEnd w:id="555"/>
    <w:bookmarkEnd w:id="550"/>
    <w:bookmarkEnd w:id="549"/>
    <w:bookmarkEnd w:id="4"/>
    <w:bookmarkStart w:id="556" w:name="_9457df75342f61d1bb024cf5cd43356e"/>
    <w:bookmarkStart w:id="557" w:name="_e1279f030b3978e9e8d171045a60e2b1"/>
    <w:bookmarkStart w:id="558" w:name="_a7cee84331f5bd17f41ad38239110925"/>
    <w:p>
      <w:pPr>
        <w:pStyle w:val="Heading3"/>
        <w:keepNext/>
      </w:pPr>
      <w:r>
        <w:t>License</w:t>
      </w:r>
    </w:p>
    <w:p>
      <w:pPr>
        <w:pStyle w:val="Body Text"/>
        <w:ind w:leftChars="0" w:left="0" w:right="0"/>
      </w:pPr>
      <w:r>
        <w:t xml:space="preserve">Copyright 2022–2023, </w:t>
      </w:r>
      <w:hyperlink xmlns:r="http://schemas.openxmlformats.org/officeDocument/2006/relationships" r:id="rId24">
        <w:r>
          <w:rPr>
            <w:rStyle w:val="Hyperlink"/>
          </w:rPr>
          <w:t>journey developers</w:t>
        </w:r>
      </w:hyperlink>
      <w:bookmarkStart w:id="559" w:name="_fb0daa3223715d98d73f8a20bc1b8917"/>
      <w:bookmarkEnd w:id="559"/>
      <w:r>
        <w:t>.</w:t>
      </w:r>
    </w:p>
    <w:p>
      <w:pPr>
        <w:pStyle w:val="Body Text"/>
        <w:ind w:leftChars="0" w:left="0" w:right="0"/>
      </w:pPr>
      <w:r>
        <w:t>Licensed under the Apache License, Version 2.0 (the “License”); you may not use these files except in compliance with the License. You may obtain a copy of the License:</w:t>
      </w:r>
    </w:p>
    <w:p>
      <w:pPr>
        <w:pStyle w:val="ListBullet"/>
        <w:numPr>
          <w:ilvl w:val="0"/>
          <w:numId w:val="2"/>
        </w:numPr>
        <w:ind w:leftChars="0" w:left="480" w:right="0"/>
      </w:pPr>
      <w:r>
        <w:t xml:space="preserve">from the file </w:t>
      </w:r>
      <w:r>
        <w:rPr>
          <w:rFonts w:ascii="Consolas" w:eastAsia="ＭＳ ゴシック" w:hansitheme="majorhansi"/>
          <w:color w:val="E74C3C"/>
          <w:sz w:val="20"/>
          <w:szCs w:val="20"/>
          <w:noProof/>
        </w:rPr>
        <w:t>LICENSE</w:t>
      </w:r>
      <w:r>
        <w:t xml:space="preserve"> included with the source code, or</w:t>
      </w:r>
    </w:p>
    <w:p>
      <w:pPr>
        <w:pStyle w:val="ListBullet"/>
        <w:numPr>
          <w:ilvl w:val="0"/>
          <w:numId w:val="2"/>
        </w:numPr>
        <w:ind w:leftChars="0" w:left="480" w:right="0"/>
      </w:pPr>
      <w:r>
        <w:t xml:space="preserve">at </w:t>
      </w:r>
      <w:hyperlink xmlns:r="http://schemas.openxmlformats.org/officeDocument/2006/relationships" r:id="rId25">
        <w:r>
          <w:rPr>
            <w:rStyle w:val="Hyperlink"/>
          </w:rPr>
          <w:t>http://www.apache.org/licenses/LICENSE-2.0</w:t>
        </w:r>
      </w:hyperlink>
    </w:p>
    <w:p>
      <w:pPr>
        <w:pStyle w:val="Body Text"/>
        <w:ind w:leftChars="0" w:left="0" w:right="0"/>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bookmarkEnd w:id="558"/>
    <w:bookmarkEnd w:id="557"/>
    <w:bookmarkStart w:id="560" w:name="_445c5372d1471de0d7a209fa3f4da19f"/>
    <w:bookmarkStart w:id="561" w:name="_2bd85c16de048414f1be1c633135567f"/>
    <w:p>
      <w:pPr>
        <w:pStyle w:val="Heading3"/>
        <w:keepNext/>
      </w:pPr>
      <w:r>
        <w:t>Ευρετήριο</w:t>
      </w:r>
    </w:p>
    <w:bookmarkStart w:id="562" w:name="_f7fbb27b6de946b7db7c6f93a5e74a73"/>
    <w:p>
      <w:pPr>
        <w:pStyle w:val="DefinitionTerm"/>
        <w:ind w:leftChars="0" w:left="0" w:right="0"/>
        <w:keepNext/>
      </w:pPr>
      <w:r>
        <w:t>ΕΣΛ</w:t>
      </w:r>
    </w:p>
    <w:bookmarkEnd w:id="562"/>
    <w:bookmarkStart w:id="563" w:name="_4085ba8832d675f5846b42d9a1dd4d04"/>
    <w:p>
      <w:pPr>
        <w:pStyle w:val="DefinitionTerm"/>
        <w:ind w:leftChars="0" w:left="0" w:right="0"/>
        <w:keepNext/>
      </w:pPr>
      <w:r>
        <w:t>ΕΣΛ 2010</w:t>
      </w:r>
    </w:p>
    <w:bookmarkEnd w:id="563"/>
    <w:bookmarkStart w:id="564" w:name="_7265ecdfe112495d10f1d70812f0f65e"/>
    <w:p>
      <w:pPr>
        <w:pStyle w:val="DefinitionTerm"/>
        <w:ind w:leftChars="0" w:left="0" w:right="0"/>
        <w:keepNext/>
      </w:pPr>
      <w:r>
        <w:t>Ευρωπαϊκό Σύστημα Λογαριασμών 2010</w:t>
      </w:r>
    </w:p>
    <w:bookmarkEnd w:id="564"/>
    <w:p>
      <w:pPr>
        <w:pStyle w:val="Definition"/>
        <w:ind w:leftChars="0" w:left="480" w:right="0"/>
      </w:pPr>
      <w:r>
        <w:t>Κανονισμός (ΕΕ) αριθ. 549/2013 του Ευρωπαϊκού Κοινοβουλίου και του Συμβουλίου, της 21ης Μαΐου 2013, για το Ευρωπαϊκό σύστημα εθνικών και περιφερειακών λογαριασμών της Ευρωπαϊκής Ένωσης.</w:t>
      </w:r>
    </w:p>
    <w:bookmarkStart w:id="565" w:name="_899a970b8bfbd6615cfdafcd79a6b4b4"/>
    <w:p>
      <w:pPr>
        <w:pStyle w:val="DefinitionTerm"/>
        <w:ind w:leftChars="0" w:left="0" w:right="0"/>
        <w:keepNext/>
      </w:pPr>
      <w:r>
        <w:t>Θεσμική μονάδα</w:t>
      </w:r>
    </w:p>
    <w:bookmarkEnd w:id="565"/>
    <w:p>
      <w:pPr>
        <w:pStyle w:val="Definition"/>
        <w:ind w:leftChars="0" w:left="480" w:right="0"/>
      </w:pPr>
      <w:r>
        <w:t>Μία οικονομική οντότητα που χαρακτηρίζεται από την αυτονομία της σε θέματα λήψης αποφάσεων κατά την άσκηση της κύριας λειτουργία της (Αναλυτικός ορισμός στην παράγραφο 2.10 του ΕΣΛ).</w:t>
      </w:r>
    </w:p>
    <w:bookmarkStart w:id="566" w:name="_3c781cd688829a4978e667b4b61bab7e"/>
    <w:p>
      <w:pPr>
        <w:pStyle w:val="DefinitionTerm"/>
        <w:ind w:leftChars="0" w:left="0" w:right="0"/>
        <w:keepNext/>
      </w:pPr>
      <w:r>
        <w:t>ΜΠΣ</w:t>
      </w:r>
    </w:p>
    <w:bookmarkEnd w:id="566"/>
    <w:bookmarkStart w:id="567" w:name="_87b84997ae57a799540a03e5904e4ab9"/>
    <w:p>
      <w:pPr>
        <w:pStyle w:val="DefinitionTerm"/>
        <w:ind w:leftChars="0" w:left="0" w:right="0"/>
        <w:keepNext/>
      </w:pPr>
      <w:r>
        <w:t>Μονάδα Παροχής Στοιχείων</w:t>
      </w:r>
    </w:p>
    <w:bookmarkEnd w:id="567"/>
    <w:p>
      <w:pPr>
        <w:pStyle w:val="Definition"/>
        <w:ind w:leftChars="0" w:left="480" w:right="0"/>
      </w:pPr>
      <w:r>
        <w:t>Νοείται η θεσμική μονάδα που παρέχει στοιχεία IFDat για έναν ή περισσότερους επενδυτικούς οργανισμούς. Η ΜΠΣ της κάθε ΠΜ είναι είτε η ΠΜ αν η ΠΜ είναι νομική οντότητα, είτε η διαχειρίστρια εταιρεία της αν η ΠΜ δεν είναι νομική οντότητα.</w:t>
      </w:r>
    </w:p>
    <w:bookmarkStart w:id="568" w:name="_979dcbd6a7cb06c24a56fc9f91390e71"/>
    <w:p>
      <w:pPr>
        <w:pStyle w:val="DefinitionTerm"/>
        <w:ind w:leftChars="0" w:left="0" w:right="0"/>
        <w:keepNext/>
      </w:pPr>
      <w:r>
        <w:t>Όντοτητα</w:t>
      </w:r>
    </w:p>
    <w:bookmarkEnd w:id="568"/>
    <w:p>
      <w:pPr>
        <w:pStyle w:val="Definition"/>
        <w:ind w:leftChars="0" w:left="480" w:right="0"/>
      </w:pPr>
      <w:r>
        <w:t>Ως οντότητα νοείται μία μονάδα που περιγράφεται με ένα μοναδικό αναγνωριστικό κωδικό.</w:t>
      </w:r>
    </w:p>
    <w:bookmarkStart w:id="569" w:name="_279e2155564282fa2144fab80f327eda"/>
    <w:p>
      <w:pPr>
        <w:pStyle w:val="DefinitionTerm"/>
        <w:ind w:leftChars="0" w:left="0" w:right="0"/>
        <w:keepNext/>
      </w:pPr>
      <w:r>
        <w:t>ΠΜ</w:t>
      </w:r>
    </w:p>
    <w:bookmarkEnd w:id="569"/>
    <w:bookmarkStart w:id="570" w:name="_5f02ad854e329278efa320925d0bb4ef"/>
    <w:p>
      <w:pPr>
        <w:pStyle w:val="DefinitionTerm"/>
        <w:ind w:leftChars="0" w:left="0" w:right="0"/>
        <w:keepNext/>
      </w:pPr>
      <w:r>
        <w:t>Παρατηρούμενη Μονάδα</w:t>
      </w:r>
    </w:p>
    <w:bookmarkEnd w:id="570"/>
    <w:p>
      <w:pPr>
        <w:pStyle w:val="Definition"/>
        <w:ind w:leftChars="0" w:left="480" w:right="0"/>
      </w:pPr>
      <w:r>
        <w:t>Επενδυτικοί οργανισμοί που είτε απευθείας είτε μέσω διαχειρίστριας εταιρείας αναγγέλλει στοιχεία IFDat.</w:t>
      </w:r>
    </w:p>
    <w:bookmarkEnd w:id="561"/>
    <w:bookmarkEnd w:id="560"/>
    <w:bookmarkEnd w:id="556"/>
    <w:bookmarkEnd w:id="3"/>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lowerLetter"/>
      <w:pPr>
        <w:ind w:left="480" w:hanging="360"/>
      </w:pPr>
    </w:lvl>
  </w:abstractNum>
  <w:abstractNum w:abstractNumId="4">
    <w:multiLevelType w:val="singleLevel"/>
    <w:lvl w:ilvl="0">
      <w:start w:val="1"/>
      <w:lvlText w:val="%1."/>
      <w:lvlJc w:val="left"/>
      <w:numFmt w:val="lowerRoman"/>
      <w:pPr>
        <w:ind w:left="480" w:hanging="360"/>
      </w:pPr>
    </w:lvl>
  </w:abstractNum>
  <w:abstractNum w:abstractNumId="5">
    <w:multiLevelType w:val="singleLevel"/>
    <w:lvl w:ilvl="0">
      <w:start w:val="1"/>
      <w:lvlText w:val="%1."/>
      <w:lvlJc w:val="left"/>
      <w:numFmt w:val="decimal"/>
      <w:pPr>
        <w:ind w:left="480" w:hanging="360"/>
      </w:pPr>
    </w:lvl>
  </w:abstractNum>
  <w:abstractNum w:abstractNumId="6">
    <w:multiLevelType w:val="singleLevel"/>
    <w:lvl w:ilvl="0">
      <w:start w:val="1"/>
      <w:lvlText w:val="%1."/>
      <w:lvlJc w:val="left"/>
      <w:numFmt w:val="decimal"/>
      <w:pPr>
        <w:ind w:left="480" w:hanging="360"/>
      </w:pPr>
    </w:lvl>
  </w:abstractNum>
  <w:abstractNum w:abstractNumId="7">
    <w:multiLevelType w:val="singleLevel"/>
    <w:lvl w:ilvl="0">
      <w:start w:val="1"/>
      <w:lvlText w:val="%1."/>
      <w:lvlJc w:val="left"/>
      <w:numFmt w:val="lowerLetter"/>
      <w:pPr>
        <w:ind w:left="480" w:hanging="360"/>
      </w:pPr>
    </w:lvl>
  </w:abstractNum>
  <w:abstractNum w:abstractNumId="8">
    <w:multiLevelType w:val="singleLevel"/>
    <w:lvl w:ilvl="0">
      <w:start w:val="1"/>
      <w:lvlText w:val="%1."/>
      <w:lvlJc w:val="left"/>
      <w:numFmt w:val="lowerLetter"/>
      <w:pPr>
        <w:ind w:left="480" w:hanging="360"/>
      </w:pPr>
    </w:lvl>
  </w:abstractNum>
  <w:abstractNum w:abstractNumId="9">
    <w:multiLevelType w:val="singleLevel"/>
    <w:lvl w:ilvl="0">
      <w:start w:val="1"/>
      <w:lvlText w:val="%1."/>
      <w:lvlJc w:val="left"/>
      <w:numFmt w:val="lowerRoman"/>
      <w:pPr>
        <w:ind w:left="480" w:hanging="360"/>
      </w:pPr>
    </w:lvl>
  </w:abstractNum>
  <w:abstractNum w:abstractNumId="10">
    <w:multiLevelType w:val="singleLevel"/>
    <w:lvl w:ilvl="0">
      <w:start w:val="1"/>
      <w:lvlText w:val="%1."/>
      <w:lvlJc w:val="left"/>
      <w:numFmt w:val="lowerRoman"/>
      <w:pPr>
        <w:ind w:left="480" w:hanging="360"/>
      </w:pPr>
    </w:lvl>
  </w:abstractNum>
  <w:abstractNum w:abstractNumId="11">
    <w:multiLevelType w:val="singleLevel"/>
    <w:lvl w:ilvl="0">
      <w:start w:val="1"/>
      <w:lvlText w:val="%1)"/>
      <w:lvlJc w:val="left"/>
      <w:numFmt w:val="lowerRoman"/>
      <w:pPr>
        <w:ind w:left="480" w:hanging="360"/>
      </w:pPr>
    </w:lvl>
  </w:abstractNum>
  <w:abstractNum w:abstractNumId="12">
    <w:multiLevelType w:val="singleLevel"/>
    <w:lvl w:ilvl="0">
      <w:start w:val="1"/>
      <w:lvlText w:val="%1."/>
      <w:lvlJc w:val="left"/>
      <w:numFmt w:val="lowerRoman"/>
      <w:pPr>
        <w:ind w:left="480" w:hanging="360"/>
      </w:pPr>
    </w:lvl>
  </w:abstractNum>
  <w:abstractNum w:abstractNumId="13">
    <w:multiLevelType w:val="singleLevel"/>
    <w:lvl w:ilvl="0">
      <w:start w:val="1"/>
      <w:lvlText w:val="%1."/>
      <w:lvlJc w:val="left"/>
      <w:numFmt w:val="lowerRoman"/>
      <w:pPr>
        <w:ind w:left="480" w:hanging="360"/>
      </w:pPr>
    </w:lvl>
  </w:abstractNum>
  <w:abstractNum w:abstractNumId="14">
    <w:multiLevelType w:val="singleLevel"/>
    <w:lvl w:ilvl="0">
      <w:start w:val="1"/>
      <w:lvlText w:val="%1."/>
      <w:lvlJc w:val="left"/>
      <w:numFmt w:val="decimal"/>
      <w:pPr>
        <w:ind w:left="480" w:hanging="360"/>
      </w:pPr>
    </w:lvl>
  </w:abstractNum>
  <w:abstractNum w:abstractNumId="15">
    <w:multiLevelType w:val="singleLevel"/>
    <w:lvl w:ilvl="0">
      <w:start w:val="1"/>
      <w:lvlText w:val="%1."/>
      <w:lvlJc w:val="left"/>
      <w:numFmt w:val="lowerRoman"/>
      <w:pPr>
        <w:ind w:left="480" w:hanging="360"/>
      </w:pPr>
    </w:lvl>
  </w:abstractNum>
  <w:abstractNum w:abstractNumId="16">
    <w:multiLevelType w:val="singleLevel"/>
    <w:lvl w:ilvl="0">
      <w:start w:val="1"/>
      <w:lvlText w:val="%1."/>
      <w:lvlJc w:val="left"/>
      <w:numFmt w:val="decimal"/>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0" w:styleId="Heading 6">
    <w:name w:val="Heading 6"/>
    <w:qFormat/>
    <w:unhideWhenUsed/>
    <w:basedOn w:val="Heading"/>
  </w:style>
  <w:style w:type="paragraph" w:customStye="0" w:styleId="Heading 7">
    <w:name w:val="Heading 7"/>
    <w:qFormat/>
    <w:unhideWhenUsed/>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ifdat-docs.readthedocs.io/el/latest/" TargetMode="External"/><Relationship Id="rId18" Type="http://schemas.openxmlformats.org/officeDocument/2006/relationships/hyperlink" Target="https://ifdat-docs.readthedocs.io/el/latest/whatsnew.html" TargetMode="External"/><Relationship Id="rId19" Type="http://schemas.openxmlformats.org/officeDocument/2006/relationships/hyperlink" Target="https://www.ecb.europa.eu/stats/policy_and_exchange_rates/euro_reference_exchange_rates/html/index.en.html" TargetMode="External"/><Relationship Id="rId20" Type="http://schemas.openxmlformats.org/officeDocument/2006/relationships/hyperlink" Target="https://www.ecb.europa.eu/stats/financial_corporations/list_of_financial_institutions/html/index.el.html" TargetMode="External"/><Relationship Id="rId21" Type="http://schemas.openxmlformats.org/officeDocument/2006/relationships/hyperlink" Target="https://iris.bankofgreece.gr/iris_web/login.xhtml" TargetMode="External"/><Relationship Id="rId22" Type="http://schemas.openxmlformats.org/officeDocument/2006/relationships/hyperlink" Target="mailto:NORDIC@MID" TargetMode="External"/><Relationship Id="rId23" Type="http://schemas.openxmlformats.org/officeDocument/2006/relationships/hyperlink" Target="https://github.com/lerooze/ifdat-docs/issues/new/choose" TargetMode="External"/><Relationship Id="rId24" Type="http://schemas.openxmlformats.org/officeDocument/2006/relationships/hyperlink" Target="https://github.com/lerooze/journey-docs/graphs/contributors" TargetMode="External"/><Relationship Id="rId25" Type="http://schemas.openxmlformats.org/officeDocument/2006/relationships/hyperlink" Target="http://www.apache.org/licenses/LICENSE-2.0"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IFDat-Docs</dc:title>
  <dc:creator xmlns:dc="http://purl.org/dc/elements/1.1/">Antonis Loumiotis</dc:creator>
  <dc:language xmlns:dc="http://purl.org/dc/elements/1.1/">el</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