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"_5996aa734b959f910f3043badd034c9d"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5996aa734b959f910f3043badd034c9d"/>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1"/>
          <w:numId w:val="2"/>
        </w:numPr>
        <w:ind w:leftChars="0" w:left="1080" w:right="0"/>
      </w:pPr>
      <w:r>
        <w:t>ΕΟ συσσώρευσης</w:t>
      </w:r>
    </w:p>
    <w:p>
      <w:pPr>
        <w:pStyle w:val="ListBullet"/>
        <w:numPr>
          <w:ilvl w:val="1"/>
          <w:numId w:val="2"/>
        </w:numPr>
        <w:ind w:leftChars="0" w:left="10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1"/>
          <w:numId w:val="2"/>
        </w:numPr>
        <w:ind w:leftChars="0" w:left="1080" w:right="0"/>
      </w:pPr>
      <w:r>
        <w:t>Κατεξοχήν ιδιώτες επενδυτές</w:t>
      </w:r>
    </w:p>
    <w:p>
      <w:pPr>
        <w:pStyle w:val="ListBullet"/>
        <w:numPr>
          <w:ilvl w:val="1"/>
          <w:numId w:val="2"/>
        </w:numPr>
        <w:ind w:leftChars="0" w:left="10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1"/>
          <w:numId w:val="2"/>
        </w:numPr>
        <w:ind w:leftChars="0" w:left="10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1"/>
          <w:numId w:val="2"/>
        </w:numPr>
        <w:ind w:leftChars="0" w:left="1080" w:right="0"/>
      </w:pPr>
      <w:r>
        <w:t>Παθητική συνθετική</w:t>
      </w:r>
    </w:p>
    <w:p>
      <w:pPr>
        <w:pStyle w:val="ListBullet"/>
        <w:numPr>
          <w:ilvl w:val="1"/>
          <w:numId w:val="2"/>
        </w:numPr>
        <w:ind w:leftChars="0" w:left="10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1"/>
          <w:numId w:val="2"/>
        </w:numPr>
        <w:ind w:leftChars="0" w:left="1080" w:right="0"/>
      </w:pPr>
      <w:r>
        <w:t>Ευρώπη [Ευρωπαϊκός Οικονομικός Χώρος (ΕΟΧ)]</w:t>
      </w:r>
    </w:p>
    <w:p>
      <w:pPr>
        <w:pStyle w:val="ListBullet"/>
        <w:numPr>
          <w:ilvl w:val="1"/>
          <w:numId w:val="2"/>
        </w:numPr>
        <w:ind w:leftChars="0" w:left="1080" w:right="0"/>
      </w:pPr>
      <w:r>
        <w:t>Ευρώπη πλην του ΕΟΧ</w:t>
      </w:r>
    </w:p>
    <w:p>
      <w:pPr>
        <w:pStyle w:val="ListBullet"/>
        <w:numPr>
          <w:ilvl w:val="1"/>
          <w:numId w:val="2"/>
        </w:numPr>
        <w:ind w:leftChars="0" w:left="1080" w:right="0"/>
      </w:pPr>
      <w:r>
        <w:t>Βόρεια Αμερική</w:t>
      </w:r>
    </w:p>
    <w:p>
      <w:pPr>
        <w:pStyle w:val="ListBullet"/>
        <w:numPr>
          <w:ilvl w:val="1"/>
          <w:numId w:val="2"/>
        </w:numPr>
        <w:ind w:leftChars="0" w:left="1080" w:right="0"/>
      </w:pPr>
      <w:r>
        <w:t>Νότια Αμερική</w:t>
      </w:r>
    </w:p>
    <w:p>
      <w:pPr>
        <w:pStyle w:val="ListBullet"/>
        <w:numPr>
          <w:ilvl w:val="1"/>
          <w:numId w:val="2"/>
        </w:numPr>
        <w:ind w:leftChars="0" w:left="1080" w:right="0"/>
      </w:pPr>
      <w:r>
        <w:t>Ασία / Ειρηνικός</w:t>
      </w:r>
    </w:p>
    <w:p>
      <w:pPr>
        <w:pStyle w:val="ListBullet"/>
        <w:numPr>
          <w:ilvl w:val="1"/>
          <w:numId w:val="2"/>
        </w:numPr>
        <w:ind w:leftChars="0" w:left="1080" w:right="0"/>
      </w:pPr>
      <w:r>
        <w:t>Μέση Ανατολή</w:t>
      </w:r>
    </w:p>
    <w:p>
      <w:pPr>
        <w:pStyle w:val="ListBullet"/>
        <w:numPr>
          <w:ilvl w:val="1"/>
          <w:numId w:val="2"/>
        </w:numPr>
        <w:ind w:leftChars="0" w:left="1080" w:right="0"/>
      </w:pPr>
      <w:r>
        <w:t>Αφρική</w:t>
      </w:r>
    </w:p>
    <w:p>
      <w:pPr>
        <w:pStyle w:val="ListBullet"/>
        <w:numPr>
          <w:ilvl w:val="1"/>
          <w:numId w:val="2"/>
        </w:numPr>
        <w:ind w:leftChars="0" w:left="10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1"/>
          <w:numId w:val="2"/>
        </w:numPr>
        <w:ind w:leftChars="0" w:left="10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1"/>
          <w:numId w:val="2"/>
        </w:numPr>
        <w:ind w:leftChars="0" w:left="1080" w:right="0"/>
      </w:pPr>
      <w:r>
        <w:t>Εμπορικά</w:t>
      </w:r>
    </w:p>
    <w:p>
      <w:pPr>
        <w:pStyle w:val="ListBullet"/>
        <w:numPr>
          <w:ilvl w:val="1"/>
          <w:numId w:val="2"/>
        </w:numPr>
        <w:ind w:leftChars="0" w:left="1080" w:right="0"/>
      </w:pPr>
      <w:r>
        <w:t>Βιομηχανικά</w:t>
      </w:r>
    </w:p>
    <w:p>
      <w:pPr>
        <w:pStyle w:val="ListBullet"/>
        <w:numPr>
          <w:ilvl w:val="1"/>
          <w:numId w:val="2"/>
        </w:numPr>
        <w:ind w:leftChars="0" w:left="1080" w:right="0"/>
      </w:pPr>
      <w:r>
        <w:t>Πολλαπλών στρατηγικών</w:t>
      </w:r>
    </w:p>
    <w:p>
      <w:pPr>
        <w:pStyle w:val="ListBullet"/>
        <w:numPr>
          <w:ilvl w:val="1"/>
          <w:numId w:val="2"/>
        </w:numPr>
        <w:ind w:leftChars="0" w:left="1080" w:right="0"/>
      </w:pPr>
      <w:r>
        <w:t>Γραφεία</w:t>
      </w:r>
    </w:p>
    <w:p>
      <w:pPr>
        <w:pStyle w:val="ListBullet"/>
        <w:numPr>
          <w:ilvl w:val="1"/>
          <w:numId w:val="2"/>
        </w:numPr>
        <w:ind w:leftChars="0" w:left="10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480" w:right="0"/>
      </w:pPr>
      <w:r>
        <w:t>δικαιώματα προαίρεσης (options)·</w:t>
      </w:r>
    </w:p>
    <w:p>
      <w:pPr>
        <w:pStyle w:val="ListBullet"/>
        <w:numPr>
          <w:ilvl w:val="0"/>
          <w:numId w:val="2"/>
        </w:numPr>
        <w:ind w:leftChars="0" w:left="480" w:right="0"/>
      </w:pPr>
      <w:r>
        <w:t>παραστατικά μελλοντικής αγοράς αξιογράφων (warrants)·</w:t>
      </w:r>
    </w:p>
    <w:p>
      <w:pPr>
        <w:pStyle w:val="ListBullet"/>
        <w:numPr>
          <w:ilvl w:val="0"/>
          <w:numId w:val="2"/>
        </w:numPr>
        <w:ind w:leftChars="0" w:left="480" w:right="0"/>
      </w:pPr>
      <w:r>
        <w:t>συμβόλαια μελλοντικής εκπλήρωσης (futures)·</w:t>
      </w:r>
    </w:p>
    <w:p>
      <w:pPr>
        <w:pStyle w:val="ListBullet"/>
        <w:numPr>
          <w:ilvl w:val="0"/>
          <w:numId w:val="2"/>
        </w:numPr>
        <w:ind w:leftChars="0" w:left="480" w:right="0"/>
      </w:pPr>
      <w:r>
        <w:t>προθεσμιακά συμβόλαια (forwards)·</w:t>
      </w:r>
    </w:p>
    <w:p>
      <w:pPr>
        <w:pStyle w:val="ListBullet"/>
        <w:numPr>
          <w:ilvl w:val="0"/>
          <w:numId w:val="2"/>
        </w:numPr>
        <w:ind w:leftChars="0" w:left="480" w:right="0"/>
      </w:pPr>
      <w:r>
        <w:t>συμφωνίες ανταλλαγής (swaps)·</w:t>
      </w:r>
    </w:p>
    <w:p>
      <w:pPr>
        <w:pStyle w:val="ListBullet"/>
        <w:numPr>
          <w:ilvl w:val="0"/>
          <w:numId w:val="2"/>
        </w:numPr>
        <w:ind w:leftChars="0" w:left="48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"_c9b129391399d2086e11c2c915fca4b2"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c9b129391399d2086e11c2c915fca4b2"/>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60e87cc10ecc7dff9d83f2e1b0212263"/>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κωδικό του νομίσματος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ΜΕΤΡΗΣΕΙΣ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  Η θέση εμφανίζεται καθαρή από την αύξηση(μείωση) της αξίας λόγω έκδοσης σε τιμή μικρότερης (μεγαλύτερης) της ονομαστικής, η οποία αύξηση(μείωση) εμφανίζεται στους δεδουλευμένους τόκους.</w:t>
      </w:r>
    </w:p>
    <w:p>
      <w:pPr>
        <w:pStyle w:val="Definition"/>
        <w:ind w:leftChars="0" w:left="480" w:right="0"/>
      </w:pPr>
      <w:r>
        <w:t>Θέσεις short εμφανίζονται με αρνητικό πρόσημο.</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Θέσεις short εμφανίζονται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Για τα έντοκα γραμμάτια συμπληρώνεται η αύξηση (μείωση - με αρνητικό πρόσημο) της τιμής του εντόκου που οφείλεται στην έκδοση του εντόκου σε χαμηλότερη (υψηλότερη) τιμή από την ονομαστική.</w:t>
      </w:r>
    </w:p>
    <w:p>
      <w:pPr>
        <w:pStyle w:val="Definition"/>
        <w:ind w:leftChars="0" w:left="480" w:right="0"/>
      </w:pPr>
      <w:r>
        <w:t>Σημειώνεται ότι τα συγκεντρωτικά υπόλοιπα των δεδουλευμένων τόκων αλλα και οι συγκεντρωτικές ροές των συνολικών τοποθετήσεων σε χρεογράφα συμπληρώνονται στα λοιπά στοιχεία ενεργητικού.</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τουλάχιστον μία φορά ο πίνακας </w:t>
      </w:r>
      <w:r>
        <w:rPr>
          <w:b/>
          <w:bCs/>
        </w:rPr>
        <w:t>REF:LN</w:t>
      </w:r>
      <w:r>
        <w:t xml:space="preserve"> που περιλαμβάνει βασικά στοιχεία αναφοράς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Σε περίπτωση συμμετοχικού τίλου δίχως ISIN θα πρέπει να συμπληρωθεί τουλάχιστον μία φορά ο πίνακας </w:t>
      </w:r>
      <w:r>
        <w:rPr>
          <w:b/>
          <w:bCs/>
        </w:rPr>
        <w:t>REF:SHR</w:t>
      </w:r>
      <w:r>
        <w:t xml:space="preserve"> για να δοθούν τα βασικά στοιχεία αναφοράς του τίτλου.</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Θέσεις short δίδονται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
        <w:ind w:leftChars="0" w:left="480" w:right="0"/>
      </w:pPr>
      <w:r>
        <w:t>Θέσεις short δίδονται με αρνητικό πρόσημο.</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τουλάχιστον μία φορά ο πίνακας </w:t>
      </w:r>
      <w:r>
        <w:rPr>
          <w:b/>
          <w:bCs/>
        </w:rPr>
        <w:t>REF:DER</w:t>
      </w:r>
      <w:r>
        <w:t xml:space="preserve"> που περιλαμβάνει βασικά στοιχεία αναφοράς για κάθε παράγωγο.</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Συμπληρώνεται και ο πίνακας REF.CNTRPRTY στην πρώτη αναγγελία του αναγνωριστικού κωδικού.</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B19: Παρεκκλίσεις (DRGTN)</w:t>
        </w:r>
      </w:hyperlink>
    </w:p>
    <w:bookmarkStart w:id="173" w:name="_86b9815adbc0aa92bd39949d0b5e14fb"/>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ΕΟ Εισηγμένος σε οργανωμένη αγορά (IS_LSTD)</w:t>
      </w:r>
    </w:p>
    <w:p>
      <w:pPr>
        <w:pStyle w:val="Definition"/>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Definition"/>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5d4cb8163e8e39d764d53a5594c725b5"/>
    <w:p>
      <w:pPr>
        <w:pStyle w:val="Heading5"/>
        <w:keepNext/>
      </w:pPr>
      <w:r>
        <w:t xml:space="preserve">19 </w:t>
      </w:r>
      <w:r>
        <w:t>Πίνακας B19: Παρεκκλίσεις (DRGTN)</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οι ΕΟ δίδονται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από τη ΜΠΣ εντός μίας εβδομάδας από τη σύστασή τους με τον πρώτο διαθέσιμο ORG κωδικό και μετέπειτα αναγγέλλονται με τους επίσημους κωδικούς που θα αποδωθούν από την ΤτΕ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του ΕΟ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νοικοκυριά/φυσικά πρόσωπα ο κωδικός ORG έχει τη μορφή </w:t>
      </w:r>
      <w:r>
        <w:rPr>
          <w:b/>
          <w:bCs/>
        </w:rPr>
        <w:t>P{RA}_{CODE}</w:t>
      </w:r>
      <w:r>
        <w:t xml:space="preserve"> όπου η θέση </w:t>
      </w:r>
      <w:r>
        <w:rPr>
          <w:b/>
          <w:bCs/>
        </w:rPr>
        <w:t>CODE</w:t>
      </w:r>
      <w:r>
        <w:t xml:space="preserve"> αντικαθίσταται από το αναγνωριστικό κωδικό που έχει αποδώσει η </w:t>
      </w:r>
      <w:r>
        <w:rPr>
          <w:b/>
          <w:bCs/>
        </w:rPr>
        <w:t>ΜΠΣ</w:t>
      </w:r>
      <w:r>
        <w:t xml:space="preserve"> στο νοικοκυριό/φυσικό πρόσωπο.  Η κάθε ΜΠΣ θα πρέπει να λαμβάνει τα απαραίτητα μέτρα έτσι ώστε να μην είναι δυνατή η ταυτοποίση του νοικοκυριού/φυσικού προσώπου από τον κωδικό που τους αποδίδει.</w:t>
      </w:r>
    </w:p>
    <w:p>
      <w:pPr>
        <w:pStyle w:val="Body Text"/>
        <w:ind w:leftChars="0" w:left="0" w:right="0"/>
      </w:pPr>
      <w:r>
        <w:t>Κάθε θεσμική μονάδα μπορεί να έχει ως έχει έως έναν από τους παραπάνω τύπους αναγνωριστικών κωδικών με εξαίρεση τον εσωτερικό αναγνωριστικό κωδικό όπου μπορεί να διαφέρει ανά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για τον ΕΟ που παρέχει στοιχεία καταθέσεων,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για τον ΕΟ που παρέχει στοιχεία δανείων,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για τον ΕΟ που παρέχει στοιχεία,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μετοχή/μερίδιο επενδυτικού οργανισμού για τον ΕΟ που αναγγέλει στοχεία,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DER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η ΜΠΣ  έχει αποδώσει στο διαπραγματεύσιμο χρηματοοικονομικό παράγωγο για τον ΕΟ που αναγγέλει στοιχεία,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"_70bfd5b9e1f5d0477c17a654e323261e"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70bfd5b9e1f5d0477c17a654e323261e"/>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"_aa701677b85453bd5f1a0069c63f8133"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aa701677b85453bd5f1a0069c63f8133"/>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Παρέκκλιση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Παρέκκλιση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"_a28ff4ac57bfbda3825121e5ef7e305d"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a28ff4ac57bfbda3825121e5ef7e305d"/>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w:t>
      </w:r>
    </w:p>
    <w:p>
      <w:pPr>
        <w:pStyle w:val="Body Text"/>
        <w:ind w:leftChars="0" w:left="0" w:right="0"/>
      </w:pPr>
      <w:r>
        <w:t>Περιλαμβάνονται παραδείγματα με:</w:t>
      </w:r>
    </w:p>
    <w:p>
      <w:pPr>
        <w:pStyle w:val="ListBullet"/>
        <w:numPr>
          <w:ilvl w:val="0"/>
          <w:numId w:val="2"/>
        </w:numPr>
        <w:ind w:leftChars="0" w:left="480" w:right="0"/>
      </w:pPr>
      <w:r>
        <w:t>χειρισμοί χρηματοοικονομικών μέσων</w:t>
      </w:r>
    </w:p>
    <w:p>
      <w:pPr>
        <w:pStyle w:val="ListBullet"/>
        <w:numPr>
          <w:ilvl w:val="0"/>
          <w:numId w:val="2"/>
        </w:numPr>
        <w:ind w:leftChars="0" w:left="480" w:right="0"/>
      </w:pPr>
      <w:r>
        <w:t>αρχεία IFDAT μορφής json και excel</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"_ad0b8996f6bc9a1948c1c3ea6441e139" \h \z \u </w:instrText>
          </w:r>
          <w:r>
            <w:fldChar w:fldCharType="separate"/>
          </w:r>
          <w:hyperlink w:anchor="_0f9fcc7cb51fdde2554c2a85cd871f5c" w:history="1">
            <w:r>
              <w:t>Παραδείγματα χειρισμών χρηματοοικονομικών μέσων</w:t>
            </w:r>
            <w:r>
              <w:rPr>
                <w:webHidden/>
              </w:rPr>
              <w:tab/>
            </w:r>
            <w:r>
              <w:fldChar w:fldCharType="begin"/>
            </w:r>
            <w:r>
              <w:rPr>
                <w:webHidden/>
              </w:rPr>
              <w:instrText xml:space="preserve"> PAGEREF _0f9fcc7cb51fdde2554c2a85cd871f5c \h </w:instrText>
            </w:r>
            <w:r>
              <w:fldChar w:fldCharType="separate"/>
            </w:r>
            <w:r>
              <w:rPr>
                <w:webHidden/>
              </w:rPr>
              <w:t>X</w:t>
            </w:r>
            <w:r>
              <w:fldChar w:fldCharType="end"/>
            </w:r>
          </w:hyperlink>
        </w:p>
        <w:p>
          <w:pPr>
            <w:pStyle w:val="toc 1"/>
            <w:tabs>
              <w:tab w:val="right" w:leader="dot" w:pos="8488"/>
            </w:tabs>
            <w:rPr>
              <w:b w:val="0"/>
              <w:noProof/>
            </w:rPr>
          </w:pPr>
          <w:hyperlink w:anchor="_8a06edd21abeea046b7929c4c766e3ab" w:history="1">
            <w:r>
              <w:t>Παραδείγματα συμπληρωμένων αρχείων</w:t>
            </w:r>
            <w:r>
              <w:rPr>
                <w:webHidden/>
              </w:rPr>
              <w:tab/>
            </w:r>
            <w:r>
              <w:fldChar w:fldCharType="begin"/>
            </w:r>
            <w:r>
              <w:rPr>
                <w:webHidden/>
              </w:rPr>
              <w:instrText xml:space="preserve"> PAGEREF _8a06edd21abeea046b7929c4c766e3ab \h </w:instrText>
            </w:r>
            <w:r>
              <w:fldChar w:fldCharType="separate"/>
            </w:r>
            <w:r>
              <w:rPr>
                <w:webHidden/>
              </w:rPr>
              <w:t>X</w:t>
            </w:r>
            <w:r>
              <w:fldChar w:fldCharType="end"/>
            </w:r>
          </w:hyperlink>
        </w:p>
        <w:p>
          <w:r>
            <w:fldChar w:fldCharType="end"/>
          </w:r>
        </w:p>
      </w:sdtContent>
    </w:sdt>
    <w:bookmarkStart w:id="474" w:name="_ad0b8996f6bc9a1948c1c3ea6441e139"/>
    <w:bookmarkStart w:id="475" w:name="_0f9fcc7cb51fdde2554c2a85cd871f5c"/>
    <w:bookmarkStart w:id="476" w:name="_b7ed92474f50b2d73c944fe7039dbd06"/>
    <w:p>
      <w:pPr>
        <w:pStyle w:val="Heading4"/>
        <w:keepNext/>
      </w:pPr>
      <w:r>
        <w:t>Παραδείγματα χειρισμών χρηματοοικονομικών μέσων</w:t>
      </w:r>
    </w:p>
    <w:p>
      <w:pPr>
        <w:pStyle w:val="Body Text"/>
        <w:ind w:leftChars="0" w:left="0" w:right="0"/>
      </w:pPr>
      <w:r>
        <w:t>Τα συγκεκριμένα παραδείγματα αφορούν χειρισμούς για την αγορά, διακράτηση και πώληση χρηματοοικονομικών μέσων.</w:t>
      </w:r>
    </w:p>
    <w:p>
      <w:pPr>
        <w:pStyle w:val="Body Text"/>
        <w:ind w:leftChars="0" w:left="0" w:right="0"/>
      </w:pPr>
      <w:r>
        <w:t>Για την απλοποίηση των παραδειγμάτων γίνεται η παραδοχή ότι ο ΕΟ έχει εκδώσει 1 μερίδιο/μετοχή και ότι τα κέρδη συσσωρεύονται στη λογιστική τιμή του μεριδίου/μετοχής. Τα παραδείγματα είναι αυτοτελή με την έννοια ότι οι λογιστικοί έλεγχοι ικανοποιούνται.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"_12e2dab38b306e9296f5e6c2ec7e408d" \h \z \u </w:instrText>
          </w:r>
          <w:r>
            <w:fldChar w:fldCharType="separate"/>
          </w:r>
          <w:hyperlink w:anchor="_daea920c6556112311b60ff2a3d12295" w:history="1">
            <w:r>
              <w:t>Oμόλογο</w:t>
            </w:r>
            <w:r>
              <w:rPr>
                <w:webHidden/>
              </w:rPr>
              <w:tab/>
            </w:r>
            <w:r>
              <w:fldChar w:fldCharType="begin"/>
            </w:r>
            <w:r>
              <w:rPr>
                <w:webHidden/>
              </w:rPr>
              <w:instrText xml:space="preserve"> PAGEREF _daea920c6556112311b60ff2a3d12295 \h </w:instrText>
            </w:r>
            <w:r>
              <w:fldChar w:fldCharType="separate"/>
            </w:r>
            <w:r>
              <w:rPr>
                <w:webHidden/>
              </w:rPr>
              <w:t>X</w:t>
            </w:r>
            <w:r>
              <w:fldChar w:fldCharType="end"/>
            </w:r>
          </w:hyperlink>
        </w:p>
        <w:p>
          <w:pPr>
            <w:pStyle w:val="toc 1"/>
            <w:tabs>
              <w:tab w:val="right" w:leader="dot" w:pos="8488"/>
            </w:tabs>
            <w:rPr>
              <w:b w:val="0"/>
              <w:noProof/>
            </w:rPr>
          </w:pPr>
          <w:hyperlink w:anchor="_af07fa16165a3f641cab215d1206098c" w:history="1">
            <w:r>
              <w:t>΄Εντοκο γραμμάτιο</w:t>
            </w:r>
            <w:r>
              <w:rPr>
                <w:webHidden/>
              </w:rPr>
              <w:tab/>
            </w:r>
            <w:r>
              <w:fldChar w:fldCharType="begin"/>
            </w:r>
            <w:r>
              <w:rPr>
                <w:webHidden/>
              </w:rPr>
              <w:instrText xml:space="preserve"> PAGEREF _af07fa16165a3f641cab215d1206098c \h </w:instrText>
            </w:r>
            <w:r>
              <w:fldChar w:fldCharType="separate"/>
            </w:r>
            <w:r>
              <w:rPr>
                <w:webHidden/>
              </w:rPr>
              <w:t>X</w:t>
            </w:r>
            <w:r>
              <w:fldChar w:fldCharType="end"/>
            </w:r>
          </w:hyperlink>
        </w:p>
        <w:p>
          <w:pPr>
            <w:pStyle w:val="toc 1"/>
            <w:tabs>
              <w:tab w:val="right" w:leader="dot" w:pos="8488"/>
            </w:tabs>
            <w:rPr>
              <w:b w:val="0"/>
              <w:noProof/>
            </w:rPr>
          </w:pPr>
          <w:hyperlink w:anchor="_836bc7ed9ec21a34ed5c7f2eac92fc1e" w:history="1">
            <w:r>
              <w:t>Mετοχή</w:t>
            </w:r>
            <w:r>
              <w:rPr>
                <w:webHidden/>
              </w:rPr>
              <w:tab/>
            </w:r>
            <w:r>
              <w:fldChar w:fldCharType="begin"/>
            </w:r>
            <w:r>
              <w:rPr>
                <w:webHidden/>
              </w:rPr>
              <w:instrText xml:space="preserve"> PAGEREF _836bc7ed9ec21a34ed5c7f2eac92fc1e \h </w:instrText>
            </w:r>
            <w:r>
              <w:fldChar w:fldCharType="separate"/>
            </w:r>
            <w:r>
              <w:rPr>
                <w:webHidden/>
              </w:rPr>
              <w:t>X</w:t>
            </w:r>
            <w:r>
              <w:fldChar w:fldCharType="end"/>
            </w:r>
          </w:hyperlink>
        </w:p>
        <w:p>
          <w:pPr>
            <w:pStyle w:val="toc 1"/>
            <w:tabs>
              <w:tab w:val="right" w:leader="dot" w:pos="8488"/>
            </w:tabs>
            <w:rPr>
              <w:b w:val="0"/>
              <w:noProof/>
            </w:rPr>
          </w:pPr>
          <w:hyperlink w:anchor="_83ea734fd5f23ed50c82758fab709b42" w:history="1">
            <w:r>
              <w:t>Πώληση μετοχής short</w:t>
            </w:r>
            <w:r>
              <w:rPr>
                <w:webHidden/>
              </w:rPr>
              <w:tab/>
            </w:r>
            <w:r>
              <w:fldChar w:fldCharType="begin"/>
            </w:r>
            <w:r>
              <w:rPr>
                <w:webHidden/>
              </w:rPr>
              <w:instrText xml:space="preserve"> PAGEREF _83ea734fd5f23ed50c82758fab709b42 \h </w:instrText>
            </w:r>
            <w:r>
              <w:fldChar w:fldCharType="separate"/>
            </w:r>
            <w:r>
              <w:rPr>
                <w:webHidden/>
              </w:rPr>
              <w:t>X</w:t>
            </w:r>
            <w:r>
              <w:fldChar w:fldCharType="end"/>
            </w:r>
          </w:hyperlink>
        </w:p>
        <w:p>
          <w:pPr>
            <w:pStyle w:val="toc 1"/>
            <w:tabs>
              <w:tab w:val="right" w:leader="dot" w:pos="8488"/>
            </w:tabs>
            <w:rPr>
              <w:b w:val="0"/>
              <w:noProof/>
            </w:rPr>
          </w:pPr>
          <w:hyperlink w:anchor="_8c03bb2d16fd7d3672e7b06d4e84a829" w:history="1">
            <w:r>
              <w:t>ΣΜΕ</w:t>
            </w:r>
            <w:r>
              <w:rPr>
                <w:webHidden/>
              </w:rPr>
              <w:tab/>
            </w:r>
            <w:r>
              <w:fldChar w:fldCharType="begin"/>
            </w:r>
            <w:r>
              <w:rPr>
                <w:webHidden/>
              </w:rPr>
              <w:instrText xml:space="preserve"> PAGEREF _8c03bb2d16fd7d3672e7b06d4e84a829 \h </w:instrText>
            </w:r>
            <w:r>
              <w:fldChar w:fldCharType="separate"/>
            </w:r>
            <w:r>
              <w:rPr>
                <w:webHidden/>
              </w:rPr>
              <w:t>X</w:t>
            </w:r>
            <w:r>
              <w:fldChar w:fldCharType="end"/>
            </w:r>
          </w:hyperlink>
        </w:p>
        <w:p>
          <w:pPr>
            <w:pStyle w:val="toc 1"/>
            <w:tabs>
              <w:tab w:val="right" w:leader="dot" w:pos="8488"/>
            </w:tabs>
            <w:rPr>
              <w:b w:val="0"/>
              <w:noProof/>
            </w:rPr>
          </w:pPr>
          <w:hyperlink w:anchor="_ab654c92a1ccd1bc54dcd385a609b3ec" w:history="1">
            <w:r>
              <w:t>SWAP</w:t>
            </w:r>
            <w:r>
              <w:rPr>
                <w:webHidden/>
              </w:rPr>
              <w:tab/>
            </w:r>
            <w:r>
              <w:fldChar w:fldCharType="begin"/>
            </w:r>
            <w:r>
              <w:rPr>
                <w:webHidden/>
              </w:rPr>
              <w:instrText xml:space="preserve"> PAGEREF _ab654c92a1ccd1bc54dcd385a609b3ec \h </w:instrText>
            </w:r>
            <w:r>
              <w:fldChar w:fldCharType="separate"/>
            </w:r>
            <w:r>
              <w:rPr>
                <w:webHidden/>
              </w:rPr>
              <w:t>X</w:t>
            </w:r>
            <w:r>
              <w:fldChar w:fldCharType="end"/>
            </w:r>
          </w:hyperlink>
        </w:p>
        <w:p>
          <w:r>
            <w:fldChar w:fldCharType="end"/>
          </w:r>
        </w:p>
      </w:sdtContent>
    </w:sdt>
    <w:bookmarkStart w:id="477" w:name="_12e2dab38b306e9296f5e6c2ec7e408d"/>
    <w:bookmarkStart w:id="478" w:name="_daea920c6556112311b60ff2a3d12295"/>
    <w:bookmarkStart w:id="479" w:name="_433d4ac2359565741be77f2508ce7f2c"/>
    <w:p>
      <w:pPr>
        <w:pStyle w:val="Heading5"/>
        <w:keepNext/>
      </w:pPr>
      <w:r>
        <w:t>Oμόλογο</w:t>
      </w:r>
    </w:p>
    <w:bookmarkStart w:id="480" w:name="_c64baaeebecc24d1dc845d456a6eb919"/>
    <w:p>
      <w:pPr>
        <w:pStyle w:val="Heading 6"/>
        <w:keepNext/>
      </w:pPr>
      <w:r>
        <w:t>ΠΕΡΙΟΔΟΣ Τ0</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0"/>
    <w:bookmarkStart w:id="481" w:name="_c71de058e03e5be525a66c489b5357da"/>
    <w:p>
      <w:pPr>
        <w:pStyle w:val="Heading 6"/>
        <w:keepNext/>
      </w:pPr>
      <w:r>
        <w:t>ΠΕΡΙΟΔΟΣ Τ1</w:t>
      </w:r>
    </w:p>
    <w:p>
      <w:pPr>
        <w:pStyle w:val="Body Text"/>
        <w:ind w:leftChars="0" w:left="0" w:right="0"/>
      </w:pPr>
      <w:r>
        <w:t>Στα τέλος της περιόδου Τ1 ο ΕΟ πραγματοποιεί αγοϱά 10 ομολόγων σε τιμή 20 ευρώ ανά ομόλογο με την τιμή να παραμένει σταθερή έως και στο τέλος της περιόδου Τ4. Για να απλοποιηθεί το παράδειγμα γίνεται η παραδοχή ότι η τιμή των 20 ευρώ ανά ομόλογο αποτελεί και την ονομαστική τιμή καθώς και ότι τα ομόλογα αυτά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συσσωρεύονται δεδουλευμένοι τόκοι αξίας 10 ευρώ:</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1010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Τ3 συσσωρεύονται επιπλέον δεδουλευμένοι τόκοι αξίας 10 ευρώ και στο τέλος της περιόδου εισπράττεται τοκομερίδιο αξίας 20 ευρώ:</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 = 10-20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Τ4 συσσωρεύονται επιπλέον δεδουλευμένοι τόκοι αξίας 10 ευρώ και στο τέλος της περιόδου πωλούνται τα ομόλογα.</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 = 10-10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1030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1030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bookmarkEnd w:id="481"/>
    <w:bookmarkEnd w:id="479"/>
    <w:bookmarkEnd w:id="478"/>
    <w:bookmarkStart w:id="482" w:name="_af07fa16165a3f641cab215d1206098c"/>
    <w:bookmarkStart w:id="483" w:name="_117142862f1213c72d0a3c96b79088a6"/>
    <w:p>
      <w:pPr>
        <w:pStyle w:val="Heading5"/>
        <w:keepNext/>
      </w:pPr>
      <w:r>
        <w:t>΄Εντοκο γραμμάτιο</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2 εντόκων γραμματίων σε τιμή 90 ευρώ ανά τεμάχιο τα οποία λήγουν στο τέλος της περιόδου Τ3 με ονομαστική τιμή 100 ευρώ ανά τεμάχιο. Για την απλοποίηση του παραδείγματος γίνεται η παραδοχή ότι τα ομόλογα αυτά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συσσωρεύονται έμμεσα δεδουλευμένοι τόκοι αξίας 10 ευρώ από την αύξηση στην αξία των εντόκων λόγω αγοράς των εντόκων σε τιμή χαμηλότερη της ονομαστικής.  Προσοχή: η παραπάνω αύξηση της αξίας των εντόκων γραμματίων συμπληρώνεται στους δεδουλευμένους τόκους (ACCRLS) και το STCK συμπληρώνεται ως καθαρό (χωρίς να περιλαμβάνει αυτή την αύξηση):</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200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1010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p>
      <w:pPr>
        <w:pStyle w:val="Body Text"/>
        <w:ind w:leftChars="0" w:left="0" w:right="0"/>
      </w:pPr>
      <w:r>
        <w:t>Στην περίοδο Τ3 συσσωρεύονται επιπλέον έμμεσοι δεδουλευμένοι τόκοι αξίας 10 ευρώ και στο τέλος της περιόδου αποπληρώνεται το έντοκο γραμμάτιο:</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ACC.ASST_DBT</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r>
        <w:trPr>
          <w:cnfStyle w:evenHBand="false" w:oddHBand="true" w:firstRow="false"/>
        </w:trPr>
        <w:tc>
          <w:tcPr>
            <w:cnfStyle w:evenVBand="false" w:oddVBand="true" w:firstColumn="false"/>
            <w:tcW w:w="31.428571%" w:type="pct"/>
          </w:tcPr>
          <w:p>
            <w:pPr>
              <w:ind w:leftChars="0" w:left="0" w:right="0"/>
            </w:pPr>
            <w:r>
              <w:t>NMNL_STCK</w:t>
            </w:r>
          </w:p>
        </w:tc>
        <w:tc>
          <w:tcPr>
            <w:cnfStyle w:evenVBand="true" w:oddVBand="false" w:firstColumn="false"/>
            <w:tcW w:w="68.571429%" w:type="pct"/>
          </w:tcPr>
          <w:p>
            <w:pPr>
              <w:ind w:leftChars="0" w:left="0" w:right="0"/>
            </w:pPr>
            <w:r>
              <w:t>0</w:t>
            </w:r>
          </w:p>
        </w:tc>
      </w:tr>
      <w:tr>
        <w:trPr>
          <w:cnfStyle w:evenHBand="true" w:oddHBand="false" w:firstRow="false"/>
        </w:trPr>
        <w:tc>
          <w:tcPr>
            <w:cnfStyle w:evenVBand="false" w:oddVBand="true" w:firstColumn="false"/>
            <w:tcW w:w="31.428571%" w:type="pct"/>
          </w:tcPr>
          <w:p>
            <w:pPr>
              <w:ind w:leftChars="0" w:left="0" w:right="0"/>
            </w:pPr>
            <w:r>
              <w:t>LND_FR_SFT</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ACCRLS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ACC.ASST_RMNNG</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TYP</w:t>
            </w:r>
          </w:p>
        </w:tc>
        <w:tc>
          <w:tcPr>
            <w:cnfStyle w:evenVBand="true" w:oddVBand="false" w:firstColumn="false"/>
            <w:tcW w:w="68.571429%" w:type="pct"/>
          </w:tcPr>
          <w:p>
            <w:pPr>
              <w:ind w:leftChars="0" w:left="0" w:right="0"/>
            </w:pPr>
            <w:r>
              <w:t>AI_DBT</w:t>
            </w:r>
          </w:p>
        </w:tc>
      </w:tr>
      <w:tr>
        <w:trPr>
          <w:cnfStyle w:evenHBand="true" w:oddHBand="fals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0</w:t>
            </w:r>
          </w:p>
        </w:tc>
      </w:tr>
      <w:tr>
        <w:trPr>
          <w:cnfStyle w:evenHBand="false" w:oddHBand="tru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 = 10-20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200 = 180+20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10</w:t>
            </w:r>
          </w:p>
        </w:tc>
      </w:tr>
    </w:tbl>
    <w:p>
      <w:pPr>
        <w:pStyle w:val="Table Bottom Margin"/>
      </w:pPr>
    </w:p>
    <w:bookmarkEnd w:id="483"/>
    <w:bookmarkEnd w:id="482"/>
    <w:bookmarkStart w:id="484" w:name="_836bc7ed9ec21a34ed5c7f2eac92fc1e"/>
    <w:bookmarkStart w:id="485" w:name="_c672addb02aa6b0f2e098425c678aa95"/>
    <w:p>
      <w:pPr>
        <w:pStyle w:val="Heading5"/>
        <w:keepNext/>
      </w:pPr>
      <w:r>
        <w:t>Mετοχή</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10 μετοχών σε τιμή 18 ευρώ ανά μετοχή. Για την απλοποίηση του παραδείγματος γίνεται η παραδοχή ότι οι μετοχές αυτές δεν έχουν δοθεί ως δάνειο σε αντιστρεπτέες πράξεις:</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180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η τιμή των μετοχών αυξάνεται σε 20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200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820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Τ3 δίδονται μέρισμα 1.5 ευρώ ανά μετοχή και η τιμή της μετοχής πέφτει στα 18.5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185</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835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15 = 1.5*10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15</w:t>
            </w:r>
          </w:p>
        </w:tc>
      </w:tr>
    </w:tbl>
    <w:p>
      <w:pPr>
        <w:pStyle w:val="Table Bottom Margin"/>
      </w:pPr>
    </w:p>
    <w:p>
      <w:pPr>
        <w:pStyle w:val="Body Text"/>
        <w:ind w:leftChars="0" w:left="0" w:right="0"/>
      </w:pPr>
      <w:r>
        <w:t>Στην περίοδο Τ4 γίνεται πώληση των μετοχών σε τιμή 19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-190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1025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190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1025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5"/>
    <w:bookmarkEnd w:id="484"/>
    <w:bookmarkStart w:id="486" w:name="_83ea734fd5f23ed50c82758fab709b42"/>
    <w:bookmarkStart w:id="487" w:name="_af458c0f002230e59ff0ea5a206e1a9a"/>
    <w:p>
      <w:pPr>
        <w:pStyle w:val="Heading5"/>
        <w:keepNext/>
      </w:pPr>
      <w:r>
        <w:t>Πώληση μετοχής short</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πώληση 10 μετοχών (short) σε τιμή 18 ευρώ ανά μετοχή:</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-180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180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Τ1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Τ2 η τιμή των μετοχών αυξάνεται σε 20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-200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1180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980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Στην περίοδο Τ3 δίδεται μέρισμα 1.5 ευρώ ανά μετοχή και η τιμή της μετοχής πέφτει στα 18.5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-185</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1165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-15 = -1.5*10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965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-15</w:t>
            </w:r>
          </w:p>
        </w:tc>
      </w:tr>
    </w:tbl>
    <w:p>
      <w:pPr>
        <w:pStyle w:val="Table Bottom Margin"/>
      </w:pPr>
    </w:p>
    <w:p>
      <w:pPr>
        <w:pStyle w:val="Body Text"/>
        <w:ind w:leftChars="0" w:left="0" w:right="0"/>
      </w:pPr>
      <w:r>
        <w:t>Στην περίοδο Τ4 γίνεται επαναγορά των μετοχών σε τιμή 19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ACC.ASST_SHR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190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LND_FR_SFT</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IS_DRCT_INVSTMNT</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975</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-190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975</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7"/>
    <w:bookmarkEnd w:id="486"/>
    <w:bookmarkStart w:id="488" w:name="_8c03bb2d16fd7d3672e7b06d4e84a829"/>
    <w:bookmarkStart w:id="489" w:name="_391be87127d949ac7e9c4a8fdd99d90e"/>
    <w:p>
      <w:pPr>
        <w:pStyle w:val="Heading5"/>
        <w:keepNext/>
      </w:pPr>
      <w:r>
        <w:t>ΣΜΕ</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πραγματοποιεί αγοϱά 2 τυποποιημένων ΣΜΕ με τιμή του δείκτη αναφοράς τις 1000 μονάδες με κατάθεση περιθωρίου:</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2</w:t>
            </w:r>
          </w:p>
        </w:tc>
      </w:tr>
    </w:tbl>
    <w:p>
      <w:pPr>
        <w:pStyle w:val="Table Bottom Margin"/>
      </w:pPr>
    </w:p>
    <w:p>
      <w:pPr>
        <w:pStyle w:val="Body Text"/>
        <w:ind w:leftChars="0" w:left="0" w:right="0"/>
      </w:pPr>
      <w:r>
        <w:t>Στο τέλος της περιόδου Τ2 η τιμή του δείκτη αναφοράς αυξάνεται στις 1100 μονάδες:</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-1000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2</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Τ3 η τιμή του δείκτη αναφοράς μειώνεται στις 1050 μονάδες και πωλούνται τα ΣΜΕ.</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500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1500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-500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1500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89"/>
    <w:bookmarkEnd w:id="488"/>
    <w:bookmarkStart w:id="490" w:name="_ab654c92a1ccd1bc54dcd385a609b3ec"/>
    <w:bookmarkStart w:id="491" w:name="_2561b1d40a8103d38377bb9f07318fbc"/>
    <w:p>
      <w:pPr>
        <w:pStyle w:val="Heading5"/>
        <w:keepNext/>
      </w:pPr>
      <w:r>
        <w:t>SWAP</w:t>
      </w:r>
    </w:p>
    <w:p>
      <w:pPr>
        <w:pStyle w:val="Body Text"/>
        <w:ind w:leftChars="0" w:left="0" w:right="0"/>
      </w:pPr>
      <w:r>
        <w:t>Στην περίοδο Τ0 ο ΕΟ έχει 1000 ευρώ σε καταθέσεις:</w:t>
      </w: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Τ0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Στα τέλος της περιόδου Τ1 ο ΕΟ διενεργεί συναλλαγές σε ένα swap με διάρκεια έως το τέλος της περιόδου Τ5:</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Τ1: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p>
      <w:pPr>
        <w:pStyle w:val="Body Text"/>
        <w:ind w:leftChars="0" w:left="0" w:right="0"/>
      </w:pPr>
      <w:r>
        <w:t>Στο τέλος της περιόδου Τ2 η μεταβολή των υποκείμενων στοιχείων του swap προκάλεσαν την αύξηση της αξίας του για τον ΕΟ στα 1000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Τ2: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1000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Τ2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2000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Τ3 η μεταβολή των υποκείμενων στοιχείων του swap προκάλεσαν την μείωση της αξίας του για τον ΕΟ στα 100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Τ3: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100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Τ3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1100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Τ4 η μεταβολή των υποκείμενων στοιχείων του swap είχαν ως αποτέλεσμα η αξία του για τον ΕΟ να είναι αρνητική 500 ευρώ:</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Τ4: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-500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1</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Τ4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500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p>
      <w:pPr>
        <w:pStyle w:val="Body Text"/>
        <w:ind w:leftChars="0" w:left="0" w:right="0"/>
      </w:pPr>
      <w:r>
        <w:t>Στο τέλος της περιόδου Τ5 η μεταβολή των υποκείμενων στοιχείων του swap είχαν ως αποτέλεσμα η αξία του για τον ΕΟ να είναι αρνητική 100 ευρώ όπου και λήγει:</w:t>
      </w:r>
    </w:p>
    <w:tbl>
      <w:tblPr>
        <w:tblStyle w:val="Table"/>
        <w:tblW w:w="0" w:type="auto"/>
        <w:tblInd w:w="0" w:type="dxa"/>
        <w:tblLook w:noHBand="false" w:noVBand="false" w:lastRow="false" w:lastColumn="false" w:firstRow="true" w:firstColumn="false"/>
      </w:tblPr>
      <w:tblGrid>
        <w:gridCol w:w="3884"/>
        <w:gridCol w:w="4613"/>
      </w:tblGrid>
      <w:tr>
        <w:trPr>
          <w:cnfStyle w:evenHBand="false" w:oddHBand="true" w:firstRow="true"/>
        </w:trPr>
        <w:tc>
          <w:tcPr>
            <w:cnfStyle w:evenVBand="false" w:oddVBand="true" w:firstColumn="false"/>
            <w:tcW w:w="100.000000%" w:type="pct"/>
            <w:gridSpan w:val="2"/>
          </w:tcPr>
          <w:p>
            <w:pPr>
              <w:ind w:leftChars="0" w:left="0" w:right="0"/>
              <w:keepNext/>
            </w:pPr>
            <w:r>
              <w:t>Τ5: ACC.DER</w:t>
            </w:r>
          </w:p>
        </w:tc>
      </w:tr>
      <w:tr>
        <w:trPr>
          <w:cnfStyle w:evenHBand="true" w:oddHBand="false" w:firstRow="true"/>
          <w:tblHeader/>
        </w:trPr>
        <w:tc>
          <w:tcPr>
            <w:cnfStyle w:evenVBand="false" w:oddVBand="true" w:firstColumn="false"/>
            <w:tcW w:w="45.714286%" w:type="pct"/>
          </w:tcPr>
          <w:p>
            <w:pPr>
              <w:ind w:leftChars="0" w:left="0" w:right="0"/>
              <w:keepNext/>
            </w:pPr>
            <w:r>
              <w:t>Μεταβλητή</w:t>
            </w:r>
          </w:p>
        </w:tc>
        <w:tc>
          <w:tcPr>
            <w:cnfStyle w:evenVBand="true" w:oddVBand="false" w:firstColumn="false"/>
            <w:tcW w:w="54.285714%" w:type="pct"/>
          </w:tcPr>
          <w:p>
            <w:pPr>
              <w:ind w:leftChars="0" w:left="0" w:right="0"/>
              <w:keepNext/>
            </w:pPr>
            <w:r>
              <w:t>Τιμή</w:t>
            </w:r>
          </w:p>
        </w:tc>
      </w:tr>
      <w:tr>
        <w:trPr>
          <w:cnfStyle w:evenHBand="false" w:oddHBand="true" w:firstRow="false"/>
        </w:trPr>
        <w:tc>
          <w:tcPr>
            <w:cnfStyle w:evenVBand="false" w:oddVBand="true" w:firstColumn="false"/>
            <w:tcW w:w="45.714286%" w:type="pct"/>
          </w:tcPr>
          <w:p>
            <w:pPr>
              <w:ind w:leftChars="0" w:left="0" w:right="0"/>
            </w:pPr>
            <w:r>
              <w:t>STCK</w:t>
            </w:r>
          </w:p>
        </w:tc>
        <w:tc>
          <w:tcPr>
            <w:cnfStyle w:evenVBand="true" w:oddVBand="false" w:firstColumn="false"/>
            <w:tcW w:w="54.285714%" w:type="pct"/>
          </w:tcPr>
          <w:p>
            <w:pPr>
              <w:ind w:leftChars="0" w:left="0" w:right="0"/>
            </w:pPr>
            <w:r>
              <w:t>0 = -100 + 100</w:t>
            </w:r>
          </w:p>
        </w:tc>
      </w:tr>
      <w:tr>
        <w:trPr>
          <w:cnfStyle w:evenHBand="true" w:oddHBand="false" w:firstRow="false"/>
        </w:trPr>
        <w:tc>
          <w:tcPr>
            <w:cnfStyle w:evenVBand="false" w:oddVBand="true" w:firstColumn="false"/>
            <w:tcW w:w="45.714286%" w:type="pct"/>
          </w:tcPr>
          <w:p>
            <w:pPr>
              <w:ind w:leftChars="0" w:left="0" w:right="0"/>
            </w:pPr>
            <w:r>
              <w:t>FLS</w:t>
            </w:r>
          </w:p>
        </w:tc>
        <w:tc>
          <w:tcPr>
            <w:cnfStyle w:evenVBand="true" w:oddVBand="false" w:firstColumn="false"/>
            <w:tcW w:w="54.285714%" w:type="pct"/>
          </w:tcPr>
          <w:p>
            <w:pPr>
              <w:ind w:leftChars="0" w:left="0" w:right="0"/>
            </w:pPr>
            <w:r>
              <w:t>100</w:t>
            </w:r>
          </w:p>
        </w:tc>
      </w:tr>
      <w:tr>
        <w:trPr>
          <w:cnfStyle w:evenHBand="false" w:oddHBand="true" w:firstRow="false"/>
        </w:trPr>
        <w:tc>
          <w:tcPr>
            <w:cnfStyle w:evenVBand="false" w:oddVBand="true" w:firstColumn="false"/>
            <w:tcW w:w="45.714286%" w:type="pct"/>
          </w:tcPr>
          <w:p>
            <w:pPr>
              <w:ind w:leftChars="0" w:left="0" w:right="0"/>
            </w:pPr>
            <w:r>
              <w:t>QNTTY</w:t>
            </w:r>
          </w:p>
        </w:tc>
        <w:tc>
          <w:tcPr>
            <w:cnfStyle w:evenVBand="true" w:oddVBand="false" w:firstColumn="false"/>
            <w:tcW w:w="54.285714%" w:type="pct"/>
          </w:tcPr>
          <w:p>
            <w:pPr>
              <w:ind w:leftChars="0" w:left="0" w:right="0"/>
            </w:pPr>
            <w:r>
              <w:t>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Τ5: ACC.DPSTS</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STCK</w:t>
            </w:r>
          </w:p>
        </w:tc>
        <w:tc>
          <w:tcPr>
            <w:cnfStyle w:evenVBand="true" w:oddVBand="false" w:firstColumn="false"/>
            <w:tcW w:w="68.571429%" w:type="pct"/>
          </w:tcPr>
          <w:p>
            <w:pPr>
              <w:ind w:leftChars="0" w:left="0" w:right="0"/>
            </w:pPr>
            <w:r>
              <w:t>900</w:t>
            </w:r>
          </w:p>
        </w:tc>
      </w:tr>
      <w:tr>
        <w:trPr>
          <w:cnfStyle w:evenHBand="true" w:oddHBand="false" w:firstRow="false"/>
        </w:trPr>
        <w:tc>
          <w:tcPr>
            <w:cnfStyle w:evenVBand="false" w:oddVBand="true" w:firstColumn="false"/>
            <w:tcW w:w="31.428571%" w:type="pct"/>
          </w:tcPr>
          <w:p>
            <w:pPr>
              <w:ind w:leftChars="0" w:left="0" w:right="0"/>
            </w:pPr>
            <w:r>
              <w:t>FLS</w:t>
            </w:r>
          </w:p>
        </w:tc>
        <w:tc>
          <w:tcPr>
            <w:cnfStyle w:evenVBand="true" w:oddVBand="false" w:firstColumn="false"/>
            <w:tcW w:w="68.571429%" w:type="pct"/>
          </w:tcPr>
          <w:p>
            <w:pPr>
              <w:ind w:leftChars="0" w:left="0" w:right="0"/>
            </w:pPr>
            <w:r>
              <w:t>-100</w:t>
            </w:r>
          </w:p>
        </w:tc>
      </w:tr>
    </w:tbl>
    <w:p>
      <w:pPr>
        <w:pStyle w:val="Table Bottom Margin"/>
      </w:pPr>
    </w:p>
    <w:tbl>
      <w:tblPr>
        <w:tblStyle w:val="Table"/>
        <w:tblW w:w="0" w:type="auto"/>
        <w:tblInd w:w="0" w:type="dxa"/>
        <w:tblLook w:noHBand="false" w:noVBand="false" w:lastRow="false" w:lastColumn="false" w:firstRow="true" w:firstColumn="false"/>
      </w:tblPr>
      <w:tblGrid>
        <w:gridCol w:w="2670"/>
        <w:gridCol w:w="5827"/>
      </w:tblGrid>
      <w:tr>
        <w:trPr>
          <w:cnfStyle w:evenHBand="false" w:oddHBand="true" w:firstRow="true"/>
        </w:trPr>
        <w:tc>
          <w:tcPr>
            <w:cnfStyle w:evenVBand="false" w:oddVBand="true" w:firstColumn="false"/>
            <w:tcW w:w="100.000000%" w:type="pct"/>
            <w:gridSpan w:val="2"/>
          </w:tcPr>
          <w:p>
            <w:pPr>
              <w:ind w:leftChars="0" w:left="0" w:right="0"/>
              <w:keepNext/>
            </w:pPr>
            <w:r>
              <w:t>Τ5 ACC.SHR_KEY</w:t>
            </w:r>
          </w:p>
        </w:tc>
      </w:tr>
      <w:tr>
        <w:trPr>
          <w:cnfStyle w:evenHBand="true" w:oddHBand="false" w:firstRow="true"/>
          <w:tblHeader/>
        </w:trPr>
        <w:tc>
          <w:tcPr>
            <w:cnfStyle w:evenVBand="false" w:oddVBand="true" w:firstColumn="false"/>
            <w:tcW w:w="31.428571%" w:type="pct"/>
          </w:tcPr>
          <w:p>
            <w:pPr>
              <w:ind w:leftChars="0" w:left="0" w:right="0"/>
              <w:keepNext/>
            </w:pPr>
            <w:r>
              <w:t>Μεταβλητή</w:t>
            </w:r>
          </w:p>
        </w:tc>
        <w:tc>
          <w:tcPr>
            <w:cnfStyle w:evenVBand="true" w:oddVBand="false" w:firstColumn="false"/>
            <w:tcW w:w="68.571429%" w:type="pct"/>
          </w:tcPr>
          <w:p>
            <w:pPr>
              <w:ind w:leftChars="0" w:left="0" w:right="0"/>
              <w:keepNext/>
            </w:pPr>
            <w:r>
              <w:t>Τιμή</w:t>
            </w:r>
          </w:p>
        </w:tc>
      </w:tr>
      <w:tr>
        <w:trPr>
          <w:cnfStyle w:evenHBand="false" w:oddHBand="true" w:firstRow="false"/>
        </w:trPr>
        <w:tc>
          <w:tcPr>
            <w:cnfStyle w:evenVBand="false" w:oddVBand="true" w:firstColumn="false"/>
            <w:tcW w:w="31.428571%" w:type="pct"/>
          </w:tcPr>
          <w:p>
            <w:pPr>
              <w:ind w:leftChars="0" w:left="0" w:right="0"/>
            </w:pPr>
            <w:r>
              <w:t>BK_PRC</w:t>
            </w:r>
          </w:p>
        </w:tc>
        <w:tc>
          <w:tcPr>
            <w:cnfStyle w:evenVBand="true" w:oddVBand="false" w:firstColumn="false"/>
            <w:tcW w:w="68.571429%" w:type="pct"/>
          </w:tcPr>
          <w:p>
            <w:pPr>
              <w:ind w:leftChars="0" w:left="0" w:right="0"/>
            </w:pPr>
            <w:r>
              <w:t>900</w:t>
            </w:r>
          </w:p>
        </w:tc>
      </w:tr>
      <w:tr>
        <w:trPr>
          <w:cnfStyle w:evenHBand="true" w:oddHBand="false" w:firstRow="false"/>
        </w:trPr>
        <w:tc>
          <w:tcPr>
            <w:cnfStyle w:evenVBand="false" w:oddVBand="true" w:firstColumn="false"/>
            <w:tcW w:w="31.428571%" w:type="pct"/>
          </w:tcPr>
          <w:p>
            <w:pPr>
              <w:ind w:leftChars="0" w:left="0" w:right="0"/>
            </w:pPr>
            <w:r>
              <w:t>INCM</w:t>
            </w:r>
          </w:p>
        </w:tc>
        <w:tc>
          <w:tcPr>
            <w:cnfStyle w:evenVBand="true" w:oddVBand="false" w:firstColumn="false"/>
            <w:tcW w:w="68.571429%" w:type="pct"/>
          </w:tcPr>
          <w:p>
            <w:pPr>
              <w:ind w:leftChars="0" w:left="0" w:right="0"/>
            </w:pPr>
            <w:r>
              <w:t>0</w:t>
            </w:r>
          </w:p>
        </w:tc>
      </w:tr>
    </w:tbl>
    <w:p>
      <w:pPr>
        <w:pStyle w:val="Table Bottom Margin"/>
      </w:pPr>
    </w:p>
    <w:bookmarkEnd w:id="491"/>
    <w:bookmarkEnd w:id="490"/>
    <w:bookmarkEnd w:id="477"/>
    <w:bookmarkEnd w:id="476"/>
    <w:bookmarkEnd w:id="475"/>
    <w:bookmarkStart w:id="492" w:name="_8a06edd21abeea046b7929c4c766e3ab"/>
    <w:bookmarkStart w:id="493" w:name="_c2543f670b9b6a55c232d4e1b79499c0"/>
    <w:p>
      <w:pPr>
        <w:pStyle w:val="Heading4"/>
        <w:keepNext/>
      </w:pPr>
      <w:r>
        <w:t>Παραδείγματα συμπληρωμένων αρχείων</w:t>
      </w:r>
    </w:p>
    <w:p>
      <w:pPr>
        <w:pStyle w:val="Body Text"/>
        <w:ind w:leftChars="0" w:left="0" w:right="0"/>
      </w:pPr>
      <w:r>
        <w:t>Μια προτεινόμενη ροή εργασίας για τη συμπλήρωση αρχείων IFDAT είναι η ακόλουθη:</w:t>
      </w:r>
    </w:p>
    <w:p>
      <w:pPr>
        <w:pStyle w:val="Body Text"/>
        <w:ind w:leftChars="0" w:left="0" w:right="0"/>
      </w:pPr>
      <w:r>
        <w:t>Εισάγονται σειριακά τα λογιστικά στοιχεία και κάθε φορά που εισάγεται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εισάγονται αν πρόκειται για συμμετοχικούς τίτλους/χρεόγραφα τα οποία έχουν isin.</w:t>
      </w:r>
    </w:p>
    <w:p>
      <w:pPr>
        <w:pStyle w:val="Body Text"/>
        <w:ind w:leftChars="0" w:left="0" w:right="0"/>
      </w:pPr>
      <w:r>
        <w:t>Ακολουθούν παραδείγματα συμπληρωμένων αρχείων υποβολής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"_e4579e61461487a5b07b9966aa31504f" \h \z \u </w:instrText>
          </w:r>
          <w:r>
            <w:fldChar w:fldCharType="separate"/>
          </w:r>
          <w:hyperlink w:anchor="_bf703f0c0914021466046562856897cf" w:history="1">
            <w:r>
              <w:t>Νέοι Επενδυτικοί Οργανισμοί - Διαδικασία Σύστασης</w:t>
            </w:r>
            <w:r>
              <w:rPr>
                <w:webHidden/>
              </w:rPr>
              <w:tab/>
            </w:r>
            <w:r>
              <w:fldChar w:fldCharType="begin"/>
            </w:r>
            <w:r>
              <w:rPr>
                <w:webHidden/>
              </w:rPr>
              <w:instrText xml:space="preserve"> PAGEREF _bf703f0c0914021466046562856897cf \h </w:instrText>
            </w:r>
            <w:r>
              <w:fldChar w:fldCharType="separate"/>
            </w:r>
            <w:r>
              <w:rPr>
                <w:webHidden/>
              </w:rPr>
              <w:t>X</w:t>
            </w:r>
            <w:r>
              <w:fldChar w:fldCharType="end"/>
            </w:r>
          </w:hyperlink>
        </w:p>
        <w:p>
          <w:pPr>
            <w:pStyle w:val="toc 1"/>
            <w:tabs>
              <w:tab w:val="right" w:leader="dot" w:pos="8488"/>
            </w:tabs>
            <w:rPr>
              <w:b w:val="0"/>
              <w:noProof/>
            </w:rPr>
          </w:pPr>
          <w:hyperlink w:anchor="_606bf0f60b25e8e5c20f839af100b714" w:history="1">
            <w:r>
              <w:t>Αρχική υποβολή στοιχείων αναφοράς και λογιστικών στοιχείων</w:t>
            </w:r>
            <w:r>
              <w:rPr>
                <w:webHidden/>
              </w:rPr>
              <w:tab/>
            </w:r>
            <w:r>
              <w:fldChar w:fldCharType="begin"/>
            </w:r>
            <w:r>
              <w:rPr>
                <w:webHidden/>
              </w:rPr>
              <w:instrText xml:space="preserve"> PAGEREF _606bf0f60b25e8e5c20f839af100b714 \h </w:instrText>
            </w:r>
            <w:r>
              <w:fldChar w:fldCharType="separate"/>
            </w:r>
            <w:r>
              <w:rPr>
                <w:webHidden/>
              </w:rPr>
              <w:t>X</w:t>
            </w:r>
            <w:r>
              <w:fldChar w:fldCharType="end"/>
            </w:r>
          </w:hyperlink>
        </w:p>
        <w:p>
          <w:r>
            <w:fldChar w:fldCharType="end"/>
          </w:r>
        </w:p>
      </w:sdtContent>
    </w:sdt>
    <w:bookmarkStart w:id="494" w:name="_e4579e61461487a5b07b9966aa31504f"/>
    <w:bookmarkStart w:id="495" w:name="_bf703f0c0914021466046562856897cf"/>
    <w:bookmarkStart w:id="496" w:name="_e49a2a22f7dbb0d170e58cbcec11f34a"/>
    <w:p>
      <w:pPr>
        <w:pStyle w:val="Heading5"/>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97" w:name="_1074dc29f5d81d6afbf3f02d3a6df161"/>
    <w:p>
      <w:pPr>
        <w:pStyle w:val="Heading 6"/>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97"/>
    <w:bookmarkStart w:id="498" w:name="_e0861624f8e5962726f690674087cc4e"/>
    <w:p>
      <w:pPr>
        <w:pStyle w:val="Heading 6"/>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98"/>
    <w:bookmarkEnd w:id="496"/>
    <w:bookmarkEnd w:id="495"/>
    <w:bookmarkStart w:id="499" w:name="_606bf0f60b25e8e5c20f839af100b714"/>
    <w:bookmarkStart w:id="500" w:name="_8b00ea12cf76c6808b098f27a219dfca"/>
    <w:p>
      <w:pPr>
        <w:pStyle w:val="Heading5"/>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λογιστικά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501" w:name="_92364f219bbe82c7eaec11b6bad5f0d0"/>
    <w:p>
      <w:pPr>
        <w:pStyle w:val="Heading 6"/>
        <w:keepNext/>
      </w:pPr>
      <w:r>
        <w:t>Παράδειγμα σε μορϕη Excel:</w:t>
      </w:r>
    </w:p>
    <w:p>
      <w:pPr>
        <w:pStyle w:val="Body Text"/>
        <w:ind w:leftChars="0" w:left="0" w:right="0"/>
      </w:pPr>
      <w:r>
        <w:rPr>
          <w:rFonts w:ascii="Consolas" w:eastAsia="ＭＳ ゴシック" w:hansitheme="majorhansi"/>
          <w:color w:val="E74C3C"/>
          <w:sz w:val="20"/>
          <w:szCs w:val="20"/>
          <w:noProof/>
        </w:rPr>
        <w:t>ΜΑΙΝ</w:t>
      </w:r>
    </w:p>
    <w:bookmarkEnd w:id="501"/>
    <w:bookmarkStart w:id="502" w:name="_fab72d962becf7a9a7bd3a68af1e3444"/>
    <w:p>
      <w:pPr>
        <w:pStyle w:val="Heading 6"/>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502"/>
    <w:bookmarkStart w:id="503" w:name="_7ba377c1c634c93c772e9f038a9a23a3"/>
    <w:p>
      <w:pPr>
        <w:pStyle w:val="Heading 6"/>
        <w:keepNext/>
      </w:pPr>
      <w:r>
        <w:t>IFDAT-LIST</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503"/>
    <w:bookmarkEnd w:id="500"/>
    <w:bookmarkEnd w:id="499"/>
    <w:bookmarkEnd w:id="494"/>
    <w:bookmarkEnd w:id="493"/>
    <w:bookmarkEnd w:id="492"/>
    <w:bookmarkEnd w:id="474"/>
    <w:bookmarkEnd w:id="473"/>
    <w:bookmarkEnd w:id="472"/>
    <w:bookmarkStart w:id="504" w:name="_b23c978d82e74094d5a88bfa48a952e0"/>
    <w:bookmarkStart w:id="505" w:name="_d34caeca324157e8aae35fc6e3813bf0"/>
    <w:p>
      <w:pPr>
        <w:pStyle w:val="Heading3"/>
        <w:keepNext/>
      </w:pPr>
      <w:r>
        <w:t>What’s new?</w:t>
      </w:r>
    </w:p>
    <w:bookmarkStart w:id="50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07" w:name="_b55d63d352d4b227865d886f499f58ce"/>
                  <w:hyperlink w:anchor="_08d3629f673d4bf3eb280e9282f76b42">
                    <w:r>
                      <w:rPr>
                        <w:rStyle w:val="Hyperlink"/>
                      </w:rPr>
                      <w:t>v0.9.0 (2024-12-20)</w:t>
                    </w:r>
                  </w:hyperlink>
                  <w:bookmarkEnd w:id="507"/>
                </w:p>
                <w:p>
                  <w:pPr>
                    <w:pStyle w:val="ListBullet"/>
                    <w:numPr>
                      <w:ilvl w:val="0"/>
                      <w:numId w:val="2"/>
                    </w:numPr>
                    <w:ind w:leftChars="0" w:left="480" w:right="0"/>
                  </w:pPr>
                  <w:bookmarkStart w:id="508" w:name="_887fc94374c622aaa881926e0c1a6a07"/>
                  <w:hyperlink w:anchor="_0c6bc4493cb3b18dc4b6e2e0bb1a9b85">
                    <w:r>
                      <w:rPr>
                        <w:rStyle w:val="Hyperlink"/>
                      </w:rPr>
                      <w:t>v0.8.5 (2024-11-27)</w:t>
                    </w:r>
                  </w:hyperlink>
                  <w:bookmarkEnd w:id="508"/>
                </w:p>
                <w:p>
                  <w:pPr>
                    <w:pStyle w:val="ListBullet"/>
                    <w:numPr>
                      <w:ilvl w:val="0"/>
                      <w:numId w:val="2"/>
                    </w:numPr>
                    <w:ind w:leftChars="0" w:left="480" w:right="0"/>
                  </w:pPr>
                  <w:bookmarkStart w:id="509" w:name="_97ec985377c299f97cf6f85b6c7fc464"/>
                  <w:hyperlink w:anchor="_87be9f3a1619b19446edf15980925ff9">
                    <w:r>
                      <w:rPr>
                        <w:rStyle w:val="Hyperlink"/>
                      </w:rPr>
                      <w:t>v0.8.4 (2024-11-20)</w:t>
                    </w:r>
                  </w:hyperlink>
                  <w:bookmarkEnd w:id="509"/>
                </w:p>
                <w:p>
                  <w:pPr>
                    <w:pStyle w:val="ListBullet"/>
                    <w:numPr>
                      <w:ilvl w:val="0"/>
                      <w:numId w:val="2"/>
                    </w:numPr>
                    <w:ind w:leftChars="0" w:left="480" w:right="0"/>
                  </w:pPr>
                  <w:bookmarkStart w:id="510" w:name="_f5b9f2176b4c4fe1a810546a9f2f5acb"/>
                  <w:hyperlink w:anchor="_83c6aa47675ed6609f245b27dc2a6cf8">
                    <w:r>
                      <w:rPr>
                        <w:rStyle w:val="Hyperlink"/>
                      </w:rPr>
                      <w:t>v0.8.3 (2024-11-11)</w:t>
                    </w:r>
                  </w:hyperlink>
                  <w:bookmarkEnd w:id="510"/>
                </w:p>
                <w:p>
                  <w:pPr>
                    <w:pStyle w:val="ListBullet"/>
                    <w:numPr>
                      <w:ilvl w:val="0"/>
                      <w:numId w:val="2"/>
                    </w:numPr>
                    <w:ind w:leftChars="0" w:left="480" w:right="0"/>
                  </w:pPr>
                  <w:bookmarkStart w:id="511" w:name="_29c31a05903def4cf5913fa8b5a9916e"/>
                  <w:hyperlink w:anchor="_f1db1442163b18db0ad61daee08c7984">
                    <w:r>
                      <w:rPr>
                        <w:rStyle w:val="Hyperlink"/>
                      </w:rPr>
                      <w:t>v0.8.2 (2024-11-06)</w:t>
                    </w:r>
                  </w:hyperlink>
                  <w:bookmarkEnd w:id="511"/>
                </w:p>
                <w:p>
                  <w:pPr>
                    <w:pStyle w:val="ListBullet"/>
                    <w:numPr>
                      <w:ilvl w:val="0"/>
                      <w:numId w:val="2"/>
                    </w:numPr>
                    <w:ind w:leftChars="0" w:left="480" w:right="0"/>
                  </w:pPr>
                  <w:bookmarkStart w:id="512" w:name="_16820a05115c5f23113759c7d14d6e91"/>
                  <w:hyperlink w:anchor="_c0cee3fff3640c4159e629e985371bef">
                    <w:r>
                      <w:rPr>
                        <w:rStyle w:val="Hyperlink"/>
                      </w:rPr>
                      <w:t>v0.8.1 (2024-10-29)</w:t>
                    </w:r>
                  </w:hyperlink>
                  <w:bookmarkEnd w:id="512"/>
                </w:p>
                <w:p>
                  <w:pPr>
                    <w:pStyle w:val="ListBullet"/>
                    <w:numPr>
                      <w:ilvl w:val="0"/>
                      <w:numId w:val="2"/>
                    </w:numPr>
                    <w:ind w:leftChars="0" w:left="480" w:right="0"/>
                  </w:pPr>
                  <w:bookmarkStart w:id="513" w:name="_e7e76e80d806ec4b97a9ae656abc5e54"/>
                  <w:hyperlink w:anchor="_1c32458ecda5b9c135e0379a0a2cb977">
                    <w:r>
                      <w:rPr>
                        <w:rStyle w:val="Hyperlink"/>
                      </w:rPr>
                      <w:t>v0.8.0 (2024-10-28)</w:t>
                    </w:r>
                  </w:hyperlink>
                  <w:bookmarkEnd w:id="513"/>
                </w:p>
                <w:p>
                  <w:pPr>
                    <w:pStyle w:val="ListBullet"/>
                    <w:numPr>
                      <w:ilvl w:val="0"/>
                      <w:numId w:val="2"/>
                    </w:numPr>
                    <w:ind w:leftChars="0" w:left="480" w:right="0"/>
                  </w:pPr>
                  <w:bookmarkStart w:id="514" w:name="_8446a263f6085e4934f161ee98e3f1d0"/>
                  <w:hyperlink w:anchor="_124a157146caa2b5b94f47d2f1740445">
                    <w:r>
                      <w:rPr>
                        <w:rStyle w:val="Hyperlink"/>
                      </w:rPr>
                      <w:t>v0.7.6 (2024-10-24)</w:t>
                    </w:r>
                  </w:hyperlink>
                  <w:bookmarkEnd w:id="514"/>
                </w:p>
                <w:p>
                  <w:pPr>
                    <w:pStyle w:val="ListBullet"/>
                    <w:numPr>
                      <w:ilvl w:val="0"/>
                      <w:numId w:val="2"/>
                    </w:numPr>
                    <w:ind w:leftChars="0" w:left="480" w:right="0"/>
                  </w:pPr>
                  <w:bookmarkStart w:id="515" w:name="_dd83f9bd783bf9cbeac32d88d0e28459"/>
                  <w:hyperlink w:anchor="_cc2a174a8465378795019b37f05ef507">
                    <w:r>
                      <w:rPr>
                        <w:rStyle w:val="Hyperlink"/>
                      </w:rPr>
                      <w:t>v0.7.5 (2024-10-23)</w:t>
                    </w:r>
                  </w:hyperlink>
                  <w:bookmarkEnd w:id="515"/>
                </w:p>
                <w:p>
                  <w:pPr>
                    <w:pStyle w:val="ListBullet"/>
                    <w:numPr>
                      <w:ilvl w:val="0"/>
                      <w:numId w:val="2"/>
                    </w:numPr>
                    <w:ind w:leftChars="0" w:left="480" w:right="0"/>
                  </w:pPr>
                  <w:bookmarkStart w:id="516" w:name="_f8774cca75472430dae7c515d0aa498c"/>
                  <w:hyperlink w:anchor="_0bc48bd9c86b283fafeabd1b84c70b69">
                    <w:r>
                      <w:rPr>
                        <w:rStyle w:val="Hyperlink"/>
                      </w:rPr>
                      <w:t>v0.7.4 (2024-10-18)</w:t>
                    </w:r>
                  </w:hyperlink>
                  <w:bookmarkEnd w:id="516"/>
                </w:p>
                <w:p>
                  <w:pPr>
                    <w:pStyle w:val="ListBullet"/>
                    <w:numPr>
                      <w:ilvl w:val="0"/>
                      <w:numId w:val="2"/>
                    </w:numPr>
                    <w:ind w:leftChars="0" w:left="480" w:right="0"/>
                  </w:pPr>
                  <w:bookmarkStart w:id="517" w:name="_b13ad25d5961062b1bc1575273ad3fc9"/>
                  <w:hyperlink w:anchor="_eccfa9455ca43ef61bbfb15874345ee6">
                    <w:r>
                      <w:rPr>
                        <w:rStyle w:val="Hyperlink"/>
                      </w:rPr>
                      <w:t>v0.7.3 (2024-10-17)</w:t>
                    </w:r>
                  </w:hyperlink>
                  <w:bookmarkEnd w:id="517"/>
                </w:p>
                <w:p>
                  <w:pPr>
                    <w:pStyle w:val="ListBullet"/>
                    <w:numPr>
                      <w:ilvl w:val="0"/>
                      <w:numId w:val="2"/>
                    </w:numPr>
                    <w:ind w:leftChars="0" w:left="480" w:right="0"/>
                  </w:pPr>
                  <w:bookmarkStart w:id="518" w:name="_dca88b992afff9da46b4d02dd3c5c25a"/>
                  <w:hyperlink w:anchor="_0b62a907c155fd92c910d24425255c55">
                    <w:r>
                      <w:rPr>
                        <w:rStyle w:val="Hyperlink"/>
                      </w:rPr>
                      <w:t>v0.7.2 (2024-10-13)</w:t>
                    </w:r>
                  </w:hyperlink>
                  <w:bookmarkEnd w:id="518"/>
                </w:p>
                <w:p>
                  <w:pPr>
                    <w:pStyle w:val="ListBullet"/>
                    <w:numPr>
                      <w:ilvl w:val="0"/>
                      <w:numId w:val="2"/>
                    </w:numPr>
                    <w:ind w:leftChars="0" w:left="480" w:right="0"/>
                  </w:pPr>
                  <w:bookmarkStart w:id="519" w:name="_43fc1ac074028cf5bd6775637680c733"/>
                  <w:hyperlink w:anchor="_17a3722bb76b643f844a98e11a75bc85">
                    <w:r>
                      <w:rPr>
                        <w:rStyle w:val="Hyperlink"/>
                      </w:rPr>
                      <w:t>v0.7.1 (2024-10-07)</w:t>
                    </w:r>
                  </w:hyperlink>
                  <w:bookmarkEnd w:id="519"/>
                </w:p>
                <w:p>
                  <w:pPr>
                    <w:pStyle w:val="ListBullet"/>
                    <w:numPr>
                      <w:ilvl w:val="0"/>
                      <w:numId w:val="2"/>
                    </w:numPr>
                    <w:ind w:leftChars="0" w:left="480" w:right="0"/>
                  </w:pPr>
                  <w:bookmarkStart w:id="520" w:name="_d573087286237b6b1f637960c7ec9142"/>
                  <w:hyperlink w:anchor="_c578efd0e263ad37a86a6285636cbd4b">
                    <w:r>
                      <w:rPr>
                        <w:rStyle w:val="Hyperlink"/>
                      </w:rPr>
                      <w:t>v0.7.0 (2024-02-29)</w:t>
                    </w:r>
                  </w:hyperlink>
                  <w:bookmarkEnd w:id="520"/>
                </w:p>
                <w:p>
                  <w:pPr>
                    <w:pStyle w:val="ListBullet"/>
                    <w:numPr>
                      <w:ilvl w:val="0"/>
                      <w:numId w:val="2"/>
                    </w:numPr>
                    <w:ind w:leftChars="0" w:left="480" w:right="0"/>
                  </w:pPr>
                  <w:bookmarkStart w:id="521" w:name="_a613536e153846f5685b2b7ffbcbb560"/>
                  <w:hyperlink w:anchor="_1e4bfa4e3b268d46449f4e561d6be43d">
                    <w:r>
                      <w:rPr>
                        <w:rStyle w:val="Hyperlink"/>
                      </w:rPr>
                      <w:t>v0.6.1 (2023-09-15)</w:t>
                    </w:r>
                  </w:hyperlink>
                  <w:bookmarkEnd w:id="521"/>
                </w:p>
                <w:p>
                  <w:pPr>
                    <w:pStyle w:val="ListBullet"/>
                    <w:numPr>
                      <w:ilvl w:val="0"/>
                      <w:numId w:val="2"/>
                    </w:numPr>
                    <w:ind w:leftChars="0" w:left="480" w:right="0"/>
                  </w:pPr>
                  <w:bookmarkStart w:id="522" w:name="_91f67a903b8c37c59a3f1025d0952618"/>
                  <w:hyperlink w:anchor="_e7c24fd616c0bc7cf883a48cb1184512">
                    <w:r>
                      <w:rPr>
                        <w:rStyle w:val="Hyperlink"/>
                      </w:rPr>
                      <w:t>v0.6.0 (2023-06-11)</w:t>
                    </w:r>
                  </w:hyperlink>
                  <w:bookmarkEnd w:id="522"/>
                </w:p>
                <w:p>
                  <w:pPr>
                    <w:pStyle w:val="ListBullet"/>
                    <w:numPr>
                      <w:ilvl w:val="0"/>
                      <w:numId w:val="2"/>
                    </w:numPr>
                    <w:ind w:leftChars="0" w:left="480" w:right="0"/>
                  </w:pPr>
                  <w:bookmarkStart w:id="523" w:name="_17abe7b007a2c0f167f6fccdbf52fdb1"/>
                  <w:hyperlink w:anchor="_53a5ad83bd5f0ab62c50a88d5047716f">
                    <w:r>
                      <w:rPr>
                        <w:rStyle w:val="Hyperlink"/>
                      </w:rPr>
                      <w:t>v0.5.4 (2023-05-30)</w:t>
                    </w:r>
                  </w:hyperlink>
                  <w:bookmarkEnd w:id="523"/>
                </w:p>
                <w:p>
                  <w:pPr>
                    <w:pStyle w:val="ListBullet"/>
                    <w:numPr>
                      <w:ilvl w:val="0"/>
                      <w:numId w:val="2"/>
                    </w:numPr>
                    <w:ind w:leftChars="0" w:left="480" w:right="0"/>
                  </w:pPr>
                  <w:bookmarkStart w:id="524" w:name="_c4a33031728ac83e263d853859e54a49"/>
                  <w:hyperlink w:anchor="_fdec0919064dea5b57296a496cce2d2c">
                    <w:r>
                      <w:rPr>
                        <w:rStyle w:val="Hyperlink"/>
                      </w:rPr>
                      <w:t>v0.5.3 (2023-05-28)</w:t>
                    </w:r>
                  </w:hyperlink>
                  <w:bookmarkEnd w:id="524"/>
                </w:p>
                <w:p>
                  <w:pPr>
                    <w:pStyle w:val="ListBullet"/>
                    <w:numPr>
                      <w:ilvl w:val="0"/>
                      <w:numId w:val="2"/>
                    </w:numPr>
                    <w:ind w:leftChars="0" w:left="480" w:right="0"/>
                  </w:pPr>
                  <w:bookmarkStart w:id="525" w:name="_29f6102cfd2dadfd21920cdf824d6205"/>
                  <w:hyperlink w:anchor="_4d39ab2c89d200e12a3515e44784f006">
                    <w:r>
                      <w:rPr>
                        <w:rStyle w:val="Hyperlink"/>
                      </w:rPr>
                      <w:t>v0.5.2 (2023-05-26)</w:t>
                    </w:r>
                  </w:hyperlink>
                  <w:bookmarkEnd w:id="525"/>
                </w:p>
                <w:p>
                  <w:pPr>
                    <w:pStyle w:val="ListBullet"/>
                    <w:numPr>
                      <w:ilvl w:val="0"/>
                      <w:numId w:val="2"/>
                    </w:numPr>
                    <w:ind w:leftChars="0" w:left="480" w:right="0"/>
                  </w:pPr>
                  <w:bookmarkStart w:id="526" w:name="_c2cd0d15eb7594a6db20e58bd6f38654"/>
                  <w:hyperlink w:anchor="_c982d84501ef96d2407dfcf628300e7e">
                    <w:r>
                      <w:rPr>
                        <w:rStyle w:val="Hyperlink"/>
                      </w:rPr>
                      <w:t>v0.5.1 (2023-05-24)</w:t>
                    </w:r>
                  </w:hyperlink>
                  <w:bookmarkEnd w:id="526"/>
                </w:p>
                <w:p>
                  <w:pPr>
                    <w:pStyle w:val="ListBullet"/>
                    <w:numPr>
                      <w:ilvl w:val="0"/>
                      <w:numId w:val="2"/>
                    </w:numPr>
                    <w:ind w:leftChars="0" w:left="480" w:right="0"/>
                  </w:pPr>
                  <w:bookmarkStart w:id="527" w:name="_a6210220e3e42c623d641efafeb5cf44"/>
                  <w:hyperlink w:anchor="_f87bcfe4c7d7d509277998cc1a2232c5">
                    <w:r>
                      <w:rPr>
                        <w:rStyle w:val="Hyperlink"/>
                      </w:rPr>
                      <w:t>v0.5.0 (2023-05-16)</w:t>
                    </w:r>
                  </w:hyperlink>
                  <w:bookmarkEnd w:id="527"/>
                </w:p>
                <w:p>
                  <w:pPr>
                    <w:pStyle w:val="ListBullet"/>
                    <w:numPr>
                      <w:ilvl w:val="0"/>
                      <w:numId w:val="2"/>
                    </w:numPr>
                    <w:ind w:leftChars="0" w:left="480" w:right="0"/>
                  </w:pPr>
                  <w:bookmarkStart w:id="528" w:name="_8bcd38c1a177961cf497d6b7cfa48560"/>
                  <w:hyperlink w:anchor="_eac790e6c7cfad10e5df6d1e4c3e4b11">
                    <w:r>
                      <w:rPr>
                        <w:rStyle w:val="Hyperlink"/>
                      </w:rPr>
                      <w:t>v0.4.3 (2023-05-11)</w:t>
                    </w:r>
                  </w:hyperlink>
                  <w:bookmarkEnd w:id="528"/>
                </w:p>
                <w:p>
                  <w:pPr>
                    <w:pStyle w:val="ListBullet"/>
                    <w:numPr>
                      <w:ilvl w:val="0"/>
                      <w:numId w:val="2"/>
                    </w:numPr>
                    <w:ind w:leftChars="0" w:left="480" w:right="0"/>
                  </w:pPr>
                  <w:bookmarkStart w:id="529" w:name="_5cd6e6f25289e63184210e2bf2d297a4"/>
                  <w:hyperlink w:anchor="_4833fb4d07f0f75bd781ef95190b4d04">
                    <w:r>
                      <w:rPr>
                        <w:rStyle w:val="Hyperlink"/>
                      </w:rPr>
                      <w:t>v0.4.2 (2023-04-18)</w:t>
                    </w:r>
                  </w:hyperlink>
                  <w:bookmarkEnd w:id="529"/>
                </w:p>
                <w:p>
                  <w:pPr>
                    <w:pStyle w:val="ListBullet"/>
                    <w:numPr>
                      <w:ilvl w:val="0"/>
                      <w:numId w:val="2"/>
                    </w:numPr>
                    <w:ind w:leftChars="0" w:left="480" w:right="0"/>
                  </w:pPr>
                  <w:bookmarkStart w:id="530" w:name="_12539f4b8659be8e7ade4527a8ba3745"/>
                  <w:hyperlink w:anchor="_66ccc53f6fb12b3dd2b5d658e3810772">
                    <w:r>
                      <w:rPr>
                        <w:rStyle w:val="Hyperlink"/>
                      </w:rPr>
                      <w:t>v0.4.1 (2023-04-18)</w:t>
                    </w:r>
                  </w:hyperlink>
                  <w:bookmarkEnd w:id="530"/>
                </w:p>
                <w:p>
                  <w:pPr>
                    <w:pStyle w:val="ListBullet"/>
                    <w:numPr>
                      <w:ilvl w:val="0"/>
                      <w:numId w:val="2"/>
                    </w:numPr>
                    <w:ind w:leftChars="0" w:left="480" w:right="0"/>
                  </w:pPr>
                  <w:bookmarkStart w:id="531" w:name="_608cf3147f69881875eb0843458ee93e"/>
                  <w:hyperlink w:anchor="_5e10f4551379ad44f9b589e94cd7b026">
                    <w:r>
                      <w:rPr>
                        <w:rStyle w:val="Hyperlink"/>
                      </w:rPr>
                      <w:t>v0.4.0 (2023-04-18)</w:t>
                    </w:r>
                  </w:hyperlink>
                  <w:bookmarkEnd w:id="531"/>
                </w:p>
                <w:p>
                  <w:pPr>
                    <w:pStyle w:val="ListBullet"/>
                    <w:numPr>
                      <w:ilvl w:val="0"/>
                      <w:numId w:val="2"/>
                    </w:numPr>
                    <w:ind w:leftChars="0" w:left="480" w:right="0"/>
                  </w:pPr>
                  <w:bookmarkStart w:id="532" w:name="_76b687b6154bb712195e7f1ca8a0160f"/>
                  <w:hyperlink w:anchor="_870552f9661a46056ff3428197a312e6">
                    <w:r>
                      <w:rPr>
                        <w:rStyle w:val="Hyperlink"/>
                      </w:rPr>
                      <w:t>v0.3.1 (2023-04-13)</w:t>
                    </w:r>
                  </w:hyperlink>
                  <w:bookmarkEnd w:id="532"/>
                </w:p>
                <w:p>
                  <w:pPr>
                    <w:pStyle w:val="ListBullet"/>
                    <w:numPr>
                      <w:ilvl w:val="0"/>
                      <w:numId w:val="2"/>
                    </w:numPr>
                    <w:ind w:leftChars="0" w:left="480" w:right="0"/>
                  </w:pPr>
                  <w:bookmarkStart w:id="533" w:name="_5334ab37fdc3131de1dc003bc83c7032"/>
                  <w:hyperlink w:anchor="_bbf19731a3770ce0d91f3583412c941e">
                    <w:r>
                      <w:rPr>
                        <w:rStyle w:val="Hyperlink"/>
                      </w:rPr>
                      <w:t>v0.3.0 (2023-04-11)</w:t>
                    </w:r>
                  </w:hyperlink>
                  <w:bookmarkEnd w:id="533"/>
                </w:p>
                <w:p>
                  <w:pPr>
                    <w:pStyle w:val="ListBullet"/>
                    <w:numPr>
                      <w:ilvl w:val="0"/>
                      <w:numId w:val="2"/>
                    </w:numPr>
                    <w:ind w:leftChars="0" w:left="480" w:right="0"/>
                  </w:pPr>
                  <w:bookmarkStart w:id="534" w:name="_35ce886579735937da26c040cccc50ac"/>
                  <w:hyperlink w:anchor="_70a1272fc8ac04ddfb0fded7ecdecbf0">
                    <w:r>
                      <w:rPr>
                        <w:rStyle w:val="Hyperlink"/>
                      </w:rPr>
                      <w:t>v0.2.3 (2023-04-03)</w:t>
                    </w:r>
                  </w:hyperlink>
                  <w:bookmarkEnd w:id="534"/>
                </w:p>
                <w:p>
                  <w:pPr>
                    <w:pStyle w:val="ListBullet"/>
                    <w:numPr>
                      <w:ilvl w:val="0"/>
                      <w:numId w:val="2"/>
                    </w:numPr>
                    <w:ind w:leftChars="0" w:left="480" w:right="0"/>
                  </w:pPr>
                  <w:bookmarkStart w:id="535" w:name="_724f8842ca4a84ac5ea8cbca45b9429b"/>
                  <w:hyperlink w:anchor="_c8c19e08dfe961c067df8e899e74105e">
                    <w:r>
                      <w:rPr>
                        <w:rStyle w:val="Hyperlink"/>
                      </w:rPr>
                      <w:t>v0.2.2 (2023-03-31)</w:t>
                    </w:r>
                  </w:hyperlink>
                  <w:bookmarkEnd w:id="535"/>
                </w:p>
                <w:p>
                  <w:pPr>
                    <w:pStyle w:val="ListBullet"/>
                    <w:numPr>
                      <w:ilvl w:val="0"/>
                      <w:numId w:val="2"/>
                    </w:numPr>
                    <w:ind w:leftChars="0" w:left="480" w:right="0"/>
                  </w:pPr>
                  <w:bookmarkStart w:id="536" w:name="_47fc7dd6f8b5f8f190c974ef4c551be5"/>
                  <w:hyperlink w:anchor="_88cb5932faa909a62642f1f10be760d9">
                    <w:r>
                      <w:rPr>
                        <w:rStyle w:val="Hyperlink"/>
                      </w:rPr>
                      <w:t>v0.2.1 (2023-03-29)</w:t>
                    </w:r>
                  </w:hyperlink>
                  <w:bookmarkEnd w:id="536"/>
                </w:p>
                <w:p>
                  <w:pPr>
                    <w:pStyle w:val="ListBullet"/>
                    <w:numPr>
                      <w:ilvl w:val="0"/>
                      <w:numId w:val="2"/>
                    </w:numPr>
                    <w:ind w:leftChars="0" w:left="480" w:right="0"/>
                  </w:pPr>
                  <w:bookmarkStart w:id="537" w:name="_57c8539beeed49bdfbca801a69f0e0e5"/>
                  <w:hyperlink w:anchor="_b236e4bea2004416912a10ac722acbaf">
                    <w:r>
                      <w:rPr>
                        <w:rStyle w:val="Hyperlink"/>
                      </w:rPr>
                      <w:t>v0.2.0 (2023-01-16)</w:t>
                    </w:r>
                  </w:hyperlink>
                  <w:bookmarkEnd w:id="537"/>
                </w:p>
                <w:p>
                  <w:pPr>
                    <w:pStyle w:val="ListBullet"/>
                    <w:numPr>
                      <w:ilvl w:val="0"/>
                      <w:numId w:val="2"/>
                    </w:numPr>
                    <w:ind w:leftChars="0" w:left="480" w:right="0"/>
                  </w:pPr>
                  <w:bookmarkStart w:id="538" w:name="_17c00379c61d51dbe2268c49a370b763"/>
                  <w:hyperlink w:anchor="_3fb132d8413250b990570a79fe8db5d4">
                    <w:r>
                      <w:rPr>
                        <w:rStyle w:val="Hyperlink"/>
                      </w:rPr>
                      <w:t>v0.1.1 (2023-01-04)</w:t>
                    </w:r>
                  </w:hyperlink>
                  <w:bookmarkEnd w:id="538"/>
                </w:p>
                <w:p>
                  <w:pPr>
                    <w:pStyle w:val="ListBullet"/>
                    <w:numPr>
                      <w:ilvl w:val="0"/>
                      <w:numId w:val="2"/>
                    </w:numPr>
                    <w:ind w:leftChars="0" w:left="480" w:right="0"/>
                  </w:pPr>
                  <w:bookmarkStart w:id="539" w:name="_67b7f9ccfc87a6649a93e21577f4bdce"/>
                  <w:hyperlink w:anchor="_a1e5c180142a89201f900f20c00ca8ed">
                    <w:r>
                      <w:rPr>
                        <w:rStyle w:val="Hyperlink"/>
                      </w:rPr>
                      <w:t>v0.1.0 (2023-01-04)</w:t>
                    </w:r>
                  </w:hyperlink>
                  <w:bookmarkEnd w:id="539"/>
                </w:p>
              </w:txbxContent>
            </v:textbox>
          </v:rect>
        </w:pict>
      </w:r>
    </w:p>
    <w:bookmarkEnd w:id="506"/>
    <w:bookmarkStart w:id="540" w:name="_08d3629f673d4bf3eb280e9282f76b42"/>
    <w:p>
      <w:pPr>
        <w:pStyle w:val="Heading4"/>
        <w:keepNext/>
      </w:pPr>
      <w:r>
        <w:t>v0.9.0 (2024-12-20)</w:t>
      </w:r>
    </w:p>
    <w:p>
      <w:pPr>
        <w:pStyle w:val="ListBullet"/>
        <w:numPr>
          <w:ilvl w:val="0"/>
          <w:numId w:val="2"/>
        </w:numPr>
        <w:ind w:leftChars="0" w:left="480" w:right="0"/>
      </w:pPr>
      <w:r>
        <w:t>Add financial instrument treatment examples</w:t>
      </w:r>
    </w:p>
    <w:p>
      <w:pPr>
        <w:pStyle w:val="ListBullet"/>
        <w:numPr>
          <w:ilvl w:val="0"/>
          <w:numId w:val="2"/>
        </w:numPr>
        <w:ind w:leftChars="0" w:left="480" w:right="0"/>
      </w:pPr>
      <w:r>
        <w:t>Allow negative values for STCK, NMNL_STCK, QNTTY for ACC.SHR and AND ACC.ASST_DBT to accomodate short positions</w:t>
      </w:r>
    </w:p>
    <w:p>
      <w:pPr>
        <w:pStyle w:val="ListBullet"/>
        <w:numPr>
          <w:ilvl w:val="0"/>
          <w:numId w:val="2"/>
        </w:numPr>
        <w:ind w:leftChars="0" w:left="480" w:right="0"/>
      </w:pPr>
      <w:r>
        <w:t>Improve tables documentation</w:t>
      </w:r>
    </w:p>
    <w:bookmarkEnd w:id="540"/>
    <w:bookmarkStart w:id="541" w:name="_0c6bc4493cb3b18dc4b6e2e0bb1a9b85"/>
    <w:p>
      <w:pPr>
        <w:pStyle w:val="Heading4"/>
        <w:keepNext/>
      </w:pPr>
      <w:r>
        <w:t>v0.8.5 (2024-11-27)</w:t>
      </w:r>
    </w:p>
    <w:p>
      <w:pPr>
        <w:pStyle w:val="ListBullet"/>
        <w:numPr>
          <w:ilvl w:val="0"/>
          <w:numId w:val="2"/>
        </w:numPr>
        <w:ind w:leftChars="0" w:left="480" w:right="0"/>
      </w:pPr>
      <w:r>
        <w:t>Fix bugs in regulation</w:t>
      </w:r>
    </w:p>
    <w:p>
      <w:pPr>
        <w:pStyle w:val="ListBullet"/>
        <w:numPr>
          <w:ilvl w:val="0"/>
          <w:numId w:val="2"/>
        </w:numPr>
        <w:ind w:leftChars="0" w:left="480" w:right="0"/>
      </w:pPr>
      <w:r>
        <w:t>Fix bugs in tables</w:t>
      </w:r>
    </w:p>
    <w:p>
      <w:pPr>
        <w:pStyle w:val="ListBullet"/>
        <w:numPr>
          <w:ilvl w:val="0"/>
          <w:numId w:val="2"/>
        </w:numPr>
        <w:ind w:leftChars="0" w:left="480" w:right="0"/>
      </w:pPr>
      <w:r>
        <w:t>Add IEK columns in EO sheet of IFDAT-LIST</w:t>
      </w:r>
    </w:p>
    <w:p>
      <w:pPr>
        <w:pStyle w:val="ListBullet"/>
        <w:numPr>
          <w:ilvl w:val="0"/>
          <w:numId w:val="2"/>
        </w:numPr>
        <w:ind w:leftChars="0" w:left="480" w:right="0"/>
      </w:pPr>
      <w:r>
        <w:t>Fix bugs in IFDAT-LIST</w:t>
      </w:r>
    </w:p>
    <w:p>
      <w:pPr>
        <w:pStyle w:val="ListBullet"/>
        <w:numPr>
          <w:ilvl w:val="0"/>
          <w:numId w:val="2"/>
        </w:numPr>
        <w:ind w:leftChars="0" w:left="480" w:right="0"/>
      </w:pPr>
      <w:r>
        <w:t>Add max length in url fields</w:t>
      </w:r>
    </w:p>
    <w:bookmarkEnd w:id="541"/>
    <w:bookmarkStart w:id="542"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42"/>
    <w:bookmarkStart w:id="543"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43"/>
    <w:bookmarkStart w:id="544"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44"/>
    <w:bookmarkStart w:id="545"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45"/>
    <w:bookmarkStart w:id="546"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46"/>
    <w:bookmarkStart w:id="547"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47"/>
    <w:bookmarkStart w:id="548"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48"/>
    <w:bookmarkStart w:id="549"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49"/>
    <w:bookmarkStart w:id="550"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50"/>
    <w:bookmarkStart w:id="551"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51"/>
    <w:bookmarkStart w:id="552"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52"/>
    <w:bookmarkStart w:id="553"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53"/>
    <w:bookmarkStart w:id="554"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54"/>
    <w:bookmarkStart w:id="555"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55"/>
    <w:bookmarkStart w:id="556"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56"/>
    <w:bookmarkStart w:id="557"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57"/>
    <w:bookmarkStart w:id="558"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58"/>
    <w:bookmarkStart w:id="559"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59"/>
    <w:bookmarkStart w:id="560"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60"/>
    <w:bookmarkStart w:id="561"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61"/>
    <w:bookmarkStart w:id="562" w:name="_4833fb4d07f0f75bd781ef95190b4d04"/>
    <w:p>
      <w:pPr>
        <w:pStyle w:val="Heading4"/>
        <w:keepNext/>
      </w:pPr>
      <w:r>
        <w:t>v0.4.2 (2023-04-18)</w:t>
      </w:r>
    </w:p>
    <w:p>
      <w:pPr>
        <w:pStyle w:val="ListBullet"/>
        <w:numPr>
          <w:ilvl w:val="0"/>
          <w:numId w:val="2"/>
        </w:numPr>
        <w:ind w:leftChars="0" w:left="480" w:right="0"/>
      </w:pPr>
      <w:r>
        <w:t>Add Reporting Agents</w:t>
      </w:r>
    </w:p>
    <w:bookmarkEnd w:id="562"/>
    <w:bookmarkStart w:id="563" w:name="_66ccc53f6fb12b3dd2b5d658e3810772"/>
    <w:p>
      <w:pPr>
        <w:pStyle w:val="Heading4"/>
        <w:keepNext/>
      </w:pPr>
      <w:r>
        <w:t>v0.4.1 (2023-04-18)</w:t>
      </w:r>
    </w:p>
    <w:p>
      <w:pPr>
        <w:pStyle w:val="ListBullet"/>
        <w:numPr>
          <w:ilvl w:val="0"/>
          <w:numId w:val="2"/>
        </w:numPr>
        <w:ind w:leftChars="0" w:left="480" w:right="0"/>
      </w:pPr>
      <w:r>
        <w:t>Introduce docx documentation</w:t>
      </w:r>
    </w:p>
    <w:bookmarkEnd w:id="563"/>
    <w:bookmarkStart w:id="564"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64"/>
    <w:bookmarkStart w:id="565"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65"/>
    <w:bookmarkStart w:id="566" w:name="_bbf19731a3770ce0d91f3583412c941e"/>
    <w:p>
      <w:pPr>
        <w:pStyle w:val="Heading4"/>
        <w:keepNext/>
      </w:pPr>
      <w:r>
        <w:t>v0.3.0 (2023-04-11)</w:t>
      </w:r>
    </w:p>
    <w:p>
      <w:pPr>
        <w:pStyle w:val="ListBullet"/>
        <w:numPr>
          <w:ilvl w:val="0"/>
          <w:numId w:val="2"/>
        </w:numPr>
        <w:ind w:leftChars="0" w:left="480" w:right="0"/>
      </w:pPr>
      <w:r>
        <w:t>Refactor to IFDat-Docs</w:t>
      </w:r>
    </w:p>
    <w:bookmarkEnd w:id="566"/>
    <w:bookmarkStart w:id="567"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67"/>
    <w:bookmarkStart w:id="568"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68"/>
    <w:bookmarkStart w:id="569"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69"/>
    <w:bookmarkStart w:id="570"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70"/>
    <w:bookmarkStart w:id="571"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71"/>
    <w:bookmarkStart w:id="572" w:name="_a1e5c180142a89201f900f20c00ca8ed"/>
    <w:p>
      <w:pPr>
        <w:pStyle w:val="Heading4"/>
        <w:keepNext/>
      </w:pPr>
      <w:r>
        <w:t>v0.1.0 (2023-01-04)</w:t>
      </w:r>
    </w:p>
    <w:p>
      <w:pPr>
        <w:pStyle w:val="ListBullet"/>
        <w:numPr>
          <w:ilvl w:val="0"/>
          <w:numId w:val="2"/>
        </w:numPr>
        <w:ind w:leftChars="0" w:left="480" w:right="0"/>
      </w:pPr>
      <w:r>
        <w:t>Pre-release of documentation</w:t>
      </w:r>
    </w:p>
    <w:bookmarkEnd w:id="572"/>
    <w:bookmarkEnd w:id="505"/>
    <w:bookmarkEnd w:id="504"/>
    <w:bookmarkStart w:id="573" w:name="_5fc0168d11760b9445bd29fa15d9290f"/>
    <w:bookmarkStart w:id="574"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75"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76" w:name="_551ac696a365e742d039d40e2e9e7c63"/>
                  <w:hyperlink w:anchor="_0d38545c1171efb444d432769333eaba">
                    <w:r>
                      <w:rPr>
                        <w:rStyle w:val="Hyperlink"/>
                      </w:rPr>
                      <w:t>Issues</w:t>
                    </w:r>
                  </w:hyperlink>
                  <w:bookmarkEnd w:id="576"/>
                </w:p>
                <w:p>
                  <w:pPr>
                    <w:pStyle w:val="ListBullet"/>
                    <w:numPr>
                      <w:ilvl w:val="0"/>
                      <w:numId w:val="2"/>
                    </w:numPr>
                    <w:ind w:leftChars="0" w:left="480" w:right="0"/>
                  </w:pPr>
                  <w:bookmarkStart w:id="577" w:name="_41f4245e50f8276fe3be27aecd42a56a"/>
                  <w:hyperlink w:anchor="_5d1c07ba6ee49886781b69dee467b9da">
                    <w:r>
                      <w:rPr>
                        <w:rStyle w:val="Hyperlink"/>
                      </w:rPr>
                      <w:t>Pull Requests</w:t>
                    </w:r>
                  </w:hyperlink>
                  <w:bookmarkEnd w:id="577"/>
                </w:p>
              </w:txbxContent>
            </v:textbox>
          </v:rect>
        </w:pict>
      </w:r>
    </w:p>
    <w:bookmarkEnd w:id="575"/>
    <w:bookmarkStart w:id="578"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78"/>
    <w:bookmarkStart w:id="579"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79"/>
    <w:bookmarkEnd w:id="574"/>
    <w:bookmarkEnd w:id="573"/>
    <w:bookmarkEnd w:id="4"/>
    <w:bookmarkStart w:id="580" w:name="_f6f42fcb05e29751d3667fda64b7120b"/>
    <w:bookmarkStart w:id="581" w:name="_e1279f030b3978e9e8d171045a60e2b1"/>
    <w:bookmarkStart w:id="582"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83" w:name="_fb0daa3223715d98d73f8a20bc1b8917"/>
      <w:bookmarkEnd w:id="583"/>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82"/>
    <w:bookmarkEnd w:id="581"/>
    <w:bookmarkStart w:id="584" w:name="_445c5372d1471de0d7a209fa3f4da19f"/>
    <w:bookmarkStart w:id="585" w:name="_2bd85c16de048414f1be1c633135567f"/>
    <w:p>
      <w:pPr>
        <w:pStyle w:val="Heading3"/>
        <w:keepNext/>
      </w:pPr>
      <w:r>
        <w:t>Ευρετήριο</w:t>
      </w:r>
    </w:p>
    <w:bookmarkStart w:id="586" w:name="_f7fbb27b6de946b7db7c6f93a5e74a73"/>
    <w:p>
      <w:pPr>
        <w:pStyle w:val="DefinitionTerm"/>
        <w:ind w:leftChars="0" w:left="0" w:right="0"/>
        <w:keepNext/>
      </w:pPr>
      <w:r>
        <w:t>ΕΣΛ</w:t>
      </w:r>
    </w:p>
    <w:bookmarkEnd w:id="586"/>
    <w:bookmarkStart w:id="587" w:name="_4085ba8832d675f5846b42d9a1dd4d04"/>
    <w:p>
      <w:pPr>
        <w:pStyle w:val="DefinitionTerm"/>
        <w:ind w:leftChars="0" w:left="0" w:right="0"/>
        <w:keepNext/>
      </w:pPr>
      <w:r>
        <w:t>ΕΣΛ 2010</w:t>
      </w:r>
    </w:p>
    <w:bookmarkEnd w:id="587"/>
    <w:bookmarkStart w:id="588" w:name="_7265ecdfe112495d10f1d70812f0f65e"/>
    <w:p>
      <w:pPr>
        <w:pStyle w:val="DefinitionTerm"/>
        <w:ind w:leftChars="0" w:left="0" w:right="0"/>
        <w:keepNext/>
      </w:pPr>
      <w:r>
        <w:t>Ευρωπαϊκό Σύστημα Λογαριασμών 2010</w:t>
      </w:r>
    </w:p>
    <w:bookmarkEnd w:id="588"/>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89" w:name="_899a970b8bfbd6615cfdafcd79a6b4b4"/>
    <w:p>
      <w:pPr>
        <w:pStyle w:val="DefinitionTerm"/>
        <w:ind w:leftChars="0" w:left="0" w:right="0"/>
        <w:keepNext/>
      </w:pPr>
      <w:r>
        <w:t>Θεσμική μονάδα</w:t>
      </w:r>
    </w:p>
    <w:bookmarkEnd w:id="589"/>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90" w:name="_3c781cd688829a4978e667b4b61bab7e"/>
    <w:p>
      <w:pPr>
        <w:pStyle w:val="DefinitionTerm"/>
        <w:ind w:leftChars="0" w:left="0" w:right="0"/>
        <w:keepNext/>
      </w:pPr>
      <w:r>
        <w:t>ΜΠΣ</w:t>
      </w:r>
    </w:p>
    <w:bookmarkEnd w:id="590"/>
    <w:bookmarkStart w:id="591" w:name="_87b84997ae57a799540a03e5904e4ab9"/>
    <w:p>
      <w:pPr>
        <w:pStyle w:val="DefinitionTerm"/>
        <w:ind w:leftChars="0" w:left="0" w:right="0"/>
        <w:keepNext/>
      </w:pPr>
      <w:r>
        <w:t>Μονάδα Παροχής Στοιχείων</w:t>
      </w:r>
    </w:p>
    <w:bookmarkEnd w:id="591"/>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92" w:name="_979dcbd6a7cb06c24a56fc9f91390e71"/>
    <w:p>
      <w:pPr>
        <w:pStyle w:val="DefinitionTerm"/>
        <w:ind w:leftChars="0" w:left="0" w:right="0"/>
        <w:keepNext/>
      </w:pPr>
      <w:r>
        <w:t>Όντοτητα</w:t>
      </w:r>
    </w:p>
    <w:bookmarkEnd w:id="592"/>
    <w:p>
      <w:pPr>
        <w:pStyle w:val="Definition"/>
        <w:ind w:leftChars="0" w:left="480" w:right="0"/>
      </w:pPr>
      <w:r>
        <w:t>Ως οντότητα νοείται μία μονάδα που περιγράφεται με ένα μοναδικό αναγνωριστικό κωδικό.</w:t>
      </w:r>
    </w:p>
    <w:bookmarkStart w:id="593" w:name="_279e2155564282fa2144fab80f327eda"/>
    <w:p>
      <w:pPr>
        <w:pStyle w:val="DefinitionTerm"/>
        <w:ind w:leftChars="0" w:left="0" w:right="0"/>
        <w:keepNext/>
      </w:pPr>
      <w:r>
        <w:t>ΠΜ</w:t>
      </w:r>
    </w:p>
    <w:bookmarkEnd w:id="593"/>
    <w:bookmarkStart w:id="594" w:name="_5f02ad854e329278efa320925d0bb4ef"/>
    <w:p>
      <w:pPr>
        <w:pStyle w:val="DefinitionTerm"/>
        <w:ind w:leftChars="0" w:left="0" w:right="0"/>
        <w:keepNext/>
      </w:pPr>
      <w:r>
        <w:t>Παρατηρούμενη Μονάδα</w:t>
      </w:r>
    </w:p>
    <w:bookmarkEnd w:id="594"/>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85"/>
    <w:bookmarkEnd w:id="584"/>
    <w:bookmarkEnd w:id="580"/>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