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LL: Please go step by step and consider all possible requirements while using this website. When you are making these requirements ask yourself “Will I be able to test this within the website? Is it </w:t>
      </w:r>
      <w:hyperlink r:id="rId6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traceable</w:t>
        </w:r>
      </w:hyperlink>
      <w:r w:rsidDel="00000000" w:rsidR="00000000" w:rsidRPr="00000000">
        <w:rPr>
          <w:shd w:fill="ffe599" w:val="clear"/>
          <w:rtl w:val="0"/>
        </w:rPr>
        <w:t xml:space="preserve">?” If not, flag the requirement by highlighting or commenting on it!!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Naheed: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Finish with individual sections from 10/11 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Complete Section 6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Organize (Work in a group to complete all possible requirements within each section → or even create new sections)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Malik: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Finish with individual sections from 10/11 class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Complete Section 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Complete Section 7 (look to SDP we made there is a section on this… the dates will change as you will see…)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Organize (Work in a group to complete all possible requirements within each section → or even create new sections)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Brittany: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Organize  (Work in a group to complete all possible requirements within each section → or even create new sections)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Kylie: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and verify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rforce.com/blog/alm/what-traceability#:~:text=Requirements%20traceability%20is%20the%20ability,%2C%20test%20runs%2C%20and%20issu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