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auto" w:val="clear"/>
                <w:rtl w:val="0"/>
              </w:rPr>
              <w:t xml:space="preserve">&lt;Project Name&gt;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auto" w:val="clear"/>
                <w:rtl w:val="0"/>
              </w:rPr>
              <w:t xml:space="preserve">Traceability Matrix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auto" w:val="clear"/>
                <w:rtl w:val="0"/>
              </w:rPr>
              <w:t xml:space="preserve">Version 1.0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auto" w:val="clear"/>
                <w:rtl w:val="0"/>
              </w:rPr>
              <w:t xml:space="preserve">&lt;Date&gt;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b w:val="1"/>
                <w:sz w:val="30"/>
                <w:szCs w:val="30"/>
                <w:shd w:fill="auto" w:val="clear"/>
                <w:rtl w:val="0"/>
              </w:rPr>
              <w:t xml:space="preserve">&lt;Team Name&gt;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Version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Author(s)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1. Introduction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1.1 Purpose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  <w:rtl w:val="0"/>
        </w:rPr>
        <w:t xml:space="preserve">[The purpose of this document - why it exists and what the reader can gain from it.]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1.2 Scope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1.3 Definitions, Acronyms, and Abbreviations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Acronym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SDP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Software Development Plan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SRS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Software Requirements Specification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1.4 Document References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  <w:rtl w:val="0"/>
        </w:rPr>
        <w:t xml:space="preserve">[This subsection provides a complete list of all documents referenced elsewhere in this Traceability Matrix document. Identify each document by title, version number, date, and author or publishing organization.]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1.5 System Overview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  <w:rtl w:val="0"/>
        </w:rPr>
        <w:t xml:space="preserve">[A brief description of the software system to be built]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2. Traceability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  <w:rtl w:val="0"/>
        </w:rPr>
        <w:t xml:space="preserve">This section contains a table consisting of a requirements list (columns) and list of "aspects of the system" (rows). The table illustrates any relationships between requirements and aspects through the use of a symbol at the intersection of the two.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2.1 Requirements List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  <w:rtl w:val="0"/>
        </w:rPr>
        <w:t xml:space="preserve">The following table contains a list of requirement numbers and the SRS section numbers and section titles they refer to.</w:t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Requirement Number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SRS Section Number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SRS Section Title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R1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2.1.1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Selecting a square on the grid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R2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2.1.2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Cat's game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R3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2.1.3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Degradation of loser's pride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R4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2.2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Game scoring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...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...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2.2 Aspects List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  <w:rtl w:val="0"/>
        </w:rPr>
        <w:t xml:space="preserve">The following table contains a list of system aspect numbers and a brief description of the aspect. An aspect is a functional subsystem of the whole software program.</w:t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Aspect Number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Aspect (Subsystem) 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A1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 2 names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A2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Display 2 names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A3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Accept move input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A4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Display move result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...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2.3 Traceability Table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  <w:rtl w:val="0"/>
        </w:rPr>
        <w:t xml:space="preserve">The following table cross-references each requirement with each aspect, and vice versa.</w:t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76.25"/>
        <w:gridCol w:w="1076.25"/>
        <w:gridCol w:w="1076.25"/>
        <w:gridCol w:w="1076.25"/>
        <w:gridCol w:w="1076.25"/>
        <w:gridCol w:w="1076.25"/>
        <w:gridCol w:w="1076.25"/>
        <w:gridCol w:w="1076.25"/>
        <w:gridCol w:w="750"/>
        <w:tblGridChange w:id="0">
          <w:tblGrid>
            <w:gridCol w:w="1076.25"/>
            <w:gridCol w:w="1076.25"/>
            <w:gridCol w:w="1076.25"/>
            <w:gridCol w:w="1076.25"/>
            <w:gridCol w:w="1076.25"/>
            <w:gridCol w:w="1076.25"/>
            <w:gridCol w:w="1076.25"/>
            <w:gridCol w:w="1076.2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A1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A2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A3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A4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A5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A6</w:t>
            </w:r>
          </w:p>
        </w:tc>
        <w:tc>
          <w:tcPr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A7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A8</w:t>
            </w:r>
          </w:p>
        </w:tc>
      </w:tr>
      <w:tr>
        <w:trPr>
          <w:cantSplit w:val="0"/>
          <w:tblHeader w:val="0"/>
        </w:trPr>
        <w:tc>
          <w:tcPr>
            <w:shd w:fill="dddd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R1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dddd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R2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dddd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R3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dddd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R4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dddd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R5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dddd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R6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dddd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...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3. Miscellaneous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  <w:rtl w:val="0"/>
        </w:rPr>
        <w:t xml:space="preserve">[Additional material of use to the reader of the Traceability Matrix.]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1144cc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111111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