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EF7" w:rsidRDefault="00A74993">
      <w:pPr>
        <w:rPr>
          <w:lang w:val="en-MY"/>
        </w:rPr>
      </w:pPr>
      <w:r>
        <w:rPr>
          <w:lang w:val="en-MY"/>
        </w:rPr>
        <w:t xml:space="preserve">Task </w:t>
      </w:r>
      <w:proofErr w:type="gramStart"/>
      <w:r>
        <w:rPr>
          <w:lang w:val="en-MY"/>
        </w:rPr>
        <w:t>1 :</w:t>
      </w:r>
      <w:proofErr w:type="gramEnd"/>
      <w:r>
        <w:rPr>
          <w:lang w:val="en-MY"/>
        </w:rPr>
        <w:t xml:space="preserve"> </w:t>
      </w:r>
    </w:p>
    <w:p w:rsidR="00A74993" w:rsidRPr="00A74993" w:rsidRDefault="00A74993" w:rsidP="00A74993">
      <w:pPr>
        <w:rPr>
          <w:u w:val="single"/>
          <w:lang w:val="en-MY"/>
        </w:rPr>
      </w:pPr>
      <w:r w:rsidRPr="00A74993">
        <w:rPr>
          <w:u w:val="single"/>
          <w:lang w:val="en-MY"/>
        </w:rPr>
        <w:t>1. Simulating geometric Brownian motion</w:t>
      </w:r>
    </w:p>
    <w:p w:rsidR="00A74993" w:rsidRDefault="00A74993" w:rsidP="00A74993">
      <w:pPr>
        <w:rPr>
          <w:lang w:val="en-MY"/>
        </w:rPr>
      </w:pPr>
      <w:r>
        <w:rPr>
          <w:lang w:val="en-MY"/>
        </w:rPr>
        <w:t xml:space="preserve">First of all, we are going simulate a GBM with following equation </w:t>
      </w:r>
    </w:p>
    <w:p w:rsidR="00A74993" w:rsidRPr="00A74993" w:rsidRDefault="00A74993" w:rsidP="00A749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MY" w:eastAsia="zh-CN"/>
        </w:rPr>
      </w:pPr>
      <w:proofErr w:type="spellStart"/>
      <w:proofErr w:type="gramStart"/>
      <w:r w:rsidRPr="00A74993">
        <w:rPr>
          <w:rFonts w:ascii="Consolas" w:eastAsia="Times New Roman" w:hAnsi="Consolas" w:cs="Consolas"/>
          <w:color w:val="333333"/>
          <w:sz w:val="20"/>
          <w:szCs w:val="20"/>
          <w:bdr w:val="none" w:sz="0" w:space="0" w:color="auto" w:frame="1"/>
          <w:lang w:val="en-MY" w:eastAsia="zh-CN"/>
        </w:rPr>
        <w:t>dS</w:t>
      </w:r>
      <w:proofErr w:type="spellEnd"/>
      <w:r w:rsidRPr="00A74993">
        <w:rPr>
          <w:rFonts w:ascii="Consolas" w:eastAsia="Times New Roman" w:hAnsi="Consolas" w:cs="Consolas"/>
          <w:color w:val="333333"/>
          <w:sz w:val="20"/>
          <w:szCs w:val="20"/>
          <w:bdr w:val="none" w:sz="0" w:space="0" w:color="auto" w:frame="1"/>
          <w:lang w:val="en-MY" w:eastAsia="zh-CN"/>
        </w:rPr>
        <w:t>(</w:t>
      </w:r>
      <w:proofErr w:type="gramEnd"/>
      <w:r w:rsidRPr="00A74993">
        <w:rPr>
          <w:rFonts w:ascii="Consolas" w:eastAsia="Times New Roman" w:hAnsi="Consolas" w:cs="Consolas"/>
          <w:color w:val="333333"/>
          <w:sz w:val="20"/>
          <w:szCs w:val="20"/>
          <w:bdr w:val="none" w:sz="0" w:space="0" w:color="auto" w:frame="1"/>
          <w:lang w:val="en-MY" w:eastAsia="zh-CN"/>
        </w:rPr>
        <w:t xml:space="preserve">t) = 0.1 </w:t>
      </w:r>
      <w:proofErr w:type="spellStart"/>
      <w:r w:rsidRPr="00A74993">
        <w:rPr>
          <w:rFonts w:ascii="Consolas" w:eastAsia="Times New Roman" w:hAnsi="Consolas" w:cs="Consolas"/>
          <w:color w:val="333333"/>
          <w:sz w:val="20"/>
          <w:szCs w:val="20"/>
          <w:bdr w:val="none" w:sz="0" w:space="0" w:color="auto" w:frame="1"/>
          <w:lang w:val="en-MY" w:eastAsia="zh-CN"/>
        </w:rPr>
        <w:t>dt</w:t>
      </w:r>
      <w:proofErr w:type="spellEnd"/>
      <w:r w:rsidRPr="00A74993">
        <w:rPr>
          <w:rFonts w:ascii="Consolas" w:eastAsia="Times New Roman" w:hAnsi="Consolas" w:cs="Consolas"/>
          <w:color w:val="333333"/>
          <w:sz w:val="20"/>
          <w:szCs w:val="20"/>
          <w:bdr w:val="none" w:sz="0" w:space="0" w:color="auto" w:frame="1"/>
          <w:lang w:val="en-MY" w:eastAsia="zh-CN"/>
        </w:rPr>
        <w:t xml:space="preserve"> + 0.26 dB(t); S(0) = 39</w:t>
      </w:r>
    </w:p>
    <w:p w:rsidR="00A74993" w:rsidRDefault="00A74993" w:rsidP="00A74993">
      <w:pPr>
        <w:rPr>
          <w:lang w:val="en-MY"/>
        </w:rPr>
      </w:pPr>
      <w:proofErr w:type="gramStart"/>
      <w:r>
        <w:rPr>
          <w:lang w:val="en-MY"/>
        </w:rPr>
        <w:t>Hence ,</w:t>
      </w:r>
      <w:proofErr w:type="gramEnd"/>
      <w:r>
        <w:rPr>
          <w:lang w:val="en-MY"/>
        </w:rPr>
        <w:t xml:space="preserve"> to start off we define all the parameters needed , mu , sigma and initial S0. In order to get a better and more accurate </w:t>
      </w:r>
      <w:proofErr w:type="gramStart"/>
      <w:r>
        <w:rPr>
          <w:lang w:val="en-MY"/>
        </w:rPr>
        <w:t>results ,</w:t>
      </w:r>
      <w:proofErr w:type="gramEnd"/>
      <w:r>
        <w:rPr>
          <w:lang w:val="en-MY"/>
        </w:rPr>
        <w:t xml:space="preserve"> we </w:t>
      </w:r>
      <w:r w:rsidR="008E356C">
        <w:rPr>
          <w:lang w:val="en-MY"/>
        </w:rPr>
        <w:t>simulate 1000 runs on each different path for 1000 paths.</w:t>
      </w:r>
    </w:p>
    <w:p w:rsidR="008E356C" w:rsidRDefault="008E356C" w:rsidP="00A74993">
      <w:pPr>
        <w:rPr>
          <w:lang w:val="en-MY"/>
        </w:rPr>
      </w:pPr>
      <w:r>
        <w:rPr>
          <w:lang w:val="en-MY"/>
        </w:rPr>
        <w:t>In the end, we take out the first five 5 runs as simulation of the GBM</w:t>
      </w:r>
      <w:r w:rsidR="00080BF4">
        <w:rPr>
          <w:lang w:val="en-MY"/>
        </w:rPr>
        <w:t xml:space="preserve"> and plotted as below</w:t>
      </w:r>
      <w:r>
        <w:rPr>
          <w:lang w:val="en-MY"/>
        </w:rPr>
        <w:t>. However calculation are based on the total 1000 paths.</w:t>
      </w:r>
      <w:r w:rsidR="00080BF4">
        <w:rPr>
          <w:lang w:val="en-MY"/>
        </w:rPr>
        <w:t xml:space="preserve">  </w:t>
      </w:r>
      <w:proofErr w:type="gramStart"/>
      <w:r w:rsidR="00080BF4">
        <w:rPr>
          <w:lang w:val="en-MY"/>
        </w:rPr>
        <w:t>[ maybe</w:t>
      </w:r>
      <w:proofErr w:type="gramEnd"/>
      <w:r w:rsidR="00080BF4">
        <w:rPr>
          <w:lang w:val="en-MY"/>
        </w:rPr>
        <w:t xml:space="preserve"> different each and every time]</w:t>
      </w:r>
    </w:p>
    <w:p w:rsidR="00080BF4" w:rsidRDefault="00080BF4" w:rsidP="00A74993">
      <w:pPr>
        <w:rPr>
          <w:lang w:val="en-MY"/>
        </w:rPr>
      </w:pPr>
      <w:r>
        <w:rPr>
          <w:noProof/>
          <w:lang w:val="en-MY" w:eastAsia="zh-CN"/>
        </w:rPr>
        <w:drawing>
          <wp:inline distT="0" distB="0" distL="0" distR="0" wp14:anchorId="39D0B339" wp14:editId="21D74D28">
            <wp:extent cx="4600575" cy="3340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4443" cy="3343277"/>
                    </a:xfrm>
                    <a:prstGeom prst="rect">
                      <a:avLst/>
                    </a:prstGeom>
                  </pic:spPr>
                </pic:pic>
              </a:graphicData>
            </a:graphic>
          </wp:inline>
        </w:drawing>
      </w:r>
    </w:p>
    <w:p w:rsidR="00080BF4" w:rsidRDefault="00080BF4" w:rsidP="00A74993">
      <w:pPr>
        <w:rPr>
          <w:lang w:val="en-MY"/>
        </w:rPr>
      </w:pPr>
    </w:p>
    <w:p w:rsidR="00080BF4" w:rsidRDefault="00080BF4" w:rsidP="00080BF4">
      <w:pPr>
        <w:numPr>
          <w:ilvl w:val="0"/>
          <w:numId w:val="2"/>
        </w:numPr>
        <w:rPr>
          <w:lang w:val="en-MY"/>
        </w:rPr>
      </w:pPr>
      <w:r w:rsidRPr="00080BF4">
        <w:rPr>
          <w:lang w:val="en-MY"/>
        </w:rPr>
        <w:t xml:space="preserve">Calculate the expectation value of </w:t>
      </w:r>
      <w:proofErr w:type="gramStart"/>
      <w:r w:rsidRPr="00080BF4">
        <w:rPr>
          <w:lang w:val="en-MY"/>
        </w:rPr>
        <w:t>S(</w:t>
      </w:r>
      <w:proofErr w:type="gramEnd"/>
      <w:r w:rsidRPr="00080BF4">
        <w:rPr>
          <w:lang w:val="en-MY"/>
        </w:rPr>
        <w:t>3) based on the simulation.</w:t>
      </w:r>
    </w:p>
    <w:p w:rsidR="00080BF4" w:rsidRPr="00080BF4" w:rsidRDefault="00080BF4" w:rsidP="00080BF4">
      <w:pPr>
        <w:rPr>
          <w:lang w:val="en-MY"/>
        </w:rPr>
      </w:pPr>
      <w:r>
        <w:rPr>
          <w:lang w:val="en-MY"/>
        </w:rPr>
        <w:t xml:space="preserve">To calculate the expected value at </w:t>
      </w:r>
      <w:proofErr w:type="gramStart"/>
      <w:r>
        <w:rPr>
          <w:lang w:val="en-MY"/>
        </w:rPr>
        <w:t>S(</w:t>
      </w:r>
      <w:proofErr w:type="gramEnd"/>
      <w:r>
        <w:rPr>
          <w:lang w:val="en-MY"/>
        </w:rPr>
        <w:t>3), we get the last colum</w:t>
      </w:r>
      <w:r w:rsidR="00490D03">
        <w:rPr>
          <w:lang w:val="en-MY"/>
        </w:rPr>
        <w:t xml:space="preserve">n value from each different row and form a new matrix. We sum them up by </w:t>
      </w:r>
      <w:proofErr w:type="gramStart"/>
      <w:r w:rsidR="00490D03">
        <w:rPr>
          <w:lang w:val="en-MY"/>
        </w:rPr>
        <w:t>sum(</w:t>
      </w:r>
      <w:proofErr w:type="gramEnd"/>
      <w:r w:rsidR="00490D03">
        <w:rPr>
          <w:lang w:val="en-MY"/>
        </w:rPr>
        <w:t>) and take the average of it will give us the expected S(3).</w:t>
      </w:r>
    </w:p>
    <w:p w:rsidR="00080BF4" w:rsidRDefault="00080BF4" w:rsidP="00080BF4">
      <w:pPr>
        <w:numPr>
          <w:ilvl w:val="0"/>
          <w:numId w:val="2"/>
        </w:numPr>
        <w:rPr>
          <w:lang w:val="en-MY"/>
        </w:rPr>
      </w:pPr>
      <w:r w:rsidRPr="00080BF4">
        <w:rPr>
          <w:lang w:val="en-MY"/>
        </w:rPr>
        <w:t xml:space="preserve">Calculate the variance of </w:t>
      </w:r>
      <w:proofErr w:type="gramStart"/>
      <w:r w:rsidRPr="00080BF4">
        <w:rPr>
          <w:lang w:val="en-MY"/>
        </w:rPr>
        <w:t>S(</w:t>
      </w:r>
      <w:proofErr w:type="gramEnd"/>
      <w:r w:rsidRPr="00080BF4">
        <w:rPr>
          <w:lang w:val="en-MY"/>
        </w:rPr>
        <w:t>3).</w:t>
      </w:r>
    </w:p>
    <w:p w:rsidR="00080BF4" w:rsidRDefault="00490D03" w:rsidP="00080BF4">
      <w:pPr>
        <w:rPr>
          <w:lang w:val="en-MY"/>
        </w:rPr>
      </w:pPr>
      <w:r>
        <w:rPr>
          <w:lang w:val="en-MY"/>
        </w:rPr>
        <w:t xml:space="preserve">The variance is calculated by the build in function </w:t>
      </w:r>
      <w:proofErr w:type="spellStart"/>
      <w:proofErr w:type="gramStart"/>
      <w:r>
        <w:rPr>
          <w:lang w:val="en-MY"/>
        </w:rPr>
        <w:t>var</w:t>
      </w:r>
      <w:proofErr w:type="spellEnd"/>
      <w:r>
        <w:rPr>
          <w:lang w:val="en-MY"/>
        </w:rPr>
        <w:t>(</w:t>
      </w:r>
      <w:proofErr w:type="gramEnd"/>
      <w:r>
        <w:rPr>
          <w:lang w:val="en-MY"/>
        </w:rPr>
        <w:t>) on the matrix consists of 1000 final price only too.</w:t>
      </w:r>
    </w:p>
    <w:p w:rsidR="00490D03" w:rsidRDefault="00490D03" w:rsidP="00080BF4">
      <w:pPr>
        <w:rPr>
          <w:lang w:val="en-MY"/>
        </w:rPr>
      </w:pPr>
    </w:p>
    <w:p w:rsidR="00490D03" w:rsidRPr="00080BF4" w:rsidRDefault="00490D03" w:rsidP="00080BF4">
      <w:pPr>
        <w:rPr>
          <w:lang w:val="en-MY"/>
        </w:rPr>
      </w:pPr>
    </w:p>
    <w:p w:rsidR="00080BF4" w:rsidRDefault="00080BF4" w:rsidP="00080BF4">
      <w:pPr>
        <w:numPr>
          <w:ilvl w:val="0"/>
          <w:numId w:val="2"/>
        </w:numPr>
        <w:rPr>
          <w:lang w:val="en-MY"/>
        </w:rPr>
      </w:pPr>
      <w:r w:rsidRPr="00080BF4">
        <w:rPr>
          <w:lang w:val="en-MY"/>
        </w:rPr>
        <w:lastRenderedPageBreak/>
        <w:t>Calculate P[</w:t>
      </w:r>
      <w:proofErr w:type="gramStart"/>
      <w:r w:rsidRPr="00080BF4">
        <w:rPr>
          <w:lang w:val="en-MY"/>
        </w:rPr>
        <w:t>S(</w:t>
      </w:r>
      <w:proofErr w:type="gramEnd"/>
      <w:r w:rsidRPr="00080BF4">
        <w:rPr>
          <w:lang w:val="en-MY"/>
        </w:rPr>
        <w:t>3)&gt; 39].</w:t>
      </w:r>
    </w:p>
    <w:p w:rsidR="00490D03" w:rsidRPr="00080BF4" w:rsidRDefault="00490D03" w:rsidP="00490D03">
      <w:pPr>
        <w:rPr>
          <w:lang w:val="en-MY"/>
        </w:rPr>
      </w:pPr>
      <w:r>
        <w:rPr>
          <w:lang w:val="en-MY"/>
        </w:rPr>
        <w:t>Here to obtain the value, we form a new matrix with only the value exceed the initial value of 39. The matrix consists of true false element only which is also value of 1 and 0. We can sum up to see the total number of path that exceeds the initial value. The probability can be calculated by dividing them over number of path (1000).</w:t>
      </w:r>
    </w:p>
    <w:p w:rsidR="00490D03" w:rsidRDefault="00080BF4" w:rsidP="00490D03">
      <w:pPr>
        <w:numPr>
          <w:ilvl w:val="0"/>
          <w:numId w:val="2"/>
        </w:numPr>
        <w:rPr>
          <w:lang w:val="en-MY"/>
        </w:rPr>
      </w:pPr>
      <w:r w:rsidRPr="00080BF4">
        <w:rPr>
          <w:lang w:val="en-MY"/>
        </w:rPr>
        <w:t>Calculate E[</w:t>
      </w:r>
      <w:proofErr w:type="gramStart"/>
      <w:r w:rsidRPr="00080BF4">
        <w:rPr>
          <w:lang w:val="en-MY"/>
        </w:rPr>
        <w:t>S(</w:t>
      </w:r>
      <w:proofErr w:type="gramEnd"/>
      <w:r w:rsidRPr="00080BF4">
        <w:rPr>
          <w:lang w:val="en-MY"/>
        </w:rPr>
        <w:t>3) | S(3) &gt; 39].</w:t>
      </w:r>
    </w:p>
    <w:p w:rsidR="00490D03" w:rsidRPr="00490D03" w:rsidRDefault="00490D03" w:rsidP="00490D03">
      <w:pPr>
        <w:rPr>
          <w:lang w:val="en-MY"/>
        </w:rPr>
      </w:pPr>
      <w:r>
        <w:rPr>
          <w:lang w:val="en-MY"/>
        </w:rPr>
        <w:t xml:space="preserve">From the true false matrix above, we found the path with value over 39. </w:t>
      </w:r>
      <w:r w:rsidRPr="00490D03">
        <w:rPr>
          <w:lang w:val="en-MY"/>
        </w:rPr>
        <w:t>Hence, we multiply it with original final price matrix to get a new matrix where only with prices exceed the initial price S0.</w:t>
      </w:r>
      <w:r>
        <w:rPr>
          <w:lang w:val="en-MY"/>
        </w:rPr>
        <w:t xml:space="preserve"> By taking the mean of the </w:t>
      </w:r>
      <w:proofErr w:type="gramStart"/>
      <w:r>
        <w:rPr>
          <w:lang w:val="en-MY"/>
        </w:rPr>
        <w:t>them ,</w:t>
      </w:r>
      <w:proofErr w:type="gramEnd"/>
      <w:r>
        <w:rPr>
          <w:lang w:val="en-MY"/>
        </w:rPr>
        <w:t xml:space="preserve"> we will have the expected value provided the final prices higher then initial price.</w:t>
      </w:r>
    </w:p>
    <w:p w:rsidR="00080BF4" w:rsidRDefault="00080BF4" w:rsidP="00A74993">
      <w:pPr>
        <w:rPr>
          <w:lang w:val="en-MY"/>
        </w:rPr>
      </w:pPr>
    </w:p>
    <w:p w:rsidR="00080BF4" w:rsidRDefault="00080BF4" w:rsidP="00A74993">
      <w:pPr>
        <w:rPr>
          <w:lang w:val="en-MY"/>
        </w:rPr>
      </w:pPr>
    </w:p>
    <w:p w:rsidR="00A74993" w:rsidRPr="00490D03" w:rsidRDefault="00490D03" w:rsidP="00A74993">
      <w:pPr>
        <w:rPr>
          <w:u w:val="single"/>
          <w:lang w:val="en-MY"/>
        </w:rPr>
      </w:pPr>
      <w:r w:rsidRPr="00490D03">
        <w:rPr>
          <w:u w:val="single"/>
          <w:lang w:val="en-MY"/>
        </w:rPr>
        <w:t>2. Simulating mean reversal process</w:t>
      </w:r>
    </w:p>
    <w:p w:rsidR="00490D03" w:rsidRDefault="00490D03" w:rsidP="00A74993">
      <w:pPr>
        <w:rPr>
          <w:lang w:val="en-MY"/>
        </w:rPr>
      </w:pPr>
      <w:r>
        <w:rPr>
          <w:lang w:val="en-MY"/>
        </w:rPr>
        <w:t xml:space="preserve">The method is quite similar to task </w:t>
      </w:r>
      <w:proofErr w:type="gramStart"/>
      <w:r>
        <w:rPr>
          <w:lang w:val="en-MY"/>
        </w:rPr>
        <w:t>1.1 .</w:t>
      </w:r>
      <w:proofErr w:type="gramEnd"/>
      <w:r>
        <w:rPr>
          <w:lang w:val="en-MY"/>
        </w:rPr>
        <w:t xml:space="preserve"> We start off by setup the parameters alpha, sigma and theta. Determine the time interval from zero to </w:t>
      </w:r>
      <w:proofErr w:type="gramStart"/>
      <w:r>
        <w:rPr>
          <w:lang w:val="en-MY"/>
        </w:rPr>
        <w:t>one ,</w:t>
      </w:r>
      <w:proofErr w:type="gramEnd"/>
      <w:r>
        <w:rPr>
          <w:lang w:val="en-MY"/>
        </w:rPr>
        <w:t xml:space="preserve"> and </w:t>
      </w:r>
      <w:r w:rsidR="0020304F">
        <w:rPr>
          <w:lang w:val="en-MY"/>
        </w:rPr>
        <w:t xml:space="preserve">split the interval into 1000 partitions , generating 1000 paths again. Similarly, we also take only 5 process from the generated huge </w:t>
      </w:r>
      <w:proofErr w:type="gramStart"/>
      <w:r w:rsidR="0020304F">
        <w:rPr>
          <w:lang w:val="en-MY"/>
        </w:rPr>
        <w:t>matrix ,</w:t>
      </w:r>
      <w:proofErr w:type="gramEnd"/>
      <w:r w:rsidR="0020304F">
        <w:rPr>
          <w:lang w:val="en-MY"/>
        </w:rPr>
        <w:t xml:space="preserve"> however , the calculations are still based on total 1000runs. The simulation is shown below. </w:t>
      </w:r>
      <w:proofErr w:type="gramStart"/>
      <w:r w:rsidR="0020304F">
        <w:rPr>
          <w:lang w:val="en-MY"/>
        </w:rPr>
        <w:t>[ will</w:t>
      </w:r>
      <w:proofErr w:type="gramEnd"/>
      <w:r w:rsidR="0020304F">
        <w:rPr>
          <w:lang w:val="en-MY"/>
        </w:rPr>
        <w:t xml:space="preserve"> be different on each run]</w:t>
      </w:r>
    </w:p>
    <w:p w:rsidR="0020304F" w:rsidRDefault="0020304F" w:rsidP="00A74993">
      <w:pPr>
        <w:rPr>
          <w:lang w:val="en-MY"/>
        </w:rPr>
      </w:pPr>
      <w:r>
        <w:rPr>
          <w:noProof/>
          <w:lang w:val="en-MY" w:eastAsia="zh-CN"/>
        </w:rPr>
        <w:drawing>
          <wp:inline distT="0" distB="0" distL="0" distR="0" wp14:anchorId="61049BB6" wp14:editId="0A8E968E">
            <wp:extent cx="5943600" cy="321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1830"/>
                    </a:xfrm>
                    <a:prstGeom prst="rect">
                      <a:avLst/>
                    </a:prstGeom>
                  </pic:spPr>
                </pic:pic>
              </a:graphicData>
            </a:graphic>
          </wp:inline>
        </w:drawing>
      </w:r>
    </w:p>
    <w:p w:rsidR="0020304F" w:rsidRDefault="0020304F" w:rsidP="00A74993">
      <w:pPr>
        <w:rPr>
          <w:lang w:val="en-MY"/>
        </w:rPr>
      </w:pPr>
      <w:r>
        <w:rPr>
          <w:lang w:val="en-MY"/>
        </w:rPr>
        <w:lastRenderedPageBreak/>
        <w:t xml:space="preserve">Each step is calculated by adding towards the previous 1. However the size might exceed the range on last calculation, hence we add range limit of n </w:t>
      </w:r>
      <w:proofErr w:type="gramStart"/>
      <w:r>
        <w:rPr>
          <w:lang w:val="en-MY"/>
        </w:rPr>
        <w:t>( 1000</w:t>
      </w:r>
      <w:proofErr w:type="gramEnd"/>
      <w:r>
        <w:rPr>
          <w:lang w:val="en-MY"/>
        </w:rPr>
        <w:t xml:space="preserve"> ) . After </w:t>
      </w:r>
      <w:proofErr w:type="gramStart"/>
      <w:r>
        <w:rPr>
          <w:lang w:val="en-MY"/>
        </w:rPr>
        <w:t>that ,</w:t>
      </w:r>
      <w:proofErr w:type="gramEnd"/>
      <w:r>
        <w:rPr>
          <w:lang w:val="en-MY"/>
        </w:rPr>
        <w:t xml:space="preserve"> similar to the previous task , we form a matrix </w:t>
      </w:r>
      <w:r w:rsidR="00327B8A">
        <w:rPr>
          <w:lang w:val="en-MY"/>
        </w:rPr>
        <w:t xml:space="preserve">that takes only the last value with [: , -1]  over all the 1000 paths . </w:t>
      </w:r>
    </w:p>
    <w:p w:rsidR="00327B8A" w:rsidRDefault="00327B8A" w:rsidP="00327B8A">
      <w:pPr>
        <w:numPr>
          <w:ilvl w:val="0"/>
          <w:numId w:val="3"/>
        </w:numPr>
        <w:spacing w:before="100" w:beforeAutospacing="1" w:after="100" w:afterAutospacing="1" w:line="307" w:lineRule="atLeast"/>
        <w:rPr>
          <w:rFonts w:ascii="Helvetica" w:eastAsia="Times New Roman" w:hAnsi="Helvetica" w:cs="Helvetica"/>
          <w:color w:val="333333"/>
          <w:sz w:val="24"/>
          <w:szCs w:val="24"/>
          <w:lang w:val="en-MY" w:eastAsia="zh-CN"/>
        </w:rPr>
      </w:pPr>
      <w:r w:rsidRPr="00327B8A">
        <w:rPr>
          <w:rFonts w:ascii="Helvetica" w:eastAsia="Times New Roman" w:hAnsi="Helvetica" w:cs="Helvetica"/>
          <w:color w:val="333333"/>
          <w:sz w:val="24"/>
          <w:szCs w:val="24"/>
          <w:lang w:val="en-MY" w:eastAsia="zh-CN"/>
        </w:rPr>
        <w:t xml:space="preserve">Calculate the expectation value of </w:t>
      </w:r>
      <w:proofErr w:type="gramStart"/>
      <w:r w:rsidRPr="00327B8A">
        <w:rPr>
          <w:rFonts w:ascii="Helvetica" w:eastAsia="Times New Roman" w:hAnsi="Helvetica" w:cs="Helvetica"/>
          <w:color w:val="333333"/>
          <w:sz w:val="24"/>
          <w:szCs w:val="24"/>
          <w:lang w:val="en-MY" w:eastAsia="zh-CN"/>
        </w:rPr>
        <w:t>R(</w:t>
      </w:r>
      <w:proofErr w:type="gramEnd"/>
      <w:r w:rsidRPr="00327B8A">
        <w:rPr>
          <w:rFonts w:ascii="Helvetica" w:eastAsia="Times New Roman" w:hAnsi="Helvetica" w:cs="Helvetica"/>
          <w:color w:val="333333"/>
          <w:sz w:val="24"/>
          <w:szCs w:val="24"/>
          <w:lang w:val="en-MY" w:eastAsia="zh-CN"/>
        </w:rPr>
        <w:t>1) based on the simulation.</w:t>
      </w:r>
    </w:p>
    <w:p w:rsidR="00327B8A" w:rsidRPr="00327B8A" w:rsidRDefault="00327B8A" w:rsidP="00327B8A">
      <w:pPr>
        <w:spacing w:before="100" w:beforeAutospacing="1" w:after="100" w:afterAutospacing="1" w:line="307" w:lineRule="atLeast"/>
        <w:rPr>
          <w:rFonts w:eastAsia="Times New Roman" w:cs="Helvetica"/>
          <w:color w:val="333333"/>
          <w:lang w:val="en-MY" w:eastAsia="zh-CN"/>
        </w:rPr>
      </w:pPr>
      <w:r w:rsidRPr="00327B8A">
        <w:rPr>
          <w:rFonts w:eastAsia="Times New Roman" w:cs="Helvetica"/>
          <w:color w:val="333333"/>
          <w:lang w:val="en-MY" w:eastAsia="zh-CN"/>
        </w:rPr>
        <w:t xml:space="preserve">Let the matrix with last value called R1, we sum all the element by </w:t>
      </w:r>
      <w:proofErr w:type="gramStart"/>
      <w:r w:rsidRPr="00327B8A">
        <w:rPr>
          <w:rFonts w:eastAsia="Times New Roman" w:cs="Helvetica"/>
          <w:color w:val="333333"/>
          <w:lang w:val="en-MY" w:eastAsia="zh-CN"/>
        </w:rPr>
        <w:t>sum(</w:t>
      </w:r>
      <w:proofErr w:type="gramEnd"/>
      <w:r w:rsidRPr="00327B8A">
        <w:rPr>
          <w:rFonts w:eastAsia="Times New Roman" w:cs="Helvetica"/>
          <w:color w:val="333333"/>
          <w:lang w:val="en-MY" w:eastAsia="zh-CN"/>
        </w:rPr>
        <w:t xml:space="preserve">R1) and then divide by n , number of path (1000) , we will have </w:t>
      </w:r>
      <w:proofErr w:type="spellStart"/>
      <w:r w:rsidRPr="00327B8A">
        <w:rPr>
          <w:rFonts w:eastAsia="Times New Roman" w:cs="Helvetica"/>
          <w:color w:val="333333"/>
          <w:lang w:val="en-MY" w:eastAsia="zh-CN"/>
        </w:rPr>
        <w:t>a</w:t>
      </w:r>
      <w:proofErr w:type="spellEnd"/>
      <w:r w:rsidRPr="00327B8A">
        <w:rPr>
          <w:rFonts w:eastAsia="Times New Roman" w:cs="Helvetica"/>
          <w:color w:val="333333"/>
          <w:lang w:val="en-MY" w:eastAsia="zh-CN"/>
        </w:rPr>
        <w:t xml:space="preserve"> expected value over 1000 paths.</w:t>
      </w:r>
    </w:p>
    <w:p w:rsidR="00327B8A" w:rsidRPr="00327B8A" w:rsidRDefault="00327B8A" w:rsidP="00327B8A">
      <w:pPr>
        <w:numPr>
          <w:ilvl w:val="0"/>
          <w:numId w:val="3"/>
        </w:numPr>
        <w:spacing w:before="100" w:beforeAutospacing="1" w:after="100" w:afterAutospacing="1" w:line="307" w:lineRule="atLeast"/>
        <w:rPr>
          <w:rFonts w:ascii="Helvetica" w:eastAsia="Times New Roman" w:hAnsi="Helvetica" w:cs="Helvetica"/>
          <w:color w:val="333333"/>
          <w:sz w:val="24"/>
          <w:szCs w:val="24"/>
          <w:lang w:val="en-MY" w:eastAsia="zh-CN"/>
        </w:rPr>
      </w:pPr>
      <w:r w:rsidRPr="00327B8A">
        <w:rPr>
          <w:rFonts w:ascii="Helvetica" w:eastAsia="Times New Roman" w:hAnsi="Helvetica" w:cs="Helvetica"/>
          <w:color w:val="333333"/>
          <w:sz w:val="24"/>
          <w:szCs w:val="24"/>
          <w:lang w:val="en-MY" w:eastAsia="zh-CN"/>
        </w:rPr>
        <w:t>Calculate P[</w:t>
      </w:r>
      <w:proofErr w:type="gramStart"/>
      <w:r w:rsidRPr="00327B8A">
        <w:rPr>
          <w:rFonts w:ascii="Helvetica" w:eastAsia="Times New Roman" w:hAnsi="Helvetica" w:cs="Helvetica"/>
          <w:color w:val="333333"/>
          <w:sz w:val="24"/>
          <w:szCs w:val="24"/>
          <w:lang w:val="en-MY" w:eastAsia="zh-CN"/>
        </w:rPr>
        <w:t>R(</w:t>
      </w:r>
      <w:proofErr w:type="gramEnd"/>
      <w:r w:rsidRPr="00327B8A">
        <w:rPr>
          <w:rFonts w:ascii="Helvetica" w:eastAsia="Times New Roman" w:hAnsi="Helvetica" w:cs="Helvetica"/>
          <w:color w:val="333333"/>
          <w:sz w:val="24"/>
          <w:szCs w:val="24"/>
          <w:lang w:val="en-MY" w:eastAsia="zh-CN"/>
        </w:rPr>
        <w:t>1)&gt; 2].</w:t>
      </w:r>
    </w:p>
    <w:p w:rsidR="00327B8A" w:rsidRDefault="00327B8A" w:rsidP="00327B8A">
      <w:pPr>
        <w:rPr>
          <w:lang w:val="en-MY"/>
        </w:rPr>
      </w:pPr>
      <w:r>
        <w:rPr>
          <w:lang w:val="en-MY"/>
        </w:rPr>
        <w:t xml:space="preserve">Similarly to the previous </w:t>
      </w:r>
      <w:proofErr w:type="gramStart"/>
      <w:r>
        <w:rPr>
          <w:lang w:val="en-MY"/>
        </w:rPr>
        <w:t>task ,</w:t>
      </w:r>
      <w:proofErr w:type="gramEnd"/>
      <w:r>
        <w:rPr>
          <w:lang w:val="en-MY"/>
        </w:rPr>
        <w:t xml:space="preserve"> we find a new matrix exceed_R1 , that the value is more than 2 , which will be a true false matrix that carry value 1 and 0.  Using </w:t>
      </w:r>
      <w:proofErr w:type="gramStart"/>
      <w:r>
        <w:rPr>
          <w:lang w:val="en-MY"/>
        </w:rPr>
        <w:t>sum(</w:t>
      </w:r>
      <w:proofErr w:type="gramEnd"/>
      <w:r>
        <w:rPr>
          <w:lang w:val="en-MY"/>
        </w:rPr>
        <w:t>exceed_R1) we can get the number of path that get above 2, then divided over 1000 to get the probability.</w:t>
      </w:r>
    </w:p>
    <w:p w:rsidR="00327B8A" w:rsidRDefault="00327B8A" w:rsidP="00327B8A">
      <w:pPr>
        <w:rPr>
          <w:lang w:val="en-MY"/>
        </w:rPr>
      </w:pPr>
    </w:p>
    <w:p w:rsidR="00327B8A" w:rsidRDefault="00327B8A" w:rsidP="00327B8A">
      <w:pPr>
        <w:rPr>
          <w:u w:val="single"/>
          <w:lang w:val="en-MY"/>
        </w:rPr>
      </w:pPr>
      <w:r w:rsidRPr="00327B8A">
        <w:rPr>
          <w:u w:val="single"/>
          <w:lang w:val="en-MY"/>
        </w:rPr>
        <w:t>Task 2 -- Downloading and manipulating stock data</w:t>
      </w:r>
    </w:p>
    <w:p w:rsidR="00327B8A" w:rsidRDefault="00327B8A" w:rsidP="00327B8A">
      <w:pPr>
        <w:rPr>
          <w:lang w:val="en-MY"/>
        </w:rPr>
      </w:pPr>
      <w:r>
        <w:rPr>
          <w:lang w:val="en-MY"/>
        </w:rPr>
        <w:tab/>
        <w:t xml:space="preserve">The stock data of FTSEKLCI is achieved </w:t>
      </w:r>
      <w:proofErr w:type="gramStart"/>
      <w:r>
        <w:rPr>
          <w:lang w:val="en-MY"/>
        </w:rPr>
        <w:t xml:space="preserve">from </w:t>
      </w:r>
      <w:r w:rsidRPr="00327B8A">
        <w:rPr>
          <w:lang w:val="en-MY"/>
        </w:rPr>
        <w:t xml:space="preserve"> </w:t>
      </w:r>
      <w:proofErr w:type="gramEnd"/>
      <w:r>
        <w:rPr>
          <w:lang w:val="en-MY"/>
        </w:rPr>
        <w:fldChar w:fldCharType="begin"/>
      </w:r>
      <w:r>
        <w:rPr>
          <w:lang w:val="en-MY"/>
        </w:rPr>
        <w:instrText xml:space="preserve"> HYPERLINK "</w:instrText>
      </w:r>
      <w:r w:rsidRPr="00327B8A">
        <w:rPr>
          <w:lang w:val="en-MY"/>
        </w:rPr>
        <w:instrText>http://www.investing.com/indices/ftse-malaysia-klci-components</w:instrText>
      </w:r>
      <w:r>
        <w:rPr>
          <w:lang w:val="en-MY"/>
        </w:rPr>
        <w:instrText xml:space="preserve">" </w:instrText>
      </w:r>
      <w:r>
        <w:rPr>
          <w:lang w:val="en-MY"/>
        </w:rPr>
        <w:fldChar w:fldCharType="separate"/>
      </w:r>
      <w:r w:rsidRPr="009874D7">
        <w:rPr>
          <w:rStyle w:val="Hyperlink"/>
          <w:lang w:val="en-MY"/>
        </w:rPr>
        <w:t>http://www.investing.com/indices/ftse-malaysia-klci-components</w:t>
      </w:r>
      <w:r>
        <w:rPr>
          <w:lang w:val="en-MY"/>
        </w:rPr>
        <w:fldChar w:fldCharType="end"/>
      </w:r>
      <w:r>
        <w:rPr>
          <w:lang w:val="en-MY"/>
        </w:rPr>
        <w:t xml:space="preserve"> , and each different 30 components are input into an excel. </w:t>
      </w:r>
    </w:p>
    <w:tbl>
      <w:tblPr>
        <w:tblStyle w:val="TableGrid"/>
        <w:tblW w:w="0" w:type="auto"/>
        <w:tblInd w:w="-432" w:type="dxa"/>
        <w:tblLook w:val="04A0" w:firstRow="1" w:lastRow="0" w:firstColumn="1" w:lastColumn="0" w:noHBand="0" w:noVBand="1"/>
      </w:tblPr>
      <w:tblGrid>
        <w:gridCol w:w="2699"/>
        <w:gridCol w:w="991"/>
        <w:gridCol w:w="2362"/>
        <w:gridCol w:w="1238"/>
        <w:gridCol w:w="866"/>
        <w:gridCol w:w="1852"/>
      </w:tblGrid>
      <w:tr w:rsidR="009A483C" w:rsidRPr="009A483C" w:rsidTr="009A483C">
        <w:trPr>
          <w:trHeight w:val="300"/>
        </w:trPr>
        <w:tc>
          <w:tcPr>
            <w:tcW w:w="2699" w:type="dxa"/>
            <w:noWrap/>
            <w:hideMark/>
          </w:tcPr>
          <w:p w:rsidR="009A483C" w:rsidRPr="009A483C" w:rsidRDefault="009A483C" w:rsidP="009A483C">
            <w:r w:rsidRPr="009A483C">
              <w:t>Stock Name</w:t>
            </w:r>
          </w:p>
        </w:tc>
        <w:tc>
          <w:tcPr>
            <w:tcW w:w="991" w:type="dxa"/>
            <w:noWrap/>
            <w:hideMark/>
          </w:tcPr>
          <w:p w:rsidR="009A483C" w:rsidRPr="009A483C" w:rsidRDefault="009A483C" w:rsidP="009A483C">
            <w:r w:rsidRPr="009A483C">
              <w:t>Stock Code</w:t>
            </w:r>
          </w:p>
        </w:tc>
        <w:tc>
          <w:tcPr>
            <w:tcW w:w="2362" w:type="dxa"/>
            <w:noWrap/>
            <w:hideMark/>
          </w:tcPr>
          <w:p w:rsidR="009A483C" w:rsidRPr="009A483C" w:rsidRDefault="009A483C" w:rsidP="009A483C">
            <w:r w:rsidRPr="009A483C">
              <w:t>Stock Sector</w:t>
            </w:r>
          </w:p>
        </w:tc>
        <w:tc>
          <w:tcPr>
            <w:tcW w:w="1238" w:type="dxa"/>
            <w:noWrap/>
            <w:hideMark/>
          </w:tcPr>
          <w:p w:rsidR="009A483C" w:rsidRPr="009A483C" w:rsidRDefault="009A483C" w:rsidP="009A483C">
            <w:r w:rsidRPr="009A483C">
              <w:t xml:space="preserve">Weightage in FTSEKLCI </w:t>
            </w:r>
          </w:p>
        </w:tc>
        <w:tc>
          <w:tcPr>
            <w:tcW w:w="866" w:type="dxa"/>
            <w:noWrap/>
            <w:hideMark/>
          </w:tcPr>
          <w:p w:rsidR="009A483C" w:rsidRPr="009A483C" w:rsidRDefault="009A483C" w:rsidP="009A483C">
            <w:r w:rsidRPr="009A483C">
              <w:t>PE Ratio</w:t>
            </w:r>
          </w:p>
        </w:tc>
        <w:tc>
          <w:tcPr>
            <w:tcW w:w="1852" w:type="dxa"/>
            <w:noWrap/>
            <w:hideMark/>
          </w:tcPr>
          <w:p w:rsidR="009A483C" w:rsidRPr="009A483C" w:rsidRDefault="009A483C" w:rsidP="009A483C">
            <w:r w:rsidRPr="009A483C">
              <w:t>Net Market Capital (</w:t>
            </w:r>
            <w:proofErr w:type="spellStart"/>
            <w:r w:rsidRPr="009A483C">
              <w:t>B,as</w:t>
            </w:r>
            <w:proofErr w:type="spellEnd"/>
            <w:r w:rsidRPr="009A483C">
              <w:t xml:space="preserve"> billion)</w:t>
            </w:r>
          </w:p>
        </w:tc>
      </w:tr>
      <w:tr w:rsidR="009A483C" w:rsidRPr="009A483C" w:rsidTr="009A483C">
        <w:trPr>
          <w:trHeight w:val="300"/>
        </w:trPr>
        <w:tc>
          <w:tcPr>
            <w:tcW w:w="2699" w:type="dxa"/>
            <w:noWrap/>
            <w:hideMark/>
          </w:tcPr>
          <w:p w:rsidR="009A483C" w:rsidRPr="009A483C" w:rsidRDefault="009A483C" w:rsidP="009A483C">
            <w:r w:rsidRPr="009A483C">
              <w:t xml:space="preserve">Public Bank </w:t>
            </w:r>
            <w:proofErr w:type="spellStart"/>
            <w:r w:rsidRPr="009A483C">
              <w:t>Bhd</w:t>
            </w:r>
            <w:proofErr w:type="spellEnd"/>
          </w:p>
        </w:tc>
        <w:tc>
          <w:tcPr>
            <w:tcW w:w="991" w:type="dxa"/>
            <w:noWrap/>
            <w:hideMark/>
          </w:tcPr>
          <w:p w:rsidR="009A483C" w:rsidRPr="009A483C" w:rsidRDefault="009A483C" w:rsidP="009A483C">
            <w:r w:rsidRPr="009A483C">
              <w:t>1295</w:t>
            </w:r>
          </w:p>
        </w:tc>
        <w:tc>
          <w:tcPr>
            <w:tcW w:w="2362" w:type="dxa"/>
            <w:noWrap/>
            <w:hideMark/>
          </w:tcPr>
          <w:p w:rsidR="009A483C" w:rsidRPr="009A483C" w:rsidRDefault="009A483C" w:rsidP="009A483C">
            <w:r w:rsidRPr="009A483C">
              <w:t>Banks</w:t>
            </w:r>
          </w:p>
        </w:tc>
        <w:tc>
          <w:tcPr>
            <w:tcW w:w="1238" w:type="dxa"/>
            <w:noWrap/>
            <w:hideMark/>
          </w:tcPr>
          <w:p w:rsidR="009A483C" w:rsidRPr="009A483C" w:rsidRDefault="009A483C" w:rsidP="009A483C">
            <w:r w:rsidRPr="009A483C">
              <w:t>11.6</w:t>
            </w:r>
          </w:p>
        </w:tc>
        <w:tc>
          <w:tcPr>
            <w:tcW w:w="866" w:type="dxa"/>
            <w:noWrap/>
            <w:hideMark/>
          </w:tcPr>
          <w:p w:rsidR="009A483C" w:rsidRPr="009A483C" w:rsidRDefault="009A483C" w:rsidP="009A483C">
            <w:r w:rsidRPr="009A483C">
              <w:t>15.24</w:t>
            </w:r>
          </w:p>
        </w:tc>
        <w:tc>
          <w:tcPr>
            <w:tcW w:w="1852" w:type="dxa"/>
            <w:noWrap/>
            <w:hideMark/>
          </w:tcPr>
          <w:p w:rsidR="009A483C" w:rsidRPr="009A483C" w:rsidRDefault="009A483C" w:rsidP="009A483C">
            <w:pPr>
              <w:rPr>
                <w:b/>
                <w:bCs/>
              </w:rPr>
            </w:pPr>
            <w:r w:rsidRPr="009A483C">
              <w:rPr>
                <w:b/>
                <w:bCs/>
              </w:rPr>
              <w:t>73.84B</w:t>
            </w:r>
          </w:p>
        </w:tc>
      </w:tr>
      <w:tr w:rsidR="009A483C" w:rsidRPr="009A483C" w:rsidTr="009A483C">
        <w:trPr>
          <w:trHeight w:val="300"/>
        </w:trPr>
        <w:tc>
          <w:tcPr>
            <w:tcW w:w="2699" w:type="dxa"/>
            <w:noWrap/>
            <w:hideMark/>
          </w:tcPr>
          <w:p w:rsidR="009A483C" w:rsidRPr="009A483C" w:rsidRDefault="009A483C" w:rsidP="009A483C">
            <w:r w:rsidRPr="009A483C">
              <w:t>Malayan Banking</w:t>
            </w:r>
          </w:p>
        </w:tc>
        <w:tc>
          <w:tcPr>
            <w:tcW w:w="991" w:type="dxa"/>
            <w:noWrap/>
            <w:hideMark/>
          </w:tcPr>
          <w:p w:rsidR="009A483C" w:rsidRPr="009A483C" w:rsidRDefault="009A483C" w:rsidP="009A483C">
            <w:r w:rsidRPr="009A483C">
              <w:t>1155</w:t>
            </w:r>
          </w:p>
        </w:tc>
        <w:tc>
          <w:tcPr>
            <w:tcW w:w="2362" w:type="dxa"/>
            <w:noWrap/>
            <w:hideMark/>
          </w:tcPr>
          <w:p w:rsidR="009A483C" w:rsidRPr="009A483C" w:rsidRDefault="009A483C" w:rsidP="009A483C">
            <w:r w:rsidRPr="009A483C">
              <w:t>Banks</w:t>
            </w:r>
          </w:p>
        </w:tc>
        <w:tc>
          <w:tcPr>
            <w:tcW w:w="1238" w:type="dxa"/>
            <w:noWrap/>
            <w:hideMark/>
          </w:tcPr>
          <w:p w:rsidR="009A483C" w:rsidRPr="009A483C" w:rsidRDefault="009A483C" w:rsidP="009A483C">
            <w:r w:rsidRPr="009A483C">
              <w:t>9.32</w:t>
            </w:r>
          </w:p>
        </w:tc>
        <w:tc>
          <w:tcPr>
            <w:tcW w:w="866" w:type="dxa"/>
            <w:noWrap/>
            <w:hideMark/>
          </w:tcPr>
          <w:p w:rsidR="009A483C" w:rsidRPr="009A483C" w:rsidRDefault="009A483C" w:rsidP="009A483C">
            <w:r w:rsidRPr="009A483C">
              <w:t>12.37</w:t>
            </w:r>
          </w:p>
        </w:tc>
        <w:tc>
          <w:tcPr>
            <w:tcW w:w="1852" w:type="dxa"/>
            <w:noWrap/>
            <w:hideMark/>
          </w:tcPr>
          <w:p w:rsidR="009A483C" w:rsidRPr="009A483C" w:rsidRDefault="009A483C" w:rsidP="009A483C">
            <w:pPr>
              <w:rPr>
                <w:b/>
                <w:bCs/>
              </w:rPr>
            </w:pPr>
            <w:r w:rsidRPr="009A483C">
              <w:rPr>
                <w:b/>
                <w:bCs/>
              </w:rPr>
              <w:t>87.66B</w:t>
            </w:r>
          </w:p>
        </w:tc>
      </w:tr>
      <w:tr w:rsidR="009A483C" w:rsidRPr="009A483C" w:rsidTr="009A483C">
        <w:trPr>
          <w:trHeight w:val="300"/>
        </w:trPr>
        <w:tc>
          <w:tcPr>
            <w:tcW w:w="2699" w:type="dxa"/>
            <w:noWrap/>
            <w:hideMark/>
          </w:tcPr>
          <w:p w:rsidR="009A483C" w:rsidRPr="009A483C" w:rsidRDefault="009A483C" w:rsidP="009A483C">
            <w:r w:rsidRPr="009A483C">
              <w:t>Tenaga Nasional</w:t>
            </w:r>
          </w:p>
        </w:tc>
        <w:tc>
          <w:tcPr>
            <w:tcW w:w="991" w:type="dxa"/>
            <w:noWrap/>
            <w:hideMark/>
          </w:tcPr>
          <w:p w:rsidR="009A483C" w:rsidRPr="009A483C" w:rsidRDefault="009A483C" w:rsidP="009A483C">
            <w:r w:rsidRPr="009A483C">
              <w:t>5347</w:t>
            </w:r>
          </w:p>
        </w:tc>
        <w:tc>
          <w:tcPr>
            <w:tcW w:w="2362" w:type="dxa"/>
            <w:noWrap/>
            <w:hideMark/>
          </w:tcPr>
          <w:p w:rsidR="009A483C" w:rsidRPr="009A483C" w:rsidRDefault="009A483C" w:rsidP="009A483C">
            <w:r w:rsidRPr="009A483C">
              <w:t>Alternative Electricity</w:t>
            </w:r>
          </w:p>
        </w:tc>
        <w:tc>
          <w:tcPr>
            <w:tcW w:w="1238" w:type="dxa"/>
            <w:noWrap/>
            <w:hideMark/>
          </w:tcPr>
          <w:p w:rsidR="009A483C" w:rsidRPr="009A483C" w:rsidRDefault="009A483C" w:rsidP="009A483C">
            <w:r w:rsidRPr="009A483C">
              <w:t>9.28</w:t>
            </w:r>
          </w:p>
        </w:tc>
        <w:tc>
          <w:tcPr>
            <w:tcW w:w="866" w:type="dxa"/>
            <w:noWrap/>
            <w:hideMark/>
          </w:tcPr>
          <w:p w:rsidR="009A483C" w:rsidRPr="009A483C" w:rsidRDefault="009A483C" w:rsidP="009A483C">
            <w:r w:rsidRPr="009A483C">
              <w:t>9.17</w:t>
            </w:r>
          </w:p>
        </w:tc>
        <w:tc>
          <w:tcPr>
            <w:tcW w:w="1852" w:type="dxa"/>
            <w:noWrap/>
            <w:hideMark/>
          </w:tcPr>
          <w:p w:rsidR="009A483C" w:rsidRPr="009A483C" w:rsidRDefault="009A483C" w:rsidP="009A483C">
            <w:r w:rsidRPr="009A483C">
              <w:t>69.42B</w:t>
            </w:r>
          </w:p>
        </w:tc>
      </w:tr>
      <w:tr w:rsidR="009A483C" w:rsidRPr="009A483C" w:rsidTr="009A483C">
        <w:trPr>
          <w:trHeight w:val="300"/>
        </w:trPr>
        <w:tc>
          <w:tcPr>
            <w:tcW w:w="2699" w:type="dxa"/>
            <w:noWrap/>
            <w:hideMark/>
          </w:tcPr>
          <w:p w:rsidR="009A483C" w:rsidRPr="009A483C" w:rsidRDefault="009A483C" w:rsidP="009A483C">
            <w:r w:rsidRPr="009A483C">
              <w:t>CIMB Group Holdings</w:t>
            </w:r>
          </w:p>
        </w:tc>
        <w:tc>
          <w:tcPr>
            <w:tcW w:w="991" w:type="dxa"/>
            <w:noWrap/>
            <w:hideMark/>
          </w:tcPr>
          <w:p w:rsidR="009A483C" w:rsidRPr="009A483C" w:rsidRDefault="009A483C" w:rsidP="009A483C">
            <w:r w:rsidRPr="009A483C">
              <w:t>1023</w:t>
            </w:r>
          </w:p>
        </w:tc>
        <w:tc>
          <w:tcPr>
            <w:tcW w:w="2362" w:type="dxa"/>
            <w:noWrap/>
            <w:hideMark/>
          </w:tcPr>
          <w:p w:rsidR="009A483C" w:rsidRPr="009A483C" w:rsidRDefault="009A483C" w:rsidP="009A483C">
            <w:r w:rsidRPr="009A483C">
              <w:t>Banks</w:t>
            </w:r>
          </w:p>
        </w:tc>
        <w:tc>
          <w:tcPr>
            <w:tcW w:w="1238" w:type="dxa"/>
            <w:noWrap/>
            <w:hideMark/>
          </w:tcPr>
          <w:p w:rsidR="009A483C" w:rsidRPr="009A483C" w:rsidRDefault="009A483C" w:rsidP="009A483C">
            <w:r w:rsidRPr="009A483C">
              <w:t>5.76</w:t>
            </w:r>
          </w:p>
        </w:tc>
        <w:tc>
          <w:tcPr>
            <w:tcW w:w="866" w:type="dxa"/>
            <w:noWrap/>
            <w:hideMark/>
          </w:tcPr>
          <w:p w:rsidR="009A483C" w:rsidRPr="009A483C" w:rsidRDefault="009A483C" w:rsidP="009A483C">
            <w:r w:rsidRPr="009A483C">
              <w:t>17.52</w:t>
            </w:r>
          </w:p>
        </w:tc>
        <w:tc>
          <w:tcPr>
            <w:tcW w:w="1852" w:type="dxa"/>
            <w:noWrap/>
            <w:hideMark/>
          </w:tcPr>
          <w:p w:rsidR="009A483C" w:rsidRPr="009A483C" w:rsidRDefault="009A483C" w:rsidP="009A483C">
            <w:r w:rsidRPr="009A483C">
              <w:t>46.694B</w:t>
            </w:r>
          </w:p>
        </w:tc>
      </w:tr>
      <w:tr w:rsidR="009A483C" w:rsidRPr="009A483C" w:rsidTr="009A483C">
        <w:trPr>
          <w:trHeight w:val="300"/>
        </w:trPr>
        <w:tc>
          <w:tcPr>
            <w:tcW w:w="2699" w:type="dxa"/>
            <w:noWrap/>
            <w:hideMark/>
          </w:tcPr>
          <w:p w:rsidR="009A483C" w:rsidRPr="009A483C" w:rsidRDefault="009A483C" w:rsidP="009A483C">
            <w:r w:rsidRPr="009A483C">
              <w:t xml:space="preserve">Axiata Group </w:t>
            </w:r>
            <w:proofErr w:type="spellStart"/>
            <w:r w:rsidRPr="009A483C">
              <w:t>Bhd</w:t>
            </w:r>
            <w:proofErr w:type="spellEnd"/>
          </w:p>
        </w:tc>
        <w:tc>
          <w:tcPr>
            <w:tcW w:w="991" w:type="dxa"/>
            <w:noWrap/>
            <w:hideMark/>
          </w:tcPr>
          <w:p w:rsidR="009A483C" w:rsidRPr="009A483C" w:rsidRDefault="009A483C" w:rsidP="009A483C">
            <w:r w:rsidRPr="009A483C">
              <w:t>6888</w:t>
            </w:r>
          </w:p>
        </w:tc>
        <w:tc>
          <w:tcPr>
            <w:tcW w:w="2362" w:type="dxa"/>
            <w:noWrap/>
            <w:hideMark/>
          </w:tcPr>
          <w:p w:rsidR="009A483C" w:rsidRPr="009A483C" w:rsidRDefault="009A483C" w:rsidP="009A483C">
            <w:r w:rsidRPr="009A483C">
              <w:t>Mobile Telecommunications</w:t>
            </w:r>
          </w:p>
        </w:tc>
        <w:tc>
          <w:tcPr>
            <w:tcW w:w="1238" w:type="dxa"/>
            <w:noWrap/>
            <w:hideMark/>
          </w:tcPr>
          <w:p w:rsidR="009A483C" w:rsidRPr="009A483C" w:rsidRDefault="009A483C" w:rsidP="009A483C">
            <w:r w:rsidRPr="009A483C">
              <w:t>5.62</w:t>
            </w:r>
          </w:p>
        </w:tc>
        <w:tc>
          <w:tcPr>
            <w:tcW w:w="866" w:type="dxa"/>
            <w:noWrap/>
            <w:hideMark/>
          </w:tcPr>
          <w:p w:rsidR="009A483C" w:rsidRPr="009A483C" w:rsidRDefault="009A483C" w:rsidP="009A483C">
            <w:r w:rsidRPr="009A483C">
              <w:t>24.29</w:t>
            </w:r>
          </w:p>
        </w:tc>
        <w:tc>
          <w:tcPr>
            <w:tcW w:w="1852" w:type="dxa"/>
            <w:noWrap/>
            <w:hideMark/>
          </w:tcPr>
          <w:p w:rsidR="009A483C" w:rsidRPr="009A483C" w:rsidRDefault="009A483C" w:rsidP="009A483C">
            <w:r w:rsidRPr="009A483C">
              <w:t>55.44B</w:t>
            </w:r>
          </w:p>
        </w:tc>
      </w:tr>
      <w:tr w:rsidR="009A483C" w:rsidRPr="009A483C" w:rsidTr="009A483C">
        <w:trPr>
          <w:trHeight w:val="300"/>
        </w:trPr>
        <w:tc>
          <w:tcPr>
            <w:tcW w:w="2699" w:type="dxa"/>
            <w:noWrap/>
            <w:hideMark/>
          </w:tcPr>
          <w:p w:rsidR="009A483C" w:rsidRPr="009A483C" w:rsidRDefault="009A483C" w:rsidP="009A483C">
            <w:r w:rsidRPr="009A483C">
              <w:t xml:space="preserve">Sime Darby </w:t>
            </w:r>
            <w:proofErr w:type="spellStart"/>
            <w:r w:rsidRPr="009A483C">
              <w:t>Bhd</w:t>
            </w:r>
            <w:proofErr w:type="spellEnd"/>
          </w:p>
        </w:tc>
        <w:tc>
          <w:tcPr>
            <w:tcW w:w="991" w:type="dxa"/>
            <w:noWrap/>
            <w:hideMark/>
          </w:tcPr>
          <w:p w:rsidR="009A483C" w:rsidRPr="009A483C" w:rsidRDefault="009A483C" w:rsidP="009A483C">
            <w:r w:rsidRPr="009A483C">
              <w:t>4197</w:t>
            </w:r>
          </w:p>
        </w:tc>
        <w:tc>
          <w:tcPr>
            <w:tcW w:w="2362" w:type="dxa"/>
            <w:noWrap/>
            <w:hideMark/>
          </w:tcPr>
          <w:p w:rsidR="009A483C" w:rsidRPr="009A483C" w:rsidRDefault="009A483C" w:rsidP="009A483C">
            <w:r w:rsidRPr="009A483C">
              <w:t>Diversified Industrials</w:t>
            </w:r>
          </w:p>
        </w:tc>
        <w:tc>
          <w:tcPr>
            <w:tcW w:w="1238" w:type="dxa"/>
            <w:noWrap/>
            <w:hideMark/>
          </w:tcPr>
          <w:p w:rsidR="009A483C" w:rsidRPr="009A483C" w:rsidRDefault="009A483C" w:rsidP="009A483C">
            <w:r w:rsidRPr="009A483C">
              <w:t>5.51</w:t>
            </w:r>
          </w:p>
        </w:tc>
        <w:tc>
          <w:tcPr>
            <w:tcW w:w="866" w:type="dxa"/>
            <w:noWrap/>
            <w:hideMark/>
          </w:tcPr>
          <w:p w:rsidR="009A483C" w:rsidRPr="009A483C" w:rsidRDefault="009A483C" w:rsidP="009A483C">
            <w:r w:rsidRPr="009A483C">
              <w:t>22.71</w:t>
            </w:r>
          </w:p>
        </w:tc>
        <w:tc>
          <w:tcPr>
            <w:tcW w:w="1852" w:type="dxa"/>
            <w:noWrap/>
            <w:hideMark/>
          </w:tcPr>
          <w:p w:rsidR="009A483C" w:rsidRPr="009A483C" w:rsidRDefault="009A483C" w:rsidP="009A483C">
            <w:r w:rsidRPr="009A483C">
              <w:t>52.4B</w:t>
            </w:r>
          </w:p>
        </w:tc>
      </w:tr>
      <w:tr w:rsidR="009A483C" w:rsidRPr="009A483C" w:rsidTr="009A483C">
        <w:trPr>
          <w:trHeight w:val="300"/>
        </w:trPr>
        <w:tc>
          <w:tcPr>
            <w:tcW w:w="2699" w:type="dxa"/>
            <w:noWrap/>
            <w:hideMark/>
          </w:tcPr>
          <w:p w:rsidR="009A483C" w:rsidRPr="009A483C" w:rsidRDefault="009A483C" w:rsidP="009A483C">
            <w:r w:rsidRPr="009A483C">
              <w:t>Digi.com</w:t>
            </w:r>
          </w:p>
        </w:tc>
        <w:tc>
          <w:tcPr>
            <w:tcW w:w="991" w:type="dxa"/>
            <w:noWrap/>
            <w:hideMark/>
          </w:tcPr>
          <w:p w:rsidR="009A483C" w:rsidRPr="009A483C" w:rsidRDefault="009A483C" w:rsidP="009A483C">
            <w:r w:rsidRPr="009A483C">
              <w:t>6947</w:t>
            </w:r>
          </w:p>
        </w:tc>
        <w:tc>
          <w:tcPr>
            <w:tcW w:w="2362" w:type="dxa"/>
            <w:noWrap/>
            <w:hideMark/>
          </w:tcPr>
          <w:p w:rsidR="009A483C" w:rsidRPr="009A483C" w:rsidRDefault="009A483C" w:rsidP="009A483C">
            <w:r w:rsidRPr="009A483C">
              <w:t>Mobile Telecommunications</w:t>
            </w:r>
          </w:p>
        </w:tc>
        <w:tc>
          <w:tcPr>
            <w:tcW w:w="1238" w:type="dxa"/>
            <w:noWrap/>
            <w:hideMark/>
          </w:tcPr>
          <w:p w:rsidR="009A483C" w:rsidRPr="009A483C" w:rsidRDefault="009A483C" w:rsidP="009A483C">
            <w:r w:rsidRPr="009A483C">
              <w:t>4.16</w:t>
            </w:r>
          </w:p>
        </w:tc>
        <w:tc>
          <w:tcPr>
            <w:tcW w:w="866" w:type="dxa"/>
            <w:noWrap/>
            <w:hideMark/>
          </w:tcPr>
          <w:p w:rsidR="009A483C" w:rsidRPr="009A483C" w:rsidRDefault="009A483C" w:rsidP="009A483C">
            <w:r w:rsidRPr="009A483C">
              <w:t>20.74</w:t>
            </w:r>
          </w:p>
        </w:tc>
        <w:tc>
          <w:tcPr>
            <w:tcW w:w="1852" w:type="dxa"/>
            <w:noWrap/>
            <w:hideMark/>
          </w:tcPr>
          <w:p w:rsidR="009A483C" w:rsidRPr="009A483C" w:rsidRDefault="009A483C" w:rsidP="009A483C">
            <w:r w:rsidRPr="009A483C">
              <w:t>41.29B</w:t>
            </w:r>
          </w:p>
        </w:tc>
      </w:tr>
      <w:tr w:rsidR="009A483C" w:rsidRPr="009A483C" w:rsidTr="009A483C">
        <w:trPr>
          <w:trHeight w:val="300"/>
        </w:trPr>
        <w:tc>
          <w:tcPr>
            <w:tcW w:w="2699" w:type="dxa"/>
            <w:noWrap/>
            <w:hideMark/>
          </w:tcPr>
          <w:p w:rsidR="009A483C" w:rsidRPr="009A483C" w:rsidRDefault="009A483C" w:rsidP="009A483C">
            <w:r w:rsidRPr="009A483C">
              <w:t>Genting</w:t>
            </w:r>
          </w:p>
        </w:tc>
        <w:tc>
          <w:tcPr>
            <w:tcW w:w="991" w:type="dxa"/>
            <w:noWrap/>
            <w:hideMark/>
          </w:tcPr>
          <w:p w:rsidR="009A483C" w:rsidRPr="009A483C" w:rsidRDefault="009A483C" w:rsidP="009A483C">
            <w:r w:rsidRPr="009A483C">
              <w:t>3182</w:t>
            </w:r>
          </w:p>
        </w:tc>
        <w:tc>
          <w:tcPr>
            <w:tcW w:w="2362" w:type="dxa"/>
            <w:noWrap/>
            <w:hideMark/>
          </w:tcPr>
          <w:p w:rsidR="009A483C" w:rsidRPr="009A483C" w:rsidRDefault="009A483C" w:rsidP="009A483C">
            <w:r w:rsidRPr="009A483C">
              <w:t>Hotels</w:t>
            </w:r>
          </w:p>
        </w:tc>
        <w:tc>
          <w:tcPr>
            <w:tcW w:w="1238" w:type="dxa"/>
            <w:noWrap/>
            <w:hideMark/>
          </w:tcPr>
          <w:p w:rsidR="009A483C" w:rsidRPr="009A483C" w:rsidRDefault="009A483C" w:rsidP="009A483C">
            <w:r w:rsidRPr="009A483C">
              <w:t>3.68</w:t>
            </w:r>
          </w:p>
        </w:tc>
        <w:tc>
          <w:tcPr>
            <w:tcW w:w="866" w:type="dxa"/>
            <w:noWrap/>
            <w:hideMark/>
          </w:tcPr>
          <w:p w:rsidR="009A483C" w:rsidRPr="009A483C" w:rsidRDefault="009A483C" w:rsidP="009A483C">
            <w:r w:rsidRPr="009A483C">
              <w:t>19.8</w:t>
            </w:r>
          </w:p>
        </w:tc>
        <w:tc>
          <w:tcPr>
            <w:tcW w:w="1852" w:type="dxa"/>
            <w:noWrap/>
            <w:hideMark/>
          </w:tcPr>
          <w:p w:rsidR="009A483C" w:rsidRPr="009A483C" w:rsidRDefault="009A483C" w:rsidP="009A483C">
            <w:r w:rsidRPr="009A483C">
              <w:t>30.88B</w:t>
            </w:r>
          </w:p>
        </w:tc>
      </w:tr>
      <w:tr w:rsidR="009A483C" w:rsidRPr="009A483C" w:rsidTr="009A483C">
        <w:trPr>
          <w:trHeight w:val="300"/>
        </w:trPr>
        <w:tc>
          <w:tcPr>
            <w:tcW w:w="2699" w:type="dxa"/>
            <w:noWrap/>
            <w:hideMark/>
          </w:tcPr>
          <w:p w:rsidR="009A483C" w:rsidRPr="009A483C" w:rsidRDefault="009A483C" w:rsidP="009A483C">
            <w:r w:rsidRPr="009A483C">
              <w:t xml:space="preserve">PETRONAS Chemicals Group </w:t>
            </w:r>
            <w:proofErr w:type="spellStart"/>
            <w:r w:rsidRPr="009A483C">
              <w:t>Bhd</w:t>
            </w:r>
            <w:proofErr w:type="spellEnd"/>
          </w:p>
        </w:tc>
        <w:tc>
          <w:tcPr>
            <w:tcW w:w="991" w:type="dxa"/>
            <w:noWrap/>
            <w:hideMark/>
          </w:tcPr>
          <w:p w:rsidR="009A483C" w:rsidRPr="009A483C" w:rsidRDefault="009A483C" w:rsidP="009A483C">
            <w:r w:rsidRPr="009A483C">
              <w:t>5183</w:t>
            </w:r>
          </w:p>
        </w:tc>
        <w:tc>
          <w:tcPr>
            <w:tcW w:w="2362" w:type="dxa"/>
            <w:noWrap/>
            <w:hideMark/>
          </w:tcPr>
          <w:p w:rsidR="009A483C" w:rsidRPr="009A483C" w:rsidRDefault="009A483C" w:rsidP="009A483C">
            <w:r w:rsidRPr="009A483C">
              <w:t>Commodity Chemicals</w:t>
            </w:r>
          </w:p>
        </w:tc>
        <w:tc>
          <w:tcPr>
            <w:tcW w:w="1238" w:type="dxa"/>
            <w:noWrap/>
            <w:hideMark/>
          </w:tcPr>
          <w:p w:rsidR="009A483C" w:rsidRPr="009A483C" w:rsidRDefault="009A483C" w:rsidP="009A483C">
            <w:r w:rsidRPr="009A483C">
              <w:t>3.55</w:t>
            </w:r>
          </w:p>
        </w:tc>
        <w:tc>
          <w:tcPr>
            <w:tcW w:w="866" w:type="dxa"/>
            <w:noWrap/>
            <w:hideMark/>
          </w:tcPr>
          <w:p w:rsidR="009A483C" w:rsidRPr="009A483C" w:rsidRDefault="009A483C" w:rsidP="009A483C">
            <w:r w:rsidRPr="009A483C">
              <w:t>22.2</w:t>
            </w:r>
          </w:p>
        </w:tc>
        <w:tc>
          <w:tcPr>
            <w:tcW w:w="1852" w:type="dxa"/>
            <w:noWrap/>
            <w:hideMark/>
          </w:tcPr>
          <w:p w:rsidR="009A483C" w:rsidRPr="009A483C" w:rsidRDefault="009A483C" w:rsidP="009A483C">
            <w:r w:rsidRPr="009A483C">
              <w:t>51.52B</w:t>
            </w:r>
          </w:p>
        </w:tc>
      </w:tr>
      <w:tr w:rsidR="009A483C" w:rsidRPr="009A483C" w:rsidTr="009A483C">
        <w:trPr>
          <w:trHeight w:val="300"/>
        </w:trPr>
        <w:tc>
          <w:tcPr>
            <w:tcW w:w="2699" w:type="dxa"/>
            <w:noWrap/>
            <w:hideMark/>
          </w:tcPr>
          <w:p w:rsidR="009A483C" w:rsidRPr="009A483C" w:rsidRDefault="009A483C" w:rsidP="009A483C">
            <w:r w:rsidRPr="009A483C">
              <w:t xml:space="preserve">Maxis </w:t>
            </w:r>
            <w:proofErr w:type="spellStart"/>
            <w:r w:rsidRPr="009A483C">
              <w:t>Bhd</w:t>
            </w:r>
            <w:proofErr w:type="spellEnd"/>
          </w:p>
        </w:tc>
        <w:tc>
          <w:tcPr>
            <w:tcW w:w="991" w:type="dxa"/>
            <w:noWrap/>
            <w:hideMark/>
          </w:tcPr>
          <w:p w:rsidR="009A483C" w:rsidRPr="009A483C" w:rsidRDefault="009A483C" w:rsidP="009A483C">
            <w:r w:rsidRPr="009A483C">
              <w:t>6012</w:t>
            </w:r>
          </w:p>
        </w:tc>
        <w:tc>
          <w:tcPr>
            <w:tcW w:w="2362" w:type="dxa"/>
            <w:noWrap/>
            <w:hideMark/>
          </w:tcPr>
          <w:p w:rsidR="009A483C" w:rsidRPr="009A483C" w:rsidRDefault="009A483C" w:rsidP="009A483C">
            <w:r w:rsidRPr="009A483C">
              <w:t>Mobile Telecommunications</w:t>
            </w:r>
          </w:p>
        </w:tc>
        <w:tc>
          <w:tcPr>
            <w:tcW w:w="1238" w:type="dxa"/>
            <w:noWrap/>
            <w:hideMark/>
          </w:tcPr>
          <w:p w:rsidR="009A483C" w:rsidRPr="009A483C" w:rsidRDefault="009A483C" w:rsidP="009A483C">
            <w:r w:rsidRPr="009A483C">
              <w:t>3.45</w:t>
            </w:r>
          </w:p>
        </w:tc>
        <w:tc>
          <w:tcPr>
            <w:tcW w:w="866" w:type="dxa"/>
            <w:noWrap/>
            <w:hideMark/>
          </w:tcPr>
          <w:p w:rsidR="009A483C" w:rsidRPr="009A483C" w:rsidRDefault="009A483C" w:rsidP="009A483C">
            <w:r w:rsidRPr="009A483C">
              <w:t>30.2</w:t>
            </w:r>
          </w:p>
        </w:tc>
        <w:tc>
          <w:tcPr>
            <w:tcW w:w="1852" w:type="dxa"/>
            <w:noWrap/>
            <w:hideMark/>
          </w:tcPr>
          <w:p w:rsidR="009A483C" w:rsidRPr="009A483C" w:rsidRDefault="009A483C" w:rsidP="009A483C">
            <w:r w:rsidRPr="009A483C">
              <w:t>49.48B</w:t>
            </w:r>
          </w:p>
        </w:tc>
      </w:tr>
      <w:tr w:rsidR="009A483C" w:rsidRPr="009A483C" w:rsidTr="009A483C">
        <w:trPr>
          <w:trHeight w:val="300"/>
        </w:trPr>
        <w:tc>
          <w:tcPr>
            <w:tcW w:w="2699" w:type="dxa"/>
            <w:noWrap/>
            <w:hideMark/>
          </w:tcPr>
          <w:p w:rsidR="009A483C" w:rsidRPr="009A483C" w:rsidRDefault="009A483C" w:rsidP="009A483C">
            <w:r w:rsidRPr="009A483C">
              <w:t>Petronas Gas</w:t>
            </w:r>
          </w:p>
        </w:tc>
        <w:tc>
          <w:tcPr>
            <w:tcW w:w="991" w:type="dxa"/>
            <w:noWrap/>
            <w:hideMark/>
          </w:tcPr>
          <w:p w:rsidR="009A483C" w:rsidRPr="009A483C" w:rsidRDefault="009A483C" w:rsidP="009A483C">
            <w:r w:rsidRPr="009A483C">
              <w:t>6033</w:t>
            </w:r>
          </w:p>
        </w:tc>
        <w:tc>
          <w:tcPr>
            <w:tcW w:w="2362" w:type="dxa"/>
            <w:noWrap/>
            <w:hideMark/>
          </w:tcPr>
          <w:p w:rsidR="009A483C" w:rsidRPr="009A483C" w:rsidRDefault="009A483C" w:rsidP="009A483C">
            <w:r w:rsidRPr="009A483C">
              <w:t>Exploration &amp; Production</w:t>
            </w:r>
          </w:p>
        </w:tc>
        <w:tc>
          <w:tcPr>
            <w:tcW w:w="1238" w:type="dxa"/>
            <w:noWrap/>
            <w:hideMark/>
          </w:tcPr>
          <w:p w:rsidR="009A483C" w:rsidRPr="009A483C" w:rsidRDefault="009A483C" w:rsidP="009A483C">
            <w:r w:rsidRPr="009A483C">
              <w:t>3.4</w:t>
            </w:r>
          </w:p>
        </w:tc>
        <w:tc>
          <w:tcPr>
            <w:tcW w:w="866" w:type="dxa"/>
            <w:noWrap/>
            <w:hideMark/>
          </w:tcPr>
          <w:p w:rsidR="009A483C" w:rsidRPr="009A483C" w:rsidRDefault="009A483C" w:rsidP="009A483C">
            <w:r w:rsidRPr="009A483C">
              <w:t>22.84</w:t>
            </w:r>
          </w:p>
        </w:tc>
        <w:tc>
          <w:tcPr>
            <w:tcW w:w="1852" w:type="dxa"/>
            <w:noWrap/>
            <w:hideMark/>
          </w:tcPr>
          <w:p w:rsidR="009A483C" w:rsidRPr="009A483C" w:rsidRDefault="009A483C" w:rsidP="009A483C">
            <w:r w:rsidRPr="009A483C">
              <w:t>42.82B</w:t>
            </w:r>
          </w:p>
        </w:tc>
      </w:tr>
      <w:tr w:rsidR="009A483C" w:rsidRPr="009A483C" w:rsidTr="009A483C">
        <w:trPr>
          <w:trHeight w:val="300"/>
        </w:trPr>
        <w:tc>
          <w:tcPr>
            <w:tcW w:w="2699" w:type="dxa"/>
            <w:noWrap/>
            <w:hideMark/>
          </w:tcPr>
          <w:p w:rsidR="009A483C" w:rsidRPr="009A483C" w:rsidRDefault="009A483C" w:rsidP="009A483C">
            <w:r w:rsidRPr="009A483C">
              <w:t>IHH Healthcare</w:t>
            </w:r>
          </w:p>
        </w:tc>
        <w:tc>
          <w:tcPr>
            <w:tcW w:w="991" w:type="dxa"/>
            <w:noWrap/>
            <w:hideMark/>
          </w:tcPr>
          <w:p w:rsidR="009A483C" w:rsidRPr="009A483C" w:rsidRDefault="009A483C" w:rsidP="009A483C">
            <w:r w:rsidRPr="009A483C">
              <w:t>5225</w:t>
            </w:r>
          </w:p>
        </w:tc>
        <w:tc>
          <w:tcPr>
            <w:tcW w:w="2362" w:type="dxa"/>
            <w:noWrap/>
            <w:hideMark/>
          </w:tcPr>
          <w:p w:rsidR="009A483C" w:rsidRPr="009A483C" w:rsidRDefault="009A483C" w:rsidP="009A483C">
            <w:r w:rsidRPr="009A483C">
              <w:t>Health Care Providers</w:t>
            </w:r>
          </w:p>
        </w:tc>
        <w:tc>
          <w:tcPr>
            <w:tcW w:w="1238" w:type="dxa"/>
            <w:noWrap/>
            <w:hideMark/>
          </w:tcPr>
          <w:p w:rsidR="009A483C" w:rsidRPr="009A483C" w:rsidRDefault="009A483C" w:rsidP="009A483C">
            <w:r w:rsidRPr="009A483C">
              <w:t>3.28</w:t>
            </w:r>
          </w:p>
        </w:tc>
        <w:tc>
          <w:tcPr>
            <w:tcW w:w="866" w:type="dxa"/>
            <w:noWrap/>
            <w:hideMark/>
          </w:tcPr>
          <w:p w:rsidR="009A483C" w:rsidRPr="009A483C" w:rsidRDefault="009A483C" w:rsidP="009A483C">
            <w:r w:rsidRPr="009A483C">
              <w:t>63.46</w:t>
            </w:r>
          </w:p>
        </w:tc>
        <w:tc>
          <w:tcPr>
            <w:tcW w:w="1852" w:type="dxa"/>
            <w:noWrap/>
            <w:hideMark/>
          </w:tcPr>
          <w:p w:rsidR="009A483C" w:rsidRPr="009A483C" w:rsidRDefault="009A483C" w:rsidP="009A483C">
            <w:r w:rsidRPr="009A483C">
              <w:t>48.76B</w:t>
            </w:r>
          </w:p>
        </w:tc>
      </w:tr>
      <w:tr w:rsidR="009A483C" w:rsidRPr="009A483C" w:rsidTr="009A483C">
        <w:trPr>
          <w:trHeight w:val="300"/>
        </w:trPr>
        <w:tc>
          <w:tcPr>
            <w:tcW w:w="2699" w:type="dxa"/>
            <w:noWrap/>
            <w:hideMark/>
          </w:tcPr>
          <w:p w:rsidR="009A483C" w:rsidRPr="009A483C" w:rsidRDefault="009A483C" w:rsidP="009A483C">
            <w:r w:rsidRPr="009A483C">
              <w:t>IOI</w:t>
            </w:r>
          </w:p>
        </w:tc>
        <w:tc>
          <w:tcPr>
            <w:tcW w:w="991" w:type="dxa"/>
            <w:noWrap/>
            <w:hideMark/>
          </w:tcPr>
          <w:p w:rsidR="009A483C" w:rsidRPr="009A483C" w:rsidRDefault="009A483C" w:rsidP="009A483C">
            <w:r w:rsidRPr="009A483C">
              <w:t>1961</w:t>
            </w:r>
          </w:p>
        </w:tc>
        <w:tc>
          <w:tcPr>
            <w:tcW w:w="2362" w:type="dxa"/>
            <w:noWrap/>
            <w:hideMark/>
          </w:tcPr>
          <w:p w:rsidR="009A483C" w:rsidRPr="009A483C" w:rsidRDefault="009A483C" w:rsidP="009A483C">
            <w:r w:rsidRPr="009A483C">
              <w:t>Farming &amp; Fishing</w:t>
            </w:r>
          </w:p>
        </w:tc>
        <w:tc>
          <w:tcPr>
            <w:tcW w:w="1238" w:type="dxa"/>
            <w:noWrap/>
            <w:hideMark/>
          </w:tcPr>
          <w:p w:rsidR="009A483C" w:rsidRPr="009A483C" w:rsidRDefault="009A483C" w:rsidP="009A483C">
            <w:r w:rsidRPr="009A483C">
              <w:t>2.99</w:t>
            </w:r>
          </w:p>
        </w:tc>
        <w:tc>
          <w:tcPr>
            <w:tcW w:w="866" w:type="dxa"/>
            <w:noWrap/>
            <w:hideMark/>
          </w:tcPr>
          <w:p w:rsidR="009A483C" w:rsidRPr="009A483C" w:rsidRDefault="009A483C" w:rsidP="009A483C">
            <w:r w:rsidRPr="009A483C">
              <w:t>73.65</w:t>
            </w:r>
          </w:p>
        </w:tc>
        <w:tc>
          <w:tcPr>
            <w:tcW w:w="1852" w:type="dxa"/>
            <w:noWrap/>
            <w:hideMark/>
          </w:tcPr>
          <w:p w:rsidR="009A483C" w:rsidRPr="009A483C" w:rsidRDefault="009A483C" w:rsidP="009A483C">
            <w:r w:rsidRPr="009A483C">
              <w:t>27.45B</w:t>
            </w:r>
          </w:p>
        </w:tc>
      </w:tr>
      <w:tr w:rsidR="009A483C" w:rsidRPr="009A483C" w:rsidTr="009A483C">
        <w:trPr>
          <w:trHeight w:val="300"/>
        </w:trPr>
        <w:tc>
          <w:tcPr>
            <w:tcW w:w="2699" w:type="dxa"/>
            <w:noWrap/>
            <w:hideMark/>
          </w:tcPr>
          <w:p w:rsidR="009A483C" w:rsidRPr="009A483C" w:rsidRDefault="009A483C" w:rsidP="009A483C">
            <w:r w:rsidRPr="009A483C">
              <w:t>Telekom Malaysia</w:t>
            </w:r>
          </w:p>
        </w:tc>
        <w:tc>
          <w:tcPr>
            <w:tcW w:w="991" w:type="dxa"/>
            <w:noWrap/>
            <w:hideMark/>
          </w:tcPr>
          <w:p w:rsidR="009A483C" w:rsidRPr="009A483C" w:rsidRDefault="009A483C" w:rsidP="009A483C">
            <w:r w:rsidRPr="009A483C">
              <w:t>4863</w:t>
            </w:r>
          </w:p>
        </w:tc>
        <w:tc>
          <w:tcPr>
            <w:tcW w:w="2362" w:type="dxa"/>
            <w:noWrap/>
            <w:hideMark/>
          </w:tcPr>
          <w:p w:rsidR="009A483C" w:rsidRPr="009A483C" w:rsidRDefault="009A483C" w:rsidP="009A483C">
            <w:r w:rsidRPr="009A483C">
              <w:t>Fixed Line Telecommunications</w:t>
            </w:r>
          </w:p>
        </w:tc>
        <w:tc>
          <w:tcPr>
            <w:tcW w:w="1238" w:type="dxa"/>
            <w:noWrap/>
            <w:hideMark/>
          </w:tcPr>
          <w:p w:rsidR="009A483C" w:rsidRPr="009A483C" w:rsidRDefault="009A483C" w:rsidP="009A483C">
            <w:r w:rsidRPr="009A483C">
              <w:t>2.96</w:t>
            </w:r>
          </w:p>
        </w:tc>
        <w:tc>
          <w:tcPr>
            <w:tcW w:w="866" w:type="dxa"/>
            <w:noWrap/>
            <w:hideMark/>
          </w:tcPr>
          <w:p w:rsidR="009A483C" w:rsidRPr="009A483C" w:rsidRDefault="009A483C" w:rsidP="009A483C">
            <w:r w:rsidRPr="009A483C">
              <w:t>32.71</w:t>
            </w:r>
          </w:p>
        </w:tc>
        <w:tc>
          <w:tcPr>
            <w:tcW w:w="1852" w:type="dxa"/>
            <w:noWrap/>
            <w:hideMark/>
          </w:tcPr>
          <w:p w:rsidR="009A483C" w:rsidRPr="009A483C" w:rsidRDefault="009A483C" w:rsidP="009A483C">
            <w:r w:rsidRPr="009A483C">
              <w:t>25.14B</w:t>
            </w:r>
          </w:p>
        </w:tc>
      </w:tr>
      <w:tr w:rsidR="009A483C" w:rsidRPr="009A483C" w:rsidTr="009A483C">
        <w:trPr>
          <w:trHeight w:val="300"/>
        </w:trPr>
        <w:tc>
          <w:tcPr>
            <w:tcW w:w="2699" w:type="dxa"/>
            <w:noWrap/>
            <w:hideMark/>
          </w:tcPr>
          <w:p w:rsidR="009A483C" w:rsidRPr="009A483C" w:rsidRDefault="009A483C" w:rsidP="009A483C">
            <w:r w:rsidRPr="009A483C">
              <w:lastRenderedPageBreak/>
              <w:t xml:space="preserve">Genting Malaysia </w:t>
            </w:r>
            <w:proofErr w:type="spellStart"/>
            <w:r w:rsidRPr="009A483C">
              <w:t>Bhd</w:t>
            </w:r>
            <w:proofErr w:type="spellEnd"/>
          </w:p>
        </w:tc>
        <w:tc>
          <w:tcPr>
            <w:tcW w:w="991" w:type="dxa"/>
            <w:noWrap/>
            <w:hideMark/>
          </w:tcPr>
          <w:p w:rsidR="009A483C" w:rsidRPr="009A483C" w:rsidRDefault="009A483C" w:rsidP="009A483C">
            <w:r w:rsidRPr="009A483C">
              <w:t>4715</w:t>
            </w:r>
          </w:p>
        </w:tc>
        <w:tc>
          <w:tcPr>
            <w:tcW w:w="2362" w:type="dxa"/>
            <w:noWrap/>
            <w:hideMark/>
          </w:tcPr>
          <w:p w:rsidR="009A483C" w:rsidRPr="009A483C" w:rsidRDefault="009A483C" w:rsidP="009A483C">
            <w:r w:rsidRPr="009A483C">
              <w:t>Hotels</w:t>
            </w:r>
          </w:p>
        </w:tc>
        <w:tc>
          <w:tcPr>
            <w:tcW w:w="1238" w:type="dxa"/>
            <w:noWrap/>
            <w:hideMark/>
          </w:tcPr>
          <w:p w:rsidR="009A483C" w:rsidRPr="009A483C" w:rsidRDefault="009A483C" w:rsidP="009A483C">
            <w:r w:rsidRPr="009A483C">
              <w:t>2.5</w:t>
            </w:r>
          </w:p>
        </w:tc>
        <w:tc>
          <w:tcPr>
            <w:tcW w:w="866" w:type="dxa"/>
            <w:noWrap/>
            <w:hideMark/>
          </w:tcPr>
          <w:p w:rsidR="009A483C" w:rsidRPr="009A483C" w:rsidRDefault="009A483C" w:rsidP="009A483C">
            <w:r w:rsidRPr="009A483C">
              <w:t>20.45</w:t>
            </w:r>
          </w:p>
        </w:tc>
        <w:tc>
          <w:tcPr>
            <w:tcW w:w="1852" w:type="dxa"/>
            <w:noWrap/>
            <w:hideMark/>
          </w:tcPr>
          <w:p w:rsidR="009A483C" w:rsidRPr="009A483C" w:rsidRDefault="009A483C" w:rsidP="009A483C">
            <w:r w:rsidRPr="009A483C">
              <w:t>25.53B</w:t>
            </w:r>
          </w:p>
        </w:tc>
      </w:tr>
      <w:tr w:rsidR="009A483C" w:rsidRPr="009A483C" w:rsidTr="009A483C">
        <w:trPr>
          <w:trHeight w:val="300"/>
        </w:trPr>
        <w:tc>
          <w:tcPr>
            <w:tcW w:w="2699" w:type="dxa"/>
            <w:noWrap/>
            <w:hideMark/>
          </w:tcPr>
          <w:p w:rsidR="009A483C" w:rsidRPr="009A483C" w:rsidRDefault="009A483C" w:rsidP="009A483C">
            <w:r w:rsidRPr="009A483C">
              <w:t>MISC</w:t>
            </w:r>
          </w:p>
        </w:tc>
        <w:tc>
          <w:tcPr>
            <w:tcW w:w="991" w:type="dxa"/>
            <w:noWrap/>
            <w:hideMark/>
          </w:tcPr>
          <w:p w:rsidR="009A483C" w:rsidRPr="009A483C" w:rsidRDefault="009A483C" w:rsidP="009A483C">
            <w:r w:rsidRPr="009A483C">
              <w:t>3816</w:t>
            </w:r>
          </w:p>
        </w:tc>
        <w:tc>
          <w:tcPr>
            <w:tcW w:w="2362" w:type="dxa"/>
            <w:noWrap/>
            <w:hideMark/>
          </w:tcPr>
          <w:p w:rsidR="009A483C" w:rsidRPr="009A483C" w:rsidRDefault="009A483C" w:rsidP="009A483C">
            <w:r w:rsidRPr="009A483C">
              <w:t>Marine Transportation</w:t>
            </w:r>
          </w:p>
        </w:tc>
        <w:tc>
          <w:tcPr>
            <w:tcW w:w="1238" w:type="dxa"/>
            <w:noWrap/>
            <w:hideMark/>
          </w:tcPr>
          <w:p w:rsidR="009A483C" w:rsidRPr="009A483C" w:rsidRDefault="009A483C" w:rsidP="009A483C">
            <w:r w:rsidRPr="009A483C">
              <w:t>2.45</w:t>
            </w:r>
          </w:p>
        </w:tc>
        <w:tc>
          <w:tcPr>
            <w:tcW w:w="866" w:type="dxa"/>
            <w:noWrap/>
            <w:hideMark/>
          </w:tcPr>
          <w:p w:rsidR="009A483C" w:rsidRPr="009A483C" w:rsidRDefault="009A483C" w:rsidP="009A483C">
            <w:r w:rsidRPr="009A483C">
              <w:t>16.08</w:t>
            </w:r>
          </w:p>
        </w:tc>
        <w:tc>
          <w:tcPr>
            <w:tcW w:w="1852" w:type="dxa"/>
            <w:noWrap/>
            <w:hideMark/>
          </w:tcPr>
          <w:p w:rsidR="009A483C" w:rsidRPr="009A483C" w:rsidRDefault="009A483C" w:rsidP="009A483C">
            <w:r w:rsidRPr="009A483C">
              <w:t>35.44B</w:t>
            </w:r>
          </w:p>
        </w:tc>
      </w:tr>
      <w:tr w:rsidR="009A483C" w:rsidRPr="009A483C" w:rsidTr="009A483C">
        <w:trPr>
          <w:trHeight w:val="300"/>
        </w:trPr>
        <w:tc>
          <w:tcPr>
            <w:tcW w:w="2699" w:type="dxa"/>
            <w:noWrap/>
            <w:hideMark/>
          </w:tcPr>
          <w:p w:rsidR="009A483C" w:rsidRPr="009A483C" w:rsidRDefault="009A483C" w:rsidP="009A483C">
            <w:r w:rsidRPr="009A483C">
              <w:t>AMMB Holdings</w:t>
            </w:r>
          </w:p>
        </w:tc>
        <w:tc>
          <w:tcPr>
            <w:tcW w:w="991" w:type="dxa"/>
            <w:noWrap/>
            <w:hideMark/>
          </w:tcPr>
          <w:p w:rsidR="009A483C" w:rsidRPr="009A483C" w:rsidRDefault="009A483C" w:rsidP="009A483C">
            <w:r w:rsidRPr="009A483C">
              <w:t>1015</w:t>
            </w:r>
          </w:p>
        </w:tc>
        <w:tc>
          <w:tcPr>
            <w:tcW w:w="2362" w:type="dxa"/>
            <w:noWrap/>
            <w:hideMark/>
          </w:tcPr>
          <w:p w:rsidR="009A483C" w:rsidRPr="009A483C" w:rsidRDefault="009A483C" w:rsidP="009A483C">
            <w:r w:rsidRPr="009A483C">
              <w:t>Banks</w:t>
            </w:r>
          </w:p>
        </w:tc>
        <w:tc>
          <w:tcPr>
            <w:tcW w:w="1238" w:type="dxa"/>
            <w:noWrap/>
            <w:hideMark/>
          </w:tcPr>
          <w:p w:rsidR="009A483C" w:rsidRPr="009A483C" w:rsidRDefault="009A483C" w:rsidP="009A483C">
            <w:r w:rsidRPr="009A483C">
              <w:t>2.38</w:t>
            </w:r>
          </w:p>
        </w:tc>
        <w:tc>
          <w:tcPr>
            <w:tcW w:w="866" w:type="dxa"/>
            <w:noWrap/>
            <w:hideMark/>
          </w:tcPr>
          <w:p w:rsidR="009A483C" w:rsidRPr="009A483C" w:rsidRDefault="009A483C" w:rsidP="009A483C">
            <w:r w:rsidRPr="009A483C">
              <w:t>8.88</w:t>
            </w:r>
          </w:p>
        </w:tc>
        <w:tc>
          <w:tcPr>
            <w:tcW w:w="1852" w:type="dxa"/>
            <w:noWrap/>
            <w:hideMark/>
          </w:tcPr>
          <w:p w:rsidR="009A483C" w:rsidRPr="009A483C" w:rsidRDefault="009A483C" w:rsidP="009A483C">
            <w:r w:rsidRPr="009A483C">
              <w:t>17.09B</w:t>
            </w:r>
          </w:p>
        </w:tc>
      </w:tr>
      <w:tr w:rsidR="009A483C" w:rsidRPr="009A483C" w:rsidTr="009A483C">
        <w:trPr>
          <w:trHeight w:val="300"/>
        </w:trPr>
        <w:tc>
          <w:tcPr>
            <w:tcW w:w="2699" w:type="dxa"/>
            <w:noWrap/>
            <w:hideMark/>
          </w:tcPr>
          <w:p w:rsidR="009A483C" w:rsidRPr="009A483C" w:rsidRDefault="009A483C" w:rsidP="009A483C">
            <w:r w:rsidRPr="009A483C">
              <w:t>Kuala Lumpur Kepong</w:t>
            </w:r>
          </w:p>
        </w:tc>
        <w:tc>
          <w:tcPr>
            <w:tcW w:w="991" w:type="dxa"/>
            <w:noWrap/>
            <w:hideMark/>
          </w:tcPr>
          <w:p w:rsidR="009A483C" w:rsidRPr="009A483C" w:rsidRDefault="009A483C" w:rsidP="009A483C">
            <w:r w:rsidRPr="009A483C">
              <w:t>2445</w:t>
            </w:r>
          </w:p>
        </w:tc>
        <w:tc>
          <w:tcPr>
            <w:tcW w:w="2362" w:type="dxa"/>
            <w:noWrap/>
            <w:hideMark/>
          </w:tcPr>
          <w:p w:rsidR="009A483C" w:rsidRPr="009A483C" w:rsidRDefault="009A483C" w:rsidP="009A483C">
            <w:r w:rsidRPr="009A483C">
              <w:t>Farming &amp; Fishing</w:t>
            </w:r>
          </w:p>
        </w:tc>
        <w:tc>
          <w:tcPr>
            <w:tcW w:w="1238" w:type="dxa"/>
            <w:noWrap/>
            <w:hideMark/>
          </w:tcPr>
          <w:p w:rsidR="009A483C" w:rsidRPr="009A483C" w:rsidRDefault="009A483C" w:rsidP="009A483C">
            <w:r w:rsidRPr="009A483C">
              <w:t>2.28</w:t>
            </w:r>
          </w:p>
        </w:tc>
        <w:tc>
          <w:tcPr>
            <w:tcW w:w="866" w:type="dxa"/>
            <w:noWrap/>
            <w:hideMark/>
          </w:tcPr>
          <w:p w:rsidR="009A483C" w:rsidRPr="009A483C" w:rsidRDefault="009A483C" w:rsidP="009A483C">
            <w:r w:rsidRPr="009A483C">
              <w:t>29.18</w:t>
            </w:r>
          </w:p>
        </w:tc>
        <w:tc>
          <w:tcPr>
            <w:tcW w:w="1852" w:type="dxa"/>
            <w:noWrap/>
            <w:hideMark/>
          </w:tcPr>
          <w:p w:rsidR="009A483C" w:rsidRPr="009A483C" w:rsidRDefault="009A483C" w:rsidP="009A483C">
            <w:r w:rsidRPr="009A483C">
              <w:t>24.02B</w:t>
            </w:r>
          </w:p>
        </w:tc>
      </w:tr>
      <w:tr w:rsidR="009A483C" w:rsidRPr="009A483C" w:rsidTr="009A483C">
        <w:trPr>
          <w:trHeight w:val="300"/>
        </w:trPr>
        <w:tc>
          <w:tcPr>
            <w:tcW w:w="2699" w:type="dxa"/>
            <w:noWrap/>
            <w:hideMark/>
          </w:tcPr>
          <w:p w:rsidR="009A483C" w:rsidRPr="009A483C" w:rsidRDefault="009A483C" w:rsidP="009A483C">
            <w:r w:rsidRPr="009A483C">
              <w:t>SapuraKencana Petroleum</w:t>
            </w:r>
          </w:p>
        </w:tc>
        <w:tc>
          <w:tcPr>
            <w:tcW w:w="991" w:type="dxa"/>
            <w:noWrap/>
            <w:hideMark/>
          </w:tcPr>
          <w:p w:rsidR="009A483C" w:rsidRPr="009A483C" w:rsidRDefault="009A483C" w:rsidP="009A483C">
            <w:r w:rsidRPr="009A483C">
              <w:t>5218</w:t>
            </w:r>
          </w:p>
        </w:tc>
        <w:tc>
          <w:tcPr>
            <w:tcW w:w="2362" w:type="dxa"/>
            <w:noWrap/>
            <w:hideMark/>
          </w:tcPr>
          <w:p w:rsidR="009A483C" w:rsidRPr="009A483C" w:rsidRDefault="009A483C" w:rsidP="009A483C">
            <w:r w:rsidRPr="009A483C">
              <w:t>Oil Equipment &amp; Services</w:t>
            </w:r>
          </w:p>
        </w:tc>
        <w:tc>
          <w:tcPr>
            <w:tcW w:w="1238" w:type="dxa"/>
            <w:noWrap/>
            <w:hideMark/>
          </w:tcPr>
          <w:p w:rsidR="009A483C" w:rsidRPr="009A483C" w:rsidRDefault="009A483C" w:rsidP="009A483C">
            <w:r w:rsidRPr="009A483C">
              <w:t>1.98</w:t>
            </w:r>
          </w:p>
        </w:tc>
        <w:tc>
          <w:tcPr>
            <w:tcW w:w="866" w:type="dxa"/>
            <w:noWrap/>
            <w:hideMark/>
          </w:tcPr>
          <w:p w:rsidR="009A483C" w:rsidRPr="009A483C" w:rsidRDefault="009A483C" w:rsidP="009A483C">
            <w:r w:rsidRPr="009A483C">
              <w:t>12.03</w:t>
            </w:r>
          </w:p>
        </w:tc>
        <w:tc>
          <w:tcPr>
            <w:tcW w:w="1852" w:type="dxa"/>
            <w:noWrap/>
            <w:hideMark/>
          </w:tcPr>
          <w:p w:rsidR="009A483C" w:rsidRPr="009A483C" w:rsidRDefault="009A483C" w:rsidP="009A483C">
            <w:r w:rsidRPr="009A483C">
              <w:t>14.26B</w:t>
            </w:r>
          </w:p>
        </w:tc>
      </w:tr>
      <w:tr w:rsidR="009A483C" w:rsidRPr="009A483C" w:rsidTr="009A483C">
        <w:trPr>
          <w:trHeight w:val="300"/>
        </w:trPr>
        <w:tc>
          <w:tcPr>
            <w:tcW w:w="2699" w:type="dxa"/>
            <w:noWrap/>
            <w:hideMark/>
          </w:tcPr>
          <w:p w:rsidR="009A483C" w:rsidRPr="009A483C" w:rsidRDefault="009A483C" w:rsidP="009A483C">
            <w:r w:rsidRPr="009A483C">
              <w:t>PBB Group</w:t>
            </w:r>
          </w:p>
        </w:tc>
        <w:tc>
          <w:tcPr>
            <w:tcW w:w="991" w:type="dxa"/>
            <w:noWrap/>
            <w:hideMark/>
          </w:tcPr>
          <w:p w:rsidR="009A483C" w:rsidRPr="009A483C" w:rsidRDefault="009A483C" w:rsidP="009A483C">
            <w:r w:rsidRPr="009A483C">
              <w:t>4065</w:t>
            </w:r>
          </w:p>
        </w:tc>
        <w:tc>
          <w:tcPr>
            <w:tcW w:w="2362" w:type="dxa"/>
            <w:noWrap/>
            <w:hideMark/>
          </w:tcPr>
          <w:p w:rsidR="009A483C" w:rsidRPr="009A483C" w:rsidRDefault="009A483C" w:rsidP="009A483C">
            <w:r w:rsidRPr="009A483C">
              <w:t>Food Products</w:t>
            </w:r>
          </w:p>
        </w:tc>
        <w:tc>
          <w:tcPr>
            <w:tcW w:w="1238" w:type="dxa"/>
            <w:noWrap/>
            <w:hideMark/>
          </w:tcPr>
          <w:p w:rsidR="009A483C" w:rsidRPr="009A483C" w:rsidRDefault="009A483C" w:rsidP="009A483C">
            <w:r w:rsidRPr="009A483C">
              <w:t>1.8</w:t>
            </w:r>
          </w:p>
        </w:tc>
        <w:tc>
          <w:tcPr>
            <w:tcW w:w="866" w:type="dxa"/>
            <w:noWrap/>
            <w:hideMark/>
          </w:tcPr>
          <w:p w:rsidR="009A483C" w:rsidRPr="009A483C" w:rsidRDefault="009A483C" w:rsidP="009A483C">
            <w:r w:rsidRPr="009A483C">
              <w:t>17.73</w:t>
            </w:r>
          </w:p>
        </w:tc>
        <w:tc>
          <w:tcPr>
            <w:tcW w:w="1852" w:type="dxa"/>
            <w:noWrap/>
            <w:hideMark/>
          </w:tcPr>
          <w:p w:rsidR="009A483C" w:rsidRPr="009A483C" w:rsidRDefault="009A483C" w:rsidP="009A483C">
            <w:r w:rsidRPr="009A483C">
              <w:t>17.83B</w:t>
            </w:r>
          </w:p>
        </w:tc>
      </w:tr>
      <w:tr w:rsidR="009A483C" w:rsidRPr="009A483C" w:rsidTr="009A483C">
        <w:trPr>
          <w:trHeight w:val="300"/>
        </w:trPr>
        <w:tc>
          <w:tcPr>
            <w:tcW w:w="2699" w:type="dxa"/>
            <w:noWrap/>
            <w:hideMark/>
          </w:tcPr>
          <w:p w:rsidR="009A483C" w:rsidRPr="009A483C" w:rsidRDefault="009A483C" w:rsidP="009A483C">
            <w:r w:rsidRPr="009A483C">
              <w:t>British American Tobacco (Malaysia)</w:t>
            </w:r>
          </w:p>
        </w:tc>
        <w:tc>
          <w:tcPr>
            <w:tcW w:w="991" w:type="dxa"/>
            <w:noWrap/>
            <w:hideMark/>
          </w:tcPr>
          <w:p w:rsidR="009A483C" w:rsidRPr="009A483C" w:rsidRDefault="009A483C" w:rsidP="009A483C">
            <w:r w:rsidRPr="009A483C">
              <w:t>4162</w:t>
            </w:r>
          </w:p>
        </w:tc>
        <w:tc>
          <w:tcPr>
            <w:tcW w:w="2362" w:type="dxa"/>
            <w:noWrap/>
            <w:hideMark/>
          </w:tcPr>
          <w:p w:rsidR="009A483C" w:rsidRPr="009A483C" w:rsidRDefault="009A483C" w:rsidP="009A483C">
            <w:r w:rsidRPr="009A483C">
              <w:t>Tobacco</w:t>
            </w:r>
          </w:p>
        </w:tc>
        <w:tc>
          <w:tcPr>
            <w:tcW w:w="1238" w:type="dxa"/>
            <w:noWrap/>
            <w:hideMark/>
          </w:tcPr>
          <w:p w:rsidR="009A483C" w:rsidRPr="009A483C" w:rsidRDefault="009A483C" w:rsidP="009A483C">
            <w:r w:rsidRPr="009A483C">
              <w:t>1.7</w:t>
            </w:r>
          </w:p>
        </w:tc>
        <w:tc>
          <w:tcPr>
            <w:tcW w:w="866" w:type="dxa"/>
            <w:noWrap/>
            <w:hideMark/>
          </w:tcPr>
          <w:p w:rsidR="009A483C" w:rsidRPr="009A483C" w:rsidRDefault="009A483C" w:rsidP="009A483C">
            <w:r w:rsidRPr="009A483C">
              <w:t>20.11</w:t>
            </w:r>
          </w:p>
        </w:tc>
        <w:tc>
          <w:tcPr>
            <w:tcW w:w="1852" w:type="dxa"/>
            <w:noWrap/>
            <w:hideMark/>
          </w:tcPr>
          <w:p w:rsidR="009A483C" w:rsidRPr="009A483C" w:rsidRDefault="009A483C" w:rsidP="009A483C">
            <w:r w:rsidRPr="009A483C">
              <w:t>18.50B</w:t>
            </w:r>
          </w:p>
        </w:tc>
      </w:tr>
      <w:tr w:rsidR="009A483C" w:rsidRPr="009A483C" w:rsidTr="009A483C">
        <w:trPr>
          <w:trHeight w:val="300"/>
        </w:trPr>
        <w:tc>
          <w:tcPr>
            <w:tcW w:w="2699" w:type="dxa"/>
            <w:noWrap/>
            <w:hideMark/>
          </w:tcPr>
          <w:p w:rsidR="009A483C" w:rsidRPr="009A483C" w:rsidRDefault="009A483C" w:rsidP="009A483C">
            <w:r w:rsidRPr="009A483C">
              <w:t>Hong Leong Bank</w:t>
            </w:r>
          </w:p>
        </w:tc>
        <w:tc>
          <w:tcPr>
            <w:tcW w:w="991" w:type="dxa"/>
            <w:noWrap/>
            <w:hideMark/>
          </w:tcPr>
          <w:p w:rsidR="009A483C" w:rsidRPr="009A483C" w:rsidRDefault="009A483C" w:rsidP="009A483C">
            <w:r w:rsidRPr="009A483C">
              <w:t>5819</w:t>
            </w:r>
          </w:p>
        </w:tc>
        <w:tc>
          <w:tcPr>
            <w:tcW w:w="2362" w:type="dxa"/>
            <w:noWrap/>
            <w:hideMark/>
          </w:tcPr>
          <w:p w:rsidR="009A483C" w:rsidRPr="009A483C" w:rsidRDefault="009A483C" w:rsidP="009A483C">
            <w:r w:rsidRPr="009A483C">
              <w:t>Banks</w:t>
            </w:r>
          </w:p>
        </w:tc>
        <w:tc>
          <w:tcPr>
            <w:tcW w:w="1238" w:type="dxa"/>
            <w:noWrap/>
            <w:hideMark/>
          </w:tcPr>
          <w:p w:rsidR="009A483C" w:rsidRPr="009A483C" w:rsidRDefault="009A483C" w:rsidP="009A483C">
            <w:r w:rsidRPr="009A483C">
              <w:t>1.67</w:t>
            </w:r>
          </w:p>
        </w:tc>
        <w:tc>
          <w:tcPr>
            <w:tcW w:w="866" w:type="dxa"/>
            <w:noWrap/>
            <w:hideMark/>
          </w:tcPr>
          <w:p w:rsidR="009A483C" w:rsidRPr="009A483C" w:rsidRDefault="009A483C" w:rsidP="009A483C">
            <w:r w:rsidRPr="009A483C">
              <w:t>11.18</w:t>
            </w:r>
          </w:p>
        </w:tc>
        <w:tc>
          <w:tcPr>
            <w:tcW w:w="1852" w:type="dxa"/>
            <w:noWrap/>
            <w:hideMark/>
          </w:tcPr>
          <w:p w:rsidR="009A483C" w:rsidRPr="009A483C" w:rsidRDefault="009A483C" w:rsidP="009A483C">
            <w:r w:rsidRPr="009A483C">
              <w:t>25.68B</w:t>
            </w:r>
          </w:p>
        </w:tc>
      </w:tr>
      <w:tr w:rsidR="009A483C" w:rsidRPr="009A483C" w:rsidTr="009A483C">
        <w:trPr>
          <w:trHeight w:val="300"/>
        </w:trPr>
        <w:tc>
          <w:tcPr>
            <w:tcW w:w="2699" w:type="dxa"/>
            <w:noWrap/>
            <w:hideMark/>
          </w:tcPr>
          <w:p w:rsidR="009A483C" w:rsidRPr="009A483C" w:rsidRDefault="009A483C" w:rsidP="009A483C">
            <w:r w:rsidRPr="009A483C">
              <w:t>YTL Corp</w:t>
            </w:r>
          </w:p>
        </w:tc>
        <w:tc>
          <w:tcPr>
            <w:tcW w:w="991" w:type="dxa"/>
            <w:noWrap/>
            <w:hideMark/>
          </w:tcPr>
          <w:p w:rsidR="009A483C" w:rsidRPr="009A483C" w:rsidRDefault="009A483C" w:rsidP="009A483C">
            <w:r w:rsidRPr="009A483C">
              <w:t>4677</w:t>
            </w:r>
          </w:p>
        </w:tc>
        <w:tc>
          <w:tcPr>
            <w:tcW w:w="2362" w:type="dxa"/>
            <w:noWrap/>
            <w:hideMark/>
          </w:tcPr>
          <w:p w:rsidR="009A483C" w:rsidRPr="009A483C" w:rsidRDefault="009A483C" w:rsidP="009A483C">
            <w:proofErr w:type="spellStart"/>
            <w:r w:rsidRPr="009A483C">
              <w:t>Multiutilities</w:t>
            </w:r>
            <w:proofErr w:type="spellEnd"/>
          </w:p>
        </w:tc>
        <w:tc>
          <w:tcPr>
            <w:tcW w:w="1238" w:type="dxa"/>
            <w:noWrap/>
            <w:hideMark/>
          </w:tcPr>
          <w:p w:rsidR="009A483C" w:rsidRPr="009A483C" w:rsidRDefault="009A483C" w:rsidP="009A483C">
            <w:r w:rsidRPr="009A483C">
              <w:t>1.63</w:t>
            </w:r>
          </w:p>
        </w:tc>
        <w:tc>
          <w:tcPr>
            <w:tcW w:w="866" w:type="dxa"/>
            <w:noWrap/>
            <w:hideMark/>
          </w:tcPr>
          <w:p w:rsidR="009A483C" w:rsidRPr="009A483C" w:rsidRDefault="009A483C" w:rsidP="009A483C">
            <w:r w:rsidRPr="009A483C">
              <w:t>14.85</w:t>
            </w:r>
          </w:p>
        </w:tc>
        <w:tc>
          <w:tcPr>
            <w:tcW w:w="1852" w:type="dxa"/>
            <w:noWrap/>
            <w:hideMark/>
          </w:tcPr>
          <w:p w:rsidR="009A483C" w:rsidRPr="009A483C" w:rsidRDefault="009A483C" w:rsidP="009A483C">
            <w:r w:rsidRPr="009A483C">
              <w:t>17.38B</w:t>
            </w:r>
          </w:p>
        </w:tc>
      </w:tr>
      <w:tr w:rsidR="009A483C" w:rsidRPr="009A483C" w:rsidTr="009A483C">
        <w:trPr>
          <w:trHeight w:val="300"/>
        </w:trPr>
        <w:tc>
          <w:tcPr>
            <w:tcW w:w="2699" w:type="dxa"/>
            <w:noWrap/>
            <w:hideMark/>
          </w:tcPr>
          <w:p w:rsidR="009A483C" w:rsidRPr="009A483C" w:rsidRDefault="009A483C" w:rsidP="009A483C">
            <w:r w:rsidRPr="009A483C">
              <w:t>UMW Holdings</w:t>
            </w:r>
          </w:p>
        </w:tc>
        <w:tc>
          <w:tcPr>
            <w:tcW w:w="991" w:type="dxa"/>
            <w:noWrap/>
            <w:hideMark/>
          </w:tcPr>
          <w:p w:rsidR="009A483C" w:rsidRPr="009A483C" w:rsidRDefault="009A483C" w:rsidP="009A483C">
            <w:r w:rsidRPr="009A483C">
              <w:t>4588</w:t>
            </w:r>
          </w:p>
        </w:tc>
        <w:tc>
          <w:tcPr>
            <w:tcW w:w="2362" w:type="dxa"/>
            <w:noWrap/>
            <w:hideMark/>
          </w:tcPr>
          <w:p w:rsidR="009A483C" w:rsidRPr="009A483C" w:rsidRDefault="009A483C" w:rsidP="009A483C">
            <w:r w:rsidRPr="009A483C">
              <w:t>Automobiles</w:t>
            </w:r>
          </w:p>
        </w:tc>
        <w:tc>
          <w:tcPr>
            <w:tcW w:w="1238" w:type="dxa"/>
            <w:noWrap/>
            <w:hideMark/>
          </w:tcPr>
          <w:p w:rsidR="009A483C" w:rsidRPr="009A483C" w:rsidRDefault="009A483C" w:rsidP="009A483C">
            <w:r w:rsidRPr="009A483C">
              <w:t>1.37</w:t>
            </w:r>
          </w:p>
        </w:tc>
        <w:tc>
          <w:tcPr>
            <w:tcW w:w="866" w:type="dxa"/>
            <w:noWrap/>
            <w:hideMark/>
          </w:tcPr>
          <w:p w:rsidR="009A483C" w:rsidRPr="009A483C" w:rsidRDefault="009A483C" w:rsidP="009A483C">
            <w:r w:rsidRPr="009A483C">
              <w:t>20.57</w:t>
            </w:r>
          </w:p>
        </w:tc>
        <w:tc>
          <w:tcPr>
            <w:tcW w:w="1852" w:type="dxa"/>
            <w:noWrap/>
            <w:hideMark/>
          </w:tcPr>
          <w:p w:rsidR="009A483C" w:rsidRPr="009A483C" w:rsidRDefault="009A483C" w:rsidP="009A483C">
            <w:r w:rsidRPr="009A483C">
              <w:t>11.96B</w:t>
            </w:r>
          </w:p>
        </w:tc>
      </w:tr>
      <w:tr w:rsidR="009A483C" w:rsidRPr="009A483C" w:rsidTr="009A483C">
        <w:trPr>
          <w:trHeight w:val="300"/>
        </w:trPr>
        <w:tc>
          <w:tcPr>
            <w:tcW w:w="2699" w:type="dxa"/>
            <w:noWrap/>
            <w:hideMark/>
          </w:tcPr>
          <w:p w:rsidR="009A483C" w:rsidRPr="009A483C" w:rsidRDefault="009A483C" w:rsidP="009A483C">
            <w:r w:rsidRPr="009A483C">
              <w:t>Astro Malaysia Holdings</w:t>
            </w:r>
          </w:p>
        </w:tc>
        <w:tc>
          <w:tcPr>
            <w:tcW w:w="991" w:type="dxa"/>
            <w:noWrap/>
            <w:hideMark/>
          </w:tcPr>
          <w:p w:rsidR="009A483C" w:rsidRPr="009A483C" w:rsidRDefault="009A483C" w:rsidP="009A483C">
            <w:r w:rsidRPr="009A483C">
              <w:t>6399</w:t>
            </w:r>
          </w:p>
        </w:tc>
        <w:tc>
          <w:tcPr>
            <w:tcW w:w="2362" w:type="dxa"/>
            <w:noWrap/>
            <w:hideMark/>
          </w:tcPr>
          <w:p w:rsidR="009A483C" w:rsidRPr="009A483C" w:rsidRDefault="009A483C" w:rsidP="009A483C">
            <w:r w:rsidRPr="009A483C">
              <w:t>Broadcasting &amp; Entertainment</w:t>
            </w:r>
          </w:p>
        </w:tc>
        <w:tc>
          <w:tcPr>
            <w:tcW w:w="1238" w:type="dxa"/>
            <w:noWrap/>
            <w:hideMark/>
          </w:tcPr>
          <w:p w:rsidR="009A483C" w:rsidRPr="009A483C" w:rsidRDefault="009A483C" w:rsidP="009A483C">
            <w:r w:rsidRPr="009A483C">
              <w:t>1.22</w:t>
            </w:r>
          </w:p>
        </w:tc>
        <w:tc>
          <w:tcPr>
            <w:tcW w:w="866" w:type="dxa"/>
            <w:noWrap/>
            <w:hideMark/>
          </w:tcPr>
          <w:p w:rsidR="009A483C" w:rsidRPr="009A483C" w:rsidRDefault="009A483C" w:rsidP="009A483C">
            <w:r w:rsidRPr="009A483C">
              <w:t>28.59</w:t>
            </w:r>
          </w:p>
        </w:tc>
        <w:tc>
          <w:tcPr>
            <w:tcW w:w="1852" w:type="dxa"/>
            <w:noWrap/>
            <w:hideMark/>
          </w:tcPr>
          <w:p w:rsidR="009A483C" w:rsidRPr="009A483C" w:rsidRDefault="009A483C" w:rsidP="009A483C">
            <w:r w:rsidRPr="009A483C">
              <w:t>15.97B</w:t>
            </w:r>
          </w:p>
        </w:tc>
      </w:tr>
      <w:tr w:rsidR="009A483C" w:rsidRPr="009A483C" w:rsidTr="009A483C">
        <w:trPr>
          <w:trHeight w:val="300"/>
        </w:trPr>
        <w:tc>
          <w:tcPr>
            <w:tcW w:w="2699" w:type="dxa"/>
            <w:noWrap/>
            <w:hideMark/>
          </w:tcPr>
          <w:p w:rsidR="009A483C" w:rsidRPr="009A483C" w:rsidRDefault="009A483C" w:rsidP="009A483C">
            <w:r w:rsidRPr="009A483C">
              <w:t xml:space="preserve">Petronas </w:t>
            </w:r>
            <w:proofErr w:type="spellStart"/>
            <w:r w:rsidRPr="009A483C">
              <w:t>Dagangan</w:t>
            </w:r>
            <w:proofErr w:type="spellEnd"/>
            <w:r w:rsidRPr="009A483C">
              <w:t xml:space="preserve"> </w:t>
            </w:r>
            <w:proofErr w:type="spellStart"/>
            <w:r w:rsidRPr="009A483C">
              <w:t>Bhd</w:t>
            </w:r>
            <w:proofErr w:type="spellEnd"/>
          </w:p>
        </w:tc>
        <w:tc>
          <w:tcPr>
            <w:tcW w:w="991" w:type="dxa"/>
            <w:noWrap/>
            <w:hideMark/>
          </w:tcPr>
          <w:p w:rsidR="009A483C" w:rsidRPr="009A483C" w:rsidRDefault="009A483C" w:rsidP="009A483C">
            <w:r w:rsidRPr="009A483C">
              <w:t>5681</w:t>
            </w:r>
          </w:p>
        </w:tc>
        <w:tc>
          <w:tcPr>
            <w:tcW w:w="2362" w:type="dxa"/>
            <w:noWrap/>
            <w:hideMark/>
          </w:tcPr>
          <w:p w:rsidR="009A483C" w:rsidRPr="009A483C" w:rsidRDefault="009A483C" w:rsidP="009A483C">
            <w:proofErr w:type="spellStart"/>
            <w:r w:rsidRPr="009A483C">
              <w:t>Intrgrated</w:t>
            </w:r>
            <w:proofErr w:type="spellEnd"/>
            <w:r w:rsidRPr="009A483C">
              <w:t xml:space="preserve"> Oil &amp; Gas</w:t>
            </w:r>
          </w:p>
        </w:tc>
        <w:tc>
          <w:tcPr>
            <w:tcW w:w="1238" w:type="dxa"/>
            <w:noWrap/>
            <w:hideMark/>
          </w:tcPr>
          <w:p w:rsidR="009A483C" w:rsidRPr="009A483C" w:rsidRDefault="009A483C" w:rsidP="009A483C">
            <w:r w:rsidRPr="009A483C">
              <w:t>1.21</w:t>
            </w:r>
          </w:p>
        </w:tc>
        <w:tc>
          <w:tcPr>
            <w:tcW w:w="866" w:type="dxa"/>
            <w:noWrap/>
            <w:hideMark/>
          </w:tcPr>
          <w:p w:rsidR="009A483C" w:rsidRPr="009A483C" w:rsidRDefault="009A483C" w:rsidP="009A483C">
            <w:r w:rsidRPr="009A483C">
              <w:t>36.99</w:t>
            </w:r>
          </w:p>
        </w:tc>
        <w:tc>
          <w:tcPr>
            <w:tcW w:w="1852" w:type="dxa"/>
            <w:noWrap/>
            <w:hideMark/>
          </w:tcPr>
          <w:p w:rsidR="009A483C" w:rsidRPr="009A483C" w:rsidRDefault="009A483C" w:rsidP="009A483C">
            <w:r w:rsidRPr="009A483C">
              <w:t>20.43B</w:t>
            </w:r>
          </w:p>
        </w:tc>
      </w:tr>
      <w:tr w:rsidR="009A483C" w:rsidRPr="009A483C" w:rsidTr="009A483C">
        <w:trPr>
          <w:trHeight w:val="300"/>
        </w:trPr>
        <w:tc>
          <w:tcPr>
            <w:tcW w:w="2699" w:type="dxa"/>
            <w:noWrap/>
            <w:hideMark/>
          </w:tcPr>
          <w:p w:rsidR="009A483C" w:rsidRPr="009A483C" w:rsidRDefault="009A483C" w:rsidP="009A483C">
            <w:r w:rsidRPr="009A483C">
              <w:t>RHB Capital</w:t>
            </w:r>
          </w:p>
        </w:tc>
        <w:tc>
          <w:tcPr>
            <w:tcW w:w="991" w:type="dxa"/>
            <w:noWrap/>
            <w:hideMark/>
          </w:tcPr>
          <w:p w:rsidR="009A483C" w:rsidRPr="009A483C" w:rsidRDefault="009A483C" w:rsidP="009A483C">
            <w:r w:rsidRPr="009A483C">
              <w:t>1066</w:t>
            </w:r>
          </w:p>
        </w:tc>
        <w:tc>
          <w:tcPr>
            <w:tcW w:w="2362" w:type="dxa"/>
            <w:noWrap/>
            <w:hideMark/>
          </w:tcPr>
          <w:p w:rsidR="009A483C" w:rsidRPr="009A483C" w:rsidRDefault="009A483C" w:rsidP="009A483C">
            <w:r w:rsidRPr="009A483C">
              <w:t>Banks</w:t>
            </w:r>
          </w:p>
        </w:tc>
        <w:tc>
          <w:tcPr>
            <w:tcW w:w="1238" w:type="dxa"/>
            <w:noWrap/>
            <w:hideMark/>
          </w:tcPr>
          <w:p w:rsidR="009A483C" w:rsidRPr="009A483C" w:rsidRDefault="009A483C" w:rsidP="009A483C">
            <w:r w:rsidRPr="009A483C">
              <w:t>1.06</w:t>
            </w:r>
          </w:p>
        </w:tc>
        <w:tc>
          <w:tcPr>
            <w:tcW w:w="866" w:type="dxa"/>
            <w:noWrap/>
            <w:hideMark/>
          </w:tcPr>
          <w:p w:rsidR="009A483C" w:rsidRPr="009A483C" w:rsidRDefault="009A483C" w:rsidP="009A483C">
            <w:r w:rsidRPr="009A483C">
              <w:t>9.37</w:t>
            </w:r>
          </w:p>
        </w:tc>
        <w:tc>
          <w:tcPr>
            <w:tcW w:w="1852" w:type="dxa"/>
            <w:noWrap/>
            <w:hideMark/>
          </w:tcPr>
          <w:p w:rsidR="009A483C" w:rsidRPr="009A483C" w:rsidRDefault="009A483C" w:rsidP="009A483C">
            <w:r w:rsidRPr="009A483C">
              <w:t>19.52B</w:t>
            </w:r>
          </w:p>
        </w:tc>
      </w:tr>
      <w:tr w:rsidR="009A483C" w:rsidRPr="009A483C" w:rsidTr="009A483C">
        <w:trPr>
          <w:trHeight w:val="300"/>
        </w:trPr>
        <w:tc>
          <w:tcPr>
            <w:tcW w:w="2699" w:type="dxa"/>
            <w:noWrap/>
            <w:hideMark/>
          </w:tcPr>
          <w:p w:rsidR="009A483C" w:rsidRPr="009A483C" w:rsidRDefault="009A483C" w:rsidP="009A483C">
            <w:proofErr w:type="spellStart"/>
            <w:r w:rsidRPr="009A483C">
              <w:t>Westports</w:t>
            </w:r>
            <w:proofErr w:type="spellEnd"/>
            <w:r w:rsidRPr="009A483C">
              <w:t xml:space="preserve"> Holdings</w:t>
            </w:r>
          </w:p>
        </w:tc>
        <w:tc>
          <w:tcPr>
            <w:tcW w:w="991" w:type="dxa"/>
            <w:noWrap/>
            <w:hideMark/>
          </w:tcPr>
          <w:p w:rsidR="009A483C" w:rsidRPr="009A483C" w:rsidRDefault="009A483C" w:rsidP="009A483C">
            <w:r w:rsidRPr="009A483C">
              <w:t>5246</w:t>
            </w:r>
          </w:p>
        </w:tc>
        <w:tc>
          <w:tcPr>
            <w:tcW w:w="2362" w:type="dxa"/>
            <w:noWrap/>
            <w:hideMark/>
          </w:tcPr>
          <w:p w:rsidR="009A483C" w:rsidRPr="009A483C" w:rsidRDefault="009A483C" w:rsidP="009A483C">
            <w:r w:rsidRPr="009A483C">
              <w:t>Transportation Services</w:t>
            </w:r>
          </w:p>
        </w:tc>
        <w:tc>
          <w:tcPr>
            <w:tcW w:w="1238" w:type="dxa"/>
            <w:noWrap/>
            <w:hideMark/>
          </w:tcPr>
          <w:p w:rsidR="009A483C" w:rsidRPr="009A483C" w:rsidRDefault="009A483C" w:rsidP="009A483C">
            <w:r w:rsidRPr="009A483C">
              <w:t>0.93</w:t>
            </w:r>
          </w:p>
        </w:tc>
        <w:tc>
          <w:tcPr>
            <w:tcW w:w="866" w:type="dxa"/>
            <w:noWrap/>
            <w:hideMark/>
          </w:tcPr>
          <w:p w:rsidR="009A483C" w:rsidRPr="009A483C" w:rsidRDefault="009A483C" w:rsidP="009A483C">
            <w:r w:rsidRPr="009A483C">
              <w:t>26.84</w:t>
            </w:r>
          </w:p>
        </w:tc>
        <w:tc>
          <w:tcPr>
            <w:tcW w:w="1852" w:type="dxa"/>
            <w:noWrap/>
            <w:hideMark/>
          </w:tcPr>
          <w:p w:rsidR="009A483C" w:rsidRPr="009A483C" w:rsidRDefault="009A483C" w:rsidP="009A483C">
            <w:r w:rsidRPr="009A483C">
              <w:t>14.05B</w:t>
            </w:r>
          </w:p>
        </w:tc>
      </w:tr>
      <w:tr w:rsidR="009A483C" w:rsidRPr="009A483C" w:rsidTr="009A483C">
        <w:trPr>
          <w:trHeight w:val="300"/>
        </w:trPr>
        <w:tc>
          <w:tcPr>
            <w:tcW w:w="2699" w:type="dxa"/>
            <w:noWrap/>
            <w:hideMark/>
          </w:tcPr>
          <w:p w:rsidR="009A483C" w:rsidRPr="009A483C" w:rsidRDefault="009A483C" w:rsidP="009A483C">
            <w:r w:rsidRPr="009A483C">
              <w:t>Hong Leong Financial</w:t>
            </w:r>
          </w:p>
        </w:tc>
        <w:tc>
          <w:tcPr>
            <w:tcW w:w="991" w:type="dxa"/>
            <w:noWrap/>
            <w:hideMark/>
          </w:tcPr>
          <w:p w:rsidR="009A483C" w:rsidRPr="009A483C" w:rsidRDefault="009A483C" w:rsidP="009A483C">
            <w:r w:rsidRPr="009A483C">
              <w:t>1082</w:t>
            </w:r>
          </w:p>
        </w:tc>
        <w:tc>
          <w:tcPr>
            <w:tcW w:w="2362" w:type="dxa"/>
            <w:noWrap/>
            <w:hideMark/>
          </w:tcPr>
          <w:p w:rsidR="009A483C" w:rsidRPr="009A483C" w:rsidRDefault="009A483C" w:rsidP="009A483C">
            <w:r w:rsidRPr="009A483C">
              <w:t>Banks</w:t>
            </w:r>
          </w:p>
        </w:tc>
        <w:tc>
          <w:tcPr>
            <w:tcW w:w="1238" w:type="dxa"/>
            <w:noWrap/>
            <w:hideMark/>
          </w:tcPr>
          <w:p w:rsidR="009A483C" w:rsidRPr="009A483C" w:rsidRDefault="009A483C" w:rsidP="009A483C">
            <w:r w:rsidRPr="009A483C">
              <w:t>0.64</w:t>
            </w:r>
          </w:p>
        </w:tc>
        <w:tc>
          <w:tcPr>
            <w:tcW w:w="866" w:type="dxa"/>
            <w:noWrap/>
            <w:hideMark/>
          </w:tcPr>
          <w:p w:rsidR="009A483C" w:rsidRPr="009A483C" w:rsidRDefault="009A483C" w:rsidP="009A483C">
            <w:r w:rsidRPr="009A483C">
              <w:t>10.01</w:t>
            </w:r>
          </w:p>
        </w:tc>
        <w:tc>
          <w:tcPr>
            <w:tcW w:w="1852" w:type="dxa"/>
            <w:noWrap/>
            <w:hideMark/>
          </w:tcPr>
          <w:p w:rsidR="009A483C" w:rsidRPr="009A483C" w:rsidRDefault="009A483C" w:rsidP="009A483C">
            <w:r w:rsidRPr="009A483C">
              <w:t>16.32B</w:t>
            </w:r>
          </w:p>
        </w:tc>
      </w:tr>
      <w:tr w:rsidR="009A483C" w:rsidRPr="009A483C" w:rsidTr="009A483C">
        <w:trPr>
          <w:trHeight w:val="300"/>
        </w:trPr>
        <w:tc>
          <w:tcPr>
            <w:tcW w:w="2699" w:type="dxa"/>
            <w:noWrap/>
            <w:hideMark/>
          </w:tcPr>
          <w:p w:rsidR="009A483C" w:rsidRPr="009A483C" w:rsidRDefault="009A483C" w:rsidP="009A483C">
            <w:r w:rsidRPr="009A483C">
              <w:t xml:space="preserve">KLCC Prop &amp; </w:t>
            </w:r>
            <w:proofErr w:type="spellStart"/>
            <w:r w:rsidRPr="009A483C">
              <w:t>Reits</w:t>
            </w:r>
            <w:proofErr w:type="spellEnd"/>
            <w:r w:rsidRPr="009A483C">
              <w:t xml:space="preserve"> - Stapled Sec</w:t>
            </w:r>
          </w:p>
        </w:tc>
        <w:tc>
          <w:tcPr>
            <w:tcW w:w="991" w:type="dxa"/>
            <w:noWrap/>
            <w:hideMark/>
          </w:tcPr>
          <w:p w:rsidR="009A483C" w:rsidRPr="009A483C" w:rsidRDefault="009A483C" w:rsidP="009A483C">
            <w:r w:rsidRPr="009A483C">
              <w:t>5235SS</w:t>
            </w:r>
          </w:p>
        </w:tc>
        <w:tc>
          <w:tcPr>
            <w:tcW w:w="2362" w:type="dxa"/>
            <w:noWrap/>
            <w:hideMark/>
          </w:tcPr>
          <w:p w:rsidR="009A483C" w:rsidRPr="009A483C" w:rsidRDefault="009A483C" w:rsidP="009A483C">
            <w:r w:rsidRPr="009A483C">
              <w:t>Real Estate Holding &amp; Development</w:t>
            </w:r>
          </w:p>
        </w:tc>
        <w:tc>
          <w:tcPr>
            <w:tcW w:w="1238" w:type="dxa"/>
            <w:noWrap/>
            <w:hideMark/>
          </w:tcPr>
          <w:p w:rsidR="009A483C" w:rsidRPr="009A483C" w:rsidRDefault="009A483C" w:rsidP="009A483C">
            <w:r w:rsidRPr="009A483C">
              <w:t>0.63</w:t>
            </w:r>
          </w:p>
        </w:tc>
        <w:tc>
          <w:tcPr>
            <w:tcW w:w="866" w:type="dxa"/>
            <w:noWrap/>
            <w:hideMark/>
          </w:tcPr>
          <w:p w:rsidR="009A483C" w:rsidRPr="009A483C" w:rsidRDefault="009A483C" w:rsidP="009A483C">
            <w:r w:rsidRPr="009A483C">
              <w:t>13.63</w:t>
            </w:r>
          </w:p>
        </w:tc>
        <w:tc>
          <w:tcPr>
            <w:tcW w:w="1852" w:type="dxa"/>
            <w:noWrap/>
            <w:hideMark/>
          </w:tcPr>
          <w:p w:rsidR="009A483C" w:rsidRPr="009A483C" w:rsidRDefault="009A483C" w:rsidP="009A483C">
            <w:r w:rsidRPr="009A483C">
              <w:t>12.71B</w:t>
            </w:r>
          </w:p>
        </w:tc>
      </w:tr>
    </w:tbl>
    <w:p w:rsidR="009A483C" w:rsidRDefault="009A483C" w:rsidP="00327B8A">
      <w:pPr>
        <w:rPr>
          <w:lang w:val="en-MY"/>
        </w:rPr>
      </w:pPr>
    </w:p>
    <w:p w:rsidR="009A483C" w:rsidRDefault="009A483C" w:rsidP="00327B8A">
      <w:pPr>
        <w:rPr>
          <w:lang w:val="en-MY"/>
        </w:rPr>
      </w:pPr>
      <w:r>
        <w:rPr>
          <w:lang w:val="en-MY"/>
        </w:rPr>
        <w:t xml:space="preserve">The table is as shown above. I had choose </w:t>
      </w:r>
      <w:proofErr w:type="gramStart"/>
      <w:r>
        <w:rPr>
          <w:lang w:val="en-MY"/>
        </w:rPr>
        <w:t>digi.com  as</w:t>
      </w:r>
      <w:proofErr w:type="gramEnd"/>
      <w:r>
        <w:rPr>
          <w:lang w:val="en-MY"/>
        </w:rPr>
        <w:t xml:space="preserve"> my component to investigate. Using the code </w:t>
      </w:r>
      <w:r w:rsidRPr="009A483C">
        <w:rPr>
          <w:lang w:val="en-MY"/>
        </w:rPr>
        <w:t>6947</w:t>
      </w:r>
      <w:r>
        <w:rPr>
          <w:lang w:val="en-MY"/>
        </w:rPr>
        <w:t xml:space="preserve"> I retrieved data from yahoo finance using following codes.</w:t>
      </w:r>
    </w:p>
    <w:p w:rsidR="009A483C" w:rsidRPr="009A483C" w:rsidRDefault="009A483C" w:rsidP="009A483C">
      <w:pPr>
        <w:spacing w:after="0" w:line="240" w:lineRule="auto"/>
        <w:rPr>
          <w:rFonts w:ascii="Times New Roman" w:eastAsia="Times New Roman" w:hAnsi="Times New Roman" w:cs="Times New Roman"/>
          <w:sz w:val="24"/>
          <w:szCs w:val="24"/>
          <w:lang w:val="en-MY" w:eastAsia="zh-CN"/>
        </w:rPr>
      </w:pPr>
      <w:proofErr w:type="gramStart"/>
      <w:r w:rsidRPr="009A483C">
        <w:rPr>
          <w:rFonts w:ascii="Times New Roman" w:eastAsia="Times New Roman" w:hAnsi="Times New Roman" w:cs="Times New Roman"/>
          <w:sz w:val="24"/>
          <w:szCs w:val="24"/>
          <w:lang w:val="en-MY" w:eastAsia="zh-CN"/>
        </w:rPr>
        <w:t>start</w:t>
      </w:r>
      <w:proofErr w:type="gramEnd"/>
      <w:r w:rsidRPr="009A483C">
        <w:rPr>
          <w:rFonts w:ascii="Times New Roman" w:eastAsia="Times New Roman" w:hAnsi="Times New Roman" w:cs="Times New Roman"/>
          <w:sz w:val="24"/>
          <w:szCs w:val="24"/>
          <w:lang w:val="en-MY" w:eastAsia="zh-CN"/>
        </w:rPr>
        <w:t xml:space="preserve"> = </w:t>
      </w:r>
      <w:proofErr w:type="spellStart"/>
      <w:r w:rsidRPr="009A483C">
        <w:rPr>
          <w:rFonts w:ascii="Times New Roman" w:eastAsia="Times New Roman" w:hAnsi="Times New Roman" w:cs="Times New Roman"/>
          <w:sz w:val="24"/>
          <w:szCs w:val="24"/>
          <w:lang w:val="en-MY" w:eastAsia="zh-CN"/>
        </w:rPr>
        <w:t>dt</w:t>
      </w:r>
      <w:proofErr w:type="spellEnd"/>
      <w:r w:rsidRPr="009A483C">
        <w:rPr>
          <w:rFonts w:ascii="Times New Roman" w:eastAsia="Times New Roman" w:hAnsi="Times New Roman" w:cs="Times New Roman"/>
          <w:sz w:val="24"/>
          <w:szCs w:val="24"/>
          <w:lang w:val="en-MY" w:eastAsia="zh-CN"/>
        </w:rPr>
        <w:t>(2012,6, 1)</w:t>
      </w:r>
    </w:p>
    <w:p w:rsidR="009A483C" w:rsidRPr="009A483C" w:rsidRDefault="009A483C" w:rsidP="009A483C">
      <w:pPr>
        <w:spacing w:after="0" w:line="240" w:lineRule="auto"/>
        <w:rPr>
          <w:rFonts w:ascii="Times New Roman" w:eastAsia="Times New Roman" w:hAnsi="Times New Roman" w:cs="Times New Roman"/>
          <w:sz w:val="24"/>
          <w:szCs w:val="24"/>
          <w:lang w:val="en-MY" w:eastAsia="zh-CN"/>
        </w:rPr>
      </w:pPr>
      <w:proofErr w:type="gramStart"/>
      <w:r w:rsidRPr="009A483C">
        <w:rPr>
          <w:rFonts w:ascii="Times New Roman" w:eastAsia="Times New Roman" w:hAnsi="Times New Roman" w:cs="Times New Roman"/>
          <w:sz w:val="24"/>
          <w:szCs w:val="24"/>
          <w:lang w:val="en-MY" w:eastAsia="zh-CN"/>
        </w:rPr>
        <w:t>end</w:t>
      </w:r>
      <w:proofErr w:type="gramEnd"/>
      <w:r w:rsidRPr="009A483C">
        <w:rPr>
          <w:rFonts w:ascii="Times New Roman" w:eastAsia="Times New Roman" w:hAnsi="Times New Roman" w:cs="Times New Roman"/>
          <w:sz w:val="24"/>
          <w:szCs w:val="24"/>
          <w:lang w:val="en-MY" w:eastAsia="zh-CN"/>
        </w:rPr>
        <w:t xml:space="preserve"> = </w:t>
      </w:r>
      <w:proofErr w:type="spellStart"/>
      <w:r w:rsidRPr="009A483C">
        <w:rPr>
          <w:rFonts w:ascii="Times New Roman" w:eastAsia="Times New Roman" w:hAnsi="Times New Roman" w:cs="Times New Roman"/>
          <w:sz w:val="24"/>
          <w:szCs w:val="24"/>
          <w:lang w:val="en-MY" w:eastAsia="zh-CN"/>
        </w:rPr>
        <w:t>dt</w:t>
      </w:r>
      <w:proofErr w:type="spellEnd"/>
      <w:r w:rsidRPr="009A483C">
        <w:rPr>
          <w:rFonts w:ascii="Times New Roman" w:eastAsia="Times New Roman" w:hAnsi="Times New Roman" w:cs="Times New Roman"/>
          <w:sz w:val="24"/>
          <w:szCs w:val="24"/>
          <w:lang w:val="en-MY" w:eastAsia="zh-CN"/>
        </w:rPr>
        <w:t>(2015, 5,31)</w:t>
      </w:r>
    </w:p>
    <w:p w:rsidR="009A483C" w:rsidRDefault="009A483C" w:rsidP="009A483C">
      <w:pPr>
        <w:rPr>
          <w:rFonts w:ascii="Times New Roman" w:eastAsia="Times New Roman" w:hAnsi="Times New Roman" w:cs="Times New Roman"/>
          <w:sz w:val="24"/>
          <w:szCs w:val="24"/>
          <w:lang w:val="en-MY" w:eastAsia="zh-CN"/>
        </w:rPr>
      </w:pPr>
      <w:r w:rsidRPr="009A483C">
        <w:rPr>
          <w:rFonts w:ascii="Times New Roman" w:eastAsia="Times New Roman" w:hAnsi="Times New Roman" w:cs="Times New Roman"/>
          <w:sz w:val="24"/>
          <w:szCs w:val="24"/>
          <w:lang w:val="en-MY" w:eastAsia="zh-CN"/>
        </w:rPr>
        <w:t xml:space="preserve">data1 = </w:t>
      </w:r>
      <w:proofErr w:type="gramStart"/>
      <w:r w:rsidRPr="009A483C">
        <w:rPr>
          <w:rFonts w:ascii="Times New Roman" w:eastAsia="Times New Roman" w:hAnsi="Times New Roman" w:cs="Times New Roman"/>
          <w:sz w:val="24"/>
          <w:szCs w:val="24"/>
          <w:lang w:val="en-MY" w:eastAsia="zh-CN"/>
        </w:rPr>
        <w:t>DR(</w:t>
      </w:r>
      <w:proofErr w:type="gramEnd"/>
      <w:r w:rsidRPr="009A483C">
        <w:rPr>
          <w:rFonts w:ascii="Times New Roman" w:eastAsia="Times New Roman" w:hAnsi="Times New Roman" w:cs="Times New Roman"/>
          <w:sz w:val="24"/>
          <w:szCs w:val="24"/>
          <w:lang w:val="en-MY" w:eastAsia="zh-CN"/>
        </w:rPr>
        <w:t>"6947.KL", 'yahoo', start, end)</w:t>
      </w:r>
    </w:p>
    <w:p w:rsidR="009A483C" w:rsidRDefault="009A483C" w:rsidP="009A483C">
      <w:pPr>
        <w:rPr>
          <w:lang w:val="en-MY"/>
        </w:rPr>
      </w:pPr>
      <w:proofErr w:type="gramStart"/>
      <w:r>
        <w:rPr>
          <w:rFonts w:ascii="Times New Roman" w:eastAsia="Times New Roman" w:hAnsi="Times New Roman" w:cs="Times New Roman"/>
          <w:sz w:val="24"/>
          <w:szCs w:val="24"/>
          <w:lang w:val="en-MY" w:eastAsia="zh-CN"/>
        </w:rPr>
        <w:t>starting</w:t>
      </w:r>
      <w:proofErr w:type="gramEnd"/>
      <w:r>
        <w:rPr>
          <w:rFonts w:ascii="Times New Roman" w:eastAsia="Times New Roman" w:hAnsi="Times New Roman" w:cs="Times New Roman"/>
          <w:sz w:val="24"/>
          <w:szCs w:val="24"/>
          <w:lang w:val="en-MY" w:eastAsia="zh-CN"/>
        </w:rPr>
        <w:t xml:space="preserve"> from 2012 1,June until 2015, 31,May.</w:t>
      </w:r>
    </w:p>
    <w:p w:rsidR="009A483C" w:rsidRDefault="00E74C19" w:rsidP="00327B8A">
      <w:pPr>
        <w:rPr>
          <w:lang w:val="en-MY"/>
        </w:rPr>
      </w:pPr>
      <w:r>
        <w:rPr>
          <w:lang w:val="en-MY"/>
        </w:rPr>
        <w:t>I assigned the data</w:t>
      </w:r>
      <w:r w:rsidR="009A483C">
        <w:rPr>
          <w:lang w:val="en-MY"/>
        </w:rPr>
        <w:t xml:space="preserve"> into an array call </w:t>
      </w:r>
      <w:proofErr w:type="gramStart"/>
      <w:r>
        <w:rPr>
          <w:lang w:val="en-MY"/>
        </w:rPr>
        <w:t>‘</w:t>
      </w:r>
      <w:r w:rsidR="009A483C">
        <w:rPr>
          <w:lang w:val="en-MY"/>
        </w:rPr>
        <w:t>data</w:t>
      </w:r>
      <w:r>
        <w:rPr>
          <w:lang w:val="en-MY"/>
        </w:rPr>
        <w:t>’</w:t>
      </w:r>
      <w:r w:rsidR="009A483C">
        <w:rPr>
          <w:lang w:val="en-MY"/>
        </w:rPr>
        <w:t xml:space="preserve"> ,</w:t>
      </w:r>
      <w:proofErr w:type="gramEnd"/>
      <w:r w:rsidR="009A483C">
        <w:rPr>
          <w:lang w:val="en-MY"/>
        </w:rPr>
        <w:t xml:space="preserve"> and I get the closing price into a matrix by [:,-1] as the final column for each row is adjusted closing price. </w:t>
      </w:r>
      <w:proofErr w:type="gramStart"/>
      <w:r w:rsidR="009A483C">
        <w:rPr>
          <w:lang w:val="en-MY"/>
        </w:rPr>
        <w:t>( Each</w:t>
      </w:r>
      <w:proofErr w:type="gramEnd"/>
      <w:r w:rsidR="009A483C">
        <w:rPr>
          <w:lang w:val="en-MY"/>
        </w:rPr>
        <w:t xml:space="preserve"> row represent different date , with component open price , highest and lowest price , closing price , volume traded and adjusted close price. ) </w:t>
      </w:r>
    </w:p>
    <w:p w:rsidR="00E74C19" w:rsidRDefault="00E74C19" w:rsidP="00327B8A">
      <w:pPr>
        <w:rPr>
          <w:lang w:val="en-MY"/>
        </w:rPr>
      </w:pPr>
    </w:p>
    <w:p w:rsidR="00E74C19" w:rsidRDefault="00E74C19" w:rsidP="00327B8A">
      <w:pPr>
        <w:rPr>
          <w:lang w:val="en-MY"/>
        </w:rPr>
      </w:pPr>
      <w:r>
        <w:rPr>
          <w:lang w:val="en-MY"/>
        </w:rPr>
        <w:t>In order to calculate the 5 days moving average , which is taking the mean close price for the pass 5 days, firstly I summed up all the cumulative closing price, and form an empty matrix consists of 2 rows and each have same size with the number of days from data collected.</w:t>
      </w:r>
    </w:p>
    <w:p w:rsidR="00E74C19" w:rsidRDefault="00E74C19" w:rsidP="00327B8A">
      <w:pPr>
        <w:rPr>
          <w:lang w:val="en-MY"/>
        </w:rPr>
      </w:pPr>
      <w:r>
        <w:rPr>
          <w:lang w:val="en-MY"/>
        </w:rPr>
        <w:t>First row is assigned with value of cumulative sum from fifth day onwards to the last day.</w:t>
      </w:r>
    </w:p>
    <w:p w:rsidR="00E74C19" w:rsidRDefault="00E74C19" w:rsidP="00327B8A">
      <w:pPr>
        <w:rPr>
          <w:lang w:val="en-MY"/>
        </w:rPr>
      </w:pPr>
      <w:r>
        <w:rPr>
          <w:lang w:val="en-MY"/>
        </w:rPr>
        <w:t>Second row is assigned with value of the sum from first day to the last five days.</w:t>
      </w:r>
    </w:p>
    <w:p w:rsidR="00AE0BF7" w:rsidRDefault="00AE0BF7" w:rsidP="00327B8A">
      <w:pPr>
        <w:rPr>
          <w:lang w:val="en-MY"/>
        </w:rPr>
      </w:pPr>
      <w:r>
        <w:rPr>
          <w:lang w:val="en-MY"/>
        </w:rPr>
        <w:lastRenderedPageBreak/>
        <w:t>5days moving average is calculated by subtracting second row from first row (each day/column will get a 5 days sum) and divide by 5.</w:t>
      </w:r>
    </w:p>
    <w:p w:rsidR="00AE0BF7" w:rsidRDefault="00AE0BF7" w:rsidP="00327B8A">
      <w:pPr>
        <w:rPr>
          <w:lang w:val="en-MY"/>
        </w:rPr>
      </w:pPr>
      <w:r>
        <w:rPr>
          <w:lang w:val="en-MY"/>
        </w:rPr>
        <w:t>The data of moving average is then plotted and as shown as below.</w:t>
      </w:r>
    </w:p>
    <w:p w:rsidR="00AE0BF7" w:rsidRDefault="00AE0BF7" w:rsidP="00327B8A">
      <w:pPr>
        <w:rPr>
          <w:lang w:val="en-MY"/>
        </w:rPr>
      </w:pPr>
      <w:r>
        <w:rPr>
          <w:noProof/>
          <w:lang w:val="en-MY" w:eastAsia="zh-CN"/>
        </w:rPr>
        <w:drawing>
          <wp:inline distT="0" distB="0" distL="0" distR="0" wp14:anchorId="2F4E3F18" wp14:editId="7738C068">
            <wp:extent cx="5309810" cy="356951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9810" cy="3569513"/>
                    </a:xfrm>
                    <a:prstGeom prst="rect">
                      <a:avLst/>
                    </a:prstGeom>
                  </pic:spPr>
                </pic:pic>
              </a:graphicData>
            </a:graphic>
          </wp:inline>
        </w:drawing>
      </w:r>
    </w:p>
    <w:p w:rsidR="00AE0BF7" w:rsidRDefault="00AE0BF7" w:rsidP="00327B8A">
      <w:pPr>
        <w:rPr>
          <w:lang w:val="en-MY"/>
        </w:rPr>
      </w:pPr>
      <w:r>
        <w:rPr>
          <w:lang w:val="en-MY"/>
        </w:rPr>
        <w:t xml:space="preserve">After </w:t>
      </w:r>
      <w:proofErr w:type="gramStart"/>
      <w:r>
        <w:rPr>
          <w:lang w:val="en-MY"/>
        </w:rPr>
        <w:t>that ,</w:t>
      </w:r>
      <w:proofErr w:type="gramEnd"/>
      <w:r>
        <w:rPr>
          <w:lang w:val="en-MY"/>
        </w:rPr>
        <w:t xml:space="preserve"> we get a combine data of KLSE and Digi.com and retrieved the price . As the matrix is too big to </w:t>
      </w:r>
      <w:proofErr w:type="gramStart"/>
      <w:r>
        <w:rPr>
          <w:lang w:val="en-MY"/>
        </w:rPr>
        <w:t>display ,</w:t>
      </w:r>
      <w:proofErr w:type="gramEnd"/>
      <w:r>
        <w:rPr>
          <w:lang w:val="en-MY"/>
        </w:rPr>
        <w:t xml:space="preserve"> we only get what we need --- the adjusted close price column by the highlighted part.</w:t>
      </w:r>
    </w:p>
    <w:p w:rsidR="00AE0BF7" w:rsidRDefault="00AE0BF7" w:rsidP="00327B8A">
      <w:r w:rsidRPr="00AE0BF7">
        <w:rPr>
          <w:lang w:val="en-MY"/>
        </w:rPr>
        <w:t xml:space="preserve">data2 = </w:t>
      </w:r>
      <w:proofErr w:type="gramStart"/>
      <w:r w:rsidRPr="00AE0BF7">
        <w:rPr>
          <w:lang w:val="en-MY"/>
        </w:rPr>
        <w:t>DR(</w:t>
      </w:r>
      <w:proofErr w:type="gramEnd"/>
      <w:r w:rsidRPr="00AE0BF7">
        <w:rPr>
          <w:lang w:val="en-MY"/>
        </w:rPr>
        <w:t>combine_data,'yahoo',</w:t>
      </w:r>
      <w:proofErr w:type="spellStart"/>
      <w:r w:rsidRPr="00AE0BF7">
        <w:rPr>
          <w:lang w:val="en-MY"/>
        </w:rPr>
        <w:t>start,end</w:t>
      </w:r>
      <w:proofErr w:type="spellEnd"/>
      <w:r w:rsidRPr="00AE0BF7">
        <w:rPr>
          <w:lang w:val="en-MY"/>
        </w:rPr>
        <w:t>)</w:t>
      </w:r>
      <w:r>
        <w:rPr>
          <w:lang w:val="en-MY"/>
        </w:rPr>
        <w:t xml:space="preserve"> </w:t>
      </w:r>
      <w:r w:rsidRPr="00AE0BF7">
        <w:rPr>
          <w:highlight w:val="yellow"/>
          <w:lang w:val="en-MY"/>
        </w:rPr>
        <w:t>['</w:t>
      </w:r>
      <w:proofErr w:type="spellStart"/>
      <w:r w:rsidRPr="00AE0BF7">
        <w:rPr>
          <w:highlight w:val="yellow"/>
          <w:lang w:val="en-MY"/>
        </w:rPr>
        <w:t>Adj</w:t>
      </w:r>
      <w:proofErr w:type="spellEnd"/>
      <w:r w:rsidRPr="00AE0BF7">
        <w:rPr>
          <w:highlight w:val="yellow"/>
          <w:lang w:val="en-MY"/>
        </w:rPr>
        <w:t xml:space="preserve"> Close']</w:t>
      </w:r>
      <w:r>
        <w:rPr>
          <w:lang w:val="en-MY"/>
        </w:rPr>
        <w:t xml:space="preserve">  , </w:t>
      </w:r>
      <w:proofErr w:type="spellStart"/>
      <w:r>
        <w:t>combine_data</w:t>
      </w:r>
      <w:proofErr w:type="spellEnd"/>
      <w:r>
        <w:t xml:space="preserve"> = ["6947.KL","^KLSE"]</w:t>
      </w:r>
    </w:p>
    <w:p w:rsidR="00AE0BF7" w:rsidRDefault="00AE0BF7" w:rsidP="00327B8A">
      <w:r>
        <w:t xml:space="preserve"> #6947 = </w:t>
      </w:r>
      <w:proofErr w:type="spellStart"/>
      <w:r>
        <w:t>digi</w:t>
      </w:r>
      <w:proofErr w:type="spellEnd"/>
    </w:p>
    <w:p w:rsidR="00AE0BF7" w:rsidRDefault="00AE0BF7" w:rsidP="00327B8A">
      <w:r>
        <w:t xml:space="preserve">Correlation is then calculated between the </w:t>
      </w:r>
      <w:proofErr w:type="gramStart"/>
      <w:r>
        <w:t>two ,</w:t>
      </w:r>
      <w:proofErr w:type="gramEnd"/>
      <w:r>
        <w:t xml:space="preserve"> the results are as below.</w:t>
      </w:r>
    </w:p>
    <w:p w:rsidR="00AE0BF7" w:rsidRPr="00AE0BF7" w:rsidRDefault="00AE0BF7" w:rsidP="00AE0BF7">
      <w:pPr>
        <w:rPr>
          <w:lang w:val="en-MY"/>
        </w:rPr>
      </w:pPr>
      <w:r w:rsidRPr="00AE0BF7">
        <w:rPr>
          <w:lang w:val="en-MY"/>
        </w:rPr>
        <w:t>Correlation =</w:t>
      </w:r>
    </w:p>
    <w:p w:rsidR="00AE0BF7" w:rsidRPr="00AE0BF7" w:rsidRDefault="00AE0BF7" w:rsidP="00AE0BF7">
      <w:pPr>
        <w:rPr>
          <w:lang w:val="en-MY"/>
        </w:rPr>
      </w:pPr>
      <w:r w:rsidRPr="00AE0BF7">
        <w:rPr>
          <w:lang w:val="en-MY"/>
        </w:rPr>
        <w:t xml:space="preserve">           </w:t>
      </w:r>
      <w:r>
        <w:rPr>
          <w:lang w:val="en-MY"/>
        </w:rPr>
        <w:tab/>
      </w:r>
      <w:r>
        <w:rPr>
          <w:lang w:val="en-MY"/>
        </w:rPr>
        <w:tab/>
      </w:r>
      <w:r w:rsidRPr="00AE0BF7">
        <w:rPr>
          <w:lang w:val="en-MY"/>
        </w:rPr>
        <w:t>6947</w:t>
      </w:r>
      <w:proofErr w:type="gramStart"/>
      <w:r w:rsidRPr="00AE0BF7">
        <w:rPr>
          <w:lang w:val="en-MY"/>
        </w:rPr>
        <w:t>.KL</w:t>
      </w:r>
      <w:proofErr w:type="gramEnd"/>
      <w:r w:rsidRPr="00AE0BF7">
        <w:rPr>
          <w:lang w:val="en-MY"/>
        </w:rPr>
        <w:t xml:space="preserve">     </w:t>
      </w:r>
      <w:r>
        <w:rPr>
          <w:lang w:val="en-MY"/>
        </w:rPr>
        <w:tab/>
      </w:r>
      <w:r w:rsidRPr="00AE0BF7">
        <w:rPr>
          <w:lang w:val="en-MY"/>
        </w:rPr>
        <w:t>^KLSE</w:t>
      </w:r>
    </w:p>
    <w:p w:rsidR="00AE0BF7" w:rsidRPr="00AE0BF7" w:rsidRDefault="00AE0BF7" w:rsidP="00AE0BF7">
      <w:pPr>
        <w:rPr>
          <w:lang w:val="en-MY"/>
        </w:rPr>
      </w:pPr>
      <w:r w:rsidRPr="00AE0BF7">
        <w:rPr>
          <w:lang w:val="en-MY"/>
        </w:rPr>
        <w:t>6947</w:t>
      </w:r>
      <w:proofErr w:type="gramStart"/>
      <w:r w:rsidRPr="00AE0BF7">
        <w:rPr>
          <w:lang w:val="en-MY"/>
        </w:rPr>
        <w:t>.KL</w:t>
      </w:r>
      <w:proofErr w:type="gramEnd"/>
      <w:r w:rsidRPr="00AE0BF7">
        <w:rPr>
          <w:lang w:val="en-MY"/>
        </w:rPr>
        <w:t xml:space="preserve">  </w:t>
      </w:r>
      <w:r>
        <w:rPr>
          <w:lang w:val="en-MY"/>
        </w:rPr>
        <w:tab/>
      </w:r>
      <w:r w:rsidRPr="00AE0BF7">
        <w:rPr>
          <w:lang w:val="en-MY"/>
        </w:rPr>
        <w:t xml:space="preserve">1.000000  </w:t>
      </w:r>
      <w:r>
        <w:rPr>
          <w:lang w:val="en-MY"/>
        </w:rPr>
        <w:tab/>
      </w:r>
      <w:r w:rsidRPr="00AE0BF7">
        <w:rPr>
          <w:lang w:val="en-MY"/>
        </w:rPr>
        <w:t>0.597401</w:t>
      </w:r>
    </w:p>
    <w:p w:rsidR="00AE0BF7" w:rsidRDefault="00AE0BF7" w:rsidP="00AE0BF7">
      <w:pPr>
        <w:rPr>
          <w:lang w:val="en-MY"/>
        </w:rPr>
      </w:pPr>
      <w:r w:rsidRPr="00AE0BF7">
        <w:rPr>
          <w:lang w:val="en-MY"/>
        </w:rPr>
        <w:t xml:space="preserve">^KLSE  </w:t>
      </w:r>
      <w:r>
        <w:rPr>
          <w:lang w:val="en-MY"/>
        </w:rPr>
        <w:tab/>
      </w:r>
      <w:r>
        <w:rPr>
          <w:lang w:val="en-MY"/>
        </w:rPr>
        <w:tab/>
      </w:r>
      <w:r w:rsidRPr="00AE0BF7">
        <w:rPr>
          <w:lang w:val="en-MY"/>
        </w:rPr>
        <w:t xml:space="preserve">0.597401  </w:t>
      </w:r>
      <w:r>
        <w:rPr>
          <w:lang w:val="en-MY"/>
        </w:rPr>
        <w:tab/>
      </w:r>
      <w:r w:rsidRPr="00AE0BF7">
        <w:rPr>
          <w:lang w:val="en-MY"/>
        </w:rPr>
        <w:t>1.000000</w:t>
      </w:r>
    </w:p>
    <w:p w:rsidR="00327B8A" w:rsidRPr="00A74993" w:rsidRDefault="00AE0BF7" w:rsidP="00327B8A">
      <w:pPr>
        <w:rPr>
          <w:lang w:val="en-MY"/>
        </w:rPr>
      </w:pPr>
      <w:r>
        <w:rPr>
          <w:lang w:val="en-MY"/>
        </w:rPr>
        <w:t xml:space="preserve"> We can conclude that they are just slightly related as the correlation is around </w:t>
      </w:r>
      <w:proofErr w:type="gramStart"/>
      <w:r>
        <w:rPr>
          <w:lang w:val="en-MY"/>
        </w:rPr>
        <w:t>0.6 .</w:t>
      </w:r>
      <w:bookmarkStart w:id="0" w:name="_GoBack"/>
      <w:bookmarkEnd w:id="0"/>
      <w:proofErr w:type="gramEnd"/>
    </w:p>
    <w:sectPr w:rsidR="00327B8A" w:rsidRPr="00A74993" w:rsidSect="00B5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D7B"/>
    <w:multiLevelType w:val="multilevel"/>
    <w:tmpl w:val="EAA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C49A8"/>
    <w:multiLevelType w:val="multilevel"/>
    <w:tmpl w:val="DDA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27A9D"/>
    <w:multiLevelType w:val="hybridMultilevel"/>
    <w:tmpl w:val="EA320C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12CBC"/>
    <w:rsid w:val="00080BF4"/>
    <w:rsid w:val="0020304F"/>
    <w:rsid w:val="00327B8A"/>
    <w:rsid w:val="00490D03"/>
    <w:rsid w:val="008E356C"/>
    <w:rsid w:val="009A483C"/>
    <w:rsid w:val="00A74993"/>
    <w:rsid w:val="00AE0BF7"/>
    <w:rsid w:val="00B56EF7"/>
    <w:rsid w:val="00E74C19"/>
    <w:rsid w:val="00F1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ED1DF-2C69-4983-9C12-281C8AC7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993"/>
    <w:pPr>
      <w:ind w:left="720"/>
      <w:contextualSpacing/>
    </w:pPr>
  </w:style>
  <w:style w:type="paragraph" w:styleId="HTMLPreformatted">
    <w:name w:val="HTML Preformatted"/>
    <w:basedOn w:val="Normal"/>
    <w:link w:val="HTMLPreformattedChar"/>
    <w:uiPriority w:val="99"/>
    <w:semiHidden/>
    <w:unhideWhenUsed/>
    <w:rsid w:val="00A7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eastAsia="zh-CN"/>
    </w:rPr>
  </w:style>
  <w:style w:type="character" w:customStyle="1" w:styleId="HTMLPreformattedChar">
    <w:name w:val="HTML Preformatted Char"/>
    <w:basedOn w:val="DefaultParagraphFont"/>
    <w:link w:val="HTMLPreformatted"/>
    <w:uiPriority w:val="99"/>
    <w:semiHidden/>
    <w:rsid w:val="00A74993"/>
    <w:rPr>
      <w:rFonts w:ascii="Courier New" w:eastAsia="Times New Roman" w:hAnsi="Courier New" w:cs="Courier New"/>
      <w:sz w:val="20"/>
      <w:szCs w:val="20"/>
      <w:lang w:val="en-MY" w:eastAsia="zh-CN"/>
    </w:rPr>
  </w:style>
  <w:style w:type="character" w:styleId="HTMLCode">
    <w:name w:val="HTML Code"/>
    <w:basedOn w:val="DefaultParagraphFont"/>
    <w:uiPriority w:val="99"/>
    <w:semiHidden/>
    <w:unhideWhenUsed/>
    <w:rsid w:val="00A74993"/>
    <w:rPr>
      <w:rFonts w:ascii="Courier New" w:eastAsia="Times New Roman" w:hAnsi="Courier New" w:cs="Courier New"/>
      <w:sz w:val="20"/>
      <w:szCs w:val="20"/>
    </w:rPr>
  </w:style>
  <w:style w:type="character" w:styleId="Hyperlink">
    <w:name w:val="Hyperlink"/>
    <w:basedOn w:val="DefaultParagraphFont"/>
    <w:uiPriority w:val="99"/>
    <w:unhideWhenUsed/>
    <w:rsid w:val="00327B8A"/>
    <w:rPr>
      <w:color w:val="0000FF" w:themeColor="hyperlink"/>
      <w:u w:val="single"/>
    </w:rPr>
  </w:style>
  <w:style w:type="table" w:styleId="TableGrid">
    <w:name w:val="Table Grid"/>
    <w:basedOn w:val="TableNormal"/>
    <w:uiPriority w:val="59"/>
    <w:rsid w:val="009A4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483C"/>
    <w:pPr>
      <w:spacing w:before="100" w:beforeAutospacing="1" w:after="100" w:afterAutospacing="1" w:line="240" w:lineRule="auto"/>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3487">
      <w:bodyDiv w:val="1"/>
      <w:marLeft w:val="0"/>
      <w:marRight w:val="0"/>
      <w:marTop w:val="0"/>
      <w:marBottom w:val="0"/>
      <w:divBdr>
        <w:top w:val="none" w:sz="0" w:space="0" w:color="auto"/>
        <w:left w:val="none" w:sz="0" w:space="0" w:color="auto"/>
        <w:bottom w:val="none" w:sz="0" w:space="0" w:color="auto"/>
        <w:right w:val="none" w:sz="0" w:space="0" w:color="auto"/>
      </w:divBdr>
    </w:div>
    <w:div w:id="618024048">
      <w:bodyDiv w:val="1"/>
      <w:marLeft w:val="0"/>
      <w:marRight w:val="0"/>
      <w:marTop w:val="0"/>
      <w:marBottom w:val="0"/>
      <w:divBdr>
        <w:top w:val="none" w:sz="0" w:space="0" w:color="auto"/>
        <w:left w:val="none" w:sz="0" w:space="0" w:color="auto"/>
        <w:bottom w:val="none" w:sz="0" w:space="0" w:color="auto"/>
        <w:right w:val="none" w:sz="0" w:space="0" w:color="auto"/>
      </w:divBdr>
    </w:div>
    <w:div w:id="676277041">
      <w:bodyDiv w:val="1"/>
      <w:marLeft w:val="0"/>
      <w:marRight w:val="0"/>
      <w:marTop w:val="0"/>
      <w:marBottom w:val="0"/>
      <w:divBdr>
        <w:top w:val="none" w:sz="0" w:space="0" w:color="auto"/>
        <w:left w:val="none" w:sz="0" w:space="0" w:color="auto"/>
        <w:bottom w:val="none" w:sz="0" w:space="0" w:color="auto"/>
        <w:right w:val="none" w:sz="0" w:space="0" w:color="auto"/>
      </w:divBdr>
    </w:div>
    <w:div w:id="719978785">
      <w:bodyDiv w:val="1"/>
      <w:marLeft w:val="0"/>
      <w:marRight w:val="0"/>
      <w:marTop w:val="0"/>
      <w:marBottom w:val="0"/>
      <w:divBdr>
        <w:top w:val="none" w:sz="0" w:space="0" w:color="auto"/>
        <w:left w:val="none" w:sz="0" w:space="0" w:color="auto"/>
        <w:bottom w:val="none" w:sz="0" w:space="0" w:color="auto"/>
        <w:right w:val="none" w:sz="0" w:space="0" w:color="auto"/>
      </w:divBdr>
    </w:div>
    <w:div w:id="793014865">
      <w:bodyDiv w:val="1"/>
      <w:marLeft w:val="0"/>
      <w:marRight w:val="0"/>
      <w:marTop w:val="0"/>
      <w:marBottom w:val="0"/>
      <w:divBdr>
        <w:top w:val="none" w:sz="0" w:space="0" w:color="auto"/>
        <w:left w:val="none" w:sz="0" w:space="0" w:color="auto"/>
        <w:bottom w:val="none" w:sz="0" w:space="0" w:color="auto"/>
        <w:right w:val="none" w:sz="0" w:space="0" w:color="auto"/>
      </w:divBdr>
    </w:div>
    <w:div w:id="1138110350">
      <w:bodyDiv w:val="1"/>
      <w:marLeft w:val="0"/>
      <w:marRight w:val="0"/>
      <w:marTop w:val="0"/>
      <w:marBottom w:val="0"/>
      <w:divBdr>
        <w:top w:val="none" w:sz="0" w:space="0" w:color="auto"/>
        <w:left w:val="none" w:sz="0" w:space="0" w:color="auto"/>
        <w:bottom w:val="none" w:sz="0" w:space="0" w:color="auto"/>
        <w:right w:val="none" w:sz="0" w:space="0" w:color="auto"/>
      </w:divBdr>
    </w:div>
    <w:div w:id="1179353009">
      <w:bodyDiv w:val="1"/>
      <w:marLeft w:val="0"/>
      <w:marRight w:val="0"/>
      <w:marTop w:val="0"/>
      <w:marBottom w:val="0"/>
      <w:divBdr>
        <w:top w:val="none" w:sz="0" w:space="0" w:color="auto"/>
        <w:left w:val="none" w:sz="0" w:space="0" w:color="auto"/>
        <w:bottom w:val="none" w:sz="0" w:space="0" w:color="auto"/>
        <w:right w:val="none" w:sz="0" w:space="0" w:color="auto"/>
      </w:divBdr>
    </w:div>
    <w:div w:id="1180269722">
      <w:bodyDiv w:val="1"/>
      <w:marLeft w:val="0"/>
      <w:marRight w:val="0"/>
      <w:marTop w:val="0"/>
      <w:marBottom w:val="0"/>
      <w:divBdr>
        <w:top w:val="none" w:sz="0" w:space="0" w:color="auto"/>
        <w:left w:val="none" w:sz="0" w:space="0" w:color="auto"/>
        <w:bottom w:val="none" w:sz="0" w:space="0" w:color="auto"/>
        <w:right w:val="none" w:sz="0" w:space="0" w:color="auto"/>
      </w:divBdr>
    </w:div>
    <w:div w:id="1197548718">
      <w:bodyDiv w:val="1"/>
      <w:marLeft w:val="0"/>
      <w:marRight w:val="0"/>
      <w:marTop w:val="0"/>
      <w:marBottom w:val="0"/>
      <w:divBdr>
        <w:top w:val="none" w:sz="0" w:space="0" w:color="auto"/>
        <w:left w:val="none" w:sz="0" w:space="0" w:color="auto"/>
        <w:bottom w:val="none" w:sz="0" w:space="0" w:color="auto"/>
        <w:right w:val="none" w:sz="0" w:space="0" w:color="auto"/>
      </w:divBdr>
    </w:div>
    <w:div w:id="1912495858">
      <w:bodyDiv w:val="1"/>
      <w:marLeft w:val="0"/>
      <w:marRight w:val="0"/>
      <w:marTop w:val="0"/>
      <w:marBottom w:val="0"/>
      <w:divBdr>
        <w:top w:val="none" w:sz="0" w:space="0" w:color="auto"/>
        <w:left w:val="none" w:sz="0" w:space="0" w:color="auto"/>
        <w:bottom w:val="none" w:sz="0" w:space="0" w:color="auto"/>
        <w:right w:val="none" w:sz="0" w:space="0" w:color="auto"/>
      </w:divBdr>
    </w:div>
    <w:div w:id="207874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3</cp:revision>
  <dcterms:created xsi:type="dcterms:W3CDTF">2015-07-13T01:39:00Z</dcterms:created>
  <dcterms:modified xsi:type="dcterms:W3CDTF">2015-07-25T09:52:00Z</dcterms:modified>
</cp:coreProperties>
</file>