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Noto Sans CJK SC" w:hAnsi="Noto Sans CJK SC" w:eastAsia="Noto Sans CJK SC"/>
          <w:b/>
          <w:color w:val="1F4E79"/>
          <w:sz w:val="50"/>
        </w:rPr>
        <w:t>物理社功勋系统</w:t>
        <w:br/>
        <w:t>对话史料整理</w:t>
      </w:r>
    </w:p>
    <w:p>
      <w:pPr>
        <w:jc w:val="center"/>
      </w:pPr>
      <w:r>
        <w:rPr>
          <w:rFonts w:ascii="Noto Sans CJK SC" w:hAnsi="Noto Sans CJK SC" w:eastAsia="Noto Sans CJK SC"/>
          <w:color w:val="595959"/>
          <w:sz w:val="28"/>
        </w:rPr>
        <w:t>纪念网站公开版｜v1.0</w:t>
      </w:r>
    </w:p>
    <w:p>
      <w:pPr>
        <w:spacing w:before="600"/>
        <w:jc w:val="center"/>
      </w:pPr>
      <w:r>
        <w:rPr>
          <w:rFonts w:ascii="Noto Sans CJK SC" w:hAnsi="Noto Sans CJK SC" w:eastAsia="Noto Sans CJK SC"/>
          <w:color w:val="595959"/>
          <w:sz w:val="22"/>
        </w:rPr>
        <w:t>整理日期：2026 年 9 月 18 日</w:t>
      </w:r>
    </w:p>
    <w:p>
      <w:pPr>
        <w:pStyle w:val="ArchiveNote"/>
        <w:jc w:val="center"/>
      </w:pPr>
      <w:r>
        <w:rPr>
          <w:rFonts w:ascii="Noto Sans CJK SC" w:hAnsi="Noto Sans CJK SC" w:eastAsia="Noto Sans CJK SC"/>
          <w:color w:val="5A5A5A"/>
          <w:sz w:val="20"/>
        </w:rPr>
        <w:t>本文件基于本次聊天对话及其中形成、上传、修订的相关文档整理。</w:t>
        <w:br/>
        <w:t>用途为物理社纪念网站史料留存，不等同于完整财务账簿、法律意见或软件需求终稿。</w:t>
      </w:r>
    </w:p>
    <w:p>
      <w:r>
        <w:br w:type="page"/>
      </w:r>
    </w:p>
    <w:p>
      <w:pPr>
        <w:pStyle w:val="Heading1"/>
      </w:pPr>
      <w:r>
        <w:t>目录</w:t>
      </w:r>
    </w:p>
    <w:p>
      <w:pPr>
        <w:ind w:left="170"/>
      </w:pPr>
      <w:r>
        <w:rPr>
          <w:rFonts w:ascii="Noto Sans CJK SC" w:hAnsi="Noto Sans CJK SC" w:eastAsia="Noto Sans CJK SC"/>
          <w:sz w:val="21"/>
        </w:rPr>
        <w:t>一、编者说明</w:t>
      </w:r>
    </w:p>
    <w:p>
      <w:pPr>
        <w:ind w:left="170"/>
      </w:pPr>
      <w:r>
        <w:rPr>
          <w:rFonts w:ascii="Noto Sans CJK SC" w:hAnsi="Noto Sans CJK SC" w:eastAsia="Noto Sans CJK SC"/>
          <w:sz w:val="21"/>
        </w:rPr>
        <w:t>二、档案来源与整理范围</w:t>
      </w:r>
    </w:p>
    <w:p>
      <w:pPr>
        <w:ind w:left="170"/>
      </w:pPr>
      <w:r>
        <w:rPr>
          <w:rFonts w:ascii="Noto Sans CJK SC" w:hAnsi="Noto Sans CJK SC" w:eastAsia="Noto Sans CJK SC"/>
          <w:sz w:val="21"/>
        </w:rPr>
        <w:t>三、项目背景：为什么出现功勋系统</w:t>
      </w:r>
    </w:p>
    <w:p>
      <w:pPr>
        <w:ind w:left="170"/>
      </w:pPr>
      <w:r>
        <w:rPr>
          <w:rFonts w:ascii="Noto Sans CJK SC" w:hAnsi="Noto Sans CJK SC" w:eastAsia="Noto Sans CJK SC"/>
          <w:sz w:val="21"/>
        </w:rPr>
        <w:t>四、功勋系统的基本定位</w:t>
      </w:r>
    </w:p>
    <w:p>
      <w:pPr>
        <w:ind w:left="170"/>
      </w:pPr>
      <w:r>
        <w:rPr>
          <w:rFonts w:ascii="Noto Sans CJK SC" w:hAnsi="Noto Sans CJK SC" w:eastAsia="Noto Sans CJK SC"/>
          <w:sz w:val="21"/>
        </w:rPr>
        <w:t>五、核心概念演变</w:t>
      </w:r>
    </w:p>
    <w:p>
      <w:pPr>
        <w:ind w:left="170"/>
      </w:pPr>
      <w:r>
        <w:rPr>
          <w:rFonts w:ascii="Noto Sans CJK SC" w:hAnsi="Noto Sans CJK SC" w:eastAsia="Noto Sans CJK SC"/>
          <w:sz w:val="21"/>
        </w:rPr>
        <w:t>六、资金池与资金流转模型</w:t>
      </w:r>
    </w:p>
    <w:p>
      <w:pPr>
        <w:ind w:left="170"/>
      </w:pPr>
      <w:r>
        <w:rPr>
          <w:rFonts w:ascii="Noto Sans CJK SC" w:hAnsi="Noto Sans CJK SC" w:eastAsia="Noto Sans CJK SC"/>
          <w:sz w:val="21"/>
        </w:rPr>
        <w:t>七、奖励池与活动奖励机制</w:t>
      </w:r>
    </w:p>
    <w:p>
      <w:pPr>
        <w:ind w:left="170"/>
      </w:pPr>
      <w:r>
        <w:rPr>
          <w:rFonts w:ascii="Noto Sans CJK SC" w:hAnsi="Noto Sans CJK SC" w:eastAsia="Noto Sans CJK SC"/>
          <w:sz w:val="21"/>
        </w:rPr>
        <w:t>八、公开账本、权限与申诉</w:t>
      </w:r>
    </w:p>
    <w:p>
      <w:pPr>
        <w:ind w:left="170"/>
      </w:pPr>
      <w:r>
        <w:rPr>
          <w:rFonts w:ascii="Noto Sans CJK SC" w:hAnsi="Noto Sans CJK SC" w:eastAsia="Noto Sans CJK SC"/>
          <w:sz w:val="21"/>
        </w:rPr>
        <w:t>九、白皮书与系统化成果</w:t>
      </w:r>
    </w:p>
    <w:p>
      <w:pPr>
        <w:ind w:left="170"/>
      </w:pPr>
      <w:r>
        <w:rPr>
          <w:rFonts w:ascii="Noto Sans CJK SC" w:hAnsi="Noto Sans CJK SC" w:eastAsia="Noto Sans CJK SC"/>
          <w:sz w:val="21"/>
        </w:rPr>
        <w:t>十、电子系统与会计部门转型</w:t>
      </w:r>
    </w:p>
    <w:p>
      <w:pPr>
        <w:ind w:left="170"/>
      </w:pPr>
      <w:r>
        <w:rPr>
          <w:rFonts w:ascii="Noto Sans CJK SC" w:hAnsi="Noto Sans CJK SC" w:eastAsia="Noto Sans CJK SC"/>
          <w:sz w:val="21"/>
        </w:rPr>
        <w:t>十一、发布演讲中的公开表达</w:t>
      </w:r>
    </w:p>
    <w:p>
      <w:pPr>
        <w:ind w:left="170"/>
      </w:pPr>
      <w:r>
        <w:rPr>
          <w:rFonts w:ascii="Noto Sans CJK SC" w:hAnsi="Noto Sans CJK SC" w:eastAsia="Noto Sans CJK SC"/>
          <w:sz w:val="21"/>
        </w:rPr>
        <w:t>十二、对物理社的历史意义</w:t>
      </w:r>
    </w:p>
    <w:p>
      <w:pPr>
        <w:ind w:left="170"/>
      </w:pPr>
      <w:r>
        <w:rPr>
          <w:rFonts w:ascii="Noto Sans CJK SC" w:hAnsi="Noto Sans CJK SC" w:eastAsia="Noto Sans CJK SC"/>
          <w:sz w:val="21"/>
        </w:rPr>
        <w:t>十三、纪念网站可用短文</w:t>
      </w:r>
    </w:p>
    <w:p>
      <w:pPr>
        <w:ind w:left="170"/>
      </w:pPr>
      <w:r>
        <w:rPr>
          <w:rFonts w:ascii="Noto Sans CJK SC" w:hAnsi="Noto Sans CJK SC" w:eastAsia="Noto Sans CJK SC"/>
          <w:sz w:val="21"/>
        </w:rPr>
        <w:t>附录 A：主要史料清单</w:t>
      </w:r>
    </w:p>
    <w:p>
      <w:pPr>
        <w:ind w:left="170"/>
      </w:pPr>
      <w:r>
        <w:rPr>
          <w:rFonts w:ascii="Noto Sans CJK SC" w:hAnsi="Noto Sans CJK SC" w:eastAsia="Noto Sans CJK SC"/>
          <w:sz w:val="21"/>
        </w:rPr>
        <w:t>附录 B：术语简表</w:t>
      </w:r>
    </w:p>
    <w:p>
      <w:pPr>
        <w:ind w:left="170"/>
      </w:pPr>
      <w:r>
        <w:rPr>
          <w:rFonts w:ascii="Noto Sans CJK SC" w:hAnsi="Noto Sans CJK SC" w:eastAsia="Noto Sans CJK SC"/>
          <w:sz w:val="21"/>
        </w:rPr>
        <w:t>附录 C：留存建议</w:t>
      </w:r>
    </w:p>
    <w:p>
      <w:r>
        <w:br w:type="page"/>
      </w:r>
    </w:p>
    <w:p>
      <w:pPr>
        <w:pStyle w:val="Heading1"/>
      </w:pPr>
      <w:r>
        <w:t>一、编者说明</w:t>
      </w:r>
    </w:p>
    <w:p>
      <w:r>
        <w:rPr>
          <w:rFonts w:ascii="Noto Sans CJK SC" w:hAnsi="Noto Sans CJK SC" w:eastAsia="Noto Sans CJK SC"/>
          <w:sz w:val="21"/>
        </w:rPr>
        <w:t>物理社已经解散，本文件用于整理功勋系统在本次对话中留下的主要讨论、定义、制度草稿、资金流模型、白皮书版本和发布前准备内容，作为纪念网站可保存的简明史料。</w:t>
      </w:r>
    </w:p>
    <w:p>
      <w:r>
        <w:rPr>
          <w:rFonts w:ascii="Noto Sans CJK SC" w:hAnsi="Noto Sans CJK SC" w:eastAsia="Noto Sans CJK SC"/>
          <w:sz w:val="21"/>
        </w:rPr>
        <w:t>本稿采取“纪念网站公开版”的写法：保留能体现制度设计、组织演进和社团精神的内容；对内部执行策略、后台细节、争议性措辞和不适合公开传播的具体操作，统一作概括处理。</w:t>
      </w:r>
    </w:p>
    <w:p>
      <w:pPr>
        <w:pStyle w:val="ArchiveNote"/>
      </w:pPr>
      <w:r>
        <w:rPr>
          <w:rFonts w:ascii="Noto Sans CJK SC" w:hAnsi="Noto Sans CJK SC" w:eastAsia="Noto Sans CJK SC"/>
          <w:sz w:val="19"/>
        </w:rPr>
        <w:t>说明：原始对话中曾围绕法律边界、会费记录、资金池、奖励池、电子系统和会计部门职责进行多轮推敲。本稿不逐字复刻聊天记录，而是按史料价值进行归纳。</w:t>
      </w:r>
    </w:p>
    <w:p>
      <w:pPr>
        <w:pStyle w:val="Heading1"/>
      </w:pPr>
      <w:r>
        <w:t>二、档案来源与整理范围</w:t>
      </w:r>
    </w:p>
    <w:p>
      <w:r>
        <w:rPr>
          <w:rFonts w:ascii="Noto Sans CJK SC" w:hAnsi="Noto Sans CJK SC" w:eastAsia="Noto Sans CJK SC"/>
          <w:sz w:val="21"/>
        </w:rPr>
        <w:t>本次整理覆盖以下材料类型：</w:t>
      </w:r>
    </w:p>
    <w:p>
      <w:pPr>
        <w:pStyle w:val="ListBullet"/>
      </w:pPr>
      <w:r>
        <w:rPr>
          <w:rFonts w:ascii="Noto Sans CJK SC" w:hAnsi="Noto Sans CJK SC" w:eastAsia="Noto Sans CJK SC"/>
          <w:sz w:val="21"/>
        </w:rPr>
        <w:t>本聊天对话中关于功勋系统的所有主要讨论，包括制度定义、风险边界、资金流转、白皮书写作、发布演讲和电子系统上线后的组织分工。</w:t>
      </w:r>
    </w:p>
    <w:p>
      <w:pPr>
        <w:pStyle w:val="ListBullet"/>
      </w:pPr>
      <w:r>
        <w:rPr>
          <w:rFonts w:ascii="Noto Sans CJK SC" w:hAnsi="Noto Sans CJK SC" w:eastAsia="Noto Sans CJK SC"/>
          <w:sz w:val="21"/>
        </w:rPr>
        <w:t>上传的原始文件，包括《稳定.docx》《法律条文与定义.docx》《功勋制度.docx》及手写草图照片。</w:t>
      </w:r>
    </w:p>
    <w:p>
      <w:pPr>
        <w:pStyle w:val="ListBullet"/>
      </w:pPr>
      <w:r>
        <w:rPr>
          <w:rFonts w:ascii="Noto Sans CJK SC" w:hAnsi="Noto Sans CJK SC" w:eastAsia="Noto Sans CJK SC"/>
          <w:sz w:val="21"/>
        </w:rPr>
        <w:t>对话中生成的管理团队版白皮书、会员公开版白皮书、演讲稿和会计部门职责建议。</w:t>
      </w:r>
    </w:p>
    <w:p>
      <w:r>
        <w:rPr>
          <w:rFonts w:ascii="Noto Sans CJK SC" w:hAnsi="Noto Sans CJK SC" w:eastAsia="Noto Sans CJK SC"/>
          <w:sz w:val="21"/>
        </w:rPr>
        <w:t>整理重点为“功勋系统作为物理社内部会费记录、贡献记录、公开账本与奖励机制的制度实验”。</w:t>
      </w:r>
    </w:p>
    <w:p>
      <w:pPr>
        <w:pStyle w:val="Heading1"/>
      </w:pPr>
      <w:r>
        <w:t>三、项目背景：为什么出现功勋系统</w:t>
      </w:r>
    </w:p>
    <w:p>
      <w:r>
        <w:rPr>
          <w:rFonts w:ascii="Noto Sans CJK SC" w:hAnsi="Noto Sans CJK SC" w:eastAsia="Noto Sans CJK SC"/>
          <w:sz w:val="21"/>
        </w:rPr>
        <w:t>功勋系统的出现，源于物理社在实际运作中面临的几个问题：会费如何清楚记录，活动费用如何核算，公共资金如何透明，积极参与者如何被看见，奖励如何发放，成员如何查询自己的余额和历史记录。</w:t>
      </w:r>
    </w:p>
    <w:p>
      <w:r>
        <w:rPr>
          <w:rFonts w:ascii="Noto Sans CJK SC" w:hAnsi="Noto Sans CJK SC" w:eastAsia="Noto Sans CJK SC"/>
          <w:sz w:val="21"/>
        </w:rPr>
        <w:t>原始设想并非单纯做一个电子表格，而是希望建立一套较完整的内部记录系统：会员缴纳会费后，系统形成对应记录；社团发生消费、活动、奖励和结算时，系统同步留下账目；成员可以查看自己的账户与公开账本。</w:t>
      </w:r>
    </w:p>
    <w:p>
      <w:r>
        <w:rPr>
          <w:rFonts w:ascii="Noto Sans CJK SC" w:hAnsi="Noto Sans CJK SC" w:eastAsia="Noto Sans CJK SC"/>
          <w:sz w:val="21"/>
        </w:rPr>
        <w:t>这种设计的核心诉求包括三点：透明、可追溯、可持续。透明，是让成员知道钱和记录如何变化；可追溯，是让每一笔入账、支出、奖励和退款都有依据；可持续，是让社团公共运营不再只依赖临时人工记账。</w:t>
      </w:r>
    </w:p>
    <w:p>
      <w:pPr>
        <w:pStyle w:val="Heading1"/>
      </w:pPr>
      <w:r>
        <w:t>四、功勋系统的基本定位</w:t>
      </w:r>
    </w:p>
    <w:p>
      <w:r>
        <w:rPr>
          <w:rFonts w:ascii="Noto Sans CJK SC" w:hAnsi="Noto Sans CJK SC" w:eastAsia="Noto Sans CJK SC"/>
          <w:sz w:val="21"/>
        </w:rPr>
        <w:t>在最终公开表达中，功勋被定位为物理社内部的会费与贡献记录工具。它用于记录会员缴纳、活动使用、公共支出、奖励发放和账户变动。</w:t>
      </w:r>
    </w:p>
    <w:p>
      <w:r>
        <w:rPr>
          <w:rFonts w:ascii="Noto Sans CJK SC" w:hAnsi="Noto Sans CJK SC" w:eastAsia="Noto Sans CJK SC"/>
          <w:sz w:val="21"/>
        </w:rPr>
        <w:t>在内部模型中，功勋与真实资金流转保持一一对应：每有真实资金进入系统，系统形成相应记录；真实资金被外部消费时，对应记录被核销。这个原则用于防止系统记录与真实资金脱节。</w:t>
      </w:r>
    </w:p>
    <w:p>
      <w:r>
        <w:rPr>
          <w:rFonts w:ascii="Noto Sans CJK SC" w:hAnsi="Noto Sans CJK SC" w:eastAsia="Noto Sans CJK SC"/>
          <w:sz w:val="21"/>
        </w:rPr>
        <w:t>同时，制度反复强调功勋只在社团内部使用，不设计成员之间自由转让、外部交易、公开兑换或投机用途。该边界在多个白皮书版本中被保留下来。</w:t>
      </w:r>
    </w:p>
    <w:p>
      <w:pPr>
        <w:pStyle w:val="Heading1"/>
      </w:pPr>
      <w:r>
        <w:t>五、核心概念演变</w:t>
      </w:r>
    </w:p>
    <w:p>
      <w:pPr>
        <w:pStyle w:val="Heading2"/>
      </w:pPr>
      <w:r>
        <w:t>1. 功勋</w:t>
      </w:r>
    </w:p>
    <w:p>
      <w:r>
        <w:rPr>
          <w:rFonts w:ascii="Noto Sans CJK SC" w:hAnsi="Noto Sans CJK SC" w:eastAsia="Noto Sans CJK SC"/>
          <w:sz w:val="21"/>
        </w:rPr>
        <w:t>最初的“功勋”概念，来源于对会费、活动消费和盈利收入的统一记录需求。后来在白皮书中，功勋被整理为“内部记录单位”，主要服务于账户记录、活动核算、奖励发放和公开账本。</w:t>
      </w:r>
    </w:p>
    <w:p>
      <w:pPr>
        <w:pStyle w:val="Heading2"/>
      </w:pPr>
      <w:r>
        <w:t>2. 固定资金池</w:t>
      </w:r>
    </w:p>
    <w:p>
      <w:r>
        <w:rPr>
          <w:rFonts w:ascii="Noto Sans CJK SC" w:hAnsi="Noto Sans CJK SC" w:eastAsia="Noto Sans CJK SC"/>
          <w:sz w:val="21"/>
        </w:rPr>
        <w:t>固定资金池用于承载社团公共管理部分，承担公共运营、可被学校报销或社团统一管理的费用，以及后续奖励池的来源之一。进入固定资金池的记录不计入个人账户。</w:t>
      </w:r>
    </w:p>
    <w:p>
      <w:pPr>
        <w:pStyle w:val="Heading2"/>
      </w:pPr>
      <w:r>
        <w:t>3. 流动资金池</w:t>
      </w:r>
    </w:p>
    <w:p>
      <w:r>
        <w:rPr>
          <w:rFonts w:ascii="Noto Sans CJK SC" w:hAnsi="Noto Sans CJK SC" w:eastAsia="Noto Sans CJK SC"/>
          <w:sz w:val="21"/>
        </w:rPr>
        <w:t>流动资金池对应会员个人账户中的可使用功勋。首期收费中，70% 进入个人账户，形成会员可用于活动、物资、奖励兑换等场景的记录。</w:t>
      </w:r>
    </w:p>
    <w:p>
      <w:pPr>
        <w:pStyle w:val="Heading2"/>
      </w:pPr>
      <w:r>
        <w:t>4. 总账户与个人账户</w:t>
      </w:r>
    </w:p>
    <w:p>
      <w:r>
        <w:rPr>
          <w:rFonts w:ascii="Noto Sans CJK SC" w:hAnsi="Noto Sans CJK SC" w:eastAsia="Noto Sans CJK SC"/>
          <w:sz w:val="21"/>
        </w:rPr>
        <w:t>总账户记录社团整体资金池变化，个人账户记录每位会员自己的入账、使用、奖励和余额变化。个人账户的存在，使每位成员能够看到自己对活动和公共开支的参与痕迹。</w:t>
      </w:r>
    </w:p>
    <w:p>
      <w:pPr>
        <w:pStyle w:val="Heading2"/>
      </w:pPr>
      <w:r>
        <w:t>5. 奖励池</w:t>
      </w:r>
    </w:p>
    <w:p>
      <w:r>
        <w:rPr>
          <w:rFonts w:ascii="Noto Sans CJK SC" w:hAnsi="Noto Sans CJK SC" w:eastAsia="Noto Sans CJK SC"/>
          <w:sz w:val="21"/>
        </w:rPr>
        <w:t>奖励池是从固定资金池或活动盈利中划定的奖励额度。后来规则进一步明确：非战时情况下，奖励池上限暂时限制为小于对应活动盈利金额；每次活动奖池数额可由管理员自定义；每次开放奖池，需要 3 名以上管理员多签 grant 后才可发放。</w:t>
      </w:r>
    </w:p>
    <w:p>
      <w:pPr>
        <w:pStyle w:val="Heading1"/>
      </w:pPr>
      <w:r>
        <w:t>六、资金池与资金流转模型</w:t>
      </w:r>
    </w:p>
    <w:p>
      <w:r>
        <w:rPr>
          <w:rFonts w:ascii="Noto Sans CJK SC" w:hAnsi="Noto Sans CJK SC" w:eastAsia="Noto Sans CJK SC"/>
          <w:sz w:val="21"/>
        </w:rPr>
        <w:t>管理团队版白皮书中，资金流转模型被整理为若干基本规则。纪念版保留其核心逻辑如下。</w:t>
      </w:r>
    </w:p>
    <w:p>
      <w:pPr>
        <w:pStyle w:val="Heading2"/>
      </w:pPr>
      <w:r>
        <w:t>1. 社费入账</w:t>
      </w:r>
    </w:p>
    <w:p>
      <w:r>
        <w:rPr>
          <w:rFonts w:ascii="Noto Sans CJK SC" w:hAnsi="Noto Sans CJK SC" w:eastAsia="Noto Sans CJK SC"/>
          <w:sz w:val="21"/>
        </w:rPr>
        <w:t>首期收费按 30% / 70% 分配：30% 进入固定资金池，70% 进入流动资金池并计入个人账户。后续比例可根据固定资金池状态调整，但调整只影响未来入账，不回改历史记录。</w:t>
      </w:r>
    </w:p>
    <w:p>
      <w:pPr>
        <w:pStyle w:val="Heading2"/>
      </w:pPr>
      <w:r>
        <w:t>2. 总账关系</w:t>
      </w:r>
    </w:p>
    <w:p>
      <w:r>
        <w:rPr>
          <w:rFonts w:ascii="Noto Sans CJK SC" w:hAnsi="Noto Sans CJK SC" w:eastAsia="Noto Sans CJK SC"/>
          <w:sz w:val="21"/>
        </w:rPr>
        <w:t>系统总记录由固定资金池、流动资金池和项目待结算记录构成。可以简化表示为：T = F + L + P。其中 T 代表系统总记录，F 代表固定资金池，L 代表流动资金池，P 代表项目待结算部分。个人账户合计可表示为：L = ΣAᵢ。</w:t>
      </w:r>
    </w:p>
    <w:p>
      <w:pPr>
        <w:pStyle w:val="Heading2"/>
      </w:pPr>
      <w:r>
        <w:t>3. 项目收入与项目成本</w:t>
      </w:r>
    </w:p>
    <w:p>
      <w:r>
        <w:rPr>
          <w:rFonts w:ascii="Noto Sans CJK SC" w:hAnsi="Noto Sans CJK SC" w:eastAsia="Noto Sans CJK SC"/>
          <w:sz w:val="21"/>
        </w:rPr>
        <w:t>当会员参加活动、领取物资、购买食品或参与材料包项目时，系统先记录项目收入，再记录实际成本。外部成本发生后，对应记录核销；项目结余进入固定资金池。</w:t>
      </w:r>
    </w:p>
    <w:p>
      <w:pPr>
        <w:pStyle w:val="Heading2"/>
      </w:pPr>
      <w:r>
        <w:t>4. 资金流的闭合原则</w:t>
      </w:r>
    </w:p>
    <w:p>
      <w:r>
        <w:rPr>
          <w:rFonts w:ascii="Noto Sans CJK SC" w:hAnsi="Noto Sans CJK SC" w:eastAsia="Noto Sans CJK SC"/>
          <w:sz w:val="21"/>
        </w:rPr>
        <w:t>无论是社费、活动、伙食、广告、材料包还是奖励，最终都需要能解释资金从哪里来、到哪里去、哪些进入个人账户、哪些进入固定资金池、哪些因实际支出被核销。</w:t>
      </w:r>
    </w:p>
    <w:p>
      <w:pPr>
        <w:pStyle w:val="Heading2"/>
      </w:pPr>
      <w:r>
        <w:t>5. 典型流转表</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1F4E79"/>
          </w:tcPr>
          <w:p>
            <w:pPr>
              <w:spacing w:after="0"/>
            </w:pPr>
            <w:r/>
            <w:r>
              <w:rPr>
                <w:rFonts w:ascii="Noto Sans CJK SC" w:hAnsi="Noto Sans CJK SC" w:eastAsia="Noto Sans CJK SC"/>
                <w:b/>
                <w:color w:val="FFFFFF"/>
                <w:sz w:val="19"/>
              </w:rPr>
              <w:t>场景</w:t>
            </w:r>
          </w:p>
        </w:tc>
        <w:tc>
          <w:tcPr>
            <w:tcW w:type="dxa" w:w="2464"/>
            <w:vAlign w:val="center"/>
            <w:shd w:fill="1F4E79"/>
          </w:tcPr>
          <w:p>
            <w:pPr>
              <w:spacing w:after="0"/>
            </w:pPr>
            <w:r/>
            <w:r>
              <w:rPr>
                <w:rFonts w:ascii="Noto Sans CJK SC" w:hAnsi="Noto Sans CJK SC" w:eastAsia="Noto Sans CJK SC"/>
                <w:b/>
                <w:color w:val="FFFFFF"/>
                <w:sz w:val="19"/>
              </w:rPr>
              <w:t>进入路径</w:t>
            </w:r>
          </w:p>
        </w:tc>
        <w:tc>
          <w:tcPr>
            <w:tcW w:type="dxa" w:w="2464"/>
            <w:vAlign w:val="center"/>
            <w:shd w:fill="1F4E79"/>
          </w:tcPr>
          <w:p>
            <w:pPr>
              <w:spacing w:after="0"/>
            </w:pPr>
            <w:r/>
            <w:r>
              <w:rPr>
                <w:rFonts w:ascii="Noto Sans CJK SC" w:hAnsi="Noto Sans CJK SC" w:eastAsia="Noto Sans CJK SC"/>
                <w:b/>
                <w:color w:val="FFFFFF"/>
                <w:sz w:val="19"/>
              </w:rPr>
              <w:t>支出 / 核销</w:t>
            </w:r>
          </w:p>
        </w:tc>
        <w:tc>
          <w:tcPr>
            <w:tcW w:type="dxa" w:w="2464"/>
            <w:vAlign w:val="center"/>
            <w:shd w:fill="1F4E79"/>
          </w:tcPr>
          <w:p>
            <w:pPr>
              <w:spacing w:after="0"/>
            </w:pPr>
            <w:r/>
            <w:r>
              <w:rPr>
                <w:rFonts w:ascii="Noto Sans CJK SC" w:hAnsi="Noto Sans CJK SC" w:eastAsia="Noto Sans CJK SC"/>
                <w:b/>
                <w:color w:val="FFFFFF"/>
                <w:sz w:val="19"/>
              </w:rPr>
              <w:t>最终归属</w:t>
            </w:r>
          </w:p>
        </w:tc>
      </w:tr>
      <w:tr>
        <w:tc>
          <w:tcPr>
            <w:tcW w:type="dxa" w:w="2464"/>
            <w:vAlign w:val="center"/>
            <w:shd w:fill="D9EAF7"/>
          </w:tcPr>
          <w:p>
            <w:pPr>
              <w:spacing w:after="0"/>
            </w:pPr>
            <w:r/>
            <w:r>
              <w:rPr>
                <w:rFonts w:ascii="Noto Sans CJK SC" w:hAnsi="Noto Sans CJK SC" w:eastAsia="Noto Sans CJK SC"/>
                <w:b w:val="0"/>
                <w:sz w:val="18"/>
              </w:rPr>
              <w:t>首期社费</w:t>
            </w:r>
          </w:p>
        </w:tc>
        <w:tc>
          <w:tcPr>
            <w:tcW w:type="dxa" w:w="2464"/>
            <w:vAlign w:val="center"/>
          </w:tcPr>
          <w:p>
            <w:pPr>
              <w:spacing w:after="0"/>
            </w:pPr>
            <w:r/>
            <w:r>
              <w:rPr>
                <w:rFonts w:ascii="Noto Sans CJK SC" w:hAnsi="Noto Sans CJK SC" w:eastAsia="Noto Sans CJK SC"/>
                <w:b w:val="0"/>
                <w:sz w:val="18"/>
              </w:rPr>
              <w:t>按 30% / 70% 分配</w:t>
            </w:r>
          </w:p>
        </w:tc>
        <w:tc>
          <w:tcPr>
            <w:tcW w:type="dxa" w:w="2464"/>
            <w:vAlign w:val="center"/>
          </w:tcPr>
          <w:p>
            <w:pPr>
              <w:spacing w:after="0"/>
            </w:pPr>
            <w:r/>
            <w:r>
              <w:rPr>
                <w:rFonts w:ascii="Noto Sans CJK SC" w:hAnsi="Noto Sans CJK SC" w:eastAsia="Noto Sans CJK SC"/>
                <w:b w:val="0"/>
                <w:sz w:val="18"/>
              </w:rPr>
              <w:t>无立即支出</w:t>
            </w:r>
          </w:p>
        </w:tc>
        <w:tc>
          <w:tcPr>
            <w:tcW w:type="dxa" w:w="2464"/>
            <w:vAlign w:val="center"/>
          </w:tcPr>
          <w:p>
            <w:pPr>
              <w:spacing w:after="0"/>
            </w:pPr>
            <w:r/>
            <w:r>
              <w:rPr>
                <w:rFonts w:ascii="Noto Sans CJK SC" w:hAnsi="Noto Sans CJK SC" w:eastAsia="Noto Sans CJK SC"/>
                <w:b w:val="0"/>
                <w:sz w:val="18"/>
              </w:rPr>
              <w:t>固定资金池 + 个人账户</w:t>
            </w:r>
          </w:p>
        </w:tc>
      </w:tr>
      <w:tr>
        <w:tc>
          <w:tcPr>
            <w:tcW w:type="dxa" w:w="2464"/>
            <w:vAlign w:val="center"/>
            <w:shd w:fill="D9EAF7"/>
          </w:tcPr>
          <w:p>
            <w:pPr>
              <w:spacing w:after="0"/>
            </w:pPr>
            <w:r/>
            <w:r>
              <w:rPr>
                <w:rFonts w:ascii="Noto Sans CJK SC" w:hAnsi="Noto Sans CJK SC" w:eastAsia="Noto Sans CJK SC"/>
                <w:b w:val="0"/>
                <w:sz w:val="18"/>
              </w:rPr>
              <w:t>活动收费</w:t>
            </w:r>
          </w:p>
        </w:tc>
        <w:tc>
          <w:tcPr>
            <w:tcW w:type="dxa" w:w="2464"/>
            <w:vAlign w:val="center"/>
          </w:tcPr>
          <w:p>
            <w:pPr>
              <w:spacing w:after="0"/>
            </w:pPr>
            <w:r/>
            <w:r>
              <w:rPr>
                <w:rFonts w:ascii="Noto Sans CJK SC" w:hAnsi="Noto Sans CJK SC" w:eastAsia="Noto Sans CJK SC"/>
                <w:b w:val="0"/>
                <w:sz w:val="18"/>
              </w:rPr>
              <w:t>进入项目待结算</w:t>
            </w:r>
          </w:p>
        </w:tc>
        <w:tc>
          <w:tcPr>
            <w:tcW w:type="dxa" w:w="2464"/>
            <w:vAlign w:val="center"/>
          </w:tcPr>
          <w:p>
            <w:pPr>
              <w:spacing w:after="0"/>
            </w:pPr>
            <w:r/>
            <w:r>
              <w:rPr>
                <w:rFonts w:ascii="Noto Sans CJK SC" w:hAnsi="Noto Sans CJK SC" w:eastAsia="Noto Sans CJK SC"/>
                <w:b w:val="0"/>
                <w:sz w:val="18"/>
              </w:rPr>
              <w:t>活动成本核销</w:t>
            </w:r>
          </w:p>
        </w:tc>
        <w:tc>
          <w:tcPr>
            <w:tcW w:type="dxa" w:w="2464"/>
            <w:vAlign w:val="center"/>
          </w:tcPr>
          <w:p>
            <w:pPr>
              <w:spacing w:after="0"/>
            </w:pPr>
            <w:r/>
            <w:r>
              <w:rPr>
                <w:rFonts w:ascii="Noto Sans CJK SC" w:hAnsi="Noto Sans CJK SC" w:eastAsia="Noto Sans CJK SC"/>
                <w:b w:val="0"/>
                <w:sz w:val="18"/>
              </w:rPr>
              <w:t>结余进入固定资金池</w:t>
            </w:r>
          </w:p>
        </w:tc>
      </w:tr>
      <w:tr>
        <w:tc>
          <w:tcPr>
            <w:tcW w:type="dxa" w:w="2464"/>
            <w:vAlign w:val="center"/>
            <w:shd w:fill="D9EAF7"/>
          </w:tcPr>
          <w:p>
            <w:pPr>
              <w:spacing w:after="0"/>
            </w:pPr>
            <w:r/>
            <w:r>
              <w:rPr>
                <w:rFonts w:ascii="Noto Sans CJK SC" w:hAnsi="Noto Sans CJK SC" w:eastAsia="Noto Sans CJK SC"/>
                <w:b w:val="0"/>
                <w:sz w:val="18"/>
              </w:rPr>
              <w:t>物资领取</w:t>
            </w:r>
          </w:p>
        </w:tc>
        <w:tc>
          <w:tcPr>
            <w:tcW w:type="dxa" w:w="2464"/>
            <w:vAlign w:val="center"/>
          </w:tcPr>
          <w:p>
            <w:pPr>
              <w:spacing w:after="0"/>
            </w:pPr>
            <w:r/>
            <w:r>
              <w:rPr>
                <w:rFonts w:ascii="Noto Sans CJK SC" w:hAnsi="Noto Sans CJK SC" w:eastAsia="Noto Sans CJK SC"/>
                <w:b w:val="0"/>
                <w:sz w:val="18"/>
              </w:rPr>
              <w:t>个人账户支付</w:t>
            </w:r>
          </w:p>
        </w:tc>
        <w:tc>
          <w:tcPr>
            <w:tcW w:type="dxa" w:w="2464"/>
            <w:vAlign w:val="center"/>
          </w:tcPr>
          <w:p>
            <w:pPr>
              <w:spacing w:after="0"/>
            </w:pPr>
            <w:r/>
            <w:r>
              <w:rPr>
                <w:rFonts w:ascii="Noto Sans CJK SC" w:hAnsi="Noto Sans CJK SC" w:eastAsia="Noto Sans CJK SC"/>
                <w:b w:val="0"/>
                <w:sz w:val="18"/>
              </w:rPr>
              <w:t>外部成本核销</w:t>
            </w:r>
          </w:p>
        </w:tc>
        <w:tc>
          <w:tcPr>
            <w:tcW w:type="dxa" w:w="2464"/>
            <w:vAlign w:val="center"/>
          </w:tcPr>
          <w:p>
            <w:pPr>
              <w:spacing w:after="0"/>
            </w:pPr>
            <w:r/>
            <w:r>
              <w:rPr>
                <w:rFonts w:ascii="Noto Sans CJK SC" w:hAnsi="Noto Sans CJK SC" w:eastAsia="Noto Sans CJK SC"/>
                <w:b w:val="0"/>
                <w:sz w:val="18"/>
              </w:rPr>
              <w:t>差额进入固定资金池</w:t>
            </w:r>
          </w:p>
        </w:tc>
      </w:tr>
      <w:tr>
        <w:tc>
          <w:tcPr>
            <w:tcW w:type="dxa" w:w="2464"/>
            <w:vAlign w:val="center"/>
            <w:shd w:fill="D9EAF7"/>
          </w:tcPr>
          <w:p>
            <w:pPr>
              <w:spacing w:after="0"/>
            </w:pPr>
            <w:r/>
            <w:r>
              <w:rPr>
                <w:rFonts w:ascii="Noto Sans CJK SC" w:hAnsi="Noto Sans CJK SC" w:eastAsia="Noto Sans CJK SC"/>
                <w:b w:val="0"/>
                <w:sz w:val="18"/>
              </w:rPr>
              <w:t>广告 / 合作收入</w:t>
            </w:r>
          </w:p>
        </w:tc>
        <w:tc>
          <w:tcPr>
            <w:tcW w:type="dxa" w:w="2464"/>
            <w:vAlign w:val="center"/>
          </w:tcPr>
          <w:p>
            <w:pPr>
              <w:spacing w:after="0"/>
            </w:pPr>
            <w:r/>
            <w:r>
              <w:rPr>
                <w:rFonts w:ascii="Noto Sans CJK SC" w:hAnsi="Noto Sans CJK SC" w:eastAsia="Noto Sans CJK SC"/>
                <w:b w:val="0"/>
                <w:sz w:val="18"/>
              </w:rPr>
              <w:t>进入项目或固定资金池</w:t>
            </w:r>
          </w:p>
        </w:tc>
        <w:tc>
          <w:tcPr>
            <w:tcW w:type="dxa" w:w="2464"/>
            <w:vAlign w:val="center"/>
          </w:tcPr>
          <w:p>
            <w:pPr>
              <w:spacing w:after="0"/>
            </w:pPr>
            <w:r/>
            <w:r>
              <w:rPr>
                <w:rFonts w:ascii="Noto Sans CJK SC" w:hAnsi="Noto Sans CJK SC" w:eastAsia="Noto Sans CJK SC"/>
                <w:b w:val="0"/>
                <w:sz w:val="18"/>
              </w:rPr>
              <w:t>扣除相关成本</w:t>
            </w:r>
          </w:p>
        </w:tc>
        <w:tc>
          <w:tcPr>
            <w:tcW w:type="dxa" w:w="2464"/>
            <w:vAlign w:val="center"/>
          </w:tcPr>
          <w:p>
            <w:pPr>
              <w:spacing w:after="0"/>
            </w:pPr>
            <w:r/>
            <w:r>
              <w:rPr>
                <w:rFonts w:ascii="Noto Sans CJK SC" w:hAnsi="Noto Sans CJK SC" w:eastAsia="Noto Sans CJK SC"/>
                <w:b w:val="0"/>
                <w:sz w:val="18"/>
              </w:rPr>
              <w:t>净结余进入固定资金池</w:t>
            </w:r>
          </w:p>
        </w:tc>
      </w:tr>
      <w:tr>
        <w:tc>
          <w:tcPr>
            <w:tcW w:type="dxa" w:w="2464"/>
            <w:vAlign w:val="center"/>
            <w:shd w:fill="D9EAF7"/>
          </w:tcPr>
          <w:p>
            <w:pPr>
              <w:spacing w:after="0"/>
            </w:pPr>
            <w:r/>
            <w:r>
              <w:rPr>
                <w:rFonts w:ascii="Noto Sans CJK SC" w:hAnsi="Noto Sans CJK SC" w:eastAsia="Noto Sans CJK SC"/>
                <w:b w:val="0"/>
                <w:sz w:val="18"/>
              </w:rPr>
              <w:t>奖励发放</w:t>
            </w:r>
          </w:p>
        </w:tc>
        <w:tc>
          <w:tcPr>
            <w:tcW w:type="dxa" w:w="2464"/>
            <w:vAlign w:val="center"/>
          </w:tcPr>
          <w:p>
            <w:pPr>
              <w:spacing w:after="0"/>
            </w:pPr>
            <w:r/>
            <w:r>
              <w:rPr>
                <w:rFonts w:ascii="Noto Sans CJK SC" w:hAnsi="Noto Sans CJK SC" w:eastAsia="Noto Sans CJK SC"/>
                <w:b w:val="0"/>
                <w:sz w:val="18"/>
              </w:rPr>
              <w:t>奖池锁定后发放</w:t>
            </w:r>
          </w:p>
        </w:tc>
        <w:tc>
          <w:tcPr>
            <w:tcW w:type="dxa" w:w="2464"/>
            <w:vAlign w:val="center"/>
          </w:tcPr>
          <w:p>
            <w:pPr>
              <w:spacing w:after="0"/>
            </w:pPr>
            <w:r/>
            <w:r>
              <w:rPr>
                <w:rFonts w:ascii="Noto Sans CJK SC" w:hAnsi="Noto Sans CJK SC" w:eastAsia="Noto Sans CJK SC"/>
                <w:b w:val="0"/>
                <w:sz w:val="18"/>
              </w:rPr>
              <w:t>无需外部支出时不核销</w:t>
            </w:r>
          </w:p>
        </w:tc>
        <w:tc>
          <w:tcPr>
            <w:tcW w:type="dxa" w:w="2464"/>
            <w:vAlign w:val="center"/>
          </w:tcPr>
          <w:p>
            <w:pPr>
              <w:spacing w:after="0"/>
            </w:pPr>
            <w:r/>
            <w:r>
              <w:rPr>
                <w:rFonts w:ascii="Noto Sans CJK SC" w:hAnsi="Noto Sans CJK SC" w:eastAsia="Noto Sans CJK SC"/>
                <w:b w:val="0"/>
                <w:sz w:val="18"/>
              </w:rPr>
              <w:t>从奖池进入个人账户</w:t>
            </w:r>
          </w:p>
        </w:tc>
      </w:tr>
      <w:tr>
        <w:tc>
          <w:tcPr>
            <w:tcW w:type="dxa" w:w="2464"/>
            <w:vAlign w:val="center"/>
            <w:shd w:fill="D9EAF7"/>
          </w:tcPr>
          <w:p>
            <w:pPr>
              <w:spacing w:after="0"/>
            </w:pPr>
            <w:r/>
            <w:r>
              <w:rPr>
                <w:rFonts w:ascii="Noto Sans CJK SC" w:hAnsi="Noto Sans CJK SC" w:eastAsia="Noto Sans CJK SC"/>
                <w:b w:val="0"/>
                <w:sz w:val="18"/>
              </w:rPr>
              <w:t>退款 / 注销</w:t>
            </w:r>
          </w:p>
        </w:tc>
        <w:tc>
          <w:tcPr>
            <w:tcW w:type="dxa" w:w="2464"/>
            <w:vAlign w:val="center"/>
          </w:tcPr>
          <w:p>
            <w:pPr>
              <w:spacing w:after="0"/>
            </w:pPr>
            <w:r/>
            <w:r>
              <w:rPr>
                <w:rFonts w:ascii="Noto Sans CJK SC" w:hAnsi="Noto Sans CJK SC" w:eastAsia="Noto Sans CJK SC"/>
                <w:b w:val="0"/>
                <w:sz w:val="18"/>
              </w:rPr>
              <w:t>个人账户申请处理</w:t>
            </w:r>
          </w:p>
        </w:tc>
        <w:tc>
          <w:tcPr>
            <w:tcW w:type="dxa" w:w="2464"/>
            <w:vAlign w:val="center"/>
          </w:tcPr>
          <w:p>
            <w:pPr>
              <w:spacing w:after="0"/>
            </w:pPr>
            <w:r/>
            <w:r>
              <w:rPr>
                <w:rFonts w:ascii="Noto Sans CJK SC" w:hAnsi="Noto Sans CJK SC" w:eastAsia="Noto Sans CJK SC"/>
                <w:b w:val="0"/>
                <w:sz w:val="18"/>
              </w:rPr>
              <w:t>真实资金流出并核销</w:t>
            </w:r>
          </w:p>
        </w:tc>
        <w:tc>
          <w:tcPr>
            <w:tcW w:type="dxa" w:w="2464"/>
            <w:vAlign w:val="center"/>
          </w:tcPr>
          <w:p>
            <w:pPr>
              <w:spacing w:after="0"/>
            </w:pPr>
            <w:r/>
            <w:r>
              <w:rPr>
                <w:rFonts w:ascii="Noto Sans CJK SC" w:hAnsi="Noto Sans CJK SC" w:eastAsia="Noto Sans CJK SC"/>
                <w:b w:val="0"/>
                <w:sz w:val="18"/>
              </w:rPr>
              <w:t>账户关闭或冻结</w:t>
            </w:r>
          </w:p>
        </w:tc>
      </w:tr>
    </w:tbl>
    <w:p>
      <w:pPr>
        <w:pStyle w:val="Heading1"/>
      </w:pPr>
      <w:r>
        <w:t>七、奖励池与活动奖励机制</w:t>
      </w:r>
    </w:p>
    <w:p>
      <w:r>
        <w:rPr>
          <w:rFonts w:ascii="Noto Sans CJK SC" w:hAnsi="Noto Sans CJK SC" w:eastAsia="Noto Sans CJK SC"/>
          <w:sz w:val="21"/>
        </w:rPr>
        <w:t>奖励机制的目标，是让积极参加任务、组织活动、承担社团工作和贡献较多的会员被看见。制度不采用随意发放，而是通过活动规则、奖池设置和多签确认来控制。</w:t>
      </w:r>
    </w:p>
    <w:p>
      <w:r>
        <w:rPr>
          <w:rFonts w:ascii="Noto Sans CJK SC" w:hAnsi="Noto Sans CJK SC" w:eastAsia="Noto Sans CJK SC"/>
          <w:sz w:val="21"/>
        </w:rPr>
        <w:t>在正式版中，奖励池规则形成三个核心点：第一，非战时奖池金额暂时只限制为小于对应活动盈利金额；第二，奖池金额按每次活动自定义；第三，每次开放奖池后，需要 3 名以上管理员完成 grant 多签，才可发放。</w:t>
      </w:r>
    </w:p>
    <w:p>
      <w:r>
        <w:rPr>
          <w:rFonts w:ascii="Noto Sans CJK SC" w:hAnsi="Noto Sans CJK SC" w:eastAsia="Noto Sans CJK SC"/>
          <w:sz w:val="21"/>
        </w:rPr>
        <w:t>奖励发放完成后，系统记录奖池减少和个人账户增加。对普通会员而言，其表现形式是账户收到一笔奖励；对管理层而言，其本质是固定资金池中已锁定奖励额度向个人账户转移。</w:t>
      </w:r>
    </w:p>
    <w:p>
      <w:pPr>
        <w:pStyle w:val="Heading1"/>
      </w:pPr>
      <w:r>
        <w:t>八、公开账本、权限与申诉</w:t>
      </w:r>
    </w:p>
    <w:p>
      <w:r>
        <w:rPr>
          <w:rFonts w:ascii="Noto Sans CJK SC" w:hAnsi="Noto Sans CJK SC" w:eastAsia="Noto Sans CJK SC"/>
          <w:sz w:val="21"/>
        </w:rPr>
        <w:t>公开账本是功勋系统的核心价值之一。早期材料中明确提到，秘密记账容易导致信任危机，因此系统需要让会员可以查看整体资金操作记录和自己账户的相关记录。</w:t>
      </w:r>
    </w:p>
    <w:p>
      <w:r>
        <w:rPr>
          <w:rFonts w:ascii="Noto Sans CJK SC" w:hAnsi="Noto Sans CJK SC" w:eastAsia="Noto Sans CJK SC"/>
          <w:sz w:val="21"/>
        </w:rPr>
        <w:t>公开账本的目标不是公开所有个人隐私，而是公开与社团公共事务有关的必要信息：资金池大小、公共支出用途、活动结算、奖励池发放和重大账目调整。</w:t>
      </w:r>
    </w:p>
    <w:p>
      <w:r>
        <w:rPr>
          <w:rFonts w:ascii="Noto Sans CJK SC" w:hAnsi="Noto Sans CJK SC" w:eastAsia="Noto Sans CJK SC"/>
          <w:sz w:val="21"/>
        </w:rPr>
        <w:t>权限方面，普通会员以只读为主；管理员拥有录入、审核和发起操作的权限；重要事项需要多名管理员确认。若成员对记录、扣款、奖励或退款有异议，可以提出申诉或申请复核。</w:t>
      </w:r>
    </w:p>
    <w:p>
      <w:pPr>
        <w:pStyle w:val="Heading1"/>
      </w:pPr>
      <w:r>
        <w:t>九、白皮书与系统化成果</w:t>
      </w:r>
    </w:p>
    <w:p>
      <w:r>
        <w:rPr>
          <w:rFonts w:ascii="Noto Sans CJK SC" w:hAnsi="Noto Sans CJK SC" w:eastAsia="Noto Sans CJK SC"/>
          <w:sz w:val="21"/>
        </w:rPr>
        <w:t>在对话推进中，功勋系统从零散想法逐步形成多个文档成果。</w:t>
      </w:r>
    </w:p>
    <w:p>
      <w:pPr>
        <w:pStyle w:val="ListBullet"/>
      </w:pPr>
      <w:r>
        <w:rPr>
          <w:rFonts w:ascii="Noto Sans CJK SC" w:hAnsi="Noto Sans CJK SC" w:eastAsia="Noto Sans CJK SC"/>
          <w:sz w:val="21"/>
        </w:rPr>
        <w:t>《物理社功勋系统资金流转白皮书 v1.0》：首次系统整理资金池、账户、入账、支出、项目结余、奖励池、退社处理等规则。</w:t>
      </w:r>
    </w:p>
    <w:p>
      <w:pPr>
        <w:pStyle w:val="ListBullet"/>
      </w:pPr>
      <w:r>
        <w:rPr>
          <w:rFonts w:ascii="Noto Sans CJK SC" w:hAnsi="Noto Sans CJK SC" w:eastAsia="Noto Sans CJK SC"/>
          <w:sz w:val="21"/>
        </w:rPr>
        <w:t>《物理社功勋系统资金流转白皮书 正式版第一版》：面向管理团队和专业人士，加入更精确的公式、奖池上限和管理员多签 grant 规则。</w:t>
      </w:r>
    </w:p>
    <w:p>
      <w:pPr>
        <w:pStyle w:val="ListBullet"/>
      </w:pPr>
      <w:r>
        <w:rPr>
          <w:rFonts w:ascii="Noto Sans CJK SC" w:hAnsi="Noto Sans CJK SC" w:eastAsia="Noto Sans CJK SC"/>
          <w:sz w:val="21"/>
        </w:rPr>
        <w:t>《物理社功勋制度会员白皮书 正式版第一版》及《会员公开白皮书》：面向全体会员，解释功勋是什么、如何使用、如何奖励、账本如何公开。</w:t>
      </w:r>
    </w:p>
    <w:p>
      <w:pPr>
        <w:pStyle w:val="ListBullet"/>
      </w:pPr>
      <w:r>
        <w:rPr>
          <w:rFonts w:ascii="Noto Sans CJK SC" w:hAnsi="Noto Sans CJK SC" w:eastAsia="Noto Sans CJK SC"/>
          <w:sz w:val="21"/>
        </w:rPr>
        <w:t>发布演讲稿：用于系统正式发布时向全体会员说明功勋系统的价值和基本规则。</w:t>
      </w:r>
    </w:p>
    <w:p>
      <w:r>
        <w:rPr>
          <w:rFonts w:ascii="Noto Sans CJK SC" w:hAnsi="Noto Sans CJK SC" w:eastAsia="Noto Sans CJK SC"/>
          <w:sz w:val="21"/>
        </w:rPr>
        <w:t>这些文档共同构成了功勋系统从制度设想到公开说明的完整文本轨迹。</w:t>
      </w:r>
    </w:p>
    <w:p>
      <w:pPr>
        <w:pStyle w:val="Heading1"/>
      </w:pPr>
      <w:r>
        <w:t>十、电子系统与会计部门转型</w:t>
      </w:r>
    </w:p>
    <w:p>
      <w:r>
        <w:rPr>
          <w:rFonts w:ascii="Noto Sans CJK SC" w:hAnsi="Noto Sans CJK SC" w:eastAsia="Noto Sans CJK SC"/>
          <w:sz w:val="21"/>
        </w:rPr>
        <w:t>在白皮书形成后，物理社已经按照制度做出电子系统。随之产生的问题是：既然系统能自动记录，会计部门是否还有必要存在？</w:t>
      </w:r>
    </w:p>
    <w:p>
      <w:r>
        <w:rPr>
          <w:rFonts w:ascii="Noto Sans CJK SC" w:hAnsi="Noto Sans CJK SC" w:eastAsia="Noto Sans CJK SC"/>
          <w:sz w:val="21"/>
        </w:rPr>
        <w:t>对话中给出的结论是：会计部门不仅仍然有用，而且角色更重要。系统替代重复记账，但不能替代真实性确认、凭证审核、资金对账、奖池复核、退款审核和月度报告。</w:t>
      </w:r>
    </w:p>
    <w:p>
      <w:r>
        <w:rPr>
          <w:rFonts w:ascii="Noto Sans CJK SC" w:hAnsi="Noto Sans CJK SC" w:eastAsia="Noto Sans CJK SC"/>
          <w:sz w:val="21"/>
        </w:rPr>
        <w:t>因此，会计部门被建议升级为“财务与审计部”或“财务监督部”。系统负责记录，会计部门负责让这本账可信。</w:t>
      </w:r>
    </w:p>
    <w:p>
      <w:r>
        <w:rPr>
          <w:rFonts w:ascii="Noto Sans CJK SC" w:hAnsi="Noto Sans CJK SC" w:eastAsia="Noto Sans CJK SC"/>
          <w:sz w:val="21"/>
        </w:rPr>
        <w:t>其核心职责包括：核对真实资金与系统记录、审核凭证、复核活动结算、确认奖池不超过规则限制、参与多签、处理退款注销、发布月度财务报告和监督异常流水。</w:t>
      </w:r>
    </w:p>
    <w:p>
      <w:pPr>
        <w:pStyle w:val="Heading1"/>
      </w:pPr>
      <w:r>
        <w:t>十一、发布演讲中的公开表达</w:t>
      </w:r>
    </w:p>
    <w:p>
      <w:r>
        <w:rPr>
          <w:rFonts w:ascii="Noto Sans CJK SC" w:hAnsi="Noto Sans CJK SC" w:eastAsia="Noto Sans CJK SC"/>
          <w:sz w:val="21"/>
        </w:rPr>
        <w:t>面向全体会员的发布演讲强调三点：功勋不是复杂概念，而是内部记录工具；固定资金池保障社团运转，流动资金池对应个人使用；积极参与者的贡献会被记录并有机会获得奖励。</w:t>
      </w:r>
    </w:p>
    <w:p>
      <w:r>
        <w:rPr>
          <w:rFonts w:ascii="Noto Sans CJK SC" w:hAnsi="Noto Sans CJK SC" w:eastAsia="Noto Sans CJK SC"/>
          <w:sz w:val="21"/>
        </w:rPr>
        <w:t>演讲稿还特别解释了首期 30% / 70% 分配规则、功勋使用场景、公开账本、奖励发放、退款注销和成员权利义务。其整体风格不是宣传金融产品，而是说明一个社团内部账本和贡献记录系统。</w:t>
      </w:r>
    </w:p>
    <w:p>
      <w:r>
        <w:rPr>
          <w:rFonts w:ascii="Noto Sans CJK SC" w:hAnsi="Noto Sans CJK SC" w:eastAsia="Noto Sans CJK SC"/>
          <w:sz w:val="21"/>
        </w:rPr>
        <w:t>其中最具代表性的一句话是：物理社不只是一个一起玩物理的地方，也要成为一个有规则、有账本、有贡献记录、有长期生命力的社团。</w:t>
      </w:r>
    </w:p>
    <w:p>
      <w:pPr>
        <w:pStyle w:val="Heading1"/>
      </w:pPr>
      <w:r>
        <w:t>十二、对物理社的历史意义</w:t>
      </w:r>
    </w:p>
    <w:p>
      <w:r>
        <w:rPr>
          <w:rFonts w:ascii="Noto Sans CJK SC" w:hAnsi="Noto Sans CJK SC" w:eastAsia="Noto Sans CJK SC"/>
          <w:sz w:val="21"/>
        </w:rPr>
        <w:t>功勋系统最终不只是一个软件项目。它是物理社在组织治理、财务透明和成员激励上的一次制度实验。</w:t>
      </w:r>
    </w:p>
    <w:p>
      <w:r>
        <w:rPr>
          <w:rFonts w:ascii="Noto Sans CJK SC" w:hAnsi="Noto Sans CJK SC" w:eastAsia="Noto Sans CJK SC"/>
          <w:sz w:val="21"/>
        </w:rPr>
        <w:t>从史料角度看，它体现了一个学生社团试图解决真实问题的过程：会费不透明如何解决，活动成本如何核算，公共资金如何留存，积极成员如何被奖励，系统如何避免失真，会计部门如何从手工记账转向审计监督。</w:t>
      </w:r>
    </w:p>
    <w:p>
      <w:r>
        <w:rPr>
          <w:rFonts w:ascii="Noto Sans CJK SC" w:hAnsi="Noto Sans CJK SC" w:eastAsia="Noto Sans CJK SC"/>
          <w:sz w:val="21"/>
        </w:rPr>
        <w:t>即使物理社已经解散，功勋系统留下的价值仍然在于：它记录了一群成员曾经认真思考过如何让一个社团运转得更清楚、更公平、更专业。</w:t>
      </w:r>
    </w:p>
    <w:p>
      <w:pPr>
        <w:pStyle w:val="Heading1"/>
      </w:pPr>
      <w:r>
        <w:t>十三、纪念网站可用短文</w:t>
      </w:r>
    </w:p>
    <w:p>
      <w:r>
        <w:rPr>
          <w:rFonts w:ascii="Noto Sans CJK SC" w:hAnsi="Noto Sans CJK SC" w:eastAsia="Noto Sans CJK SC"/>
          <w:sz w:val="21"/>
        </w:rPr>
        <w:t>以下文字可直接放入纪念网站，用作“功勋系统”页面简介：</w:t>
      </w:r>
    </w:p>
    <w:p>
      <w:pPr>
        <w:pStyle w:val="ArchiveNote"/>
      </w:pPr>
      <w:r>
        <w:rPr>
          <w:rFonts w:ascii="Noto Sans CJK SC" w:hAnsi="Noto Sans CJK SC" w:eastAsia="Noto Sans CJK SC"/>
          <w:sz w:val="19"/>
        </w:rPr>
        <w:t>功勋系统是物理社后期尝试建立的一套内部会费、活动、贡献和奖励记录机制。它最初源于对社费透明、活动核算和成员贡献记录的需求，后来逐步发展为包含固定资金池、流动资金池、个人账户、公开账本和奖励池的电子系统。</w:t>
        <w:br/>
        <w:br/>
        <w:t>在这个系统中，成员缴费、参加活动、领取物资、获得奖励和申请退款都会留下记录。系统并不只是为了算账，更是为了让社团运转过程可被看见，让积极参与的人留下痕迹。</w:t>
        <w:br/>
        <w:br/>
        <w:t>虽然物理社已经解散，功勋系统仍然是这段历史中一项重要的组织实验。它代表了物理社成员曾经对透明、公平、制度和长期运作的认真尝试。</w:t>
      </w:r>
    </w:p>
    <w:p>
      <w:pPr>
        <w:pStyle w:val="Heading1"/>
      </w:pPr>
      <w:r>
        <w:t>附录 A：主要史料清单</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1F4E79"/>
          </w:tcPr>
          <w:p>
            <w:pPr>
              <w:spacing w:after="0"/>
            </w:pPr>
            <w:r/>
            <w:r>
              <w:rPr>
                <w:rFonts w:ascii="Noto Sans CJK SC" w:hAnsi="Noto Sans CJK SC" w:eastAsia="Noto Sans CJK SC"/>
                <w:b/>
                <w:color w:val="FFFFFF"/>
                <w:sz w:val="19"/>
              </w:rPr>
              <w:t>材料名称</w:t>
            </w:r>
          </w:p>
        </w:tc>
        <w:tc>
          <w:tcPr>
            <w:tcW w:type="dxa" w:w="3286"/>
            <w:vAlign w:val="center"/>
            <w:shd w:fill="1F4E79"/>
          </w:tcPr>
          <w:p>
            <w:pPr>
              <w:spacing w:after="0"/>
            </w:pPr>
            <w:r/>
            <w:r>
              <w:rPr>
                <w:rFonts w:ascii="Noto Sans CJK SC" w:hAnsi="Noto Sans CJK SC" w:eastAsia="Noto Sans CJK SC"/>
                <w:b/>
                <w:color w:val="FFFFFF"/>
                <w:sz w:val="19"/>
              </w:rPr>
              <w:t>类型</w:t>
            </w:r>
          </w:p>
        </w:tc>
        <w:tc>
          <w:tcPr>
            <w:tcW w:type="dxa" w:w="3286"/>
            <w:vAlign w:val="center"/>
            <w:shd w:fill="1F4E79"/>
          </w:tcPr>
          <w:p>
            <w:pPr>
              <w:spacing w:after="0"/>
            </w:pPr>
            <w:r/>
            <w:r>
              <w:rPr>
                <w:rFonts w:ascii="Noto Sans CJK SC" w:hAnsi="Noto Sans CJK SC" w:eastAsia="Noto Sans CJK SC"/>
                <w:b/>
                <w:color w:val="FFFFFF"/>
                <w:sz w:val="19"/>
              </w:rPr>
              <w:t>史料价值</w:t>
            </w:r>
          </w:p>
        </w:tc>
      </w:tr>
      <w:tr>
        <w:tc>
          <w:tcPr>
            <w:tcW w:type="dxa" w:w="3286"/>
            <w:vAlign w:val="center"/>
            <w:shd w:fill="D9EAF7"/>
          </w:tcPr>
          <w:p>
            <w:pPr>
              <w:spacing w:after="0"/>
            </w:pPr>
            <w:r/>
            <w:r>
              <w:rPr>
                <w:rFonts w:ascii="Noto Sans CJK SC" w:hAnsi="Noto Sans CJK SC" w:eastAsia="Noto Sans CJK SC"/>
                <w:b w:val="0"/>
                <w:sz w:val="17"/>
              </w:rPr>
              <w:t>稳定.docx</w:t>
            </w:r>
          </w:p>
        </w:tc>
        <w:tc>
          <w:tcPr>
            <w:tcW w:type="dxa" w:w="3286"/>
            <w:vAlign w:val="center"/>
          </w:tcPr>
          <w:p>
            <w:pPr>
              <w:spacing w:after="0"/>
            </w:pPr>
            <w:r/>
            <w:r>
              <w:rPr>
                <w:rFonts w:ascii="Noto Sans CJK SC" w:hAnsi="Noto Sans CJK SC" w:eastAsia="Noto Sans CJK SC"/>
                <w:b w:val="0"/>
                <w:sz w:val="17"/>
              </w:rPr>
              <w:t>原始讨论材料</w:t>
            </w:r>
          </w:p>
        </w:tc>
        <w:tc>
          <w:tcPr>
            <w:tcW w:type="dxa" w:w="3286"/>
            <w:vAlign w:val="center"/>
          </w:tcPr>
          <w:p>
            <w:pPr>
              <w:spacing w:after="0"/>
            </w:pPr>
            <w:r/>
            <w:r>
              <w:rPr>
                <w:rFonts w:ascii="Noto Sans CJK SC" w:hAnsi="Noto Sans CJK SC" w:eastAsia="Noto Sans CJK SC"/>
                <w:b w:val="0"/>
                <w:sz w:val="17"/>
              </w:rPr>
              <w:t>包含一一对应、奖励、公开账本、风险边界等早期想法。</w:t>
            </w:r>
          </w:p>
        </w:tc>
      </w:tr>
      <w:tr>
        <w:tc>
          <w:tcPr>
            <w:tcW w:type="dxa" w:w="3286"/>
            <w:vAlign w:val="center"/>
            <w:shd w:fill="D9EAF7"/>
          </w:tcPr>
          <w:p>
            <w:pPr>
              <w:spacing w:after="0"/>
            </w:pPr>
            <w:r/>
            <w:r>
              <w:rPr>
                <w:rFonts w:ascii="Noto Sans CJK SC" w:hAnsi="Noto Sans CJK SC" w:eastAsia="Noto Sans CJK SC"/>
                <w:b w:val="0"/>
                <w:sz w:val="17"/>
              </w:rPr>
              <w:t>法律条文与定义.docx</w:t>
            </w:r>
          </w:p>
        </w:tc>
        <w:tc>
          <w:tcPr>
            <w:tcW w:type="dxa" w:w="3286"/>
            <w:vAlign w:val="center"/>
          </w:tcPr>
          <w:p>
            <w:pPr>
              <w:spacing w:after="0"/>
            </w:pPr>
            <w:r/>
            <w:r>
              <w:rPr>
                <w:rFonts w:ascii="Noto Sans CJK SC" w:hAnsi="Noto Sans CJK SC" w:eastAsia="Noto Sans CJK SC"/>
                <w:b w:val="0"/>
                <w:sz w:val="17"/>
              </w:rPr>
              <w:t>边界研究材料</w:t>
            </w:r>
          </w:p>
        </w:tc>
        <w:tc>
          <w:tcPr>
            <w:tcW w:type="dxa" w:w="3286"/>
            <w:vAlign w:val="center"/>
          </w:tcPr>
          <w:p>
            <w:pPr>
              <w:spacing w:after="0"/>
            </w:pPr>
            <w:r/>
            <w:r>
              <w:rPr>
                <w:rFonts w:ascii="Noto Sans CJK SC" w:hAnsi="Noto Sans CJK SC" w:eastAsia="Noto Sans CJK SC"/>
                <w:b w:val="0"/>
                <w:sz w:val="17"/>
              </w:rPr>
              <w:t>汇总了虚拟货币、代币发行、非法集资和社团知情权相关内容。</w:t>
            </w:r>
          </w:p>
        </w:tc>
      </w:tr>
      <w:tr>
        <w:tc>
          <w:tcPr>
            <w:tcW w:type="dxa" w:w="3286"/>
            <w:vAlign w:val="center"/>
            <w:shd w:fill="D9EAF7"/>
          </w:tcPr>
          <w:p>
            <w:pPr>
              <w:spacing w:after="0"/>
            </w:pPr>
            <w:r/>
            <w:r>
              <w:rPr>
                <w:rFonts w:ascii="Noto Sans CJK SC" w:hAnsi="Noto Sans CJK SC" w:eastAsia="Noto Sans CJK SC"/>
                <w:b w:val="0"/>
                <w:sz w:val="17"/>
              </w:rPr>
              <w:t>手写草图照片</w:t>
            </w:r>
          </w:p>
        </w:tc>
        <w:tc>
          <w:tcPr>
            <w:tcW w:type="dxa" w:w="3286"/>
            <w:vAlign w:val="center"/>
          </w:tcPr>
          <w:p>
            <w:pPr>
              <w:spacing w:after="0"/>
            </w:pPr>
            <w:r/>
            <w:r>
              <w:rPr>
                <w:rFonts w:ascii="Noto Sans CJK SC" w:hAnsi="Noto Sans CJK SC" w:eastAsia="Noto Sans CJK SC"/>
                <w:b w:val="0"/>
                <w:sz w:val="17"/>
              </w:rPr>
              <w:t>早期框架草稿</w:t>
            </w:r>
          </w:p>
        </w:tc>
        <w:tc>
          <w:tcPr>
            <w:tcW w:type="dxa" w:w="3286"/>
            <w:vAlign w:val="center"/>
          </w:tcPr>
          <w:p>
            <w:pPr>
              <w:spacing w:after="0"/>
            </w:pPr>
            <w:r/>
            <w:r>
              <w:rPr>
                <w:rFonts w:ascii="Noto Sans CJK SC" w:hAnsi="Noto Sans CJK SC" w:eastAsia="Noto Sans CJK SC"/>
                <w:b w:val="0"/>
                <w:sz w:val="17"/>
              </w:rPr>
              <w:t>记录了资金来源、积分任务、奖励池填充和首期社费拆分等草案。</w:t>
            </w:r>
          </w:p>
        </w:tc>
      </w:tr>
      <w:tr>
        <w:tc>
          <w:tcPr>
            <w:tcW w:type="dxa" w:w="3286"/>
            <w:vAlign w:val="center"/>
            <w:shd w:fill="D9EAF7"/>
          </w:tcPr>
          <w:p>
            <w:pPr>
              <w:spacing w:after="0"/>
            </w:pPr>
            <w:r/>
            <w:r>
              <w:rPr>
                <w:rFonts w:ascii="Noto Sans CJK SC" w:hAnsi="Noto Sans CJK SC" w:eastAsia="Noto Sans CJK SC"/>
                <w:b w:val="0"/>
                <w:sz w:val="17"/>
              </w:rPr>
              <w:t>功勋制度.docx</w:t>
            </w:r>
          </w:p>
        </w:tc>
        <w:tc>
          <w:tcPr>
            <w:tcW w:type="dxa" w:w="3286"/>
            <w:vAlign w:val="center"/>
          </w:tcPr>
          <w:p>
            <w:pPr>
              <w:spacing w:after="0"/>
            </w:pPr>
            <w:r/>
            <w:r>
              <w:rPr>
                <w:rFonts w:ascii="Noto Sans CJK SC" w:hAnsi="Noto Sans CJK SC" w:eastAsia="Noto Sans CJK SC"/>
                <w:b w:val="0"/>
                <w:sz w:val="17"/>
              </w:rPr>
              <w:t>基础制度草案</w:t>
            </w:r>
          </w:p>
        </w:tc>
        <w:tc>
          <w:tcPr>
            <w:tcW w:type="dxa" w:w="3286"/>
            <w:vAlign w:val="center"/>
          </w:tcPr>
          <w:p>
            <w:pPr>
              <w:spacing w:after="0"/>
            </w:pPr>
            <w:r/>
            <w:r>
              <w:rPr>
                <w:rFonts w:ascii="Noto Sans CJK SC" w:hAnsi="Noto Sans CJK SC" w:eastAsia="Noto Sans CJK SC"/>
                <w:b w:val="0"/>
                <w:sz w:val="17"/>
              </w:rPr>
              <w:t>定义了功勋、资金池、账户、总账户、记录权限、奖励和退款。</w:t>
            </w:r>
          </w:p>
        </w:tc>
      </w:tr>
      <w:tr>
        <w:tc>
          <w:tcPr>
            <w:tcW w:type="dxa" w:w="3286"/>
            <w:vAlign w:val="center"/>
            <w:shd w:fill="D9EAF7"/>
          </w:tcPr>
          <w:p>
            <w:pPr>
              <w:spacing w:after="0"/>
            </w:pPr>
            <w:r/>
            <w:r>
              <w:rPr>
                <w:rFonts w:ascii="Noto Sans CJK SC" w:hAnsi="Noto Sans CJK SC" w:eastAsia="Noto Sans CJK SC"/>
                <w:b w:val="0"/>
                <w:sz w:val="17"/>
              </w:rPr>
              <w:t>资金流转白皮书 v1.0</w:t>
            </w:r>
          </w:p>
        </w:tc>
        <w:tc>
          <w:tcPr>
            <w:tcW w:type="dxa" w:w="3286"/>
            <w:vAlign w:val="center"/>
          </w:tcPr>
          <w:p>
            <w:pPr>
              <w:spacing w:after="0"/>
            </w:pPr>
            <w:r/>
            <w:r>
              <w:rPr>
                <w:rFonts w:ascii="Noto Sans CJK SC" w:hAnsi="Noto Sans CJK SC" w:eastAsia="Noto Sans CJK SC"/>
                <w:b w:val="0"/>
                <w:sz w:val="17"/>
              </w:rPr>
              <w:t>管理稿</w:t>
            </w:r>
          </w:p>
        </w:tc>
        <w:tc>
          <w:tcPr>
            <w:tcW w:type="dxa" w:w="3286"/>
            <w:vAlign w:val="center"/>
          </w:tcPr>
          <w:p>
            <w:pPr>
              <w:spacing w:after="0"/>
            </w:pPr>
            <w:r/>
            <w:r>
              <w:rPr>
                <w:rFonts w:ascii="Noto Sans CJK SC" w:hAnsi="Noto Sans CJK SC" w:eastAsia="Noto Sans CJK SC"/>
                <w:b w:val="0"/>
                <w:sz w:val="17"/>
              </w:rPr>
              <w:t>形成了完整资金流转模型。</w:t>
            </w:r>
          </w:p>
        </w:tc>
      </w:tr>
      <w:tr>
        <w:tc>
          <w:tcPr>
            <w:tcW w:type="dxa" w:w="3286"/>
            <w:vAlign w:val="center"/>
            <w:shd w:fill="D9EAF7"/>
          </w:tcPr>
          <w:p>
            <w:pPr>
              <w:spacing w:after="0"/>
            </w:pPr>
            <w:r/>
            <w:r>
              <w:rPr>
                <w:rFonts w:ascii="Noto Sans CJK SC" w:hAnsi="Noto Sans CJK SC" w:eastAsia="Noto Sans CJK SC"/>
                <w:b w:val="0"/>
                <w:sz w:val="17"/>
              </w:rPr>
              <w:t>资金流转白皮书 正式版第一版</w:t>
            </w:r>
          </w:p>
        </w:tc>
        <w:tc>
          <w:tcPr>
            <w:tcW w:type="dxa" w:w="3286"/>
            <w:vAlign w:val="center"/>
          </w:tcPr>
          <w:p>
            <w:pPr>
              <w:spacing w:after="0"/>
            </w:pPr>
            <w:r/>
            <w:r>
              <w:rPr>
                <w:rFonts w:ascii="Noto Sans CJK SC" w:hAnsi="Noto Sans CJK SC" w:eastAsia="Noto Sans CJK SC"/>
                <w:b w:val="0"/>
                <w:sz w:val="17"/>
              </w:rPr>
              <w:t>管理正式稿</w:t>
            </w:r>
          </w:p>
        </w:tc>
        <w:tc>
          <w:tcPr>
            <w:tcW w:type="dxa" w:w="3286"/>
            <w:vAlign w:val="center"/>
          </w:tcPr>
          <w:p>
            <w:pPr>
              <w:spacing w:after="0"/>
            </w:pPr>
            <w:r/>
            <w:r>
              <w:rPr>
                <w:rFonts w:ascii="Noto Sans CJK SC" w:hAnsi="Noto Sans CJK SC" w:eastAsia="Noto Sans CJK SC"/>
                <w:b w:val="0"/>
                <w:sz w:val="17"/>
              </w:rPr>
              <w:t>加入公式修订、奖池上限、管理员多签 grant 等正式规则。</w:t>
            </w:r>
          </w:p>
        </w:tc>
      </w:tr>
      <w:tr>
        <w:tc>
          <w:tcPr>
            <w:tcW w:type="dxa" w:w="3286"/>
            <w:vAlign w:val="center"/>
            <w:shd w:fill="D9EAF7"/>
          </w:tcPr>
          <w:p>
            <w:pPr>
              <w:spacing w:after="0"/>
            </w:pPr>
            <w:r/>
            <w:r>
              <w:rPr>
                <w:rFonts w:ascii="Noto Sans CJK SC" w:hAnsi="Noto Sans CJK SC" w:eastAsia="Noto Sans CJK SC"/>
                <w:b w:val="0"/>
                <w:sz w:val="17"/>
              </w:rPr>
              <w:t>会员白皮书 / 会员公开白皮书</w:t>
            </w:r>
          </w:p>
        </w:tc>
        <w:tc>
          <w:tcPr>
            <w:tcW w:type="dxa" w:w="3286"/>
            <w:vAlign w:val="center"/>
          </w:tcPr>
          <w:p>
            <w:pPr>
              <w:spacing w:after="0"/>
            </w:pPr>
            <w:r/>
            <w:r>
              <w:rPr>
                <w:rFonts w:ascii="Noto Sans CJK SC" w:hAnsi="Noto Sans CJK SC" w:eastAsia="Noto Sans CJK SC"/>
                <w:b w:val="0"/>
                <w:sz w:val="17"/>
              </w:rPr>
              <w:t>公开说明稿</w:t>
            </w:r>
          </w:p>
        </w:tc>
        <w:tc>
          <w:tcPr>
            <w:tcW w:type="dxa" w:w="3286"/>
            <w:vAlign w:val="center"/>
          </w:tcPr>
          <w:p>
            <w:pPr>
              <w:spacing w:after="0"/>
            </w:pPr>
            <w:r/>
            <w:r>
              <w:rPr>
                <w:rFonts w:ascii="Noto Sans CJK SC" w:hAnsi="Noto Sans CJK SC" w:eastAsia="Noto Sans CJK SC"/>
                <w:b w:val="0"/>
                <w:sz w:val="17"/>
              </w:rPr>
              <w:t>将制度转化为会员可理解、可传阅的说明文本。</w:t>
            </w:r>
          </w:p>
        </w:tc>
      </w:tr>
      <w:tr>
        <w:tc>
          <w:tcPr>
            <w:tcW w:type="dxa" w:w="3286"/>
            <w:vAlign w:val="center"/>
            <w:shd w:fill="D9EAF7"/>
          </w:tcPr>
          <w:p>
            <w:pPr>
              <w:spacing w:after="0"/>
            </w:pPr>
            <w:r/>
            <w:r>
              <w:rPr>
                <w:rFonts w:ascii="Noto Sans CJK SC" w:hAnsi="Noto Sans CJK SC" w:eastAsia="Noto Sans CJK SC"/>
                <w:b w:val="0"/>
                <w:sz w:val="17"/>
              </w:rPr>
              <w:t>发布演讲稿</w:t>
            </w:r>
          </w:p>
        </w:tc>
        <w:tc>
          <w:tcPr>
            <w:tcW w:type="dxa" w:w="3286"/>
            <w:vAlign w:val="center"/>
          </w:tcPr>
          <w:p>
            <w:pPr>
              <w:spacing w:after="0"/>
            </w:pPr>
            <w:r/>
            <w:r>
              <w:rPr>
                <w:rFonts w:ascii="Noto Sans CJK SC" w:hAnsi="Noto Sans CJK SC" w:eastAsia="Noto Sans CJK SC"/>
                <w:b w:val="0"/>
                <w:sz w:val="17"/>
              </w:rPr>
              <w:t>公开表达材料</w:t>
            </w:r>
          </w:p>
        </w:tc>
        <w:tc>
          <w:tcPr>
            <w:tcW w:type="dxa" w:w="3286"/>
            <w:vAlign w:val="center"/>
          </w:tcPr>
          <w:p>
            <w:pPr>
              <w:spacing w:after="0"/>
            </w:pPr>
            <w:r/>
            <w:r>
              <w:rPr>
                <w:rFonts w:ascii="Noto Sans CJK SC" w:hAnsi="Noto Sans CJK SC" w:eastAsia="Noto Sans CJK SC"/>
                <w:b w:val="0"/>
                <w:sz w:val="17"/>
              </w:rPr>
              <w:t>用于系统发布时向会员解释功勋系统。</w:t>
            </w:r>
          </w:p>
        </w:tc>
      </w:tr>
      <w:tr>
        <w:tc>
          <w:tcPr>
            <w:tcW w:type="dxa" w:w="3286"/>
            <w:vAlign w:val="center"/>
            <w:shd w:fill="D9EAF7"/>
          </w:tcPr>
          <w:p>
            <w:pPr>
              <w:spacing w:after="0"/>
            </w:pPr>
            <w:r/>
            <w:r>
              <w:rPr>
                <w:rFonts w:ascii="Noto Sans CJK SC" w:hAnsi="Noto Sans CJK SC" w:eastAsia="Noto Sans CJK SC"/>
                <w:b w:val="0"/>
                <w:sz w:val="17"/>
              </w:rPr>
              <w:t>会计部门讨论</w:t>
            </w:r>
          </w:p>
        </w:tc>
        <w:tc>
          <w:tcPr>
            <w:tcW w:type="dxa" w:w="3286"/>
            <w:vAlign w:val="center"/>
          </w:tcPr>
          <w:p>
            <w:pPr>
              <w:spacing w:after="0"/>
            </w:pPr>
            <w:r/>
            <w:r>
              <w:rPr>
                <w:rFonts w:ascii="Noto Sans CJK SC" w:hAnsi="Noto Sans CJK SC" w:eastAsia="Noto Sans CJK SC"/>
                <w:b w:val="0"/>
                <w:sz w:val="17"/>
              </w:rPr>
              <w:t>组织分工材料</w:t>
            </w:r>
          </w:p>
        </w:tc>
        <w:tc>
          <w:tcPr>
            <w:tcW w:type="dxa" w:w="3286"/>
            <w:vAlign w:val="center"/>
          </w:tcPr>
          <w:p>
            <w:pPr>
              <w:spacing w:after="0"/>
            </w:pPr>
            <w:r/>
            <w:r>
              <w:rPr>
                <w:rFonts w:ascii="Noto Sans CJK SC" w:hAnsi="Noto Sans CJK SC" w:eastAsia="Noto Sans CJK SC"/>
                <w:b w:val="0"/>
                <w:sz w:val="17"/>
              </w:rPr>
              <w:t>明确电子系统上线后会计部门转型为财务与审计角色。</w:t>
            </w:r>
          </w:p>
        </w:tc>
      </w:tr>
    </w:tbl>
    <w:p>
      <w:pPr>
        <w:pStyle w:val="Heading1"/>
      </w:pPr>
      <w:r>
        <w:t>附录 B：术语简表</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1F4E79"/>
          </w:tcPr>
          <w:p>
            <w:pPr>
              <w:spacing w:after="0"/>
            </w:pPr>
            <w:r/>
            <w:r>
              <w:rPr>
                <w:rFonts w:ascii="Noto Sans CJK SC" w:hAnsi="Noto Sans CJK SC" w:eastAsia="Noto Sans CJK SC"/>
                <w:b/>
                <w:color w:val="FFFFFF"/>
                <w:sz w:val="19"/>
              </w:rPr>
              <w:t>术语</w:t>
            </w:r>
          </w:p>
        </w:tc>
        <w:tc>
          <w:tcPr>
            <w:tcW w:type="dxa" w:w="4929"/>
            <w:vAlign w:val="center"/>
            <w:shd w:fill="1F4E79"/>
          </w:tcPr>
          <w:p>
            <w:pPr>
              <w:spacing w:after="0"/>
            </w:pPr>
            <w:r/>
            <w:r>
              <w:rPr>
                <w:rFonts w:ascii="Noto Sans CJK SC" w:hAnsi="Noto Sans CJK SC" w:eastAsia="Noto Sans CJK SC"/>
                <w:b/>
                <w:color w:val="FFFFFF"/>
                <w:sz w:val="19"/>
              </w:rPr>
              <w:t>纪念版解释</w:t>
            </w:r>
          </w:p>
        </w:tc>
      </w:tr>
      <w:tr>
        <w:tc>
          <w:tcPr>
            <w:tcW w:type="dxa" w:w="4929"/>
            <w:vAlign w:val="center"/>
            <w:shd w:fill="D9EAF7"/>
          </w:tcPr>
          <w:p>
            <w:pPr>
              <w:spacing w:after="0"/>
            </w:pPr>
            <w:r/>
            <w:r>
              <w:rPr>
                <w:rFonts w:ascii="Noto Sans CJK SC" w:hAnsi="Noto Sans CJK SC" w:eastAsia="Noto Sans CJK SC"/>
                <w:b w:val="0"/>
                <w:sz w:val="18"/>
              </w:rPr>
              <w:t>功勋</w:t>
            </w:r>
          </w:p>
        </w:tc>
        <w:tc>
          <w:tcPr>
            <w:tcW w:type="dxa" w:w="4929"/>
            <w:vAlign w:val="center"/>
          </w:tcPr>
          <w:p>
            <w:pPr>
              <w:spacing w:after="0"/>
            </w:pPr>
            <w:r/>
            <w:r>
              <w:rPr>
                <w:rFonts w:ascii="Noto Sans CJK SC" w:hAnsi="Noto Sans CJK SC" w:eastAsia="Noto Sans CJK SC"/>
                <w:b w:val="0"/>
                <w:sz w:val="18"/>
              </w:rPr>
              <w:t>物理社内部会费、活动、贡献和奖励的记录单位。</w:t>
            </w:r>
          </w:p>
        </w:tc>
      </w:tr>
      <w:tr>
        <w:tc>
          <w:tcPr>
            <w:tcW w:type="dxa" w:w="4929"/>
            <w:vAlign w:val="center"/>
            <w:shd w:fill="D9EAF7"/>
          </w:tcPr>
          <w:p>
            <w:pPr>
              <w:spacing w:after="0"/>
            </w:pPr>
            <w:r/>
            <w:r>
              <w:rPr>
                <w:rFonts w:ascii="Noto Sans CJK SC" w:hAnsi="Noto Sans CJK SC" w:eastAsia="Noto Sans CJK SC"/>
                <w:b w:val="0"/>
                <w:sz w:val="18"/>
              </w:rPr>
              <w:t>固定资金池</w:t>
            </w:r>
          </w:p>
        </w:tc>
        <w:tc>
          <w:tcPr>
            <w:tcW w:type="dxa" w:w="4929"/>
            <w:vAlign w:val="center"/>
          </w:tcPr>
          <w:p>
            <w:pPr>
              <w:spacing w:after="0"/>
            </w:pPr>
            <w:r/>
            <w:r>
              <w:rPr>
                <w:rFonts w:ascii="Noto Sans CJK SC" w:hAnsi="Noto Sans CJK SC" w:eastAsia="Noto Sans CJK SC"/>
                <w:b w:val="0"/>
                <w:sz w:val="18"/>
              </w:rPr>
              <w:t>由社团统一管理，用于公共运营、活动支持和奖励来源的资金池。</w:t>
            </w:r>
          </w:p>
        </w:tc>
      </w:tr>
      <w:tr>
        <w:tc>
          <w:tcPr>
            <w:tcW w:type="dxa" w:w="4929"/>
            <w:vAlign w:val="center"/>
            <w:shd w:fill="D9EAF7"/>
          </w:tcPr>
          <w:p>
            <w:pPr>
              <w:spacing w:after="0"/>
            </w:pPr>
            <w:r/>
            <w:r>
              <w:rPr>
                <w:rFonts w:ascii="Noto Sans CJK SC" w:hAnsi="Noto Sans CJK SC" w:eastAsia="Noto Sans CJK SC"/>
                <w:b w:val="0"/>
                <w:sz w:val="18"/>
              </w:rPr>
              <w:t>流动资金池</w:t>
            </w:r>
          </w:p>
        </w:tc>
        <w:tc>
          <w:tcPr>
            <w:tcW w:type="dxa" w:w="4929"/>
            <w:vAlign w:val="center"/>
          </w:tcPr>
          <w:p>
            <w:pPr>
              <w:spacing w:after="0"/>
            </w:pPr>
            <w:r/>
            <w:r>
              <w:rPr>
                <w:rFonts w:ascii="Noto Sans CJK SC" w:hAnsi="Noto Sans CJK SC" w:eastAsia="Noto Sans CJK SC"/>
                <w:b w:val="0"/>
                <w:sz w:val="18"/>
              </w:rPr>
              <w:t>进入会员个人账户、可用于社团内部活动和资源使用的部分。</w:t>
            </w:r>
          </w:p>
        </w:tc>
      </w:tr>
      <w:tr>
        <w:tc>
          <w:tcPr>
            <w:tcW w:type="dxa" w:w="4929"/>
            <w:vAlign w:val="center"/>
            <w:shd w:fill="D9EAF7"/>
          </w:tcPr>
          <w:p>
            <w:pPr>
              <w:spacing w:after="0"/>
            </w:pPr>
            <w:r/>
            <w:r>
              <w:rPr>
                <w:rFonts w:ascii="Noto Sans CJK SC" w:hAnsi="Noto Sans CJK SC" w:eastAsia="Noto Sans CJK SC"/>
                <w:b w:val="0"/>
                <w:sz w:val="18"/>
              </w:rPr>
              <w:t>总账户</w:t>
            </w:r>
          </w:p>
        </w:tc>
        <w:tc>
          <w:tcPr>
            <w:tcW w:type="dxa" w:w="4929"/>
            <w:vAlign w:val="center"/>
          </w:tcPr>
          <w:p>
            <w:pPr>
              <w:spacing w:after="0"/>
            </w:pPr>
            <w:r/>
            <w:r>
              <w:rPr>
                <w:rFonts w:ascii="Noto Sans CJK SC" w:hAnsi="Noto Sans CJK SC" w:eastAsia="Noto Sans CJK SC"/>
                <w:b w:val="0"/>
                <w:sz w:val="18"/>
              </w:rPr>
              <w:t>记录社团整体资金池变化的总账。</w:t>
            </w:r>
          </w:p>
        </w:tc>
      </w:tr>
      <w:tr>
        <w:tc>
          <w:tcPr>
            <w:tcW w:type="dxa" w:w="4929"/>
            <w:vAlign w:val="center"/>
            <w:shd w:fill="D9EAF7"/>
          </w:tcPr>
          <w:p>
            <w:pPr>
              <w:spacing w:after="0"/>
            </w:pPr>
            <w:r/>
            <w:r>
              <w:rPr>
                <w:rFonts w:ascii="Noto Sans CJK SC" w:hAnsi="Noto Sans CJK SC" w:eastAsia="Noto Sans CJK SC"/>
                <w:b w:val="0"/>
                <w:sz w:val="18"/>
              </w:rPr>
              <w:t>个人账户</w:t>
            </w:r>
          </w:p>
        </w:tc>
        <w:tc>
          <w:tcPr>
            <w:tcW w:type="dxa" w:w="4929"/>
            <w:vAlign w:val="center"/>
          </w:tcPr>
          <w:p>
            <w:pPr>
              <w:spacing w:after="0"/>
            </w:pPr>
            <w:r/>
            <w:r>
              <w:rPr>
                <w:rFonts w:ascii="Noto Sans CJK SC" w:hAnsi="Noto Sans CJK SC" w:eastAsia="Noto Sans CJK SC"/>
                <w:b w:val="0"/>
                <w:sz w:val="18"/>
              </w:rPr>
              <w:t>记录单个会员入账、使用、奖励、余额和退款状态的账户。</w:t>
            </w:r>
          </w:p>
        </w:tc>
      </w:tr>
      <w:tr>
        <w:tc>
          <w:tcPr>
            <w:tcW w:type="dxa" w:w="4929"/>
            <w:vAlign w:val="center"/>
            <w:shd w:fill="D9EAF7"/>
          </w:tcPr>
          <w:p>
            <w:pPr>
              <w:spacing w:after="0"/>
            </w:pPr>
            <w:r/>
            <w:r>
              <w:rPr>
                <w:rFonts w:ascii="Noto Sans CJK SC" w:hAnsi="Noto Sans CJK SC" w:eastAsia="Noto Sans CJK SC"/>
                <w:b w:val="0"/>
                <w:sz w:val="18"/>
              </w:rPr>
              <w:t>奖励池</w:t>
            </w:r>
          </w:p>
        </w:tc>
        <w:tc>
          <w:tcPr>
            <w:tcW w:type="dxa" w:w="4929"/>
            <w:vAlign w:val="center"/>
          </w:tcPr>
          <w:p>
            <w:pPr>
              <w:spacing w:after="0"/>
            </w:pPr>
            <w:r/>
            <w:r>
              <w:rPr>
                <w:rFonts w:ascii="Noto Sans CJK SC" w:hAnsi="Noto Sans CJK SC" w:eastAsia="Noto Sans CJK SC"/>
                <w:b w:val="0"/>
                <w:sz w:val="18"/>
              </w:rPr>
              <w:t>从活动盈利或固定资金池中划定、经多签后可向成员发放的奖励额度。</w:t>
            </w:r>
          </w:p>
        </w:tc>
      </w:tr>
      <w:tr>
        <w:tc>
          <w:tcPr>
            <w:tcW w:type="dxa" w:w="4929"/>
            <w:vAlign w:val="center"/>
            <w:shd w:fill="D9EAF7"/>
          </w:tcPr>
          <w:p>
            <w:pPr>
              <w:spacing w:after="0"/>
            </w:pPr>
            <w:r/>
            <w:r>
              <w:rPr>
                <w:rFonts w:ascii="Noto Sans CJK SC" w:hAnsi="Noto Sans CJK SC" w:eastAsia="Noto Sans CJK SC"/>
                <w:b w:val="0"/>
                <w:sz w:val="18"/>
              </w:rPr>
              <w:t>项目待结算</w:t>
            </w:r>
          </w:p>
        </w:tc>
        <w:tc>
          <w:tcPr>
            <w:tcW w:type="dxa" w:w="4929"/>
            <w:vAlign w:val="center"/>
          </w:tcPr>
          <w:p>
            <w:pPr>
              <w:spacing w:after="0"/>
            </w:pPr>
            <w:r/>
            <w:r>
              <w:rPr>
                <w:rFonts w:ascii="Noto Sans CJK SC" w:hAnsi="Noto Sans CJK SC" w:eastAsia="Noto Sans CJK SC"/>
                <w:b w:val="0"/>
                <w:sz w:val="18"/>
              </w:rPr>
              <w:t>活动、食品、材料包等项目从收入到成本核销之间的中间状态。</w:t>
            </w:r>
          </w:p>
        </w:tc>
      </w:tr>
      <w:tr>
        <w:tc>
          <w:tcPr>
            <w:tcW w:type="dxa" w:w="4929"/>
            <w:vAlign w:val="center"/>
            <w:shd w:fill="D9EAF7"/>
          </w:tcPr>
          <w:p>
            <w:pPr>
              <w:spacing w:after="0"/>
            </w:pPr>
            <w:r/>
            <w:r>
              <w:rPr>
                <w:rFonts w:ascii="Noto Sans CJK SC" w:hAnsi="Noto Sans CJK SC" w:eastAsia="Noto Sans CJK SC"/>
                <w:b w:val="0"/>
                <w:sz w:val="18"/>
              </w:rPr>
              <w:t>grant 多签</w:t>
            </w:r>
          </w:p>
        </w:tc>
        <w:tc>
          <w:tcPr>
            <w:tcW w:type="dxa" w:w="4929"/>
            <w:vAlign w:val="center"/>
          </w:tcPr>
          <w:p>
            <w:pPr>
              <w:spacing w:after="0"/>
            </w:pPr>
            <w:r/>
            <w:r>
              <w:rPr>
                <w:rFonts w:ascii="Noto Sans CJK SC" w:hAnsi="Noto Sans CJK SC" w:eastAsia="Noto Sans CJK SC"/>
                <w:b w:val="0"/>
                <w:sz w:val="18"/>
              </w:rPr>
              <w:t>至少三名管理员确认后，奖池才可正式发放。</w:t>
            </w:r>
          </w:p>
        </w:tc>
      </w:tr>
    </w:tbl>
    <w:p>
      <w:pPr>
        <w:pStyle w:val="Heading1"/>
      </w:pPr>
      <w:r>
        <w:t>附录 C：留存建议</w:t>
      </w:r>
    </w:p>
    <w:p>
      <w:r>
        <w:rPr>
          <w:rFonts w:ascii="Noto Sans CJK SC" w:hAnsi="Noto Sans CJK SC" w:eastAsia="Noto Sans CJK SC"/>
          <w:sz w:val="21"/>
        </w:rPr>
        <w:t>如果纪念网站需要长期保存这段史料，建议采用“三层展示”：</w:t>
      </w:r>
    </w:p>
    <w:p>
      <w:pPr>
        <w:pStyle w:val="ListBullet"/>
      </w:pPr>
      <w:r>
        <w:rPr>
          <w:rFonts w:ascii="Noto Sans CJK SC" w:hAnsi="Noto Sans CJK SC" w:eastAsia="Noto Sans CJK SC"/>
          <w:sz w:val="21"/>
        </w:rPr>
        <w:t>公开网页：放置本文件中的“纪念网站可用短文”、时间线和术语简表。</w:t>
      </w:r>
    </w:p>
    <w:p>
      <w:pPr>
        <w:pStyle w:val="ListBullet"/>
      </w:pPr>
      <w:r>
        <w:rPr>
          <w:rFonts w:ascii="Noto Sans CJK SC" w:hAnsi="Noto Sans CJK SC" w:eastAsia="Noto Sans CJK SC"/>
          <w:sz w:val="21"/>
        </w:rPr>
        <w:t>下载文档：提供本史料整理文档，作为完整公开版留存。</w:t>
      </w:r>
    </w:p>
    <w:p>
      <w:pPr>
        <w:pStyle w:val="ListBullet"/>
      </w:pPr>
      <w:r>
        <w:rPr>
          <w:rFonts w:ascii="Noto Sans CJK SC" w:hAnsi="Noto Sans CJK SC" w:eastAsia="Noto Sans CJK SC"/>
          <w:sz w:val="21"/>
        </w:rPr>
        <w:t>内部档案：保留原始文档、白皮书、截图和电子系统说明，但不直接公开包含隐私、后台参数或争议性措辞的内容。</w:t>
      </w:r>
    </w:p>
    <w:p>
      <w:r>
        <w:rPr>
          <w:rFonts w:ascii="Noto Sans CJK SC" w:hAnsi="Noto Sans CJK SC" w:eastAsia="Noto Sans CJK SC"/>
          <w:sz w:val="21"/>
        </w:rPr>
        <w:t>这样既能保留历史，也能避免让纪念网站承担不必要的误解和争议。</w:t>
      </w:r>
    </w:p>
    <w:p>
      <w:pPr>
        <w:spacing w:before="480"/>
        <w:jc w:val="center"/>
      </w:pPr>
      <w:r>
        <w:rPr>
          <w:rFonts w:ascii="Noto Sans CJK SC" w:hAnsi="Noto Sans CJK SC" w:eastAsia="Noto Sans CJK SC"/>
          <w:b/>
          <w:color w:val="5A5A5A"/>
          <w:sz w:val="22"/>
        </w:rPr>
        <w:t>—— 物理社功勋系统史料整理完 ——</w:t>
      </w:r>
    </w:p>
    <w:sectPr w:rsidR="00FC693F" w:rsidRPr="0006063C" w:rsidSect="00034616">
      <w:headerReference w:type="default" r:id="rId9"/>
      <w:footerReference w:type="default" r:id="rId10"/>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46464"/>
        <w:sz w:val="17"/>
      </w:rPr>
      <w:t xml:space="preserve">第 </w:t>
    </w:r>
    <w:r>
      <w:fldChar w:fldCharType="begin"/>
      <w:instrText xml:space="preserve">PAGE</w:instrText>
      <w:fldChar w:fldCharType="end"/>
    </w:r>
    <w:r>
      <w:rPr>
        <w:rFonts w:ascii="Noto Sans CJK SC" w:hAnsi="Noto Sans CJK SC" w:eastAsia="Noto Sans CJK SC"/>
        <w:color w:val="646464"/>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646464"/>
        <w:sz w:val="17"/>
      </w:rPr>
      <w:t>物理社功勋系统对话史料整理｜纪念网站版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3F3F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veNote">
    <w:name w:val="Archive Note"/>
    <w:basedOn w:val="Normal"/>
    <w:pPr>
      <w:spacing w:before="60" w:after="120"/>
      <w:ind w:left="170" w:right="170"/>
    </w:pPr>
    <w:rPr>
      <w:rFonts w:ascii="Noto Sans CJK SC" w:hAnsi="Noto Sans CJK SC" w:eastAsia="Noto Sans CJK SC"/>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物理社功勋系统对话史料整理（纪念网站版）</dc:title>
  <dc:subject>物理社功勋系统史料整理</dc:subject>
  <dc:creator>ChatGPT</dc:creator>
  <cp:keywords>物理社, 功勋系统, 史料, 纪念网站, 白皮书</cp:keywords>
  <dc:description>Public memorial-site archive version generated from conversation materials.</dc:description>
  <cp:lastModifiedBy/>
  <cp:revision>1</cp:revision>
  <dcterms:created xsi:type="dcterms:W3CDTF">2013-12-23T23:15:00Z</dcterms:created>
  <dcterms:modified xsi:type="dcterms:W3CDTF">2013-12-23T23:15:00Z</dcterms:modified>
  <cp:category/>
</cp:coreProperties>
</file>