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Deepfakes et IA – Résumés des articles</w:t>
      </w:r>
    </w:p>
    <w:p>
      <w:pPr>
        <w:pBdr>
          <w:bottom w:val="single" w:color="000000" w:sz="6" w:space="4"/>
        </w:pBdr>
        <w:spacing w:after="240"/>
      </w:pPr>
      <w:r>
        <w:rPr>
          <w:rFonts w:ascii="Arial" w:cs="Arial" w:eastAsia="Arial" w:hAnsi="Arial"/>
          <w:i/>
          <w:iCs/>
          <w:sz w:val="20"/>
          <w:szCs w:val="20"/>
        </w:rPr>
        <w:t xml:space="preserve">19 articles résumés d’après la lecture de chaque source (sept. 2025 – avr. 2026)</w:t>
      </w:r>
    </w:p>
    <w:p>
      <w:pPr>
        <w:spacing w:after="40" w:before="220"/>
      </w:pPr>
      <w:r>
        <w:rPr>
          <w:rFonts w:ascii="Arial" w:cs="Arial" w:eastAsia="Arial" w:hAnsi="Arial"/>
          <w:b/>
          <w:bCs/>
          <w:sz w:val="24"/>
          <w:szCs w:val="24"/>
        </w:rPr>
        <w:t xml:space="preserve">1. The Rise of the AI-Cloned Voice Scam</w:t>
      </w:r>
    </w:p>
    <w:p>
      <w:pPr>
        <w:spacing w:after="60"/>
      </w:pPr>
      <w:r>
        <w:rPr>
          <w:rFonts w:ascii="Arial" w:cs="Arial" w:eastAsia="Arial" w:hAnsi="Arial"/>
          <w:i/>
          <w:iCs/>
          <w:sz w:val="19"/>
          <w:szCs w:val="19"/>
        </w:rPr>
        <w:t xml:space="preserve">American Bar Association – Voice of Experience — Sept. 2025</w:t>
      </w:r>
    </w:p>
    <w:p>
      <w:pPr>
        <w:spacing w:after="80"/>
        <w:jc w:val="both"/>
      </w:pPr>
      <w:r>
        <w:rPr>
          <w:rFonts w:ascii="Arial" w:cs="Arial" w:eastAsia="Arial" w:hAnsi="Arial"/>
          <w:sz w:val="22"/>
          <w:szCs w:val="22"/>
        </w:rPr>
        <w:t xml:space="preserve">Article grand public sur les arnaques par clonage vocal : quelques secondes d’audio prélevées sur les réseaux sociaux suffisent à des outils comme ElevenLabs, Resemble.AI ou Descript Overdub pour reproduire une voix, y compris son émotion. L’article cite une entreprise énergétique britannique ayant perdu 220 000 € et explique que le réalisme émotionnel désactive la méfiance ; il recommande des mots de passe verbaux convenus en famille.</w:t>
      </w:r>
    </w:p>
    <w:p>
      <w:pPr>
        <w:spacing w:after="40" w:before="220"/>
      </w:pPr>
      <w:r>
        <w:rPr>
          <w:rFonts w:ascii="Arial" w:cs="Arial" w:eastAsia="Arial" w:hAnsi="Arial"/>
          <w:b/>
          <w:bCs/>
          <w:sz w:val="24"/>
          <w:szCs w:val="24"/>
        </w:rPr>
        <w:t xml:space="preserve">2. Deepfake CEO Fraud : la menace du clonage vocal pour les directeurs financiers</w:t>
      </w:r>
    </w:p>
    <w:p>
      <w:pPr>
        <w:spacing w:after="60"/>
      </w:pPr>
      <w:r>
        <w:rPr>
          <w:rFonts w:ascii="Arial" w:cs="Arial" w:eastAsia="Arial" w:hAnsi="Arial"/>
          <w:i/>
          <w:iCs/>
          <w:sz w:val="19"/>
          <w:szCs w:val="19"/>
        </w:rPr>
        <w:t xml:space="preserve">Brightside AI Blog — Oct. 2025</w:t>
      </w:r>
    </w:p>
    <w:p>
      <w:pPr>
        <w:spacing w:after="80"/>
        <w:jc w:val="both"/>
      </w:pPr>
      <w:r>
        <w:rPr>
          <w:rFonts w:ascii="Arial" w:cs="Arial" w:eastAsia="Arial" w:hAnsi="Arial"/>
          <w:sz w:val="22"/>
          <w:szCs w:val="22"/>
        </w:rPr>
        <w:t xml:space="preserve">Analyse de la fraude au dirigeant par deepfake, illustrée par le cas de Hong Kong (visioconférence Zoom entièrement truquée, ≈ 25,6 M$, certains chiffres allant jusqu’à 39 M$) et un cas singapourien à 499 000 $. Les attaques deepfake auraient bondi de 3 000 % en 2023 et la fraude vocale de 680 % en un an ; une voix se clone en trois secondes. Les équipes financières, qui déplacent directement l’argent, sont les cibles prioritaires.</w:t>
      </w:r>
    </w:p>
    <w:p>
      <w:pPr>
        <w:spacing w:after="40" w:before="220"/>
      </w:pPr>
      <w:r>
        <w:rPr>
          <w:rFonts w:ascii="Arial" w:cs="Arial" w:eastAsia="Arial" w:hAnsi="Arial"/>
          <w:b/>
          <w:bCs/>
          <w:sz w:val="24"/>
          <w:szCs w:val="24"/>
        </w:rPr>
        <w:t xml:space="preserve">3. Présidentielle irlandaise : un deepfake relance le débat sur la désinformation</w:t>
      </w:r>
    </w:p>
    <w:p>
      <w:pPr>
        <w:spacing w:after="60"/>
      </w:pPr>
      <w:r>
        <w:rPr>
          <w:rFonts w:ascii="Arial" w:cs="Arial" w:eastAsia="Arial" w:hAnsi="Arial"/>
          <w:i/>
          <w:iCs/>
          <w:sz w:val="19"/>
          <w:szCs w:val="19"/>
        </w:rPr>
        <w:t xml:space="preserve">Euractiv FR — Oct. 2025</w:t>
      </w:r>
    </w:p>
    <w:p>
      <w:pPr>
        <w:spacing w:after="80"/>
        <w:jc w:val="both"/>
      </w:pPr>
      <w:r>
        <w:rPr>
          <w:rFonts w:ascii="Arial" w:cs="Arial" w:eastAsia="Arial" w:hAnsi="Arial"/>
          <w:sz w:val="22"/>
          <w:szCs w:val="22"/>
        </w:rPr>
        <w:t xml:space="preserve">Une fausse vidéo imitant un journal de RTÉ, postée par un compte « RTÉ News AI », montrait la candidate Catherine Connolly annonçant son retrait et prétendait que l’élection était annulée. Vue près de 30 000 fois sur Facebook en environ 12 heures avant son retrait par Meta, elle réutilisait aussi le visage de vrais journalistes. L’affaire illustre les failles du DSA et la lenteur de réaction des plateformes en période électorale.</w:t>
      </w:r>
    </w:p>
    <w:p>
      <w:pPr>
        <w:spacing w:after="40" w:before="220"/>
      </w:pPr>
      <w:r>
        <w:rPr>
          <w:rFonts w:ascii="Arial" w:cs="Arial" w:eastAsia="Arial" w:hAnsi="Arial"/>
          <w:b/>
          <w:bCs/>
          <w:sz w:val="24"/>
          <w:szCs w:val="24"/>
        </w:rPr>
        <w:t xml:space="preserve">4. Boucliers invisibles : le watermarking vidéo par IA</w:t>
      </w:r>
    </w:p>
    <w:p>
      <w:pPr>
        <w:spacing w:after="60"/>
      </w:pPr>
      <w:r>
        <w:rPr>
          <w:rFonts w:ascii="Arial" w:cs="Arial" w:eastAsia="Arial" w:hAnsi="Arial"/>
          <w:i/>
          <w:iCs/>
          <w:sz w:val="19"/>
          <w:szCs w:val="19"/>
        </w:rPr>
        <w:t xml:space="preserve">Bonega.ai Blog — Nov. 2025</w:t>
      </w:r>
    </w:p>
    <w:p>
      <w:pPr>
        <w:spacing w:after="80"/>
        <w:jc w:val="both"/>
      </w:pPr>
      <w:r>
        <w:rPr>
          <w:rFonts w:ascii="Arial" w:cs="Arial" w:eastAsia="Arial" w:hAnsi="Arial"/>
          <w:sz w:val="22"/>
          <w:szCs w:val="22"/>
        </w:rPr>
        <w:t xml:space="preserve">Tour d’horizon technique du filigranage invisible. Il compare l’approche post-hoc de Meta (traitement CPU en domaine fréquentiel DCT/DWT, signal caché dans les coefficients de moyenne fréquence) et SynthID de Google (marquage intégré dès la génération, dans l’espace latent). L’article souligne le compromis entre quatre objectifs (latence, précision, qualité visuelle, survie à la compression) et la pression réglementaire (AI Act, Chine).</w:t>
      </w:r>
    </w:p>
    <w:p>
      <w:pPr>
        <w:spacing w:after="40" w:before="220"/>
      </w:pPr>
      <w:r>
        <w:rPr>
          <w:rFonts w:ascii="Arial" w:cs="Arial" w:eastAsia="Arial" w:hAnsi="Arial"/>
          <w:b/>
          <w:bCs/>
          <w:sz w:val="24"/>
          <w:szCs w:val="24"/>
        </w:rPr>
        <w:t xml:space="preserve">5. Incrimination pénale des deepfakes : la loi LSREN 2024 est-elle suffisante ?</w:t>
      </w:r>
    </w:p>
    <w:p>
      <w:pPr>
        <w:spacing w:after="60"/>
      </w:pPr>
      <w:r>
        <w:rPr>
          <w:rFonts w:ascii="Arial" w:cs="Arial" w:eastAsia="Arial" w:hAnsi="Arial"/>
          <w:i/>
          <w:iCs/>
          <w:sz w:val="19"/>
          <w:szCs w:val="19"/>
        </w:rPr>
        <w:t xml:space="preserve">Village-Justice (Simon Chapuis) — Nov.-Déc. 2025</w:t>
      </w:r>
    </w:p>
    <w:p>
      <w:pPr>
        <w:spacing w:after="80"/>
        <w:jc w:val="both"/>
      </w:pPr>
      <w:r>
        <w:rPr>
          <w:rFonts w:ascii="Arial" w:cs="Arial" w:eastAsia="Arial" w:hAnsi="Arial"/>
          <w:sz w:val="22"/>
          <w:szCs w:val="22"/>
        </w:rPr>
        <w:t xml:space="preserve">Analyse juridique : avant 2024, le droit pénal français était inadapté (montage et usurpation d’identité inopérants face à un contenu généré ex nihilo). La loi LSREN du 21 mai 2024 crée une incrimination autonome (art. 226-8 modifié) et un délit spécifique de deepfake sexuel (art. 226-8-1, jusqu’à 3 ans et 75 000 € en ligne). Limites : la création non diffusée reste impunie, la frontière satire/manipulation et la preuve du « caractère non évident » sont floues.</w:t>
      </w:r>
    </w:p>
    <w:p>
      <w:pPr>
        <w:spacing w:after="40" w:before="220"/>
      </w:pPr>
      <w:r>
        <w:rPr>
          <w:rFonts w:ascii="Arial" w:cs="Arial" w:eastAsia="Arial" w:hAnsi="Arial"/>
          <w:b/>
          <w:bCs/>
          <w:sz w:val="24"/>
          <w:szCs w:val="24"/>
        </w:rPr>
        <w:t xml:space="preserve">6. Deepfakes et IA marqueront l’année 2026 : prévisions Kaspersky</w:t>
      </w:r>
    </w:p>
    <w:p>
      <w:pPr>
        <w:spacing w:after="60"/>
      </w:pPr>
      <w:r>
        <w:rPr>
          <w:rFonts w:ascii="Arial" w:cs="Arial" w:eastAsia="Arial" w:hAnsi="Arial"/>
          <w:i/>
          <w:iCs/>
          <w:sz w:val="19"/>
          <w:szCs w:val="19"/>
        </w:rPr>
        <w:t xml:space="preserve">ICT Journal — Déc. 2025</w:t>
      </w:r>
    </w:p>
    <w:p>
      <w:pPr>
        <w:spacing w:after="80"/>
        <w:jc w:val="both"/>
      </w:pPr>
      <w:r>
        <w:rPr>
          <w:rFonts w:ascii="Arial" w:cs="Arial" w:eastAsia="Arial" w:hAnsi="Arial"/>
          <w:sz w:val="22"/>
          <w:szCs w:val="22"/>
        </w:rPr>
        <w:t xml:space="preserve">Selon Kaspersky, distinguer le vrai du faux deviendra un défi quotidien en 2026 : les deepfakes gagneront en réalisme, surtout sur l’audio, et les outils simplifiés permettront à des non-spécialistes d’en produire de qualité moyenne. Faute de critères uniformes de détection, l’éditeur attend de nouvelles initiatives techniques et réglementaires et recommande de former systématiquement les collaborateurs.</w:t>
      </w:r>
    </w:p>
    <w:p>
      <w:pPr>
        <w:spacing w:after="40" w:before="220"/>
      </w:pPr>
      <w:r>
        <w:rPr>
          <w:rFonts w:ascii="Arial" w:cs="Arial" w:eastAsia="Arial" w:hAnsi="Arial"/>
          <w:b/>
          <w:bCs/>
          <w:sz w:val="24"/>
          <w:szCs w:val="24"/>
        </w:rPr>
        <w:t xml:space="preserve">7. Robust deepfake detector against deep image watermarking</w:t>
      </w:r>
    </w:p>
    <w:p>
      <w:pPr>
        <w:spacing w:after="60"/>
      </w:pPr>
      <w:r>
        <w:rPr>
          <w:rFonts w:ascii="Arial" w:cs="Arial" w:eastAsia="Arial" w:hAnsi="Arial"/>
          <w:i/>
          <w:iCs/>
          <w:sz w:val="19"/>
          <w:szCs w:val="19"/>
        </w:rPr>
        <w:t xml:space="preserve">PLOS ONE (Jian Yu et al., Qinghai Nationalities University) — Déc. 2025</w:t>
      </w:r>
    </w:p>
    <w:p>
      <w:pPr>
        <w:spacing w:after="80"/>
        <w:jc w:val="both"/>
      </w:pPr>
      <w:r>
        <w:rPr>
          <w:rFonts w:ascii="Arial" w:cs="Arial" w:eastAsia="Arial" w:hAnsi="Arial"/>
          <w:sz w:val="22"/>
          <w:szCs w:val="22"/>
        </w:rPr>
        <w:t xml:space="preserve">Publication scientifique proposant un modèle multi-module qui intègre l’Efficient Multi-scale Attention (EMA) dans l’architecture Xception, avec un module de « feature dropout ». Sur des images filigranées par MBRS, ses performances égalent celles des modèles de référence ; sur des images filigranées par FaceSigns, il les surpasse d’environ 10 % (50 % d’images marquées) et 20 % (100 %). Évaluation sur UADFV et CelebDF.</w:t>
      </w:r>
    </w:p>
    <w:p>
      <w:pPr>
        <w:spacing w:after="40" w:before="220"/>
      </w:pPr>
      <w:r>
        <w:rPr>
          <w:rFonts w:ascii="Arial" w:cs="Arial" w:eastAsia="Arial" w:hAnsi="Arial"/>
          <w:b/>
          <w:bCs/>
          <w:sz w:val="24"/>
          <w:szCs w:val="24"/>
        </w:rPr>
        <w:t xml:space="preserve">8. Deepfakes dans l’élection canadienne 2025 : prévalence, partisanisme et plateformes</w:t>
      </w:r>
    </w:p>
    <w:p>
      <w:pPr>
        <w:spacing w:after="60"/>
      </w:pPr>
      <w:r>
        <w:rPr>
          <w:rFonts w:ascii="Arial" w:cs="Arial" w:eastAsia="Arial" w:hAnsi="Arial"/>
          <w:i/>
          <w:iCs/>
          <w:sz w:val="19"/>
          <w:szCs w:val="19"/>
        </w:rPr>
        <w:t xml:space="preserve">arXiv (Livernoche et al., MILA &amp; Université de Montréal) — Déc. 2025</w:t>
      </w:r>
    </w:p>
    <w:p>
      <w:pPr>
        <w:spacing w:after="80"/>
        <w:jc w:val="both"/>
      </w:pPr>
      <w:r>
        <w:rPr>
          <w:rFonts w:ascii="Arial" w:cs="Arial" w:eastAsia="Arial" w:hAnsi="Arial"/>
          <w:sz w:val="22"/>
          <w:szCs w:val="22"/>
        </w:rPr>
        <w:t xml:space="preserve">Étude empirique sur 187 778 publications (X, Bluesky, Reddit) durant l’élection fédérale canadienne 2025. 5,86 % des images liées à l’élection étaient des deepfakes (taux le plus élevé sur X). Les comptes orientés à droite en partageaient davantage (9,24 % contre 3,87 % à gauche), avec plus d’intentions conspirationnistes. La plupart restaient bénins ; les contenus nocifs avaient une portée modeste (0,12 % des vues sur X).</w:t>
      </w:r>
    </w:p>
    <w:p>
      <w:pPr>
        <w:spacing w:after="40" w:before="220"/>
      </w:pPr>
      <w:r>
        <w:rPr>
          <w:rFonts w:ascii="Arial" w:cs="Arial" w:eastAsia="Arial" w:hAnsi="Arial"/>
          <w:b/>
          <w:bCs/>
          <w:sz w:val="24"/>
          <w:szCs w:val="24"/>
        </w:rPr>
        <w:t xml:space="preserve">9. Le Parlement européen s’attaque aux deepfakes et à l’exploitation sexuelle</w:t>
      </w:r>
    </w:p>
    <w:p>
      <w:pPr>
        <w:spacing w:after="60"/>
      </w:pPr>
      <w:r>
        <w:rPr>
          <w:rFonts w:ascii="Arial" w:cs="Arial" w:eastAsia="Arial" w:hAnsi="Arial"/>
          <w:i/>
          <w:iCs/>
          <w:sz w:val="19"/>
          <w:szCs w:val="19"/>
        </w:rPr>
        <w:t xml:space="preserve">Parlement Européen — Janv. 2026</w:t>
      </w:r>
    </w:p>
    <w:p>
      <w:pPr>
        <w:spacing w:after="80"/>
        <w:jc w:val="both"/>
      </w:pPr>
      <w:r>
        <w:rPr>
          <w:rFonts w:ascii="Arial" w:cs="Arial" w:eastAsia="Arial" w:hAnsi="Arial"/>
          <w:sz w:val="22"/>
          <w:szCs w:val="22"/>
        </w:rPr>
        <w:t xml:space="preserve">À la suite du scandale Grok/X (génération d’images sexuelles de femmes et de mineurs), le Parlement a débattu le 20 janvier 2026 et demandé à la Commission une application renforcée et accélérée du DSA et de l’AI Act. La Commission avait infligé à X, en décembre 2025, la première amende DSA pour manquement à la transparence, d’autres enquêtes restant en cours.</w:t>
      </w:r>
    </w:p>
    <w:p>
      <w:pPr>
        <w:spacing w:after="40" w:before="220"/>
      </w:pPr>
      <w:r>
        <w:rPr>
          <w:rFonts w:ascii="Arial" w:cs="Arial" w:eastAsia="Arial" w:hAnsi="Arial"/>
          <w:b/>
          <w:bCs/>
          <w:sz w:val="24"/>
          <w:szCs w:val="24"/>
        </w:rPr>
        <w:t xml:space="preserve">10. En 2026, à quoi ressembleront les nouveaux deepfakes ?</w:t>
      </w:r>
    </w:p>
    <w:p>
      <w:pPr>
        <w:spacing w:after="60"/>
      </w:pPr>
      <w:r>
        <w:rPr>
          <w:rFonts w:ascii="Arial" w:cs="Arial" w:eastAsia="Arial" w:hAnsi="Arial"/>
          <w:i/>
          <w:iCs/>
          <w:sz w:val="19"/>
          <w:szCs w:val="19"/>
        </w:rPr>
        <w:t xml:space="preserve">The Conversation (Siwei Lyu, University at Buffalo) — Janv. 2026</w:t>
      </w:r>
    </w:p>
    <w:p>
      <w:pPr>
        <w:spacing w:after="80"/>
        <w:jc w:val="both"/>
      </w:pPr>
      <w:r>
        <w:rPr>
          <w:rFonts w:ascii="Arial" w:cs="Arial" w:eastAsia="Arial" w:hAnsi="Arial"/>
          <w:sz w:val="22"/>
          <w:szCs w:val="22"/>
        </w:rPr>
        <w:t xml:space="preserve">Vulgarisation par un chercheur spécialisé. Explosion quantitative (≈ 500 000 vidéos en 2023 à ≈ 8 millions en 2025, +900 %/an) et qualitative ; le clonage vocal a franchi le « seuil d’indiscernabilité » et des outils grand public (Sora 2, Veo 3) abaissent la barrière technique. Prochaine frontière : des entités synthétiques en temps réel ; la défense reposera sur l’infrastructure (signature cryptographique, C2PA) plutôt que sur l’œil humain.</w:t>
      </w:r>
    </w:p>
    <w:p>
      <w:pPr>
        <w:spacing w:after="40" w:before="220"/>
      </w:pPr>
      <w:r>
        <w:rPr>
          <w:rFonts w:ascii="Arial" w:cs="Arial" w:eastAsia="Arial" w:hAnsi="Arial"/>
          <w:b/>
          <w:bCs/>
          <w:sz w:val="24"/>
          <w:szCs w:val="24"/>
        </w:rPr>
        <w:t xml:space="preserve">11. Deepfakes et IA : perdons-nous la bataille de l’authenticité numérique ?</w:t>
      </w:r>
    </w:p>
    <w:p>
      <w:pPr>
        <w:spacing w:after="60"/>
      </w:pPr>
      <w:r>
        <w:rPr>
          <w:rFonts w:ascii="Arial" w:cs="Arial" w:eastAsia="Arial" w:hAnsi="Arial"/>
          <w:i/>
          <w:iCs/>
          <w:sz w:val="19"/>
          <w:szCs w:val="19"/>
        </w:rPr>
        <w:t xml:space="preserve">Village-Justice (Evidency) — Fév. 2026</w:t>
      </w:r>
    </w:p>
    <w:p>
      <w:pPr>
        <w:spacing w:after="80"/>
        <w:jc w:val="both"/>
      </w:pPr>
      <w:r>
        <w:rPr>
          <w:rFonts w:ascii="Arial" w:cs="Arial" w:eastAsia="Arial" w:hAnsi="Arial"/>
          <w:sz w:val="22"/>
          <w:szCs w:val="22"/>
        </w:rPr>
        <w:t xml:space="preserve">Article centré sur la valeur probante des preuves numériques face aux deepfakes, rappelant le cas de la visioconférence truquée à 25,5 M$. Il présente le cadre eIDAS 2 et l’AI Act et préconise une gouvernance probatoire (cartographie des documents, horodatage qualifié, signature/cachet électroniques, archivage NF Z42-013, documentation de la chaîne de preuve). Il évoque aussi la future menace de l’informatique quantique.</w:t>
      </w:r>
    </w:p>
    <w:p>
      <w:pPr>
        <w:spacing w:after="40" w:before="220"/>
      </w:pPr>
      <w:r>
        <w:rPr>
          <w:rFonts w:ascii="Arial" w:cs="Arial" w:eastAsia="Arial" w:hAnsi="Arial"/>
          <w:b/>
          <w:bCs/>
          <w:sz w:val="24"/>
          <w:szCs w:val="24"/>
        </w:rPr>
        <w:t xml:space="preserve">12. Voice Cloning et Audio Deepfakes : détection et prévention</w:t>
      </w:r>
    </w:p>
    <w:p>
      <w:pPr>
        <w:spacing w:after="60"/>
      </w:pPr>
      <w:r>
        <w:rPr>
          <w:rFonts w:ascii="Arial" w:cs="Arial" w:eastAsia="Arial" w:hAnsi="Arial"/>
          <w:i/>
          <w:iCs/>
          <w:sz w:val="19"/>
          <w:szCs w:val="19"/>
        </w:rPr>
        <w:t xml:space="preserve">Ayinedjimi Consultants — Fév. 2026</w:t>
      </w:r>
    </w:p>
    <w:p>
      <w:pPr>
        <w:spacing w:after="80"/>
        <w:jc w:val="both"/>
      </w:pPr>
      <w:r>
        <w:rPr>
          <w:rFonts w:ascii="Arial" w:cs="Arial" w:eastAsia="Arial" w:hAnsi="Arial"/>
          <w:sz w:val="22"/>
          <w:szCs w:val="22"/>
        </w:rPr>
        <w:t xml:space="preserve">Synthèse technique sur le clonage vocal (modèles VALL-E, Bark, XTTS, Voicebox) et la détection spectrale. Les tentatives de fraude vocale ont fortement progressé ces deux dernières années. Les architectures transformer (wav2vec 2.0, HuBERT) constituent l’état de l’art, avec les spectrogrammes mel comme outil concret d’analyse ; la généralisation d’un modèle de détection à l’autre reste le principal défi.</w:t>
      </w:r>
    </w:p>
    <w:p>
      <w:pPr>
        <w:spacing w:after="40" w:before="220"/>
      </w:pPr>
      <w:r>
        <w:rPr>
          <w:rFonts w:ascii="Arial" w:cs="Arial" w:eastAsia="Arial" w:hAnsi="Arial"/>
          <w:b/>
          <w:bCs/>
          <w:sz w:val="24"/>
          <w:szCs w:val="24"/>
        </w:rPr>
        <w:t xml:space="preserve">13. Deepfakes pornographiques : l’IA industrialise la violence sexuelle</w:t>
      </w:r>
    </w:p>
    <w:p>
      <w:pPr>
        <w:spacing w:after="60"/>
      </w:pPr>
      <w:r>
        <w:rPr>
          <w:rFonts w:ascii="Arial" w:cs="Arial" w:eastAsia="Arial" w:hAnsi="Arial"/>
          <w:i/>
          <w:iCs/>
          <w:sz w:val="19"/>
          <w:szCs w:val="19"/>
        </w:rPr>
        <w:t xml:space="preserve">Data-Ring.net — Fév. 2026</w:t>
      </w:r>
    </w:p>
    <w:p>
      <w:pPr>
        <w:spacing w:after="80"/>
        <w:jc w:val="both"/>
      </w:pPr>
      <w:r>
        <w:rPr>
          <w:rFonts w:ascii="Arial" w:cs="Arial" w:eastAsia="Arial" w:hAnsi="Arial"/>
          <w:sz w:val="22"/>
          <w:szCs w:val="22"/>
        </w:rPr>
        <w:t xml:space="preserve">Enquête sur l’explosion des deepfakes à caractère sexuel : en 2025-2026, au moins 1,2 million d’enfants dans 11 pays ont vu leur image détournée, et certains outils intégrés à des réseaux sociaux ont produit des millions d’images sexualisées en quelques jours. Une simple photo de classe ou un selfie peut être « nudifié » sans consentement. L’article articule la définition de l’AI Act, le droit pénal et la prévention.</w:t>
      </w:r>
    </w:p>
    <w:p>
      <w:pPr>
        <w:spacing w:after="40" w:before="220"/>
      </w:pPr>
      <w:r>
        <w:rPr>
          <w:rFonts w:ascii="Arial" w:cs="Arial" w:eastAsia="Arial" w:hAnsi="Arial"/>
          <w:b/>
          <w:bCs/>
          <w:sz w:val="24"/>
          <w:szCs w:val="24"/>
        </w:rPr>
        <w:t xml:space="preserve">14. L’AI Act vise à signaler les deepfakes, sans les interdire</w:t>
      </w:r>
    </w:p>
    <w:p>
      <w:pPr>
        <w:spacing w:after="60"/>
      </w:pPr>
      <w:r>
        <w:rPr>
          <w:rFonts w:ascii="Arial" w:cs="Arial" w:eastAsia="Arial" w:hAnsi="Arial"/>
          <w:i/>
          <w:iCs/>
          <w:sz w:val="19"/>
          <w:szCs w:val="19"/>
        </w:rPr>
        <w:t xml:space="preserve">JSS (Me Arnaud Dimeglio) — Mars 2026</w:t>
      </w:r>
    </w:p>
    <w:p>
      <w:pPr>
        <w:spacing w:after="80"/>
        <w:jc w:val="both"/>
      </w:pPr>
      <w:r>
        <w:rPr>
          <w:rFonts w:ascii="Arial" w:cs="Arial" w:eastAsia="Arial" w:hAnsi="Arial"/>
          <w:sz w:val="22"/>
          <w:szCs w:val="22"/>
        </w:rPr>
        <w:t xml:space="preserve">Interview d’un avocat sur l’article 50 de l’AI Act, applicable au 2 août 2026. Il distingue le fournisseur (qui doit marquer techniquement les contenus dans un format lisible par machine) et le déployeur (qui doit informer que le contenu est généré par IA). Le texte rend les deepfakes identifiables sans les interdire ; les exceptions (œuvres artistiques/satiriques, forces de l’ordre) ouvrent des incertitudes d’interprétation.</w:t>
      </w:r>
    </w:p>
    <w:p>
      <w:pPr>
        <w:spacing w:after="40" w:before="220"/>
      </w:pPr>
      <w:r>
        <w:rPr>
          <w:rFonts w:ascii="Arial" w:cs="Arial" w:eastAsia="Arial" w:hAnsi="Arial"/>
          <w:b/>
          <w:bCs/>
          <w:sz w:val="24"/>
          <w:szCs w:val="24"/>
        </w:rPr>
        <w:t xml:space="preserve">15. L’Europe met un coup d’arrêt aux deepfakes pornographiques</w:t>
      </w:r>
    </w:p>
    <w:p>
      <w:pPr>
        <w:spacing w:after="60"/>
      </w:pPr>
      <w:r>
        <w:rPr>
          <w:rFonts w:ascii="Arial" w:cs="Arial" w:eastAsia="Arial" w:hAnsi="Arial"/>
          <w:i/>
          <w:iCs/>
          <w:sz w:val="19"/>
          <w:szCs w:val="19"/>
        </w:rPr>
        <w:t xml:space="preserve">Journal du Geek — Mars 2026</w:t>
      </w:r>
    </w:p>
    <w:p>
      <w:pPr>
        <w:spacing w:after="80"/>
        <w:jc w:val="both"/>
      </w:pPr>
      <w:r>
        <w:rPr>
          <w:rFonts w:ascii="Arial" w:cs="Arial" w:eastAsia="Arial" w:hAnsi="Arial"/>
          <w:sz w:val="22"/>
          <w:szCs w:val="22"/>
        </w:rPr>
        <w:t xml:space="preserve">Le 18 mars 2026, les commissions IMCO et LIBE du Parlement européen ont adopté une position commune introduisant, dans la révision simplifiée de l’AI Act, l’interdiction explicite des systèmes d’IA permettant de produire des images sexuelles non consenties d’une personne réelle identifiable (les « nudifiers »). Seuls les systèmes dotés de garde-fous techniques efficaces empêchant ce type de génération seraient exemptés.</w:t>
      </w:r>
    </w:p>
    <w:p>
      <w:pPr>
        <w:spacing w:after="40" w:before="220"/>
      </w:pPr>
      <w:r>
        <w:rPr>
          <w:rFonts w:ascii="Arial" w:cs="Arial" w:eastAsia="Arial" w:hAnsi="Arial"/>
          <w:b/>
          <w:bCs/>
          <w:sz w:val="24"/>
          <w:szCs w:val="24"/>
        </w:rPr>
        <w:t xml:space="preserve">16. Article 50 AI Act : obligations de transparence sur les contenus IA</w:t>
      </w:r>
    </w:p>
    <w:p>
      <w:pPr>
        <w:spacing w:after="60"/>
      </w:pPr>
      <w:r>
        <w:rPr>
          <w:rFonts w:ascii="Arial" w:cs="Arial" w:eastAsia="Arial" w:hAnsi="Arial"/>
          <w:i/>
          <w:iCs/>
          <w:sz w:val="19"/>
          <w:szCs w:val="19"/>
        </w:rPr>
        <w:t xml:space="preserve">AIActo.eu — Mars 2026</w:t>
      </w:r>
    </w:p>
    <w:p>
      <w:pPr>
        <w:spacing w:after="80"/>
        <w:jc w:val="both"/>
      </w:pPr>
      <w:r>
        <w:rPr>
          <w:rFonts w:ascii="Arial" w:cs="Arial" w:eastAsia="Arial" w:hAnsi="Arial"/>
          <w:sz w:val="22"/>
          <w:szCs w:val="22"/>
        </w:rPr>
        <w:t xml:space="preserve">Analyse complète de l’article 50, applicable au 2 août 2026 à tous les systèmes d’IA générative (pas seulement à haut risque). Il détaille quatre obligations : signaler l’interaction avec une IA, marquer les contenus synthétiques (watermarking/métadonnées robustes + outils de détection gratuits), informer en cas de reconnaissance d’émotions, et étiqueter les deepfakes. Exceptions : assistance à l’édition standard et forces de l’ordre.</w:t>
      </w:r>
    </w:p>
    <w:p>
      <w:pPr>
        <w:spacing w:after="40" w:before="220"/>
      </w:pPr>
      <w:r>
        <w:rPr>
          <w:rFonts w:ascii="Arial" w:cs="Arial" w:eastAsia="Arial" w:hAnsi="Arial"/>
          <w:b/>
          <w:bCs/>
          <w:sz w:val="24"/>
          <w:szCs w:val="24"/>
        </w:rPr>
        <w:t xml:space="preserve">17. Deepfake scams infiltrate social media as voice cloning becomes easier</w:t>
      </w:r>
    </w:p>
    <w:p>
      <w:pPr>
        <w:spacing w:after="60"/>
      </w:pPr>
      <w:r>
        <w:rPr>
          <w:rFonts w:ascii="Arial" w:cs="Arial" w:eastAsia="Arial" w:hAnsi="Arial"/>
          <w:i/>
          <w:iCs/>
          <w:sz w:val="19"/>
          <w:szCs w:val="19"/>
        </w:rPr>
        <w:t xml:space="preserve">InvestigateTV — Avr. 2026</w:t>
      </w:r>
    </w:p>
    <w:p>
      <w:pPr>
        <w:spacing w:after="80"/>
        <w:jc w:val="both"/>
      </w:pPr>
      <w:r>
        <w:rPr>
          <w:rFonts w:ascii="Arial" w:cs="Arial" w:eastAsia="Arial" w:hAnsi="Arial"/>
          <w:sz w:val="22"/>
          <w:szCs w:val="22"/>
        </w:rPr>
        <w:t xml:space="preserve">Enquête appuyée sur un sondage McAfee : les deepfakes envahissent Facebook, YouTube, TikTok et Instagram, et 1 Américain sur 10 a déjà subi une arnaque par clonage vocal, réalisable avec quelques secondes d’audio. L’article cite des usurpations de personnalités (dont une fausse vidéo du sénateur Jon Ossoff) et montre à quel point le clonage vocal est devenu banal et difficile à détecter.</w:t>
      </w:r>
    </w:p>
    <w:p>
      <w:pPr>
        <w:spacing w:after="40" w:before="220"/>
      </w:pPr>
      <w:r>
        <w:rPr>
          <w:rFonts w:ascii="Arial" w:cs="Arial" w:eastAsia="Arial" w:hAnsi="Arial"/>
          <w:b/>
          <w:bCs/>
          <w:sz w:val="24"/>
          <w:szCs w:val="24"/>
        </w:rPr>
        <w:t xml:space="preserve">18. Voice Cloning Is the New BEC : deepfake CEO fraud aux États-Unis</w:t>
      </w:r>
    </w:p>
    <w:p>
      <w:pPr>
        <w:spacing w:after="60"/>
      </w:pPr>
      <w:r>
        <w:rPr>
          <w:rFonts w:ascii="Arial" w:cs="Arial" w:eastAsia="Arial" w:hAnsi="Arial"/>
          <w:i/>
          <w:iCs/>
          <w:sz w:val="19"/>
          <w:szCs w:val="19"/>
        </w:rPr>
        <w:t xml:space="preserve">CybelAngel Blog — Avr. 2026</w:t>
      </w:r>
    </w:p>
    <w:p>
      <w:pPr>
        <w:spacing w:after="80"/>
        <w:jc w:val="both"/>
      </w:pPr>
      <w:r>
        <w:rPr>
          <w:rFonts w:ascii="Arial" w:cs="Arial" w:eastAsia="Arial" w:hAnsi="Arial"/>
          <w:sz w:val="22"/>
          <w:szCs w:val="22"/>
        </w:rPr>
        <w:t xml:space="preserve">Analyse de la fraude au dirigeant par clonage vocal aux États-Unis : le FBI a recensé plus de 22 000 plaintes IA en 2025 pour plus de 893 M$ de pertes (largement sous-déclarées), Deloitte projette 40 Mds$/an d’ici 2027 et le vishing a bondi de +1 600 % au T1 2025. L’article décrit trois formats (appels vocaux clonés, visios deepfake, campagnes multimodales) et préconise des codes de vérification hors bande et la double autorisation.</w:t>
      </w:r>
    </w:p>
    <w:p>
      <w:pPr>
        <w:spacing w:after="40" w:before="220"/>
      </w:pPr>
      <w:r>
        <w:rPr>
          <w:rFonts w:ascii="Arial" w:cs="Arial" w:eastAsia="Arial" w:hAnsi="Arial"/>
          <w:b/>
          <w:bCs/>
          <w:sz w:val="24"/>
          <w:szCs w:val="24"/>
        </w:rPr>
        <w:t xml:space="preserve">19. Deepfakes politiques en 2026 : définition, régulation et impact électoral</w:t>
      </w:r>
    </w:p>
    <w:p>
      <w:pPr>
        <w:spacing w:after="60"/>
      </w:pPr>
      <w:r>
        <w:rPr>
          <w:rFonts w:ascii="Arial" w:cs="Arial" w:eastAsia="Arial" w:hAnsi="Arial"/>
          <w:i/>
          <w:iCs/>
          <w:sz w:val="19"/>
          <w:szCs w:val="19"/>
        </w:rPr>
        <w:t xml:space="preserve">Cosmo-games (Christophe Morel) — Fév. 2026</w:t>
      </w:r>
    </w:p>
    <w:p>
      <w:pPr>
        <w:spacing w:after="80"/>
        <w:jc w:val="both"/>
      </w:pPr>
      <w:r>
        <w:rPr>
          <w:rFonts w:ascii="Arial" w:cs="Arial" w:eastAsia="Arial" w:hAnsi="Arial"/>
          <w:sz w:val="22"/>
          <w:szCs w:val="22"/>
        </w:rPr>
        <w:t xml:space="preserve">Dossier sur les deepfakes politiques, appuyé sur des sources institutionnelles et académiques (MIT, Stanford HAI, EDMO). Il décrit les trois briques techniques (synthèse vidéo par diffusion, clonage vocal neuronal, face-swapping) et distingue deepfake « négatif » (diffamatoire) et « promotionnel ». Cadre juridique : loi française 2024-449 et AI Act ; il insiste sur la viralité des contenus en période électorale, avant toute modération.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2026-06-01T20:37:53.762Z</dcterms:created>
  <dcterms:modified xsi:type="dcterms:W3CDTF">2026-06-01T20:37:53.778Z</dcterms:modified>
</cp:coreProperties>
</file>

<file path=docProps/custom.xml><?xml version="1.0" encoding="utf-8"?>
<Properties xmlns="http://schemas.openxmlformats.org/officeDocument/2006/custom-properties" xmlns:vt="http://schemas.openxmlformats.org/officeDocument/2006/docPropsVTypes"/>
</file>