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C11" w:rsidRDefault="00702BE2">
      <w:r>
        <w:t>Links con antecedentes de estudios sobre asistencia a eventos culturales</w:t>
      </w:r>
    </w:p>
    <w:p w:rsidR="00702BE2" w:rsidRDefault="00702BE2"/>
    <w:p w:rsidR="00702BE2" w:rsidRPr="003047C4" w:rsidRDefault="00702BE2" w:rsidP="003A0943">
      <w:pPr>
        <w:pStyle w:val="Prrafodelista"/>
        <w:numPr>
          <w:ilvl w:val="0"/>
          <w:numId w:val="1"/>
        </w:numPr>
        <w:shd w:val="clear" w:color="auto" w:fill="FFFFFF"/>
        <w:spacing w:after="0" w:line="600" w:lineRule="atLeast"/>
        <w:outlineLvl w:val="0"/>
        <w:rPr>
          <w:rFonts w:asciiTheme="majorHAnsi" w:eastAsia="Times New Roman" w:hAnsiTheme="majorHAnsi" w:cs="Times New Roman"/>
          <w:bCs/>
          <w:kern w:val="36"/>
          <w:sz w:val="24"/>
          <w:szCs w:val="24"/>
          <w:highlight w:val="green"/>
          <w:lang w:val="en-US" w:eastAsia="es-VE"/>
        </w:rPr>
      </w:pPr>
      <w:r w:rsidRPr="003047C4">
        <w:rPr>
          <w:rFonts w:asciiTheme="majorHAnsi" w:eastAsia="Times New Roman" w:hAnsiTheme="majorHAnsi" w:cs="Times New Roman"/>
          <w:bCs/>
          <w:kern w:val="36"/>
          <w:sz w:val="24"/>
          <w:szCs w:val="24"/>
          <w:highlight w:val="green"/>
          <w:lang w:val="en-US" w:eastAsia="es-VE"/>
        </w:rPr>
        <w:t>Culture for all – museum attendance in an age of diversity</w:t>
      </w:r>
    </w:p>
    <w:p w:rsidR="00702BE2" w:rsidRPr="003047C4" w:rsidRDefault="00702BE2" w:rsidP="00702BE2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  <w:highlight w:val="green"/>
          <w:lang w:val="en-US" w:eastAsia="es-VE"/>
        </w:rPr>
      </w:pPr>
      <w:r w:rsidRPr="003047C4">
        <w:rPr>
          <w:rFonts w:asciiTheme="majorHAnsi" w:eastAsia="Times New Roman" w:hAnsiTheme="majorHAnsi" w:cs="Arial"/>
          <w:i/>
          <w:iCs/>
          <w:sz w:val="24"/>
          <w:szCs w:val="24"/>
          <w:highlight w:val="green"/>
          <w:lang w:val="en-US" w:eastAsia="es-VE"/>
        </w:rPr>
        <w:t>16th May 2019</w:t>
      </w:r>
    </w:p>
    <w:p w:rsidR="00702BE2" w:rsidRPr="003A0943" w:rsidRDefault="003047C4" w:rsidP="00702BE2">
      <w:pPr>
        <w:rPr>
          <w:rFonts w:asciiTheme="majorHAnsi" w:hAnsiTheme="majorHAnsi"/>
          <w:sz w:val="24"/>
          <w:szCs w:val="24"/>
          <w:lang w:val="en-US"/>
        </w:rPr>
      </w:pPr>
      <w:r w:rsidRPr="003047C4">
        <w:rPr>
          <w:highlight w:val="green"/>
        </w:rPr>
        <w:fldChar w:fldCharType="begin"/>
      </w:r>
      <w:r w:rsidRPr="003047C4">
        <w:rPr>
          <w:highlight w:val="green"/>
          <w:lang w:val="en-US"/>
        </w:rPr>
        <w:instrText xml:space="preserve"> HYPERLINK "https://blooloop.com/features/museum-attendance-diverse-audience/" </w:instrText>
      </w:r>
      <w:r w:rsidRPr="003047C4">
        <w:rPr>
          <w:highlight w:val="green"/>
        </w:rPr>
        <w:fldChar w:fldCharType="separate"/>
      </w:r>
      <w:r w:rsidR="00702BE2" w:rsidRPr="003047C4">
        <w:rPr>
          <w:rStyle w:val="Hipervnculo"/>
          <w:rFonts w:asciiTheme="majorHAnsi" w:hAnsiTheme="majorHAnsi"/>
          <w:color w:val="auto"/>
          <w:sz w:val="24"/>
          <w:szCs w:val="24"/>
          <w:highlight w:val="green"/>
          <w:lang w:val="en-US"/>
        </w:rPr>
        <w:t>https://blooloop.com/features/museum-attendance-diverse-audience/</w:t>
      </w:r>
      <w:r w:rsidRPr="003047C4">
        <w:rPr>
          <w:rStyle w:val="Hipervnculo"/>
          <w:rFonts w:asciiTheme="majorHAnsi" w:hAnsiTheme="majorHAnsi"/>
          <w:color w:val="auto"/>
          <w:sz w:val="24"/>
          <w:szCs w:val="24"/>
          <w:highlight w:val="green"/>
          <w:lang w:val="en-US"/>
        </w:rPr>
        <w:fldChar w:fldCharType="end"/>
      </w:r>
    </w:p>
    <w:p w:rsidR="00702BE2" w:rsidRPr="003A0943" w:rsidRDefault="00702BE2" w:rsidP="00702BE2">
      <w:pPr>
        <w:rPr>
          <w:rFonts w:asciiTheme="majorHAnsi" w:hAnsiTheme="majorHAnsi"/>
          <w:sz w:val="24"/>
          <w:szCs w:val="24"/>
          <w:lang w:val="en-US"/>
        </w:rPr>
      </w:pPr>
    </w:p>
    <w:p w:rsidR="00702BE2" w:rsidRPr="003A0943" w:rsidRDefault="00702BE2" w:rsidP="00702BE2">
      <w:pPr>
        <w:rPr>
          <w:rFonts w:asciiTheme="majorHAnsi" w:hAnsiTheme="majorHAnsi"/>
          <w:sz w:val="24"/>
          <w:szCs w:val="24"/>
          <w:lang w:val="en-US"/>
        </w:rPr>
      </w:pPr>
    </w:p>
    <w:p w:rsidR="00702BE2" w:rsidRPr="003047C4" w:rsidRDefault="003A0943" w:rsidP="003A0943">
      <w:pPr>
        <w:pStyle w:val="Ttulo1"/>
        <w:numPr>
          <w:ilvl w:val="0"/>
          <w:numId w:val="1"/>
        </w:numPr>
        <w:shd w:val="clear" w:color="auto" w:fill="FFFFFF"/>
        <w:spacing w:before="0" w:beforeAutospacing="0" w:after="240" w:afterAutospacing="0" w:line="312" w:lineRule="atLeast"/>
        <w:rPr>
          <w:rFonts w:asciiTheme="majorHAnsi" w:hAnsiTheme="majorHAnsi" w:cs="Arial"/>
          <w:b w:val="0"/>
          <w:caps/>
          <w:sz w:val="24"/>
          <w:szCs w:val="24"/>
          <w:highlight w:val="green"/>
          <w:lang w:val="en-US"/>
        </w:rPr>
      </w:pPr>
      <w:r w:rsidRPr="003047C4">
        <w:rPr>
          <w:rFonts w:asciiTheme="majorHAnsi" w:hAnsiTheme="majorHAnsi" w:cs="Arial"/>
          <w:b w:val="0"/>
          <w:sz w:val="24"/>
          <w:szCs w:val="24"/>
          <w:highlight w:val="green"/>
          <w:lang w:val="en-US"/>
        </w:rPr>
        <w:t xml:space="preserve">Factors in </w:t>
      </w:r>
      <w:proofErr w:type="spellStart"/>
      <w:proofErr w:type="gramStart"/>
      <w:r w:rsidRPr="003047C4">
        <w:rPr>
          <w:rFonts w:asciiTheme="majorHAnsi" w:hAnsiTheme="majorHAnsi" w:cs="Arial"/>
          <w:b w:val="0"/>
          <w:sz w:val="24"/>
          <w:szCs w:val="24"/>
          <w:highlight w:val="green"/>
          <w:lang w:val="en-US"/>
        </w:rPr>
        <w:t>canadians</w:t>
      </w:r>
      <w:proofErr w:type="gramEnd"/>
      <w:r w:rsidRPr="003047C4">
        <w:rPr>
          <w:rFonts w:asciiTheme="majorHAnsi" w:hAnsiTheme="majorHAnsi" w:cs="Arial"/>
          <w:b w:val="0"/>
          <w:sz w:val="24"/>
          <w:szCs w:val="24"/>
          <w:highlight w:val="green"/>
          <w:lang w:val="en-US"/>
        </w:rPr>
        <w:t>’</w:t>
      </w:r>
      <w:proofErr w:type="spellEnd"/>
      <w:r w:rsidRPr="003047C4">
        <w:rPr>
          <w:rFonts w:asciiTheme="majorHAnsi" w:hAnsiTheme="majorHAnsi" w:cs="Arial"/>
          <w:b w:val="0"/>
          <w:sz w:val="24"/>
          <w:szCs w:val="24"/>
          <w:highlight w:val="green"/>
          <w:lang w:val="en-US"/>
        </w:rPr>
        <w:t xml:space="preserve"> arts attendance in</w:t>
      </w:r>
      <w:r w:rsidR="00702BE2" w:rsidRPr="003047C4">
        <w:rPr>
          <w:rFonts w:asciiTheme="majorHAnsi" w:hAnsiTheme="majorHAnsi" w:cs="Arial"/>
          <w:b w:val="0"/>
          <w:caps/>
          <w:sz w:val="24"/>
          <w:szCs w:val="24"/>
          <w:highlight w:val="green"/>
          <w:lang w:val="en-US"/>
        </w:rPr>
        <w:t xml:space="preserve"> 2010</w:t>
      </w:r>
    </w:p>
    <w:p w:rsidR="003A0943" w:rsidRPr="003047C4" w:rsidRDefault="003A0943" w:rsidP="003A0943">
      <w:pPr>
        <w:shd w:val="clear" w:color="auto" w:fill="FFFFFF"/>
        <w:spacing w:line="240" w:lineRule="auto"/>
        <w:rPr>
          <w:rFonts w:asciiTheme="majorHAnsi" w:eastAsia="Times New Roman" w:hAnsiTheme="majorHAnsi" w:cs="Arial"/>
          <w:i/>
          <w:iCs/>
          <w:sz w:val="24"/>
          <w:szCs w:val="24"/>
          <w:highlight w:val="green"/>
          <w:lang w:val="en-US" w:eastAsia="es-VE"/>
        </w:rPr>
      </w:pPr>
      <w:r w:rsidRPr="003047C4">
        <w:rPr>
          <w:rFonts w:asciiTheme="majorHAnsi" w:eastAsia="Times New Roman" w:hAnsiTheme="majorHAnsi" w:cs="Arial"/>
          <w:i/>
          <w:iCs/>
          <w:sz w:val="24"/>
          <w:szCs w:val="24"/>
          <w:highlight w:val="green"/>
          <w:lang w:val="en-US" w:eastAsia="es-VE"/>
        </w:rPr>
        <w:t>January 14, 2013</w:t>
      </w:r>
    </w:p>
    <w:p w:rsidR="00702BE2" w:rsidRPr="003A0943" w:rsidRDefault="003047C4" w:rsidP="00702BE2">
      <w:pPr>
        <w:rPr>
          <w:rFonts w:asciiTheme="majorHAnsi" w:hAnsiTheme="majorHAnsi"/>
          <w:sz w:val="24"/>
          <w:szCs w:val="24"/>
          <w:lang w:val="en-US"/>
        </w:rPr>
      </w:pPr>
      <w:r w:rsidRPr="003047C4">
        <w:rPr>
          <w:highlight w:val="green"/>
        </w:rPr>
        <w:fldChar w:fldCharType="begin"/>
      </w:r>
      <w:r w:rsidRPr="003047C4">
        <w:rPr>
          <w:highlight w:val="green"/>
          <w:lang w:val="en-US"/>
        </w:rPr>
        <w:instrText xml:space="preserve"> HYPERLINK "https://hillstrategies.com/2013/01/14/factors-in-canadians-arts-attendance-in-2010/" </w:instrText>
      </w:r>
      <w:r w:rsidRPr="003047C4">
        <w:rPr>
          <w:highlight w:val="green"/>
        </w:rPr>
        <w:fldChar w:fldCharType="separate"/>
      </w:r>
      <w:r w:rsidR="00702BE2" w:rsidRPr="003047C4">
        <w:rPr>
          <w:rStyle w:val="Hipervnculo"/>
          <w:rFonts w:asciiTheme="majorHAnsi" w:hAnsiTheme="majorHAnsi"/>
          <w:color w:val="auto"/>
          <w:sz w:val="24"/>
          <w:szCs w:val="24"/>
          <w:highlight w:val="green"/>
          <w:lang w:val="en-US"/>
        </w:rPr>
        <w:t>https://hillstrategies.com/2013/01/14/factors-in-canadians-arts-attendance-in-2010/</w:t>
      </w:r>
      <w:r w:rsidRPr="003047C4">
        <w:rPr>
          <w:rStyle w:val="Hipervnculo"/>
          <w:rFonts w:asciiTheme="majorHAnsi" w:hAnsiTheme="majorHAnsi"/>
          <w:color w:val="auto"/>
          <w:sz w:val="24"/>
          <w:szCs w:val="24"/>
          <w:highlight w:val="green"/>
          <w:lang w:val="en-US"/>
        </w:rPr>
        <w:fldChar w:fldCharType="end"/>
      </w:r>
    </w:p>
    <w:p w:rsidR="00702BE2" w:rsidRPr="003A0943" w:rsidRDefault="00702BE2" w:rsidP="00702BE2">
      <w:pPr>
        <w:rPr>
          <w:rFonts w:asciiTheme="majorHAnsi" w:hAnsiTheme="majorHAnsi"/>
          <w:sz w:val="24"/>
          <w:szCs w:val="24"/>
          <w:lang w:val="en-US"/>
        </w:rPr>
      </w:pPr>
    </w:p>
    <w:p w:rsidR="00702BE2" w:rsidRPr="003A0943" w:rsidRDefault="00702BE2" w:rsidP="00702BE2">
      <w:pPr>
        <w:rPr>
          <w:rFonts w:asciiTheme="majorHAnsi" w:hAnsiTheme="majorHAnsi"/>
          <w:sz w:val="24"/>
          <w:szCs w:val="24"/>
          <w:lang w:val="en-US"/>
        </w:rPr>
      </w:pPr>
    </w:p>
    <w:p w:rsidR="003A0943" w:rsidRPr="003A0943" w:rsidRDefault="003A0943" w:rsidP="003A0943">
      <w:pPr>
        <w:pStyle w:val="Ttulo2"/>
        <w:numPr>
          <w:ilvl w:val="0"/>
          <w:numId w:val="1"/>
        </w:numPr>
        <w:shd w:val="clear" w:color="auto" w:fill="FFFFFF"/>
        <w:spacing w:before="24" w:after="24"/>
        <w:ind w:right="24"/>
        <w:rPr>
          <w:rFonts w:cs="Arial"/>
          <w:color w:val="auto"/>
          <w:sz w:val="24"/>
          <w:szCs w:val="24"/>
          <w:lang w:val="en-US"/>
        </w:rPr>
      </w:pPr>
      <w:r w:rsidRPr="003A0943">
        <w:rPr>
          <w:rFonts w:cs="Arial"/>
          <w:color w:val="auto"/>
          <w:sz w:val="24"/>
          <w:szCs w:val="24"/>
          <w:lang w:val="en-US"/>
        </w:rPr>
        <w:t>How many Europeans went to a cultural o</w:t>
      </w:r>
      <w:bookmarkStart w:id="0" w:name="_GoBack"/>
      <w:bookmarkEnd w:id="0"/>
      <w:r w:rsidRPr="003A0943">
        <w:rPr>
          <w:rFonts w:cs="Arial"/>
          <w:color w:val="auto"/>
          <w:sz w:val="24"/>
          <w:szCs w:val="24"/>
          <w:lang w:val="en-US"/>
        </w:rPr>
        <w:t>r sports event?</w:t>
      </w:r>
    </w:p>
    <w:p w:rsidR="003A0943" w:rsidRPr="003A0943" w:rsidRDefault="003A0943" w:rsidP="003A0943">
      <w:pPr>
        <w:shd w:val="clear" w:color="auto" w:fill="FFFFFF"/>
        <w:spacing w:line="240" w:lineRule="auto"/>
        <w:rPr>
          <w:rFonts w:asciiTheme="majorHAnsi" w:eastAsia="Times New Roman" w:hAnsiTheme="majorHAnsi" w:cs="Arial"/>
          <w:i/>
          <w:iCs/>
          <w:sz w:val="24"/>
          <w:szCs w:val="24"/>
          <w:lang w:val="en-US" w:eastAsia="es-VE"/>
        </w:rPr>
      </w:pPr>
      <w:r w:rsidRPr="003A0943">
        <w:rPr>
          <w:rFonts w:asciiTheme="majorHAnsi" w:eastAsia="Times New Roman" w:hAnsiTheme="majorHAnsi" w:cs="Arial"/>
          <w:i/>
          <w:iCs/>
          <w:sz w:val="24"/>
          <w:szCs w:val="24"/>
          <w:lang w:val="en-US" w:eastAsia="es-VE"/>
        </w:rPr>
        <w:t>11/07/2017</w:t>
      </w:r>
    </w:p>
    <w:p w:rsidR="003A0943" w:rsidRPr="0086793E" w:rsidRDefault="003047C4" w:rsidP="00702BE2">
      <w:pPr>
        <w:rPr>
          <w:rStyle w:val="Hipervnculo"/>
          <w:rFonts w:asciiTheme="majorHAnsi" w:hAnsiTheme="majorHAnsi"/>
          <w:color w:val="auto"/>
          <w:sz w:val="24"/>
          <w:szCs w:val="24"/>
          <w:lang w:val="en-US"/>
        </w:rPr>
      </w:pPr>
      <w:r>
        <w:fldChar w:fldCharType="begin"/>
      </w:r>
      <w:r w:rsidRPr="003047C4">
        <w:rPr>
          <w:lang w:val="en-US"/>
        </w:rPr>
        <w:instrText xml:space="preserve"> HYPERLINK "https://ec.europa.eu/eurostat/web/products-eurostat-news/-/DDN-20170711-1" </w:instrText>
      </w:r>
      <w:r>
        <w:fldChar w:fldCharType="separate"/>
      </w:r>
      <w:r w:rsidR="003A0943" w:rsidRPr="0086793E">
        <w:rPr>
          <w:rStyle w:val="Hipervnculo"/>
          <w:rFonts w:asciiTheme="majorHAnsi" w:hAnsiTheme="majorHAnsi"/>
          <w:color w:val="auto"/>
          <w:sz w:val="24"/>
          <w:szCs w:val="24"/>
          <w:lang w:val="en-US"/>
        </w:rPr>
        <w:t>https://ec.europa.eu/eurostat/web/products-eurostat-news/-/DDN-20170711-1</w:t>
      </w:r>
      <w:r>
        <w:rPr>
          <w:rStyle w:val="Hipervnculo"/>
          <w:rFonts w:asciiTheme="majorHAnsi" w:hAnsiTheme="majorHAnsi"/>
          <w:color w:val="auto"/>
          <w:sz w:val="24"/>
          <w:szCs w:val="24"/>
          <w:lang w:val="en-US"/>
        </w:rPr>
        <w:fldChar w:fldCharType="end"/>
      </w:r>
      <w:r w:rsidR="0086793E" w:rsidRPr="0086793E">
        <w:rPr>
          <w:rStyle w:val="Hipervnculo"/>
          <w:rFonts w:asciiTheme="majorHAnsi" w:hAnsiTheme="majorHAnsi"/>
          <w:color w:val="auto"/>
          <w:sz w:val="24"/>
          <w:szCs w:val="24"/>
          <w:lang w:val="en-US"/>
        </w:rPr>
        <w:t xml:space="preserve"> to</w:t>
      </w:r>
    </w:p>
    <w:p w:rsidR="0086793E" w:rsidRPr="0086793E" w:rsidRDefault="0086793E" w:rsidP="00702BE2">
      <w:pPr>
        <w:rPr>
          <w:rStyle w:val="Hipervnculo"/>
          <w:rFonts w:asciiTheme="majorHAnsi" w:hAnsiTheme="majorHAnsi"/>
          <w:color w:val="auto"/>
          <w:sz w:val="24"/>
          <w:szCs w:val="24"/>
          <w:lang w:val="en-US"/>
        </w:rPr>
      </w:pPr>
    </w:p>
    <w:p w:rsidR="0086793E" w:rsidRPr="0086793E" w:rsidRDefault="0086793E" w:rsidP="00702BE2">
      <w:pPr>
        <w:rPr>
          <w:rStyle w:val="Hipervnculo"/>
          <w:rFonts w:asciiTheme="majorHAnsi" w:hAnsiTheme="majorHAnsi"/>
          <w:color w:val="auto"/>
          <w:sz w:val="24"/>
          <w:szCs w:val="24"/>
        </w:rPr>
      </w:pPr>
      <w:r w:rsidRPr="0086793E">
        <w:rPr>
          <w:rStyle w:val="Hipervnculo"/>
          <w:rFonts w:asciiTheme="majorHAnsi" w:hAnsiTheme="majorHAnsi"/>
          <w:color w:val="auto"/>
          <w:sz w:val="24"/>
          <w:szCs w:val="24"/>
        </w:rPr>
        <w:t>Antecedentes</w:t>
      </w:r>
    </w:p>
    <w:p w:rsidR="0086793E" w:rsidRDefault="0086793E" w:rsidP="00702BE2">
      <w:pPr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</w:pPr>
      <w:r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>El tema de incremento de la</w:t>
      </w:r>
      <w:r w:rsidRPr="0086793E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 participaci</w:t>
      </w:r>
      <w:r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ón cultural forma parte de las políticas públicas de diversos países e </w:t>
      </w:r>
      <w:r w:rsidR="00886285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incluso de </w:t>
      </w:r>
      <w:r w:rsidR="00EF0D73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las propias </w:t>
      </w:r>
      <w:r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>instituciones.</w:t>
      </w:r>
      <w:r w:rsidR="00E96A98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 Diversas razones, algunas veces muy interrelacionadas, son esgrimidas para diseñar estrategias que fomenten la participación, tanto como audiencia como actores:</w:t>
      </w:r>
    </w:p>
    <w:p w:rsidR="00E96A98" w:rsidRDefault="00E96A98" w:rsidP="00702BE2">
      <w:pPr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</w:pPr>
      <w:r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La </w:t>
      </w:r>
      <w:r w:rsidRPr="00E96A98">
        <w:rPr>
          <w:rStyle w:val="Hipervnculo"/>
          <w:rFonts w:asciiTheme="majorHAnsi" w:hAnsiTheme="majorHAnsi"/>
          <w:b/>
          <w:color w:val="auto"/>
          <w:sz w:val="24"/>
          <w:szCs w:val="24"/>
          <w:u w:val="none"/>
        </w:rPr>
        <w:t>sostenibilidad económica</w:t>
      </w:r>
      <w:r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 de las instituciones culturales: una mayor audiencia asegura los ingresos necesarios para mantener o ampliar la oferta de servicios y productos culturales.</w:t>
      </w:r>
    </w:p>
    <w:p w:rsidR="00E96A98" w:rsidRDefault="00E96A98" w:rsidP="00702BE2">
      <w:pPr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</w:pPr>
      <w:r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La </w:t>
      </w:r>
      <w:r w:rsidRPr="002332D1">
        <w:rPr>
          <w:rStyle w:val="Hipervnculo"/>
          <w:rFonts w:asciiTheme="majorHAnsi" w:hAnsiTheme="majorHAnsi"/>
          <w:b/>
          <w:color w:val="auto"/>
          <w:sz w:val="24"/>
          <w:szCs w:val="24"/>
          <w:u w:val="none"/>
        </w:rPr>
        <w:t>inclusión social</w:t>
      </w:r>
      <w:r w:rsidR="002332D1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>. En naciones occidentales la asistencia a determinados eventos culturales,</w:t>
      </w:r>
      <w:r w:rsidR="004944FA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 como conciertos y salones de arte,</w:t>
      </w:r>
      <w:r w:rsidR="002332D1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 proviene principalmente de personas </w:t>
      </w:r>
      <w:r w:rsidR="002D106F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>provenientes de hogares con holgados niveles de ingresos</w:t>
      </w:r>
      <w:r w:rsidR="002332D1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. </w:t>
      </w:r>
      <w:r w:rsidR="004944FA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>D</w:t>
      </w:r>
      <w:r w:rsidR="002332D1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e modo que </w:t>
      </w:r>
      <w:r w:rsidR="00EF0D73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se </w:t>
      </w:r>
      <w:r w:rsidR="002332D1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trazan estrategias para atraer a personas de </w:t>
      </w:r>
      <w:r w:rsidR="002D106F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menores ingresos </w:t>
      </w:r>
      <w:r w:rsidR="004944FA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y </w:t>
      </w:r>
      <w:r w:rsidR="000D3E5F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las instituciones </w:t>
      </w:r>
      <w:r w:rsidR="004944FA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>se involucra</w:t>
      </w:r>
      <w:r w:rsidR="002332D1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n de manera </w:t>
      </w:r>
      <w:r w:rsidR="00D50C1B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>más cercana co</w:t>
      </w:r>
      <w:r w:rsidR="000D3E5F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n las comunidades ofreciéndoles actividades más </w:t>
      </w:r>
      <w:proofErr w:type="gramStart"/>
      <w:r w:rsidR="000D3E5F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atractivas </w:t>
      </w:r>
      <w:r w:rsidR="004944FA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>.</w:t>
      </w:r>
      <w:proofErr w:type="gramEnd"/>
      <w:r w:rsidR="004944FA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 </w:t>
      </w:r>
    </w:p>
    <w:p w:rsidR="00DD34F6" w:rsidRDefault="004944FA" w:rsidP="00702BE2">
      <w:pPr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</w:pPr>
      <w:r w:rsidRPr="004944FA">
        <w:rPr>
          <w:rStyle w:val="Hipervnculo"/>
          <w:rFonts w:asciiTheme="majorHAnsi" w:hAnsiTheme="majorHAnsi"/>
          <w:b/>
          <w:color w:val="auto"/>
          <w:sz w:val="24"/>
          <w:szCs w:val="24"/>
          <w:u w:val="none"/>
        </w:rPr>
        <w:t>Integración cultural</w:t>
      </w:r>
      <w:r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: </w:t>
      </w:r>
      <w:r w:rsidR="000D3E5F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>También se observa que l</w:t>
      </w:r>
      <w:r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>a asistencia a exposiciones en museos, proviene principalmente de personas descendientes de europeos</w:t>
      </w:r>
      <w:r w:rsidR="000D3E5F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>.</w:t>
      </w:r>
      <w:r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 El progresivo cambio en </w:t>
      </w:r>
      <w:r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lastRenderedPageBreak/>
        <w:t>la composición étnica de la población reduce a mediano y largo plazo, la audiencia, los ingresos y hasta la razón de ser de dicha instituciones, de modo que se trazan estrategias para atraer a personas de otros grupos étnicos, provenientes de emigrantes y refugiados. Para e</w:t>
      </w:r>
      <w:r w:rsidR="000D3E5F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llo varían su personal y oferta y </w:t>
      </w:r>
      <w:r w:rsidR="00DD34F6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>ciertas naciones</w:t>
      </w:r>
      <w:r w:rsidR="00763642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>, como Australia,</w:t>
      </w:r>
      <w:r w:rsidR="00DD34F6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 se interesan por la integración cultural plena de inmigrantes y refugiados, conduc</w:t>
      </w:r>
      <w:r w:rsidR="000D3E5F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>i</w:t>
      </w:r>
      <w:r w:rsidR="00DD34F6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>en</w:t>
      </w:r>
      <w:r w:rsidR="000D3E5F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>do</w:t>
      </w:r>
      <w:r w:rsidR="00DD34F6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 estudios </w:t>
      </w:r>
      <w:r w:rsidR="0082704E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sistemáticos </w:t>
      </w:r>
      <w:r w:rsidR="00DD34F6"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 xml:space="preserve">para analizar los posibles obstáculos y tratar de reducirlos o eliminarlos. </w:t>
      </w:r>
    </w:p>
    <w:p w:rsidR="0062059E" w:rsidRPr="0062059E" w:rsidRDefault="0062059E" w:rsidP="00702BE2">
      <w:r w:rsidRPr="0062059E">
        <w:rPr>
          <w:rStyle w:val="Hipervnculo"/>
          <w:rFonts w:asciiTheme="majorHAnsi" w:hAnsiTheme="majorHAnsi"/>
          <w:b/>
          <w:color w:val="auto"/>
          <w:sz w:val="24"/>
          <w:szCs w:val="24"/>
          <w:u w:val="none"/>
        </w:rPr>
        <w:t>Expectativa de vida y Bienestar social</w:t>
      </w:r>
      <w:r>
        <w:rPr>
          <w:rStyle w:val="Hipervnculo"/>
          <w:rFonts w:asciiTheme="majorHAnsi" w:hAnsiTheme="majorHAnsi"/>
          <w:b/>
          <w:color w:val="auto"/>
          <w:sz w:val="24"/>
          <w:szCs w:val="24"/>
          <w:u w:val="none"/>
        </w:rPr>
        <w:t xml:space="preserve">. </w:t>
      </w:r>
      <w:r>
        <w:rPr>
          <w:rStyle w:val="Hipervnculo"/>
          <w:rFonts w:asciiTheme="majorHAnsi" w:hAnsiTheme="majorHAnsi"/>
          <w:color w:val="auto"/>
          <w:sz w:val="24"/>
          <w:szCs w:val="24"/>
          <w:u w:val="none"/>
        </w:rPr>
        <w:t>Ciertas naciones han encontrado una correlación positiva entre la expectativa de vida y la sensación de bienestar de las personas y su participación en actividades culturales. De allí el interés por promover y facilitar a sus ciudadanos el acceso a los bienes y servicios culturales.</w:t>
      </w:r>
    </w:p>
    <w:sectPr w:rsidR="0062059E" w:rsidRPr="00620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0117B"/>
    <w:multiLevelType w:val="hybridMultilevel"/>
    <w:tmpl w:val="98964F1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E2"/>
    <w:rsid w:val="000B3CF8"/>
    <w:rsid w:val="000D3E5F"/>
    <w:rsid w:val="002332D1"/>
    <w:rsid w:val="00252273"/>
    <w:rsid w:val="002D106F"/>
    <w:rsid w:val="003047C4"/>
    <w:rsid w:val="003A0943"/>
    <w:rsid w:val="00443722"/>
    <w:rsid w:val="004944FA"/>
    <w:rsid w:val="004A3165"/>
    <w:rsid w:val="0062059E"/>
    <w:rsid w:val="00702BE2"/>
    <w:rsid w:val="00763642"/>
    <w:rsid w:val="0082704E"/>
    <w:rsid w:val="0086793E"/>
    <w:rsid w:val="00886285"/>
    <w:rsid w:val="00D50C1B"/>
    <w:rsid w:val="00D973CE"/>
    <w:rsid w:val="00DB22AD"/>
    <w:rsid w:val="00DD34F6"/>
    <w:rsid w:val="00E96A98"/>
    <w:rsid w:val="00EF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546A50-4E61-4D45-8851-4B52B9A3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02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0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02BE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02BE2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styleId="nfasis">
    <w:name w:val="Emphasis"/>
    <w:basedOn w:val="Fuentedeprrafopredeter"/>
    <w:uiPriority w:val="20"/>
    <w:qFormat/>
    <w:rsid w:val="00702BE2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09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A0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8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Ancidey</dc:creator>
  <cp:keywords/>
  <dc:description/>
  <cp:lastModifiedBy>Bernardo</cp:lastModifiedBy>
  <cp:revision>16</cp:revision>
  <dcterms:created xsi:type="dcterms:W3CDTF">2019-10-16T20:48:00Z</dcterms:created>
  <dcterms:modified xsi:type="dcterms:W3CDTF">2020-01-19T19:26:00Z</dcterms:modified>
</cp:coreProperties>
</file>