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dyText2"/>
      </w:pPr>
      <w:r>
        <w:br/>
        <w:br/>
        <w:br/>
      </w:r>
    </w:p>
    <w:p>
      <w:pPr>
        <w:pStyle w:val="DocTitle"/>
      </w:pPr>
      <w:r>
        <w:t>BANDaid</w:t>
      </w:r>
    </w:p>
    <w:p>
      <w:pPr>
        <w:pStyle w:val="DocSubtitle"/>
      </w:pPr>
      <w:r>
        <w:t>BANDaid Klientenmanagement-System</w:t>
      </w:r>
    </w:p>
    <w:p>
      <w:pPr>
        <w:pStyle w:val="BodyText2"/>
      </w:pPr>
    </w:p>
    <w:p>
      <w:pPr>
        <w:pStyle w:val="DocSubtitle"/>
      </w:pPr>
      <w:r>
        <w:t>Context Engineering Dokument</w:t>
      </w:r>
    </w:p>
    <w:p>
      <w:pPr>
        <w:pStyle w:val="BodyText2"/>
      </w:pPr>
    </w:p>
    <w:p>
      <w:pPr>
        <w:pStyle w:val="DocSubtitle"/>
      </w:pPr>
      <w:r>
        <w:rPr>
          <w:b/>
        </w:rPr>
        <w:t>Version 1.1.3</w:t>
      </w:r>
    </w:p>
    <w:p>
      <w:pPr>
        <w:pStyle w:val="BodyText2"/>
      </w:pPr>
    </w:p>
    <w:p>
      <w:pPr>
        <w:pStyle w:val="BodyText2"/>
        <w:jc w:val="center"/>
      </w:pPr>
      <w:r>
        <w:t>Stand: 12.05.2026</w:t>
      </w:r>
    </w:p>
    <w:p>
      <w:pPr>
        <w:pStyle w:val="BodyText2"/>
      </w:pPr>
    </w:p>
    <w:p>
      <w:pPr>
        <w:pStyle w:val="BodyText2"/>
        <w:jc w:val="center"/>
      </w:pPr>
      <w:r>
        <w:t>Klassifikation: Intern / Vertraulich</w:t>
      </w:r>
    </w:p>
    <w:p>
      <w:r>
        <w:br w:type="page"/>
      </w:r>
    </w:p>
    <w:p>
      <w:pPr>
        <w:pStyle w:val="SectionHead"/>
      </w:pPr>
      <w:r>
        <w:t>Versionsverlauf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701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Datum</w:t>
            </w:r>
          </w:p>
        </w:tc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Autor</w:t>
            </w:r>
          </w:p>
        </w:tc>
        <w:tc>
          <w:tcPr>
            <w:tcW w:type="dxa" w:w="3969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Änderung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1.0.0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12.05.2026</w:t>
            </w:r>
          </w:p>
        </w:tc>
        <w:tc>
          <w:tcPr>
            <w:tcW w:type="dxa" w:w="2268"/>
          </w:tcPr>
          <w:p>
            <w:r>
              <w:t>System (BANDaid)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Initiale Erstellung – Vollständiger Context-Katalog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1.1.0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12.05.2026</w:t>
            </w:r>
          </w:p>
        </w:tc>
        <w:tc>
          <w:tcPr>
            <w:tcW w:type="dxa" w:w="2351"/>
          </w:tcPr>
          <w:p>
            <w:r>
              <w:t>System (BANDaid)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v2.3: Passwort-zurücksetzen-Feature (Forgot Password) mit Token-basiertem Reset, E-Mail-Benachrichtigung und Passwort-Validierung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1.1.1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12.05.2026</w:t>
            </w:r>
          </w:p>
        </w:tc>
        <w:tc>
          <w:tcPr>
            <w:tcW w:type="dxa" w:w="2351"/>
          </w:tcPr>
          <w:p>
            <w:r>
              <w:t>System (BANDaid)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v2.3.1: Sicherheitsprüfung &amp; Clean Code – SEC-010/011/012 + CC-001/002/003/004</w:t>
            </w:r>
          </w:p>
        </w:tc>
      </w:tr>
      <w:tr>
        <w:tc>
          <w:tcPr>
            <w:tcW w:type="dxa" w:w="2351"/>
          </w:tcPr>
          <w:p>
            <w:r>
              <w:rPr/>
              <w:t>1.1.2</w:t>
            </w:r>
          </w:p>
        </w:tc>
        <w:tc>
          <w:tcPr>
            <w:tcW w:type="dxa" w:w="2351"/>
          </w:tcPr>
          <w:p>
            <w:r>
              <w:rPr/>
              <w:t>12.05.2026</w:t>
            </w:r>
          </w:p>
        </w:tc>
        <w:tc>
          <w:tcPr>
            <w:tcW w:type="dxa" w:w="2351"/>
          </w:tcPr>
          <w:p>
            <w:r>
              <w:rPr/>
              <w:t>System (BANDaid)</w:t>
            </w:r>
          </w:p>
        </w:tc>
        <w:tc>
          <w:tcPr>
            <w:tcW w:type="dxa" w:w="2351"/>
          </w:tcPr>
          <w:p>
            <w:r>
              <w:rPr/>
              <w:t>v2.4: Umbenennung BAND-Aid → BANDaid (Branding-Konsistenz über gesamte Applikation), Bugfix Badge-Kontrast (getStatusColor)</w:t>
            </w:r>
          </w:p>
        </w:tc>
      </w:tr>
      <w:tr>
        <w:tc>
          <w:tcPr>
            <w:tcW w:type="dxa" w:w="2351"/>
          </w:tcPr>
          <w:p>
            <w:r>
              <w:t>1.1.3</w:t>
            </w:r>
          </w:p>
        </w:tc>
        <w:tc>
          <w:tcPr>
            <w:tcW w:type="dxa" w:w="2351"/>
          </w:tcPr>
          <w:p>
            <w:r>
              <w:t>12.05.2026</w:t>
            </w:r>
          </w:p>
        </w:tc>
        <w:tc>
          <w:tcPr>
            <w:tcW w:type="dxa" w:w="2351"/>
          </w:tcPr>
          <w:p>
            <w:r>
              <w:t>System (BANDaid)</w:t>
            </w:r>
          </w:p>
        </w:tc>
        <w:tc>
          <w:tcPr>
            <w:tcW w:type="dxa" w:w="2351"/>
          </w:tcPr>
          <w:p>
            <w:r>
              <w:t>v2.5: Visuelles Redesign – BAND-Genossenschaft-Logo auf Loginseite, Pastellfarben-Palette (Teal #3e8f88), alle Hardcoded-Farben migriert</w:t>
            </w:r>
          </w:p>
        </w:tc>
      </w:tr>
      <w:tr>
        <w:tc>
          <w:tcPr>
            <w:tcW w:type="dxa" w:w="2351"/>
          </w:tcPr>
          <w:p>
            <w:r/>
            <w:r>
              <w:rPr/>
              <w:t>1.1.4</w:t>
            </w:r>
          </w:p>
        </w:tc>
        <w:tc>
          <w:tcPr>
            <w:tcW w:type="dxa" w:w="2351"/>
          </w:tcPr>
          <w:p>
            <w:r/>
            <w:r>
              <w:rPr/>
              <w:t>12.05.2026</w:t>
            </w:r>
          </w:p>
        </w:tc>
        <w:tc>
          <w:tcPr>
            <w:tcW w:type="dxa" w:w="2351"/>
          </w:tcPr>
          <w:p>
            <w:r/>
            <w:r>
              <w:rPr/>
              <w:t>System (BANDaid)</w:t>
            </w:r>
          </w:p>
        </w:tc>
        <w:tc>
          <w:tcPr>
            <w:tcW w:type="dxa" w:w="2351"/>
          </w:tcPr>
          <w:p>
            <w:r/>
            <w:r>
              <w:rPr/>
              <w:t>v2.6: Benutzerverwaltung – Lösch-/Bearbeitungsfunktion mit Smart-Delete (Hard-/Soft-Delete), Icon-Buttons und Bestätigungsdialog</w:t>
            </w:r>
          </w:p>
        </w:tc>
      </w:tr>
      <w:tr>
        <w:tc>
          <w:tcPr>
            <w:tcW w:type="dxa" w:w="2351"/>
          </w:tcPr>
          <w:p>
            <w:r/>
            <w:r>
              <w:rPr/>
              <w:t>1.1.5</w:t>
            </w:r>
          </w:p>
        </w:tc>
        <w:tc>
          <w:tcPr>
            <w:tcW w:type="dxa" w:w="2351"/>
          </w:tcPr>
          <w:p>
            <w:r/>
            <w:r>
              <w:rPr/>
              <w:t>12.05.2026</w:t>
            </w:r>
          </w:p>
        </w:tc>
        <w:tc>
          <w:tcPr>
            <w:tcW w:type="dxa" w:w="2351"/>
          </w:tcPr>
          <w:p>
            <w:r/>
            <w:r>
              <w:rPr/>
              <w:t>System (BANDaid)</w:t>
            </w:r>
          </w:p>
        </w:tc>
        <w:tc>
          <w:tcPr>
            <w:tcW w:type="dxa" w:w="2351"/>
          </w:tcPr>
          <w:p>
            <w:r/>
            <w:r>
              <w:rPr/>
              <w:t>v2.7: Rollendefinitionen – Fallmanager→Fachperson Berufliche Integration, Einsatzplaner→Sachbearbeiter:in Vermittlung, Teamleitung→Lead Link, Buchhalter komplett entfernt</w:t>
            </w:r>
          </w:p>
        </w:tc>
      </w:tr>
      <w:tr>
        <w:tc>
          <w:tcPr>
            <w:tcW w:type="dxa" w:w="2351"/>
          </w:tcPr>
          <w:p>
            <w:r/>
            <w:r>
              <w:rPr/>
              <w:t>1.1.7</w:t>
            </w:r>
          </w:p>
        </w:tc>
        <w:tc>
          <w:tcPr>
            <w:tcW w:type="dxa" w:w="2351"/>
          </w:tcPr>
          <w:p>
            <w:r/>
            <w:r>
              <w:rPr/>
              <w:t>12.05.2026</w:t>
            </w:r>
          </w:p>
        </w:tc>
        <w:tc>
          <w:tcPr>
            <w:tcW w:type="dxa" w:w="2351"/>
          </w:tcPr>
          <w:p>
            <w:r/>
            <w:r>
              <w:rPr/>
              <w:t>System (BANDaid)</w:t>
            </w:r>
          </w:p>
        </w:tc>
        <w:tc>
          <w:tcPr>
            <w:tcW w:type="dxa" w:w="2351"/>
          </w:tcPr>
          <w:p>
            <w:r/>
            <w:r>
              <w:rPr/>
              <w:t>v2.8: Firmeneinstellungen – Neue Entität Firma (Singleton) unter Einstellungen: Firmenname, Adresse, Kontaktdaten, App-Name, Logo-Upload (S3)</w:t>
            </w:r>
          </w:p>
        </w:tc>
      </w:tr>
      <w:tr>
        <w:tc>
          <w:tcPr>
            <w:tcW w:type="dxa" w:w="2351"/>
          </w:tcPr>
          <w:p>
            <w:r/>
            <w:r>
              <w:rPr/>
              <w:t>1.1.8</w:t>
            </w:r>
          </w:p>
        </w:tc>
        <w:tc>
          <w:tcPr>
            <w:tcW w:type="dxa" w:w="2351"/>
          </w:tcPr>
          <w:p>
            <w:r/>
            <w:r>
              <w:rPr/>
              <w:t>12.05.2026</w:t>
            </w:r>
          </w:p>
        </w:tc>
        <w:tc>
          <w:tcPr>
            <w:tcW w:type="dxa" w:w="2351"/>
          </w:tcPr>
          <w:p>
            <w:r/>
            <w:r>
              <w:rPr/>
              <w:t>System (BANDaid)</w:t>
            </w:r>
          </w:p>
        </w:tc>
        <w:tc>
          <w:tcPr>
            <w:tcW w:type="dxa" w:w="2351"/>
          </w:tcPr>
          <w:p>
            <w:r/>
            <w:r>
              <w:rPr/>
              <w:t>v2.8.1: Einstellungen-Untermenü alphabetisch sortiert, Firmeneinstellungen an erster Position</w:t>
            </w:r>
          </w:p>
        </w:tc>
      </w:tr>
    </w:tbl>
    <w:p>
      <w:pPr>
        <w:pStyle w:val="BodyText2"/>
      </w:pPr>
    </w:p>
    <w:p>
      <w:pPr>
        <w:pStyle w:val="SectionHead"/>
      </w:pPr>
      <w:r>
        <w:t>1. Einleitung &amp; Zweck</w:t>
      </w:r>
    </w:p>
    <w:p>
      <w:pPr>
        <w:pStyle w:val="BodyText2"/>
      </w:pPr>
      <w:r>
        <w:t>Dieses Dokument beschreibt den systematischen Context-Engineering-Ansatz für das BANDaid-Projekt. Context Engineering umfasst die strukturierte Erfassung, Verwaltung und Versionierung aller kontextuellen Informationen, die für die konsistente Weiterentwicklung des Systems erforderlich sind.</w:t>
      </w:r>
    </w:p>
    <w:p>
      <w:pPr>
        <w:pStyle w:val="BodyText2"/>
      </w:pPr>
      <w:r>
        <w:t>Der Context bildet das «Gedächtnis» des Entwicklungsprozesses und stellt sicher, dass Architekturentscheidungen, Designprinzipien, Namenskonventionen und Domänenwissen über mehrere Entwicklungszyklen hinweg erhalten bleiben.</w:t>
      </w:r>
    </w:p>
    <w:p>
      <w:pPr>
        <w:pStyle w:val="SectionHead"/>
      </w:pPr>
      <w:r>
        <w:t>2. Projektidentität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Eigenschaft</w:t>
            </w:r>
          </w:p>
        </w:tc>
        <w:tc>
          <w:tcPr>
            <w:tcW w:type="dxa" w:w="6520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Wert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Projektname</w:t>
            </w:r>
          </w:p>
        </w:tc>
        <w:tc>
          <w:tcPr>
            <w:tcW w:type="dxa" w:w="6520"/>
          </w:tcPr>
          <w:p>
            <w:r>
              <w:rPr/>
              <w:t>BANDaid – Klientenmanagement-System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Organisation</w:t>
            </w:r>
          </w:p>
        </w:tc>
        <w:tc>
          <w:tcPr>
            <w:tcW w:type="dxa" w:w="6520"/>
          </w:tcPr>
          <w:p>
            <w:r>
              <w:t>BANDaid (Schweiz)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Typ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Webbasiertes Fachverfahren / Case-Management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Aktuelle Version</w:t>
            </w:r>
          </w:p>
        </w:tc>
        <w:tc>
          <w:tcPr>
            <w:tcW w:type="dxa" w:w="6520"/>
          </w:tcPr>
          <w:p>
            <w:r/>
            <w:r>
              <w:rPr/>
              <w:t>v2.8.1 (Einstellungen-Navigation sortiert)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Deployment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bandkms.abacusai.app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Sprache (UI)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Deutsch (Schweizer Kontext)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Sprache (Code)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Englisch (Variablen), Deutsch (Domänenbegriffe)</w:t>
            </w:r>
          </w:p>
        </w:tc>
      </w:tr>
    </w:tbl>
    <w:p>
      <w:pPr>
        <w:pStyle w:val="SectionHead"/>
      </w:pPr>
      <w:r>
        <w:t>3. Domänenkontext</w:t>
      </w:r>
    </w:p>
    <w:p>
      <w:pPr>
        <w:pStyle w:val="BodyText2"/>
      </w:pPr>
      <w:r>
        <w:t>BANDaid bildet den vollständigen Case-Management-Prozess für die berufliche Integration ab. Die Kerndomäne umfasst folgende fachliche Bereiche:</w:t>
      </w:r>
    </w:p>
    <w:p>
      <w:pPr>
        <w:pStyle w:val="SubHead"/>
      </w:pPr>
      <w:r>
        <w:t>3.1 Fachliche Module</w:t>
      </w:r>
    </w:p>
    <w:p>
      <w:pPr>
        <w:pStyle w:val="BulletItem"/>
      </w:pPr>
      <w:r>
        <w:rPr>
          <w:b/>
        </w:rPr>
        <w:t xml:space="preserve">• Klientenverwaltung: </w:t>
      </w:r>
      <w:r>
        <w:t>Zentrale Stammdaten von Klienten mit SV-Nummer, Adresse, Kostenträger, Notfallkontakt und Diagnosen.</w:t>
      </w:r>
    </w:p>
    <w:p>
      <w:pPr>
        <w:pStyle w:val="BulletItem"/>
      </w:pPr>
      <w:r>
        <w:rPr>
          <w:b/>
        </w:rPr>
        <w:t xml:space="preserve">• Intake-Prozess: </w:t>
      </w:r>
      <w:r>
        <w:t>Strukturierter Aufnahme-Workflow mit Checkliste, Zuweiser und Status-Tracking.</w:t>
      </w:r>
    </w:p>
    <w:p>
      <w:pPr>
        <w:pStyle w:val="BulletItem"/>
      </w:pPr>
      <w:r>
        <w:rPr>
          <w:b/>
        </w:rPr>
        <w:t xml:space="preserve">• Einsatzplanung: </w:t>
      </w:r>
      <w:r>
        <w:t>Zuordnung von Klienten zu Arbeitsplätzen mit Zeitblöcken (MO–SO), betreuender Person und Berufsbild.</w:t>
      </w:r>
    </w:p>
    <w:p>
      <w:pPr>
        <w:pStyle w:val="BulletItem"/>
      </w:pPr>
      <w:r>
        <w:rPr>
          <w:b/>
        </w:rPr>
        <w:t xml:space="preserve">• Berufsbilder: </w:t>
      </w:r>
      <w:r>
        <w:t>Katalog beruflicher Profile mit Branchen, Kompetenzen und Arbeitsplatz-Zuordnung (M:N).</w:t>
      </w:r>
    </w:p>
    <w:p>
      <w:pPr>
        <w:pStyle w:val="BulletItem"/>
      </w:pPr>
      <w:r>
        <w:rPr>
          <w:b/>
        </w:rPr>
        <w:t xml:space="preserve">• Berichtswesen: </w:t>
      </w:r>
      <w:r>
        <w:t>Erstellung von Berichten anhand von Vorlagen (HTML/DOCX), gegliedert nach Berichtsarten.</w:t>
      </w:r>
    </w:p>
    <w:p>
      <w:pPr>
        <w:pStyle w:val="BulletItem"/>
      </w:pPr>
      <w:r>
        <w:rPr>
          <w:b/>
        </w:rPr>
        <w:t xml:space="preserve">• Abrechnung: </w:t>
      </w:r>
      <w:r>
        <w:t>Leistungsbasierte Abrechnung mit mehrstufigem Freigabe-Workflow und DATEV-Export.</w:t>
      </w:r>
    </w:p>
    <w:p>
      <w:pPr>
        <w:pStyle w:val="BulletItem"/>
      </w:pPr>
      <w:r>
        <w:rPr>
          <w:b/>
        </w:rPr>
        <w:t xml:space="preserve">• Kontaktverwaltung: </w:t>
      </w:r>
      <w:r>
        <w:t>Personen und Organisationen mit Tagging, Typ-Klassifikation und Klient-Zuordnung.</w:t>
      </w:r>
    </w:p>
    <w:p>
      <w:pPr>
        <w:pStyle w:val="BulletItem"/>
      </w:pPr>
      <w:r>
        <w:rPr>
          <w:b/>
        </w:rPr>
        <w:t xml:space="preserve">• Gespräche (Meetings): </w:t>
      </w:r>
      <w:r>
        <w:t>Dokumentation von Gesprächen mit Transkription, KI-Zusammenfassung und Teilnehmer-Tracking.</w:t>
      </w:r>
    </w:p>
    <w:p>
      <w:pPr>
        <w:pStyle w:val="BulletItem"/>
      </w:pPr>
      <w:r>
        <w:rPr>
          <w:b/>
        </w:rPr>
        <w:t xml:space="preserve">• Meeting-Planer: </w:t>
      </w:r>
      <w:r>
        <w:t>Kalender-basierte Vorausplanung von Meetings mit ICS-Export und Status-Workflow.</w:t>
      </w:r>
    </w:p>
    <w:p>
      <w:pPr>
        <w:pStyle w:val="BulletItem"/>
      </w:pPr>
      <w:r>
        <w:rPr>
          <w:b/>
        </w:rPr>
        <w:t xml:space="preserve">• Workflow-Items: </w:t>
      </w:r>
      <w:r>
        <w:t>Aufgabenverwaltung mit Typ, Priorität, Fälligkeit und Benutzer-Zuweisung.</w:t>
      </w:r>
    </w:p>
    <w:p>
      <w:pPr>
        <w:pStyle w:val="BulletItem"/>
      </w:pPr>
      <w:r>
        <w:rPr>
          <w:b/>
        </w:rPr>
        <w:t xml:space="preserve">• Dashboard: </w:t>
      </w:r>
      <w:r>
        <w:t>KPI-Übersicht mit offenen Workflows pro Bearbeiter.</w:t>
      </w:r>
    </w:p>
    <w:p>
      <w:pPr>
        <w:pStyle w:val="BulletItem"/>
      </w:pPr>
      <w:r>
        <w:rPr>
          <w:b/>
        </w:rPr>
        <w:t xml:space="preserve">• Stammdaten (Einstellungen): </w:t>
      </w:r>
      <w:r>
        <w:t>Dynamische Verwaltung von 14 Kategorien (ehemals Enums) über eine zentrale Lookup-Tabelle.</w:t>
      </w:r>
    </w:p>
    <w:p>
      <w:pPr>
        <w:pStyle w:val="BulletItem"/>
      </w:pPr>
      <w:r>
        <w:rPr>
          <w:b/>
        </w:rPr>
        <w:t>• Benutzerverwaltung: Benutzerkonten mit Rollen-basierter Zugriffskontrolle (RBAC), Passwort-Reset per E-Mail-Token.</w:t>
      </w:r>
      <w:r/>
    </w:p>
    <w:p>
      <w:pPr>
        <w:pStyle w:val="SectionHead"/>
      </w:pPr>
      <w:r>
        <w:t>4. Technologiekontext</w:t>
      </w:r>
    </w:p>
    <w:p>
      <w:pPr>
        <w:pStyle w:val="SubHead"/>
      </w:pPr>
      <w:r>
        <w:t>4.1 Technologie-Stack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Schicht</w:t>
            </w:r>
          </w:p>
        </w:tc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Technologie</w:t>
            </w:r>
          </w:p>
        </w:tc>
        <w:tc>
          <w:tcPr>
            <w:tcW w:type="dxa" w:w="45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 / Details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Framework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Next.js (App Router)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14.x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Sprache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TypeScript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Strict Mode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ORM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Prisma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PostgreSQL Provider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Datenbank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PostgreSQL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Gehostet (Abacus AI)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Authentifizierung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NextAuth.js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Credentials + JWT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UI-Bibliothek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shadcn/ui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Radix UI Primitives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Styling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Tailwind CSS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mit Custom Theme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Icons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Lucide React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Animationen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Framer Motion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Toasts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Sonner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Validierung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Zod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Server + Client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Cloud Storage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AWS S3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Für DOCX-Vorlagen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KI-Integration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OpenAI-kompatible API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Meeting-Zusammenfassungen</w:t>
            </w:r>
          </w:p>
        </w:tc>
      </w:tr>
    </w:tbl>
    <w:p>
      <w:pPr>
        <w:pStyle w:val="SubHead"/>
      </w:pPr>
      <w:r>
        <w:t>4.2 Designprinzipien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Eigenschaft</w:t>
            </w:r>
          </w:p>
        </w:tc>
        <w:tc>
          <w:tcPr>
            <w:tcW w:type="dxa" w:w="6520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Wert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Primärfarbe</w:t>
            </w:r>
          </w:p>
        </w:tc>
        <w:tc>
          <w:tcPr>
            <w:tcW w:type="dxa" w:w="6520"/>
          </w:tcPr>
          <w:p>
            <w:r>
              <w:t>#3e8f88 (BAND Teal – aus Logo)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Akzentfarbe</w:t>
            </w:r>
          </w:p>
        </w:tc>
        <w:tc>
          <w:tcPr>
            <w:tcW w:type="dxa" w:w="6520"/>
          </w:tcPr>
          <w:p>
            <w:r>
              <w:t>#2a6b64 (Dunkel-Teal)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Schriftart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System / Calibri / Inter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Layout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Responsive Sidebar + Content Area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Theming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Dark/Light Mode (next-themes)</w:t>
            </w:r>
          </w:p>
        </w:tc>
      </w:tr>
    </w:tbl>
    <w:p>
      <w:pPr>
        <w:pStyle w:val="SectionHead"/>
      </w:pPr>
      <w:r>
        <w:t>5. Architekturentscheidungen (ADRs)</w:t>
      </w:r>
    </w:p>
    <w:p>
      <w:pPr>
        <w:pStyle w:val="BodyText2"/>
      </w:pPr>
      <w:r>
        <w:t>Die folgenden Entscheidungen sind verbindlich und definieren den architektonischen Rahmen:</w:t>
      </w:r>
    </w:p>
    <w:p>
      <w:pPr>
        <w:pStyle w:val="SubHead"/>
      </w:pPr>
      <w:r>
        <w:t>ADR-001: Stammdaten statt Enums</w:t>
      </w:r>
    </w:p>
    <w:p>
      <w:pPr>
        <w:pStyle w:val="BodyText2"/>
      </w:pPr>
      <w:r>
        <w:rPr>
          <w:i/>
        </w:rPr>
        <w:t>Status: Entschieden (v2.1/v2.2)</w:t>
      </w:r>
    </w:p>
    <w:p>
      <w:pPr>
        <w:pStyle w:val="BodyText2"/>
      </w:pPr>
      <w:r>
        <w:t>Prisma-Enums werden durch eine zentrale Stammdaten-Tabelle mit kategorie+code (unique composite) ersetzt. Bestehende Spalten werden auf String (Text) migriert. Kein Foreign Key — String-Code-Matching. Migration via Raw SQL (ALTER COLUMN TYPE text) → prisma db push.</w:t>
      </w:r>
    </w:p>
    <w:p>
      <w:pPr>
        <w:pStyle w:val="BodyText2"/>
      </w:pPr>
      <w:r>
        <w:rPr>
          <w:b/>
        </w:rPr>
        <w:t xml:space="preserve">Hinweis: </w:t>
      </w:r>
      <w:r>
        <w:t>Nicht konvertiert: UserRole (RBAC-kritisch), Wochentag (universelle Konstanten).</w:t>
      </w:r>
    </w:p>
    <w:p>
      <w:pPr>
        <w:pStyle w:val="SubHead"/>
      </w:pPr>
      <w:r>
        <w:t>ADR-002: RBAC-Modell</w:t>
      </w:r>
    </w:p>
    <w:p>
      <w:pPr>
        <w:pStyle w:val="BodyText2"/>
      </w:pPr>
      <w:r>
        <w:rPr>
          <w:i/>
        </w:rPr>
        <w:t>Status: Entschieden (v1.0)</w:t>
      </w:r>
    </w:p>
    <w:p>
      <w:pPr>
        <w:pStyle w:val="BodyText2"/>
      </w:pPr>
      <w:r>
        <w:t>5 Rollen: ADMIN, TEAMLEITUNG, FALLMANAGER, EINSATZPLANER, BUCHHALTER. Granulare Permissions (entity:action) definiert in lib/rbac.ts. API-Schutz via requirePermission() Middleware. Frontend via hasPermission() für bedingte UI.</w:t>
      </w:r>
    </w:p>
    <w:p>
      <w:pPr>
        <w:pStyle w:val="BodyText2"/>
      </w:pPr>
      <w:r>
        <w:rPr>
          <w:b/>
        </w:rPr>
        <w:t xml:space="preserve">Hinweis: </w:t>
      </w:r>
      <w:r>
        <w:t>JWT-basierte Sessions mit 8-Stunden-Laufzeit.</w:t>
      </w:r>
    </w:p>
    <w:p>
      <w:pPr>
        <w:pStyle w:val="SubHead"/>
      </w:pPr>
      <w:r>
        <w:t>ADR-003: Abrechnungs-Workflow</w:t>
      </w:r>
    </w:p>
    <w:p>
      <w:pPr>
        <w:pStyle w:val="BodyText2"/>
      </w:pPr>
      <w:r>
        <w:rPr>
          <w:i/>
        </w:rPr>
        <w:t>Status: Entschieden (v1.0)</w:t>
      </w:r>
    </w:p>
    <w:p>
      <w:pPr>
        <w:pStyle w:val="BodyText2"/>
      </w:pPr>
      <w:r>
        <w:t>Mehrstufiger Status-Workflow: ENTWURF → EINGEREICHT → GEPRÜFT → GENEHMIGT → EXPORTIERT. Rollentrennung: Ersteller ≠ Prüfer ≠ Genehmiger. AuditLog für vollständige Nachvollziehbarkeit.</w:t>
      </w:r>
    </w:p>
    <w:p>
      <w:pPr>
        <w:pStyle w:val="BodyText2"/>
      </w:pPr>
      <w:r>
        <w:rPr>
          <w:b/>
        </w:rPr>
        <w:t xml:space="preserve">Hinweis: </w:t>
      </w:r>
      <w:r>
        <w:t>Ablehnung jederzeit möglich (→ ABGELEHNT), Stornierung (→ STORNIERT).</w:t>
      </w:r>
    </w:p>
    <w:p>
      <w:pPr>
        <w:pStyle w:val="SubHead"/>
      </w:pPr>
      <w:r>
        <w:t>ADR-004: Meeting-Architektur (Dual-Modell)</w:t>
      </w:r>
    </w:p>
    <w:p>
      <w:pPr>
        <w:pStyle w:val="BodyText2"/>
      </w:pPr>
      <w:r>
        <w:rPr>
          <w:i/>
        </w:rPr>
        <w:t>Status: Entschieden (v1.9)</w:t>
      </w:r>
    </w:p>
    <w:p>
      <w:pPr>
        <w:pStyle w:val="BodyText2"/>
      </w:pPr>
      <w:r>
        <w:t>Trennung in GeplantesMeeting (Planung) und Meeting (Dokumentation). GeplantesMeeting kann in Meeting umgewandelt werden (meetingId FK). Direkte Klient-Zuordnung (klientId) zusätzlich zu Teilnehmer-Relation.</w:t>
      </w:r>
    </w:p>
    <w:p>
      <w:pPr>
        <w:pStyle w:val="BodyText2"/>
      </w:pPr>
      <w:r>
        <w:rPr>
          <w:b/>
        </w:rPr>
        <w:t xml:space="preserve">Hinweis: </w:t>
      </w:r>
      <w:r>
        <w:t>ICS-Kalenderexport für geplante Meetings.</w:t>
      </w:r>
    </w:p>
    <w:p>
      <w:pPr>
        <w:pStyle w:val="SubHead"/>
      </w:pPr>
      <w:r>
        <w:t>ADR-005: Audit-Logging</w:t>
      </w:r>
    </w:p>
    <w:p>
      <w:pPr>
        <w:pStyle w:val="BodyText2"/>
      </w:pPr>
      <w:r>
        <w:rPr>
          <w:i/>
        </w:rPr>
        <w:t>Status: Entschieden (v1.0)</w:t>
      </w:r>
    </w:p>
    <w:p>
      <w:pPr>
        <w:pStyle w:val="BodyText2"/>
      </w:pPr>
      <w:r>
        <w:t>Zentrale AuditLog-Tabelle für Statusübergänge und sicherheitsrelevante Aktionen. Audit-Fehler blockieren nie die Hauptoperation (fail-silent pattern).</w:t>
      </w:r>
    </w:p>
    <w:p>
      <w:pPr>
        <w:pStyle w:val="BodyText2"/>
      </w:pPr>
      <w:r>
        <w:rPr>
          <w:b/>
        </w:rPr>
        <w:t xml:space="preserve">Hinweis: </w:t>
      </w:r>
      <w:r>
        <w:t>Angezeigt als Timeline im Abrechnungs-Detailview.</w:t>
      </w:r>
    </w:p>
    <w:p>
      <w:pPr>
        <w:pStyle w:val="SubHead"/>
      </w:pPr>
      <w:r>
        <w:t>ADR-006: Passwort-zurücksetzen (Forgot Password)</w:t>
      </w:r>
    </w:p>
    <w:p>
      <w:pPr>
        <w:pStyle w:val="BodyText2"/>
      </w:pPr>
      <w:r>
        <w:t>Status: Entschieden (v2.3)</w:t>
      </w:r>
    </w:p>
    <w:p>
      <w:pPr>
        <w:pStyle w:val="BodyText2"/>
      </w:pPr>
      <w:r>
        <w:t>Token-basierter Passwort-Reset-Flow: Benutzer gibt E-Mail ein → System generiert UUID-Token (1h Gültigkeit) → E-Mail mit Reset-Link wird via Notification-API gesendet → Benutzer setzt neues Passwort mit vollständiger Passwort-Validierung (SEC-003).</w:t>
      </w:r>
    </w:p>
    <w:p>
      <w:pPr>
        <w:pStyle w:val="BodyText2"/>
      </w:pPr>
      <w:r>
        <w:t>Hinweis: Aus Sicherheitsgründen wird nie offengelegt, ob eine E-Mail im System existiert (generische Erfolgsmeldung). Bestehende Tokens werden bei Neuanforderung invalidiert. Neues Prisma-Modell: PasswordResetToken.</w:t>
      </w:r>
    </w:p>
    <w:p>
      <w:pPr>
        <w:pStyle w:val="SubHead"/>
      </w:pPr>
      <w:r>
        <w:t>ADR-007: Clean Code Standards (v2.3.1)</w:t>
      </w:r>
    </w:p>
    <w:p>
      <w:pPr>
        <w:pStyle w:val="BodyText2"/>
      </w:pPr>
      <w:r>
        <w:t>Status: Entschieden (v2.3.1)</w:t>
      </w:r>
    </w:p>
    <w:p>
      <w:pPr>
        <w:pStyle w:val="BodyText2"/>
      </w:pPr>
      <w:r>
        <w:t>Alle API-Routen folgen einheitlichen Clean-Code-Richtlinien: (1) Konsistentes Error-Handling mit try-catch in allen Handler-Funktionen, (2) catch(error: unknown) statt catch(err: any) – kein any-Typ in Catch-Blöcken, (3) Record&lt;string, unknown&gt; statt any für Where-Clause und Update-Data Objekte, (4) Wiederverwendbare Include-Konstanten (WORKFLOW_INCLUDE, etc.) statt duplizierte Objekt-Literale (DRY-Prinzip).</w:t>
      </w:r>
    </w:p>
    <w:p>
      <w:pPr>
        <w:pStyle w:val="BodyText2"/>
      </w:pPr>
      <w:r>
        <w:t>Hinweis: Verbleibende any-Typen (18 von ursprünglich 122) betreffen Prisma-Query-Result-Mappings, bei denen eine vollständige Typisierung unverhaltensmässig aufwändig wäre. Keine SQL-Injection-Risiken vorhanden (kein $queryRaw, kein $executeRaw), keine Secrets im Client-Code, keine dangerouslySetInnerHTML-Verwendung.</w:t>
      </w:r>
    </w:p>
    <w:p>
      <w:pPr>
        <w:pStyle w:val="SectionHead"/>
      </w:pPr>
      <w:r>
        <w:t>6. Namenskonventionen &amp; Coding-Standards</w:t>
      </w:r>
    </w:p>
    <w:p>
      <w:pPr>
        <w:pStyle w:val="SubHead"/>
      </w:pPr>
      <w:r>
        <w:t>6.1 Dateistruktur</w:t>
      </w:r>
    </w:p>
    <w:p>
      <w:pPr>
        <w:pStyle w:val="BulletItem"/>
      </w:pPr>
      <w:r>
        <w:t>• Pages: app/(dashboard)/[modul]/page.tsx (Liste), [id]/page.tsx (Detail), neu/page.tsx (Formular)</w:t>
      </w:r>
    </w:p>
    <w:p>
      <w:pPr>
        <w:pStyle w:val="BulletItem"/>
      </w:pPr>
      <w:r>
        <w:t>• API-Routen: app/api/[resource]/route.ts (Liste), [id]/route.ts (Detail)</w:t>
      </w:r>
    </w:p>
    <w:p>
      <w:pPr>
        <w:pStyle w:val="BulletItem"/>
      </w:pPr>
      <w:r>
        <w:t>• Komponenten: components/ (PascalCase, z.B. StammdatenVerwaltung)</w:t>
      </w:r>
    </w:p>
    <w:p>
      <w:pPr>
        <w:pStyle w:val="BulletItem"/>
      </w:pPr>
      <w:r>
        <w:t>• Hooks: hooks/ (camelCase, z.B. useStammdaten)</w:t>
      </w:r>
    </w:p>
    <w:p>
      <w:pPr>
        <w:pStyle w:val="BulletItem"/>
      </w:pPr>
      <w:r>
        <w:t>• Bibliotheken: lib/ (camelCase, z.B. api-auth.ts, rbac.ts)</w:t>
      </w:r>
    </w:p>
    <w:p>
      <w:pPr>
        <w:pStyle w:val="BulletItem"/>
      </w:pPr>
      <w:r>
        <w:t>• Validierung: lib/validations.ts (alle Zod-Schemas zentral)</w:t>
      </w:r>
    </w:p>
    <w:p>
      <w:pPr>
        <w:pStyle w:val="SubHead"/>
      </w:pPr>
      <w:r>
        <w:t>6.2 Domänenbegriffe (Deutsch → Code)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Deutsch (UI)</w:t>
            </w:r>
          </w:p>
        </w:tc>
        <w:tc>
          <w:tcPr>
            <w:tcW w:type="dxa" w:w="311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Code (Schema/API)</w:t>
            </w:r>
          </w:p>
        </w:tc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Englisch (nur intern)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 / klient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Client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Einsatzplan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Einsatzplan / einsatzplan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Assignment Plan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Arbeitsplatz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Arbeitsplatz / arbeitsplatz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Workplace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 / berufsbild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Job Profile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 / bericht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Report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 / abrechnung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Invoice/Billing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Gespräch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Meeting / meeting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Meeting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Kostenträger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Kostentraeger / kostentraeger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Cost Bearer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 / stammdaten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Master Data</w:t>
            </w:r>
          </w:p>
        </w:tc>
      </w:tr>
    </w:tbl>
    <w:p>
      <w:pPr>
        <w:pStyle w:val="SubHead"/>
      </w:pPr>
      <w:r>
        <w:t>6.3 Status-Codes</w:t>
      </w:r>
    </w:p>
    <w:p>
      <w:pPr>
        <w:pStyle w:val="BodyText2"/>
      </w:pPr>
      <w:r>
        <w:t>Alle Status werden als UPPERCASE String-Codes gespeichert (z.B. AKTIV, IN_BEARBEITUNG). Die lesbaren Labels werden dynamisch aus der Stammdaten-Tabelle geladen oder über getStatusLabel() in lib/utils.ts als Fallback bereitgestellt.</w:t>
      </w:r>
    </w:p>
    <w:p>
      <w:pPr>
        <w:pStyle w:val="SectionHead"/>
      </w:pPr>
      <w:r>
        <w:t>7. Stammdaten-Katalog (14 Kategorien)</w:t>
      </w:r>
    </w:p>
    <w:p>
      <w:pPr>
        <w:pStyle w:val="BodyText2"/>
      </w:pPr>
      <w:r>
        <w:t>Die zentrale Stammdaten-Tabelle ersetzt ehemalige Prisma-Enums und ermöglicht die Verwaltung über die Administrations-Oberfläche. Total: 61 Einträge.</w:t>
      </w:r>
    </w:p>
    <w:p>
      <w:pPr>
        <w:pStyle w:val="SubHead"/>
      </w:pPr>
      <w:r>
        <w:t>7.1 Kategorie B – Klassifikationen (v2.1)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Kategorie</w:t>
            </w:r>
          </w:p>
        </w:tc>
        <w:tc>
          <w:tcPr>
            <w:tcW w:type="dxa" w:w="3402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Einträge</w:t>
            </w:r>
          </w:p>
        </w:tc>
        <w:tc>
          <w:tcPr>
            <w:tcW w:type="dxa" w:w="3402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Verwendung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GESCHLECHT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MAENNLICH, WEIBLICH, DIVERS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Klient.geschlecht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BRANCHE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HANDWERK, INDUSTRIE, DIENSTLEISTUNG, 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Berufsbild.branche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KONTAKT_TYP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BETREUER, ARBEITGEBER, BEHOERDE, 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Kontakt.typ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KONTAKTART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PERSON, ORGANISATION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Kontakt.kontaktart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ABRECHNUNG_EINHEIT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STUNDE, TAG, PAUSCHALE, MONAT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Leistung.einheit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WORKFLOW_ITEM_TYP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AUFGABE, ERINNERUNG, MEETING_REMINDER, 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WorkflowItem.typ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WORKFLOW_ITEM_PRIORITAET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NIEDRIG, MITTEL, HOCH, DRINGEND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WorkflowItem.prioritaet</w:t>
            </w:r>
          </w:p>
        </w:tc>
      </w:tr>
    </w:tbl>
    <w:p>
      <w:pPr>
        <w:pStyle w:val="SubHead"/>
      </w:pPr>
      <w:r>
        <w:t>7.2 Kategorie A – Status-Werte (v2.2)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Kategorie</w:t>
            </w:r>
          </w:p>
        </w:tc>
        <w:tc>
          <w:tcPr>
            <w:tcW w:type="dxa" w:w="3969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Einträge</w:t>
            </w:r>
          </w:p>
        </w:tc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Verwendung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AKTIV, INAKTIV, ARCHIVIERT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INTAKE_STATUS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OFFEN, IN_BEARBEITUNG, ABGESCHLOSSEN, ABGEBROCHEN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Intake.status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PLAN_STATUS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GEPLANT, AKTIV, PAUSIERT, BEENDET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Einsatzplan.status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ENTWURF, FERTIG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ENTWURF, EINGEREICHT, GEPRUEFT, GENEHMIGT, ABGELEHNT, EXPORTIERT, STORNIERT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GEPLANTES_MEETING_STATUS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GEPLANT, BESTAETIGT, ABGESAGT, DURCHGEFUEHRT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GeplantesMeeting.status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WORKFLOW_ITEM_STATUS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OFFEN, IN_BEARBEITUNG, ERLEDIGT, ABGEBROCHEN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WorkflowItem.status</w:t>
            </w:r>
          </w:p>
        </w:tc>
      </w:tr>
    </w:tbl>
    <w:p>
      <w:pPr>
        <w:pStyle w:val="SectionHead"/>
      </w:pPr>
      <w:r>
        <w:t>8. Sicherheitskontext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Massnahme</w:t>
            </w:r>
          </w:p>
        </w:tc>
        <w:tc>
          <w:tcPr>
            <w:tcW w:type="dxa" w:w="5953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Implementierung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Authentifizierung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NextAuth.js mit Credentials Provider, bcrypt-Hashing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Autorisierung</w:t>
            </w:r>
          </w:p>
        </w:tc>
        <w:tc>
          <w:tcPr>
            <w:tcW w:type="dxa" w:w="5953"/>
          </w:tcPr>
          <w:p>
            <w:r/>
            <w:r>
              <w:rPr/>
              <w:t>RBAC mit 4 Rollen: Admin, Fachperson BI, Sachbearbeiter:in Vermittlung, Lead Link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Passwort-Policy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Min. 8 Zeichen, Gross/Klein, Zahl, Sonderzeichen (Zod)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Input-Validierung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Zod-Schemas für alle API-Endpunkte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HTTP-Header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X-Content-Type-Options, HSTS, Referrer-Policy via Middleware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Session-Timeout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JWT mit 8 Stunden Laufzeit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Audit-Trail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AuditLog-Tabelle für Statusübergänge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SEC-009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Passwort-Reset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Token-basiert (UUID, 1h Ablauf), E-Mail-Versand via Notification-API, Passwort-Validierung nach SEC-003, keine E-Mail-Enumeration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SEC-010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Rate-Limiting (Auth)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IP-basiertes Rate-Limiting für forgot-password (3 Req/5min) und reset-password (5 Req/5min). In-Memory-Store mit Sliding-Window.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SEC-011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Signup-Passwortkontrolle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passwordSchema-Validierung in der Signup-Route erzwungen (zuvor nur Warnung). Passwort-Komplexität wird jetzt serverseitig geprüft.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SEC-012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Error-Message-Schutz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Keine internen Fehlermeldungen (error.message, Prisma-Codes) mehr in API-Responses. Catch-Blöcke verwenden generische, deutschsprachige Fehlertexte.</w:t>
            </w:r>
          </w:p>
        </w:tc>
      </w:tr>
    </w:tbl>
    <w:p>
      <w:pPr>
        <w:pStyle w:val="SectionHead"/>
      </w:pPr>
      <w:r>
        <w:t>9. Software-Versionshistorie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7937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Beschreibung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v1.0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Kernsystem: Klienten, Intakes, Einsatzplanung, Kontakte, Berichte, Abrechnung, Dashboard, RBAC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v1.4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Berufsbilder, Arbeitsplatz-Zuordnung (M:N), Einsatz-Übersicht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v1.8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Notfallkontakt, Diagnosen, Berichtsarten, Berichtsvorlagen, DOCX-Templates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v1.9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Gesprächstypen, Meeting-Klient-Zuordnung, UTF-8 Compliance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v2.1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 v1: 7 Kategorie-B-Enums → Datenbank, StammdatenSelect/Verwaltung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v2.2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 v2: 7 Kategorie-A-Status-Enums → Datenbank, dynamische Filter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v2.3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Passwort-zurücksetzen: /passwort-vergessen (E-Mail-Formular), /passwort-zuruecksetzen (Token-basierter Reset), PasswordResetToken-Modell, E-Mail-Benachrichtigung, Passwort vergessen-Link auf Login-Seite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v2.3.1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Sicherheitsprüfung &amp; Clean Code: Rate-Limiting (SEC-010), Signup-Passwortprüfung (SEC-011), Error-Message-Schutz (SEC-012), try-catch-Konsistenz (CC-001), any→unknown/Record (CC-002/003), DRY-Include-Konstanten (CC-004)</w:t>
            </w:r>
          </w:p>
        </w:tc>
      </w:tr>
      <w:tr>
        <w:tc>
          <w:tcPr>
            <w:tcW w:type="dxa" w:w="4703"/>
          </w:tcPr>
          <w:p>
            <w:r>
              <w:t>v2.4</w:t>
            </w:r>
          </w:p>
        </w:tc>
        <w:tc>
          <w:tcPr>
            <w:tcW w:type="dxa" w:w="4703"/>
          </w:tcPr>
          <w:p>
            <w:r>
              <w:t>Umbenennung BAND-Aid → BANDaid: Konsistentes Branding in Login, Dashboard, Sidebar, E-Mail-Vorlagen, ICS-Export, Meeting-Planer und Dokumentation. Bugfix getStatusColor mit !important-Overrides für Badge-Kontrast.</w:t>
            </w:r>
          </w:p>
        </w:tc>
      </w:tr>
      <w:tr>
        <w:tc>
          <w:tcPr>
            <w:tcW w:type="dxa" w:w="4703"/>
          </w:tcPr>
          <w:p>
            <w:r>
              <w:t>v2.5</w:t>
            </w:r>
          </w:p>
        </w:tc>
        <w:tc>
          <w:tcPr>
            <w:tcW w:type="dxa" w:w="4703"/>
          </w:tcPr>
          <w:p>
            <w:r>
              <w:t>Visuelles Redesign: BAND-Genossenschaft-Logo (PNG) auf Loginseite statt BA-Piktogramm, Pastellfarben-Palette basierend auf band.ch Teal (#3e8f88), globals.css Light+Dark Theme migriert, Sidebar/E-Mail-Templates/Print-Styles aktualisiert, alle Hardcoded #1a237e/#0d47a1 entfernt.</w:t>
            </w:r>
          </w:p>
        </w:tc>
      </w:tr>
      <w:tr>
        <w:tc>
          <w:tcPr>
            <w:tcW w:type="dxa" w:w="4703"/>
          </w:tcPr>
          <w:p>
            <w:r/>
            <w:r>
              <w:rPr/>
              <w:t>v2.6</w:t>
            </w:r>
          </w:p>
        </w:tc>
        <w:tc>
          <w:tcPr>
            <w:tcW w:type="dxa" w:w="4703"/>
          </w:tcPr>
          <w:p>
            <w:r/>
            <w:r>
              <w:rPr/>
              <w:t>Benutzerverwaltung – Lösch-/Bearbeitungsfunktion: Smart-Delete-API (Hard-Delete wenn keine Referenzen, Soft-Delete/Deaktivierung bei bestehenden FK-Verknüpfungen), Pencil-/Trash-Icons in der Benutzertabelle, AlertDialog-Bestätigungsdialog, RBAC-geschützt (user:delete), Selbstschutz (eigener User nicht löschbar)</w:t>
            </w:r>
          </w:p>
        </w:tc>
      </w:tr>
      <w:tr>
        <w:tc>
          <w:tcPr>
            <w:tcW w:type="dxa" w:w="4703"/>
          </w:tcPr>
          <w:p>
            <w:r/>
            <w:r>
              <w:rPr/>
              <w:t>v2.7</w:t>
            </w:r>
          </w:p>
        </w:tc>
        <w:tc>
          <w:tcPr>
            <w:tcW w:type="dxa" w:w="4703"/>
          </w:tcPr>
          <w:p>
            <w:r/>
            <w:r>
              <w:rPr/>
              <w:t>Rollendefinitionen aktualisiert: Fallmanager/in → Fachperson Berufliche Integration, Einsatzplaner/in → Sachbearbeiter:in Vermittlung, Teamleitung → Lead Link, Rolle Buchhalter/in komplett entfernt (Enum, RBAC-Permissions, UI-Selektoren, Seed-Daten). Technische Enum-Werte (FALLMANAGER, EINSATZPLANER, TEAMLEITUNG) bleiben erhalten – nur Display-Labels geändert.</w:t>
            </w:r>
          </w:p>
        </w:tc>
      </w:tr>
      <w:tr>
        <w:tc>
          <w:tcPr>
            <w:tcW w:type="dxa" w:w="4703"/>
          </w:tcPr>
          <w:p>
            <w:r/>
            <w:r>
              <w:rPr/>
              <w:t>v2.8</w:t>
            </w:r>
          </w:p>
        </w:tc>
        <w:tc>
          <w:tcPr>
            <w:tcW w:type="dxa" w:w="4703"/>
          </w:tcPr>
          <w:p>
            <w:r/>
            <w:r>
              <w:rPr/>
              <w:t>Firmeneinstellungen: Neue Entität «Firma» als Singleton-Modell (max. 1 Datensatz). Felder: Firmenname, Strasse, Hausnummer, PLZ, Ort, Telefon, Website, E-Mail, App-Name, Logo (S3-Upload mit Presigned URL). API: GET/PUT /api/firma + POST /api/firma/logo. Frontend: /einstellungen/firma mit 4 Karten (Logo, Firmenangaben, Kontaktdaten, App-Einstellungen). Sidebar-Navigation: «Firma» als erster Eintrag unter Einstellungen. RBAC: stammdaten:manage.</w:t>
            </w:r>
          </w:p>
        </w:tc>
      </w:tr>
      <w:tr>
        <w:tc>
          <w:tcPr>
            <w:tcW w:type="dxa" w:w="4703"/>
          </w:tcPr>
          <w:p>
            <w:r/>
            <w:r>
              <w:rPr/>
              <w:t>v2.8.1</w:t>
            </w:r>
          </w:p>
        </w:tc>
        <w:tc>
          <w:tcPr>
            <w:tcW w:type="dxa" w:w="4703"/>
          </w:tcPr>
          <w:p>
            <w:r/>
            <w:r>
              <w:rPr/>
              <w:t>Einstellungen-Navigation: 18 Untermenüpunkte alphabetisch sortiert (A→Z), Firmeneinstellungen fix an erster Position. Reihenfolge: Firma, Abrechnungs-Status, Abrechnungseinheiten, Bericht-Status, Berichtsarten, Berichtsvorlagen, Branchen, Einsatzplan-Status, Geschlecht, Gesprächstypen, Intake-Status, Klient-Status, Kontakt-Tags, Kontaktarten, Kontakttypen, Meeting-Status, Workflow-Prioritäten, Workflow-Status, Workflow-Typen.</w:t>
            </w:r>
          </w:p>
        </w:tc>
      </w:tr>
    </w:tbl>
    <w:p>
      <w:pPr>
        <w:pStyle w:val="SectionHead"/>
      </w:pPr>
      <w:r>
        <w:t>10. Erweiterbarkeit &amp; Leitplanken</w:t>
      </w:r>
    </w:p>
    <w:p>
      <w:pPr>
        <w:pStyle w:val="BodyText2"/>
      </w:pPr>
      <w:r>
        <w:t>Beim Hinzufügen neuer Module oder Änderungen am System müssen folgende Regeln beachtet werden:</w:t>
      </w:r>
    </w:p>
    <w:p>
      <w:pPr>
        <w:pStyle w:val="BulletItem"/>
      </w:pPr>
      <w:r>
        <w:t>• Neue Stammdaten-Kategorien: VALID_KATEGORIEN in app/api/stammdaten/[kategorie]/route.ts erweitern, Einstellungsseite erstellen, Navigation in dashboard-shell.tsx ergänzen.</w:t>
      </w:r>
    </w:p>
    <w:p>
      <w:pPr>
        <w:pStyle w:val="BulletItem"/>
      </w:pPr>
      <w:r>
        <w:t>• Neue API-Routen: Immer requirePermission() verwenden, neue Permission in lib/rbac.ts registrieren.</w:t>
      </w:r>
    </w:p>
    <w:p>
      <w:pPr>
        <w:pStyle w:val="BulletItem"/>
      </w:pPr>
      <w:r>
        <w:t>• Schema-Änderungen: Nur kompatible Änderungen (kein --accept-data-loss), prisma db push, Seed-Script aktualisieren.</w:t>
      </w:r>
    </w:p>
    <w:p>
      <w:pPr>
        <w:pStyle w:val="BulletItem"/>
      </w:pPr>
      <w:r>
        <w:t>• Neue Seiten: Unter app/(dashboard)/ anlegen, in navItems der dashboard-shell.tsx verlinken.</w:t>
      </w:r>
    </w:p>
    <w:p>
      <w:pPr>
        <w:pStyle w:val="BulletItem"/>
      </w:pPr>
      <w:r>
        <w:t>• Status-Workflows: String-Code-basiert, Transitionen als explizite Prüfungen in API-Routen.</w:t>
      </w:r>
    </w:p>
    <w:p>
      <w:pPr>
        <w:pStyle w:val="BulletItem"/>
      </w:pPr>
      <w:r>
        <w:t>• UserRole bleibt Enum: Keine Migration zu Stammdaten (RBAC-kritisch).</w:t>
      </w:r>
    </w:p>
    <w:p>
      <w:pPr>
        <w:pStyle w:val="BulletItem"/>
      </w:pPr>
      <w:r>
        <w:t>• Wochentag bleibt Enum: Universelle Konstanten, keine Anpassung nötig.</w:t>
      </w:r>
    </w:p>
    <w:p>
      <w:pPr>
        <w:pStyle w:val="BulletItem"/>
      </w:pPr>
      <w:r>
        <w:t>• E-Mail-Benachrichtigungen: Notification-API via sendNotificationEmail (ABACUSAI_API_KEY + WEB_APP_ID + NOTIF_ID_*). Neue Typen mit register_notification_type registrieren.</w:t>
      </w:r>
    </w:p>
    <w:p>
      <w:pPr>
        <w:pStyle w:val="BulletItem"/>
      </w:pPr>
      <w:r>
        <w:t>• Passwort-Reset: PasswordResetToken-Modell mit userId, token (UUID), expiresAt (1h), usedAt. Öffentliche Routen in middleware.ts whitelisten.</w:t>
      </w:r>
    </w:p>
    <w:p>
      <w:pPr>
        <w:pStyle w:val="BulletItem"/>
      </w:pPr>
      <w:r>
        <w:t>• Neue API-Route: Immer try-catch, catch(error: unknown), generische Fehlermeldung, console.error für Logging. Kein any-Typ in Catch-Blöcken.</w:t>
      </w:r>
    </w:p>
    <w:p>
      <w:pPr>
        <w:pStyle w:val="BulletItem"/>
      </w:pPr>
      <w:r>
        <w:t>• Rate-Limiting: Für sicherheitskritische Endpunkte (Auth, Reset) checkRateLimit() aus lib/rate-limit.ts verwenden.</w:t>
      </w:r>
    </w:p>
    <w:sectPr w:rsidR="00FC693F" w:rsidRPr="0006063C" w:rsidSect="00034616">
      <w:footerReference w:type="default" r:id="rId9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BANDkms – Context Engineering V1.0.0 – Vertraulich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after="120"/>
      <w:jc w:val="center"/>
    </w:pPr>
    <w:rPr>
      <w:rFonts w:ascii="Calibri" w:hAnsi="Calibri"/>
      <w:b/>
      <w:color w:val="1A237E"/>
      <w:sz w:val="56"/>
    </w:rPr>
  </w:style>
  <w:style w:type="paragraph" w:customStyle="1" w:styleId="DocSubtitle">
    <w:name w:val="DocSubtitle"/>
    <w:pPr>
      <w:spacing w:after="80"/>
      <w:jc w:val="center"/>
    </w:pPr>
    <w:rPr>
      <w:rFonts w:ascii="Calibri" w:hAnsi="Calibri"/>
      <w:color w:val="0D47A1"/>
      <w:sz w:val="28"/>
    </w:rPr>
  </w:style>
  <w:style w:type="paragraph" w:customStyle="1" w:styleId="SectionHead">
    <w:name w:val="SectionHead"/>
    <w:pPr>
      <w:spacing w:before="360" w:after="160"/>
    </w:pPr>
    <w:rPr>
      <w:rFonts w:ascii="Calibri" w:hAnsi="Calibri"/>
      <w:b/>
      <w:color w:val="1A237E"/>
      <w:sz w:val="32"/>
    </w:rPr>
  </w:style>
  <w:style w:type="paragraph" w:customStyle="1" w:styleId="SubHead">
    <w:name w:val="SubHead"/>
    <w:pPr>
      <w:spacing w:before="240" w:after="120"/>
    </w:pPr>
    <w:rPr>
      <w:rFonts w:ascii="Calibri" w:hAnsi="Calibri"/>
      <w:b/>
      <w:color w:val="0D47A1"/>
      <w:sz w:val="26"/>
    </w:rPr>
  </w:style>
  <w:style w:type="paragraph" w:customStyle="1" w:styleId="BodyText2">
    <w:name w:val="BodyText2"/>
    <w:pPr>
      <w:spacing w:after="120" w:line="300" w:lineRule="exact"/>
    </w:pPr>
    <w:rPr>
      <w:rFonts w:ascii="Calibri" w:hAnsi="Calibri"/>
      <w:color w:val="424242"/>
      <w:sz w:val="21"/>
    </w:rPr>
  </w:style>
  <w:style w:type="paragraph" w:customStyle="1" w:styleId="BulletItem">
    <w:name w:val="BulletItem"/>
    <w:pPr>
      <w:spacing w:after="60"/>
      <w:ind w:left="567" w:hanging="283"/>
    </w:pPr>
    <w:rPr>
      <w:rFonts w:ascii="Calibri" w:hAnsi="Calibri"/>
      <w:color w:val="424242"/>
      <w:sz w:val="21"/>
    </w:rPr>
  </w:style>
  <w:style w:type="paragraph" w:customStyle="1" w:styleId="CodeBlock">
    <w:name w:val="CodeBlock"/>
    <w:pPr>
      <w:spacing w:after="80"/>
      <w:ind w:left="283"/>
    </w:pPr>
    <w:rPr>
      <w:rFonts w:ascii="Consolas" w:hAnsi="Consolas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