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4E" w:rsidRDefault="00AE474E" w:rsidP="00AE474E">
      <w:pPr>
        <w:rPr>
          <w:b/>
        </w:rPr>
      </w:pPr>
      <w:r>
        <w:rPr>
          <w:b/>
        </w:rPr>
        <w:t>Option 1:</w:t>
      </w:r>
    </w:p>
    <w:p w:rsidR="00AE474E" w:rsidRDefault="00AE474E" w:rsidP="00AE47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Use constants to define your environment and move to PROD dynamically.</w:t>
      </w:r>
    </w:p>
    <w:p w:rsidR="00AE474E" w:rsidRDefault="00AE474E" w:rsidP="00AE47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Steps</w:t>
      </w:r>
    </w:p>
    <w:p w:rsidR="00AE474E" w:rsidRDefault="00AE474E" w:rsidP="00AE474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 xml:space="preserve">Create Workflow User Constraint called ‘Environment’ </w:t>
      </w:r>
      <w:r>
        <w:rPr>
          <w:rFonts w:ascii="Arial" w:hAnsi="Arial" w:cs="Arial"/>
          <w:color w:val="3E3E3E"/>
          <w:sz w:val="21"/>
          <w:szCs w:val="21"/>
        </w:rPr>
        <w:sym w:font="Wingdings" w:char="F0E0"/>
      </w:r>
      <w:r>
        <w:rPr>
          <w:rFonts w:ascii="Arial" w:hAnsi="Arial" w:cs="Arial"/>
          <w:color w:val="3E3E3E"/>
          <w:sz w:val="21"/>
          <w:szCs w:val="21"/>
        </w:rPr>
        <w:t xml:space="preserve"> This is used to switch value from Dev, Test and Prod in the process</w:t>
      </w:r>
    </w:p>
    <w:p w:rsidR="00AE474E" w:rsidRDefault="00AE474E" w:rsidP="00AE474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Create 3 Workflow User Constraints to Maintain Path</w:t>
      </w:r>
    </w:p>
    <w:p w:rsidR="00AE474E" w:rsidRDefault="00AE474E" w:rsidP="00AE474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  <w:proofErr w:type="spellStart"/>
      <w:r>
        <w:rPr>
          <w:rFonts w:ascii="Arial" w:hAnsi="Arial" w:cs="Arial"/>
          <w:color w:val="3E3E3E"/>
          <w:sz w:val="21"/>
          <w:szCs w:val="21"/>
        </w:rPr>
        <w:t>PathDev</w:t>
      </w:r>
      <w:proofErr w:type="spellEnd"/>
    </w:p>
    <w:p w:rsidR="00AE474E" w:rsidRDefault="00AE474E" w:rsidP="00AE474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  <w:proofErr w:type="spellStart"/>
      <w:r>
        <w:rPr>
          <w:rFonts w:ascii="Arial" w:hAnsi="Arial" w:cs="Arial"/>
          <w:color w:val="3E3E3E"/>
          <w:sz w:val="21"/>
          <w:szCs w:val="21"/>
        </w:rPr>
        <w:t>PathQA</w:t>
      </w:r>
      <w:proofErr w:type="spellEnd"/>
    </w:p>
    <w:p w:rsidR="00AE474E" w:rsidRDefault="00AE474E" w:rsidP="00AE474E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  <w:proofErr w:type="spellStart"/>
      <w:r>
        <w:rPr>
          <w:rFonts w:ascii="Arial" w:hAnsi="Arial" w:cs="Arial"/>
          <w:color w:val="3E3E3E"/>
          <w:sz w:val="21"/>
          <w:szCs w:val="21"/>
        </w:rPr>
        <w:t>PathPROD</w:t>
      </w:r>
      <w:proofErr w:type="spellEnd"/>
    </w:p>
    <w:p w:rsidR="00AE474E" w:rsidRDefault="00AE474E" w:rsidP="00AE474E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E3E3E"/>
          <w:sz w:val="21"/>
          <w:szCs w:val="21"/>
        </w:rPr>
        <w:t>Create Variable to Switch to Paths based on ‘Environment’ parameter let’s call it as ‘</w:t>
      </w:r>
      <w:proofErr w:type="spellStart"/>
      <w:r>
        <w:rPr>
          <w:rFonts w:ascii="Arial" w:hAnsi="Arial" w:cs="Arial"/>
          <w:color w:val="3E3E3E"/>
          <w:sz w:val="21"/>
          <w:szCs w:val="21"/>
          <w:shd w:val="clear" w:color="auto" w:fill="FFFFFF"/>
        </w:rPr>
        <w:t>FullyQualifiedOutputName</w:t>
      </w:r>
      <w:proofErr w:type="spellEnd"/>
      <w:r>
        <w:rPr>
          <w:rFonts w:ascii="Arial" w:hAnsi="Arial" w:cs="Arial"/>
          <w:color w:val="3E3E3E"/>
          <w:sz w:val="21"/>
          <w:szCs w:val="21"/>
        </w:rPr>
        <w:t>’</w:t>
      </w:r>
    </w:p>
    <w:p w:rsidR="00AE474E" w:rsidRDefault="00AE474E" w:rsidP="00AE47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 xml:space="preserve">                                 </w:t>
      </w:r>
      <w:r>
        <w:rPr>
          <w:noProof/>
        </w:rPr>
        <w:drawing>
          <wp:inline distT="0" distB="0" distL="0" distR="0">
            <wp:extent cx="5702300" cy="162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4E" w:rsidRDefault="00AE474E" w:rsidP="00AE47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</w:p>
    <w:p w:rsidR="00AE474E" w:rsidRDefault="00AE474E" w:rsidP="00AE47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 xml:space="preserve">     Snap shot of implementation in the Tool:</w:t>
      </w:r>
    </w:p>
    <w:p w:rsidR="00AE474E" w:rsidRDefault="00AE474E" w:rsidP="00AE47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 xml:space="preserve">               </w:t>
      </w:r>
      <w:r>
        <w:rPr>
          <w:rFonts w:ascii="Arial" w:hAnsi="Arial" w:cs="Arial"/>
          <w:noProof/>
          <w:color w:val="3E3E3E"/>
          <w:sz w:val="21"/>
          <w:szCs w:val="21"/>
        </w:rPr>
        <w:drawing>
          <wp:inline distT="0" distB="0" distL="0" distR="0">
            <wp:extent cx="5694222" cy="4502150"/>
            <wp:effectExtent l="0" t="0" r="1905" b="0"/>
            <wp:docPr id="2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222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4E" w:rsidRDefault="00AE474E" w:rsidP="00AE47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</w:p>
    <w:p w:rsidR="00B42463" w:rsidRDefault="00B42463" w:rsidP="00AE47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E3E3E"/>
          <w:sz w:val="21"/>
          <w:szCs w:val="21"/>
        </w:rPr>
      </w:pPr>
    </w:p>
    <w:p w:rsidR="00B42463" w:rsidRDefault="00B42463" w:rsidP="00AE47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E3E3E"/>
          <w:sz w:val="21"/>
          <w:szCs w:val="21"/>
        </w:rPr>
      </w:pPr>
    </w:p>
    <w:p w:rsidR="00AE474E" w:rsidRDefault="00AE474E" w:rsidP="00AE47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E3E3E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b/>
          <w:color w:val="3E3E3E"/>
          <w:sz w:val="21"/>
          <w:szCs w:val="21"/>
        </w:rPr>
        <w:lastRenderedPageBreak/>
        <w:t>Option 2:</w:t>
      </w:r>
    </w:p>
    <w:p w:rsidR="00AE474E" w:rsidRDefault="00AE474E" w:rsidP="00AE47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Create 3 shared Connections in The Alteryx Gallery</w:t>
      </w:r>
    </w:p>
    <w:p w:rsidR="00AE474E" w:rsidRDefault="00AE474E" w:rsidP="00AE47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Go to Workflow Dependencies</w:t>
      </w:r>
    </w:p>
    <w:p w:rsidR="00AE474E" w:rsidRDefault="00AE474E" w:rsidP="00AE474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3E3E3E"/>
          <w:sz w:val="21"/>
          <w:szCs w:val="21"/>
        </w:rPr>
        <w:t xml:space="preserve">Change the alias to whichever one when moving environments (Change the part of after </w:t>
      </w:r>
      <w:r>
        <w:rPr>
          <w:rFonts w:ascii="Arial" w:hAnsi="Arial" w:cs="Arial"/>
          <w:color w:val="3E3E3E"/>
          <w:sz w:val="21"/>
          <w:szCs w:val="21"/>
          <w:shd w:val="clear" w:color="auto" w:fill="FFFFFF"/>
        </w:rPr>
        <w:t>aka:</w:t>
      </w:r>
      <w:r>
        <w:rPr>
          <w:rFonts w:ascii="Arial" w:hAnsi="Arial" w:cs="Arial"/>
          <w:color w:val="3E3E3E"/>
          <w:sz w:val="21"/>
          <w:szCs w:val="21"/>
        </w:rPr>
        <w:t xml:space="preserve"> with the new ID of the environment)</w:t>
      </w:r>
    </w:p>
    <w:p w:rsidR="00AE474E" w:rsidRDefault="00AE474E" w:rsidP="00AE47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  <w:shd w:val="clear" w:color="auto" w:fill="FFFFFF"/>
        </w:rPr>
      </w:pPr>
    </w:p>
    <w:p w:rsidR="00AE474E" w:rsidRDefault="00AE474E" w:rsidP="00AE47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 xml:space="preserve">                </w:t>
      </w:r>
      <w:r>
        <w:rPr>
          <w:rFonts w:ascii="Arial" w:hAnsi="Arial" w:cs="Arial"/>
          <w:noProof/>
          <w:color w:val="3E3E3E"/>
          <w:sz w:val="21"/>
          <w:szCs w:val="21"/>
        </w:rPr>
        <w:drawing>
          <wp:inline distT="0" distB="0" distL="0" distR="0">
            <wp:extent cx="6051550" cy="3270250"/>
            <wp:effectExtent l="0" t="0" r="6350" b="6350"/>
            <wp:docPr id="1" name="Picture 1" descr="dST1B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T1Bk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74E" w:rsidRDefault="00AE474E" w:rsidP="00AE47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E3E3E"/>
          <w:sz w:val="21"/>
          <w:szCs w:val="21"/>
        </w:rPr>
      </w:pPr>
    </w:p>
    <w:p w:rsidR="00AE474E" w:rsidRDefault="00AE474E" w:rsidP="00AE474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E3E3E"/>
          <w:sz w:val="21"/>
          <w:szCs w:val="21"/>
        </w:rPr>
      </w:pPr>
    </w:p>
    <w:p w:rsidR="00AE474E" w:rsidRDefault="00AE474E" w:rsidP="00AE474E">
      <w:pPr>
        <w:pStyle w:val="ListParagraph"/>
        <w:numPr>
          <w:ilvl w:val="0"/>
          <w:numId w:val="1"/>
        </w:numPr>
      </w:pPr>
      <w:r>
        <w:t>Questions (If answers to below questions are Yes then above solutions works)</w:t>
      </w:r>
    </w:p>
    <w:p w:rsidR="00AE474E" w:rsidRDefault="00AE474E" w:rsidP="00AE474E">
      <w:pPr>
        <w:pStyle w:val="ListParagraph"/>
        <w:numPr>
          <w:ilvl w:val="1"/>
          <w:numId w:val="1"/>
        </w:numPr>
      </w:pPr>
      <w:r>
        <w:t xml:space="preserve">Are the test and prod </w:t>
      </w:r>
      <w:proofErr w:type="gramStart"/>
      <w:r>
        <w:t>have</w:t>
      </w:r>
      <w:proofErr w:type="gramEnd"/>
      <w:r>
        <w:t xml:space="preserve"> the same input systems?</w:t>
      </w:r>
    </w:p>
    <w:p w:rsidR="00AE474E" w:rsidRDefault="00AE474E" w:rsidP="00AE474E">
      <w:pPr>
        <w:pStyle w:val="ListParagraph"/>
        <w:numPr>
          <w:ilvl w:val="1"/>
          <w:numId w:val="1"/>
        </w:numPr>
      </w:pPr>
      <w:r>
        <w:t xml:space="preserve">Are they </w:t>
      </w:r>
      <w:proofErr w:type="gramStart"/>
      <w:r>
        <w:t>have</w:t>
      </w:r>
      <w:proofErr w:type="gramEnd"/>
      <w:r>
        <w:t xml:space="preserve"> the same schema and tables structure?</w:t>
      </w:r>
    </w:p>
    <w:p w:rsidR="00AE474E" w:rsidRDefault="00AE474E" w:rsidP="00AE474E">
      <w:pPr>
        <w:pStyle w:val="ListParagraph"/>
        <w:numPr>
          <w:ilvl w:val="1"/>
          <w:numId w:val="1"/>
        </w:numPr>
      </w:pPr>
      <w:r>
        <w:t>Do you have Single Alteryx Server for Dev and Prod?</w:t>
      </w:r>
    </w:p>
    <w:p w:rsidR="00AE474E" w:rsidRDefault="00AE474E" w:rsidP="00AE474E"/>
    <w:p w:rsidR="00AE474E" w:rsidRDefault="00AE474E" w:rsidP="00AE474E">
      <w:r>
        <w:t>References:</w:t>
      </w:r>
    </w:p>
    <w:p w:rsidR="00AE474E" w:rsidRDefault="00AE474E" w:rsidP="00AE474E">
      <w:hyperlink r:id="rId9" w:history="1">
        <w:r>
          <w:rPr>
            <w:rStyle w:val="Hyperlink"/>
          </w:rPr>
          <w:t>https://community.alteryx.com/t5/Alteryx-Designer-Knowledge-Base/Moving-from-Dev-to-Prod/ta-p/158825</w:t>
        </w:r>
      </w:hyperlink>
    </w:p>
    <w:p w:rsidR="00AE474E" w:rsidRDefault="00AE474E" w:rsidP="00AE474E">
      <w:hyperlink r:id="rId10" w:history="1">
        <w:r>
          <w:rPr>
            <w:rStyle w:val="Hyperlink"/>
          </w:rPr>
          <w:t>https://community.alteryx.com/t5/Alteryx-Designer-Discussions/Moving-workflows-between-Dev-Test-Prod/td-p/320384</w:t>
        </w:r>
      </w:hyperlink>
    </w:p>
    <w:p w:rsidR="00AE474E" w:rsidRDefault="00AE474E" w:rsidP="00AE474E">
      <w:hyperlink r:id="rId11" w:history="1">
        <w:r>
          <w:rPr>
            <w:rStyle w:val="Hyperlink"/>
          </w:rPr>
          <w:t>https://community.alteryx.com/t5/Alteryx-Designer-Discussions/ODBC-connect-string-as-Workflow-Constant/td-p/488574</w:t>
        </w:r>
      </w:hyperlink>
    </w:p>
    <w:p w:rsidR="00AE474E" w:rsidRDefault="00AE474E" w:rsidP="00AE474E">
      <w:hyperlink r:id="rId12" w:history="1">
        <w:r>
          <w:rPr>
            <w:rStyle w:val="Hyperlink"/>
          </w:rPr>
          <w:t>https://community.alteryx.com/t5/Alteryx-Designer-Knowledge-Base/Moving-from-Dev-to-Prod/ta-p/158825</w:t>
        </w:r>
      </w:hyperlink>
    </w:p>
    <w:p w:rsidR="00AE474E" w:rsidRDefault="00AE474E" w:rsidP="00AE474E"/>
    <w:p w:rsidR="00B63AE4" w:rsidRDefault="00B42463"/>
    <w:sectPr w:rsidR="00B63AE4" w:rsidSect="00B42463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A68"/>
    <w:multiLevelType w:val="hybridMultilevel"/>
    <w:tmpl w:val="4228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95AF1"/>
    <w:multiLevelType w:val="hybridMultilevel"/>
    <w:tmpl w:val="4022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MzE0MrYwtDA3NjVU0lEKTi0uzszPAykwrAUAkhCTzywAAAA="/>
  </w:docVars>
  <w:rsids>
    <w:rsidRoot w:val="00AE474E"/>
    <w:rsid w:val="001B3AF3"/>
    <w:rsid w:val="005273CF"/>
    <w:rsid w:val="00AE474E"/>
    <w:rsid w:val="00B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7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47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474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7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7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47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474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7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community.alteryx.com/t5/Alteryx-Designer-Knowledge-Base/Moving-from-Dev-to-Prod/ta-p/1588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mmunity.alteryx.com/t5/Alteryx-Designer-Discussions/ODBC-connect-string-as-Workflow-Constant/td-p/48857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mmunity.alteryx.com/t5/Alteryx-Designer-Discussions/Moving-workflows-between-Dev-Test-Prod/td-p/3203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munity.alteryx.com/t5/Alteryx-Designer-Knowledge-Base/Moving-from-Dev-to-Prod/ta-p/1588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Nagesh</cp:lastModifiedBy>
  <cp:revision>4</cp:revision>
  <dcterms:created xsi:type="dcterms:W3CDTF">2020-06-10T12:01:00Z</dcterms:created>
  <dcterms:modified xsi:type="dcterms:W3CDTF">2020-06-10T12:03:00Z</dcterms:modified>
</cp:coreProperties>
</file>