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RELAZIONE SINTETICA DI ATTIVITÀ</w:t>
      </w:r>
    </w:p>
    <w:p>
      <w:pPr>
        <w:pStyle w:val="Subtitle"/>
      </w:pPr>
      <w:r>
        <w:rPr/>
        <w:t xml:space="preserve">Allineamento Cicli di Lavorazione ODL e Ripristino Integrazione MES</w:t>
      </w:r>
    </w:p>
    <w:tbl>
      <w:tblPr>
        <w:tblW w:w="9360" w:type="dxa"/>
        <w:tblBorders>
          <w:top w:val="single" w:sz="8" w:space="0" w:color="D9E1F2"/>
          <w:left w:val="none" w:sz="0" w:space="0" w:color="auto"/>
          <w:bottom w:val="single" w:sz="8" w:space="0" w:color="D9E1F2"/>
          <w:right w:val="none" w:sz="0" w:space="0" w:color="auto"/>
          <w:insideH w:val="single" w:sz="4" w:space="0" w:color="EBF1F5"/>
          <w:insideV w:val="none" w:sz="0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c>
          <w:tcPr>
            <w:tcW w:w="2600" w:type="dxa"/>
            <w:shd w:val="clear" w:color="auto" w:fill="F8F9FA"/>
          </w:tcPr>
          <w:p>
            <w:pPr>
              <w:spacing w:before="20" w:after="20"/>
            </w:pPr>
            <w:r>
              <w:rPr>
                <w:b/>
                <w:color w:val="1F4E79"/>
                <w:sz w:val="20"/>
              </w:rPr>
              <w:t xml:space="preserve">Destinatario / Cliente</w:t>
            </w:r>
          </w:p>
        </w:tc>
        <w:tc>
          <w:tcPr>
            <w:tcW w:w="6760" w:type="dxa"/>
          </w:tcPr>
          <w:p>
            <w:pPr>
              <w:spacing w:before="20" w:after="20"/>
            </w:pPr>
            <w:r>
              <w:rPr>
                <w:color w:val="262626"/>
                <w:sz w:val="20"/>
              </w:rPr>
              <w:t xml:space="preserve">Direzione di Produzione e Ufficio Tecnico</w:t>
            </w:r>
          </w:p>
        </w:tc>
      </w:tr>
      <w:tr>
        <w:tc>
          <w:tcPr>
            <w:tcW w:w="2600" w:type="dxa"/>
            <w:shd w:val="clear" w:color="auto" w:fill="F8F9FA"/>
          </w:tcPr>
          <w:p>
            <w:pPr>
              <w:spacing w:before="20" w:after="20"/>
            </w:pPr>
            <w:r>
              <w:rPr>
                <w:b/>
                <w:color w:val="1F4E79"/>
                <w:sz w:val="20"/>
              </w:rPr>
              <w:t xml:space="preserve">Riferimento Ordine (ODL)</w:t>
            </w:r>
          </w:p>
        </w:tc>
        <w:tc>
          <w:tcPr>
            <w:tcW w:w="6760" w:type="dxa"/>
          </w:tcPr>
          <w:p>
            <w:pPr>
              <w:spacing w:before="20" w:after="20"/>
            </w:pPr>
            <w:r>
              <w:rPr>
                <w:color w:val="262626"/>
                <w:sz w:val="20"/>
              </w:rPr>
              <w:t xml:space="preserve">ODL N. 202600184219 (Composto da 114 righe di lavorazione)</w:t>
            </w:r>
          </w:p>
        </w:tc>
      </w:tr>
      <w:tr>
        <w:tc>
          <w:tcPr>
            <w:tcW w:w="2600" w:type="dxa"/>
            <w:shd w:val="clear" w:color="auto" w:fill="F8F9FA"/>
          </w:tcPr>
          <w:p>
            <w:pPr>
              <w:spacing w:before="20" w:after="20"/>
            </w:pPr>
            <w:r>
              <w:rPr>
                <w:b/>
                <w:color w:val="1F4E79"/>
                <w:sz w:val="20"/>
              </w:rPr>
              <w:t xml:space="preserve">Sistemi Coinvolti</w:t>
            </w:r>
          </w:p>
        </w:tc>
        <w:tc>
          <w:tcPr>
            <w:tcW w:w="6760" w:type="dxa"/>
          </w:tcPr>
          <w:p>
            <w:pPr>
              <w:spacing w:before="20" w:after="20"/>
            </w:pPr>
            <w:r>
              <w:rPr>
                <w:color w:val="262626"/>
                <w:sz w:val="20"/>
              </w:rPr>
              <w:t xml:space="preserve">Gestionale Gamma (TeamSystem) e Sistema MES di Fabbrica (OverOne)</w:t>
            </w:r>
          </w:p>
        </w:tc>
      </w:tr>
      <w:tr>
        <w:tc>
          <w:tcPr>
            <w:tcW w:w="2600" w:type="dxa"/>
            <w:shd w:val="clear" w:color="auto" w:fill="F8F9FA"/>
          </w:tcPr>
          <w:p>
            <w:pPr>
              <w:spacing w:before="20" w:after="20"/>
            </w:pPr>
            <w:r>
              <w:rPr>
                <w:b/>
                <w:color w:val="1F4E79"/>
                <w:sz w:val="20"/>
              </w:rPr>
              <w:t xml:space="preserve">Data Intervento</w:t>
            </w:r>
          </w:p>
        </w:tc>
        <w:tc>
          <w:tcPr>
            <w:tcW w:w="6760" w:type="dxa"/>
          </w:tcPr>
          <w:p>
            <w:pPr>
              <w:spacing w:before="20" w:after="20"/>
            </w:pPr>
            <w:r>
              <w:rPr>
                <w:color w:val="262626"/>
                <w:sz w:val="20"/>
              </w:rPr>
              <w:t xml:space="preserve">14 Settembre 2026</w:t>
            </w:r>
          </w:p>
        </w:tc>
      </w:tr>
      <w:tr>
        <w:tc>
          <w:tcPr>
            <w:tcW w:w="2600" w:type="dxa"/>
            <w:shd w:val="clear" w:color="auto" w:fill="F8F9FA"/>
          </w:tcPr>
          <w:p>
            <w:pPr>
              <w:spacing w:before="20" w:after="20"/>
            </w:pPr>
            <w:r>
              <w:rPr>
                <w:b/>
                <w:color w:val="1F4E79"/>
                <w:sz w:val="20"/>
              </w:rPr>
              <w:t xml:space="preserve">Autore / Consulente</w:t>
            </w:r>
          </w:p>
        </w:tc>
        <w:tc>
          <w:tcPr>
            <w:tcW w:w="6760" w:type="dxa"/>
          </w:tcPr>
          <w:p>
            <w:pPr>
              <w:spacing w:before="20" w:after="20"/>
            </w:pPr>
            <w:r>
              <w:rPr>
                <w:color w:val="262626"/>
                <w:sz w:val="20"/>
              </w:rPr>
              <w:t xml:space="preserve">SOLVERIS - Bandera Marco</w:t>
            </w:r>
          </w:p>
        </w:tc>
      </w:tr>
      <w:tr>
        <w:tc>
          <w:tcPr>
            <w:tcW w:w="2600" w:type="dxa"/>
            <w:shd w:val="clear" w:color="auto" w:fill="F8F9FA"/>
          </w:tcPr>
          <w:p>
            <w:pPr>
              <w:spacing w:before="20" w:after="20"/>
            </w:pPr>
            <w:r>
              <w:rPr>
                <w:b/>
                <w:color w:val="1F4E79"/>
                <w:sz w:val="20"/>
              </w:rPr>
              <w:t xml:space="preserve">Stato Attuale</w:t>
            </w:r>
          </w:p>
        </w:tc>
        <w:tc>
          <w:tcPr>
            <w:tcW w:w="6760" w:type="dxa"/>
          </w:tcPr>
          <w:p>
            <w:pPr>
              <w:spacing w:before="20" w:after="20"/>
            </w:pPr>
            <w:r>
              <w:rPr>
                <w:color w:val="262626"/>
                <w:sz w:val="20"/>
              </w:rPr>
              <w:t xml:space="preserve">Intervento completato con successo (798 fasi allineate ed esportate)</w:t>
            </w:r>
          </w:p>
        </w:tc>
      </w:tr>
    </w:tbl>
    <w:p>
      <w:pPr>
        <w:spacing w:before="0" w:after="180"/>
      </w:pPr>
    </w:p>
    <w:p>
      <w:pPr>
        <w:pStyle w:val="Heading1"/>
      </w:pPr>
      <w:r>
        <w:rPr/>
        <w:t xml:space="preserve">1. Sintesi Esecutiva dell'Intervento</w:t>
      </w:r>
    </w:p>
    <w:p>
      <w:pPr>
        <w:spacing w:before="0" w:after="80"/>
      </w:pPr>
      <w:r>
        <w:rPr/>
        <w:t xml:space="preserve">Il presente documento riepiloga, in forma chiara e non tecnica, le attività svolte per ripristinare la corretta comunicazione e la sincronizzazione tra il gestionale aziendale Gamma e il sistema MES di fabbrica OverOne, con riferimento specifico all'Ordine di Lavoro (ODL) 202600184219.</w:t>
      </w:r>
    </w:p>
    <w:p>
      <w:pPr>
        <w:spacing w:before="0" w:after="80"/>
      </w:pPr>
      <w:r>
        <w:rPr/>
        <w:t xml:space="preserve">L'ODL in oggetto, composto da 114 articoli da produrre, risultava bloccato nel trasferimento dati verso il MES e privo di alcune fasi fondamentali (nello specifico, le lavorazioni esterne di verniciatura e trattamento). Inoltre, una parte considerevole del lavoro era già stata avviata e registrata dagli operatori in fabbrica.</w:t>
      </w:r>
    </w:p>
    <w:tbl>
      <w:tblPr>
        <w:tblW w:w="9360" w:type="dxa"/>
        <w:tblBorders>
          <w:top w:val="none" w:sz="0" w:space="0" w:color="auto"/>
          <w:left w:val="single" w:sz="36" w:space="0" w:color="1F4E79"/>
          <w:bottom w:val="none" w:sz="0" w:space="0" w:color="auto"/>
          <w:right w:val="none" w:sz="0" w:space="0" w:color="auto"/>
        </w:tblBorders>
        <w:tblCellMar>
          <w:top w:w="120" w:type="dxa"/>
          <w:left w:w="180" w:type="dxa"/>
          <w:bottom w:w="120" w:type="dxa"/>
          <w:right w:w="180" w:type="dxa"/>
        </w:tblCellMar>
      </w:tblPr>
      <w:tr>
        <w:tc>
          <w:tcPr>
            <w:tcW w:w="9360" w:type="dxa"/>
            <w:shd w:val="clear" w:color="auto" w:fill="F2F5F9"/>
          </w:tcPr>
          <w:p>
            <w:pPr>
              <w:spacing w:before="40" w:after="60"/>
            </w:pPr>
            <w:r>
              <w:rPr>
                <w:b/>
                <w:color w:val="1F4E79"/>
                <w:sz w:val="24"/>
              </w:rPr>
              <w:t xml:space="preserve">Risultato Chiave Raggiunto</w:t>
            </w:r>
          </w:p>
          <w:p>
            <w:pPr>
              <w:spacing w:before="0" w:after="40"/>
            </w:pPr>
            <w:r>
              <w:rPr>
                <w:color w:val="333333"/>
                <w:sz w:val="21"/>
              </w:rPr>
              <w:t xml:space="preserve">• Tutte le 114 righe dell'ordine dispongono ora del ciclo completo (7 fasi ciascuna, per un totale di 798 lavorazioni).</w:t>
            </w:r>
          </w:p>
          <w:p>
            <w:pPr>
              <w:spacing w:before="0" w:after="40"/>
            </w:pPr>
            <w:r>
              <w:rPr>
                <w:color w:val="333333"/>
                <w:sz w:val="21"/>
              </w:rPr>
              <w:t xml:space="preserve">• Il 100% degli avanzamenti e delle quantità già consuntivate in produzione è stato rigorosamente preservato.</w:t>
            </w:r>
          </w:p>
          <w:p>
            <w:pPr>
              <w:spacing w:before="0" w:after="40"/>
            </w:pPr>
            <w:r>
              <w:rPr>
                <w:color w:val="333333"/>
                <w:sz w:val="21"/>
              </w:rPr>
              <w:t xml:space="preserve">• Il blocco di trasmissione verso il MES è stato rimosso: l'ODL è stato trasmesso con successo in fabbrica.</w:t>
            </w:r>
          </w:p>
          <w:p>
            <w:pPr>
              <w:spacing w:before="0" w:after="40"/>
            </w:pPr>
            <w:r>
              <w:rPr>
                <w:color w:val="333333"/>
                <w:sz w:val="21"/>
              </w:rPr>
              <w:t xml:space="preserve">• È stata predisposta una procedura sicura e automatica per gestire in futuro situazioni analoghe in pochi secondi.</w:t>
            </w:r>
          </w:p>
        </w:tc>
      </w:tr>
    </w:tbl>
    <w:p>
      <w:pPr/>
    </w:p>
    <w:p>
      <w:pPr>
        <w:pStyle w:val="Heading1"/>
      </w:pPr>
      <w:r>
        <w:rPr/>
        <w:t xml:space="preserve">2. La Situazione di Partenza e le Anomalie Riscontrate</w:t>
      </w:r>
    </w:p>
    <w:p>
      <w:pPr>
        <w:spacing w:before="0" w:after="80"/>
      </w:pPr>
      <w:r>
        <w:rPr/>
        <w:t xml:space="preserve">Nella normale operatività aziendale, la produzione viene pianificata nel gestionale Gamma e successivamente trasferita in tempo reale al sistema MES, dove i capi reparto e gli operatori visualizzano le lavorazioni da eseguire, dichiarano i pezzi prodotti e registrano i tempi effettivi.</w:t>
      </w:r>
    </w:p>
    <w:p>
      <w:pPr>
        <w:spacing w:before="0" w:after="60"/>
      </w:pPr>
      <w:r>
        <w:rPr/>
        <w:t xml:space="preserve">Durante l'elaborazione dell'ordine 202600184219 sono emerse tre problematiche:</w:t>
      </w:r>
    </w:p>
    <w:p>
      <w:pPr>
        <w:ind w:left="420" w:hanging="260"/>
        <w:spacing w:before="0" w:after="60"/>
      </w:pPr>
      <w:r>
        <w:rPr>
          <w:b/>
          <w:color w:val="1F4E79"/>
        </w:rPr>
        <w:t>• </w:t>
      </w:r>
      <w:r>
        <w:rPr>
          <w:b/>
          <w:color w:val="1F4E79"/>
        </w:rPr>
        <w:t xml:space="preserve">Fasi esterne non riconosciute: </w:t>
      </w:r>
      <w:r>
        <w:rPr/>
        <w:t xml:space="preserve">Le fasi di verniciatura e trattamento affidate a terzisti esterni non venivano caricate nel MES, impedendo di tracciare la spedizione e il rientro dei materiali da lavorazione esterna.</w:t>
      </w:r>
    </w:p>
    <w:p>
      <w:pPr>
        <w:ind w:left="420" w:hanging="260"/>
        <w:spacing w:before="0" w:after="60"/>
      </w:pPr>
      <w:r>
        <w:rPr>
          <w:b/>
          <w:color w:val="1F4E79"/>
        </w:rPr>
        <w:t>• </w:t>
      </w:r>
      <w:r>
        <w:rPr>
          <w:b/>
          <w:color w:val="1F4E79"/>
        </w:rPr>
        <w:t xml:space="preserve">Ciclo produttivo incompleto: </w:t>
      </w:r>
      <w:r>
        <w:rPr/>
        <w:t xml:space="preserve">Mentre la prima riga dell'ordine conteneva la sequenza completa di 7 fasi, le restanti 113 righe presentavano cicli parziali o privi del corretto collegamento con le schede tecniche dei prodotti.</w:t>
      </w:r>
    </w:p>
    <w:p>
      <w:pPr>
        <w:ind w:left="420" w:hanging="260"/>
      </w:pPr>
      <w:r>
        <w:rPr>
          <w:b/>
          <w:color w:val="1F4E79"/>
        </w:rPr>
        <w:t>• </w:t>
      </w:r>
      <w:r>
        <w:rPr>
          <w:b/>
          <w:color w:val="1F4E79"/>
        </w:rPr>
        <w:t xml:space="preserve">Blocco della trasmissione dati: </w:t>
      </w:r>
      <w:r>
        <w:rPr/>
        <w:t xml:space="preserve">Poiché l'ordine era stato precedentemente contrassegnato dal sistema come 'già inviato', i meccanismi automatici di sicurezza del connettore ne impedivano un secondo passaggio, rendendo inefficace un semplice re-invio da programma.</w:t>
      </w:r>
    </w:p>
    <w:p>
      <w:pPr>
        <w:pStyle w:val="Heading1"/>
      </w:pPr>
      <w:r>
        <w:rPr/>
        <w:t xml:space="preserve">3. I Rischi Operativi Evitati</w:t>
      </w:r>
    </w:p>
    <w:p>
      <w:pPr>
        <w:spacing w:before="0" w:after="80"/>
      </w:pPr>
      <w:r>
        <w:rPr/>
        <w:t xml:space="preserve">La soluzione apparentemente più immediata di fronte a un ordine con cicli non allineati sarebbe stata quella di cancellare l'intero Ordine di Lavoro per rigenerarlo da capo dall'Ordine Cliente. Questa scorciatoia è stata tassativamente evitata per i seguenti motivi:</w:t>
      </w:r>
    </w:p>
    <w:p>
      <w:pPr>
        <w:ind w:left="420" w:hanging="260"/>
        <w:spacing w:before="0" w:after="60"/>
      </w:pPr>
      <w:r>
        <w:rPr>
          <w:b/>
          <w:color w:val="1F4E79"/>
        </w:rPr>
        <w:t>• </w:t>
      </w:r>
      <w:r>
        <w:rPr>
          <w:b/>
          <w:color w:val="C00000"/>
        </w:rPr>
        <w:t xml:space="preserve">Rischio di perdita del lavoro già eseguito: </w:t>
      </w:r>
      <w:r>
        <w:rPr/>
        <w:t xml:space="preserve">Su 571 fasi dell'ordine gli operatori avevano già dichiarato avanzamenti reali, pezzi buoni prodotti e versamenti a magazzino. Cancellare l'ordine avrebbe distrutto definitivamente queste consuntivazioni.</w:t>
      </w:r>
    </w:p>
    <w:p>
      <w:pPr>
        <w:ind w:left="420" w:hanging="260"/>
      </w:pPr>
      <w:r>
        <w:rPr>
          <w:b/>
          <w:color w:val="1F4E79"/>
        </w:rPr>
        <w:t>• </w:t>
      </w:r>
      <w:r>
        <w:rPr>
          <w:b/>
          <w:color w:val="C00000"/>
        </w:rPr>
        <w:t xml:space="preserve">Disallineamento contabile e di fabbrica: </w:t>
      </w:r>
      <w:r>
        <w:rPr/>
        <w:t xml:space="preserve">Se l'ordine fosse stato rigenerato, i nuovi documenti avrebbero assunto identificativi differenti, scollegandosi dalle registrazioni già presenti nel terminale di fabbrica del MES e creando gravi discrepanze nelle giacenze.</w:t>
      </w:r>
    </w:p>
    <w:p>
      <w:pPr>
        <w:pStyle w:val="Heading1"/>
      </w:pPr>
      <w:r>
        <w:rPr/>
        <w:t xml:space="preserve">4. Come è Stato Risolto il Problema: Intervento di Riconciliazione Intelligente</w:t>
      </w:r>
    </w:p>
    <w:p>
      <w:pPr>
        <w:spacing w:before="0" w:after="80"/>
      </w:pPr>
      <w:r>
        <w:rPr/>
        <w:t xml:space="preserve">È stata adottata una strategia di riconciliazione non distruttiva, operando con la massima sicurezza attraverso una serie di passaggi controllati:</w:t>
      </w:r>
    </w:p>
    <w:tbl>
      <w:tblPr>
        <w:tblW w:w="9360" w:type="dxa"/>
        <w:tblBorders>
          <w:top w:val="single" w:sz="12" w:space="0" w:color="1F4E79"/>
          <w:left w:val="none" w:sz="0" w:space="0" w:color="auto"/>
          <w:bottom w:val="single" w:sz="12" w:space="0" w:color="1F4E79"/>
          <w:right w:val="none" w:sz="0" w:space="0" w:color="auto"/>
          <w:insideH w:val="single" w:sz="4" w:space="0" w:color="D9E1F2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r>
        <w:tc>
          <w:tcPr>
            <w:tcW w:w="1800" w:type="dxa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Passaggio</w:t>
            </w:r>
          </w:p>
        </w:tc>
        <w:tc>
          <w:tcPr>
            <w:tcW w:w="3200" w:type="dxa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Azione Svolta</w:t>
            </w:r>
          </w:p>
        </w:tc>
        <w:tc>
          <w:tcPr>
            <w:tcW w:w="4360" w:type="dxa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Impatto Operativo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62626"/>
                <w:sz w:val="19"/>
              </w:rPr>
              <w:t xml:space="preserve">1. Protezione Avanzamenti</w:t>
            </w:r>
          </w:p>
        </w:tc>
        <w:tc>
          <w:tcPr>
            <w:tcW w:w="3200" w:type="dxa"/>
            <w:shd w:val="clear" w:color="auto" w:fill="FFFFFF"/>
          </w:tcPr>
          <w:p>
            <w:pPr>
              <w:spacing w:before="30" w:after="30"/>
            </w:pPr>
            <w:r>
              <w:rPr>
                <w:color w:val="262626"/>
                <w:sz w:val="19"/>
              </w:rPr>
              <w:t xml:space="preserve">Ispezione di tutte le lavorazioni e blocco di sicurezza sulle 571 fasi già avviate o consuntivate.</w:t>
            </w:r>
          </w:p>
        </w:tc>
        <w:tc>
          <w:tcPr>
            <w:tcW w:w="4360" w:type="dxa"/>
            <w:shd w:val="clear" w:color="auto" w:fill="FFFFFF"/>
          </w:tcPr>
          <w:p>
            <w:pPr>
              <w:spacing w:before="30" w:after="30"/>
            </w:pPr>
            <w:r>
              <w:rPr>
                <w:color w:val="262626"/>
                <w:sz w:val="19"/>
              </w:rPr>
              <w:t xml:space="preserve">Nessun dato storico, consuntivo o quantità versata è stato toccato o rischiato.</w:t>
            </w:r>
          </w:p>
        </w:tc>
      </w:tr>
      <w:tr>
        <w:tc>
          <w:tcPr>
            <w:tcW w:w="1800" w:type="dxa"/>
            <w:shd w:val="clear" w:color="auto" w:fill="F8F9FA"/>
          </w:tcPr>
          <w:p>
            <w:pPr>
              <w:spacing w:before="30" w:after="30"/>
            </w:pPr>
            <w:r>
              <w:rPr>
                <w:b/>
                <w:color w:val="262626"/>
                <w:sz w:val="19"/>
              </w:rPr>
              <w:t xml:space="preserve">2. Integrazione Fasi</w:t>
            </w:r>
          </w:p>
        </w:tc>
        <w:tc>
          <w:tcPr>
            <w:tcW w:w="3200" w:type="dxa"/>
            <w:shd w:val="clear" w:color="auto" w:fill="F8F9FA"/>
          </w:tcPr>
          <w:p>
            <w:pPr>
              <w:spacing w:before="30" w:after="30"/>
            </w:pPr>
            <w:r>
              <w:rPr>
                <w:color w:val="262626"/>
                <w:sz w:val="19"/>
              </w:rPr>
              <w:t xml:space="preserve">Completamento del pacchetto di lavoro inserendo le fasi mancanti (taglio, meccanica, montaggio, collaudo).</w:t>
            </w:r>
          </w:p>
        </w:tc>
        <w:tc>
          <w:tcPr>
            <w:tcW w:w="4360" w:type="dxa"/>
            <w:shd w:val="clear" w:color="auto" w:fill="F8F9FA"/>
          </w:tcPr>
          <w:p>
            <w:pPr>
              <w:spacing w:before="30" w:after="30"/>
            </w:pPr>
            <w:r>
              <w:rPr>
                <w:color w:val="262626"/>
                <w:sz w:val="19"/>
              </w:rPr>
              <w:t xml:space="preserve">Tutte le 114 righe hanno ora lo stesso modello completo di 7 fasi (798 fasi totali).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62626"/>
                <w:sz w:val="19"/>
              </w:rPr>
              <w:t xml:space="preserve">3. Assegnazione Terzisti</w:t>
            </w:r>
          </w:p>
        </w:tc>
        <w:tc>
          <w:tcPr>
            <w:tcW w:w="3200" w:type="dxa"/>
            <w:shd w:val="clear" w:color="auto" w:fill="FFFFFF"/>
          </w:tcPr>
          <w:p>
            <w:pPr>
              <w:spacing w:before="30" w:after="30"/>
            </w:pPr>
            <w:r>
              <w:rPr>
                <w:color w:val="262626"/>
                <w:sz w:val="19"/>
              </w:rPr>
              <w:t xml:space="preserve">Attribuzione del fornitore di fiducia (Cod. 2682) e del reparto specializzato per le lavorazioni esterne.</w:t>
            </w:r>
          </w:p>
        </w:tc>
        <w:tc>
          <w:tcPr>
            <w:tcW w:w="4360" w:type="dxa"/>
            <w:shd w:val="clear" w:color="auto" w:fill="FFFFFF"/>
          </w:tcPr>
          <w:p>
            <w:pPr>
              <w:spacing w:before="30" w:after="30"/>
            </w:pPr>
            <w:r>
              <w:rPr>
                <w:color w:val="262626"/>
                <w:sz w:val="19"/>
              </w:rPr>
              <w:t xml:space="preserve">Il MES riconosce correttamente le fasi come Conto Lavoro, abilitando bolle e DDT terzisti.</w:t>
            </w:r>
          </w:p>
        </w:tc>
      </w:tr>
      <w:tr>
        <w:tc>
          <w:tcPr>
            <w:tcW w:w="1800" w:type="dxa"/>
            <w:shd w:val="clear" w:color="auto" w:fill="F8F9FA"/>
          </w:tcPr>
          <w:p>
            <w:pPr>
              <w:spacing w:before="30" w:after="30"/>
            </w:pPr>
            <w:r>
              <w:rPr>
                <w:b/>
                <w:color w:val="262626"/>
                <w:sz w:val="19"/>
              </w:rPr>
              <w:t xml:space="preserve">4. Sblocco Trasmissione</w:t>
            </w:r>
          </w:p>
        </w:tc>
        <w:tc>
          <w:tcPr>
            <w:tcW w:w="3200" w:type="dxa"/>
            <w:shd w:val="clear" w:color="auto" w:fill="F8F9FA"/>
          </w:tcPr>
          <w:p>
            <w:pPr>
              <w:spacing w:before="30" w:after="30"/>
            </w:pPr>
            <w:r>
              <w:rPr>
                <w:color w:val="262626"/>
                <w:sz w:val="19"/>
              </w:rPr>
              <w:t xml:space="preserve">Rimozione del blocco storico di 'già esportato' e ripristino dell'ordine nello stato 'Pronto all'esportazione'.</w:t>
            </w:r>
          </w:p>
        </w:tc>
        <w:tc>
          <w:tcPr>
            <w:tcW w:w="4360" w:type="dxa"/>
            <w:shd w:val="clear" w:color="auto" w:fill="F8F9FA"/>
          </w:tcPr>
          <w:p>
            <w:pPr>
              <w:spacing w:before="30" w:after="30"/>
            </w:pPr>
            <w:r>
              <w:rPr>
                <w:color w:val="262626"/>
                <w:sz w:val="19"/>
              </w:rPr>
              <w:t xml:space="preserve">Il connettore di fabbrica ha riacquisito l'ordine esportando tutte le 798 lavorazioni.</w:t>
            </w:r>
          </w:p>
        </w:tc>
      </w:tr>
    </w:tbl>
    <w:p>
      <w:pPr>
        <w:spacing w:before="0" w:after="180"/>
      </w:pPr>
    </w:p>
    <w:p>
      <w:pPr>
        <w:pStyle w:val="Heading1"/>
      </w:pPr>
      <w:r>
        <w:rPr/>
        <w:t xml:space="preserve">5. La Struttura Finale del Ciclo di Produzione per Ciascun Articolo</w:t>
      </w:r>
    </w:p>
    <w:p>
      <w:pPr>
        <w:spacing w:before="0" w:after="80"/>
      </w:pPr>
      <w:r>
        <w:rPr/>
        <w:t xml:space="preserve">A valle dell'intervento, ciascuna delle 114 righe dell'ordine rispetta fedelmente la sequenza standard aziendale:</w:t>
      </w:r>
    </w:p>
    <w:p>
      <w:pPr>
        <w:ind w:left="420" w:hanging="260"/>
        <w:spacing w:before="0" w:after="40"/>
      </w:pPr>
      <w:r>
        <w:rPr>
          <w:b/>
          <w:color w:val="1F4E79"/>
        </w:rPr>
        <w:t>• </w:t>
      </w:r>
      <w:r>
        <w:rPr>
          <w:b/>
          <w:color w:val="1F4E79"/>
        </w:rPr>
        <w:t xml:space="preserve">Fase 10 - TAGLIO: </w:t>
      </w:r>
      <w:r>
        <w:rPr/>
        <w:t xml:space="preserve">Lavorazione interna (Reparto R100)</w:t>
      </w:r>
    </w:p>
    <w:p>
      <w:pPr>
        <w:ind w:left="420" w:hanging="260"/>
        <w:spacing w:before="0" w:after="40"/>
      </w:pPr>
      <w:r>
        <w:rPr>
          <w:b/>
          <w:color w:val="1F4E79"/>
        </w:rPr>
        <w:t>• </w:t>
      </w:r>
      <w:r>
        <w:rPr>
          <w:b/>
          <w:color w:val="1F4E79"/>
        </w:rPr>
        <w:t xml:space="preserve">Fase 15 - VERNICIATURA / TRATTAMENTO: </w:t>
      </w:r>
      <w:r>
        <w:rPr/>
        <w:t xml:space="preserve">Lavorazione esterna in Conto Lavoro (Fornitore 2682, Reparto R300)</w:t>
      </w:r>
    </w:p>
    <w:p>
      <w:pPr>
        <w:ind w:left="420" w:hanging="260"/>
        <w:spacing w:before="0" w:after="40"/>
      </w:pPr>
      <w:r>
        <w:rPr>
          <w:b/>
          <w:color w:val="1F4E79"/>
        </w:rPr>
        <w:t>• </w:t>
      </w:r>
      <w:r>
        <w:rPr>
          <w:b/>
          <w:color w:val="1F4E79"/>
        </w:rPr>
        <w:t xml:space="preserve">Fase 16 - CONTROLLO QUALITÀ: </w:t>
      </w:r>
      <w:r>
        <w:rPr/>
        <w:t xml:space="preserve">Verifica interna post rientro da lavorazione esterna (Reparto R100)</w:t>
      </w:r>
    </w:p>
    <w:p>
      <w:pPr>
        <w:ind w:left="420" w:hanging="260"/>
        <w:spacing w:before="0" w:after="40"/>
      </w:pPr>
      <w:r>
        <w:rPr>
          <w:b/>
          <w:color w:val="1F4E79"/>
        </w:rPr>
        <w:t>• </w:t>
      </w:r>
      <w:r>
        <w:rPr>
          <w:b/>
          <w:color w:val="1F4E79"/>
        </w:rPr>
        <w:t xml:space="preserve">Fase 20 - LAVORAZIONE MECCANICA: </w:t>
      </w:r>
      <w:r>
        <w:rPr/>
        <w:t xml:space="preserve">Lavorazione interna su macchine utensili (Reparto R200)</w:t>
      </w:r>
    </w:p>
    <w:p>
      <w:pPr>
        <w:ind w:left="420" w:hanging="260"/>
        <w:spacing w:before="0" w:after="40"/>
      </w:pPr>
      <w:r>
        <w:rPr>
          <w:b/>
          <w:color w:val="1F4E79"/>
        </w:rPr>
        <w:t>• </w:t>
      </w:r>
      <w:r>
        <w:rPr>
          <w:b/>
          <w:color w:val="1F4E79"/>
        </w:rPr>
        <w:t xml:space="preserve">Fase 30 - PREMONTAGGIO: </w:t>
      </w:r>
      <w:r>
        <w:rPr/>
        <w:t xml:space="preserve">Assemblaggio componenti (Reparto R200)</w:t>
      </w:r>
    </w:p>
    <w:p>
      <w:pPr>
        <w:ind w:left="420" w:hanging="260"/>
        <w:spacing w:before="0" w:after="40"/>
      </w:pPr>
      <w:r>
        <w:rPr>
          <w:b/>
          <w:color w:val="1F4E79"/>
        </w:rPr>
        <w:t>• </w:t>
      </w:r>
      <w:r>
        <w:rPr>
          <w:b/>
          <w:color w:val="1F4E79"/>
        </w:rPr>
        <w:t xml:space="preserve">Fase 35 - COLLAUDO FINALE: </w:t>
      </w:r>
      <w:r>
        <w:rPr/>
        <w:t xml:space="preserve">Test funzionale e collaudo (Reparto R100)</w:t>
      </w:r>
    </w:p>
    <w:p>
      <w:pPr>
        <w:ind w:left="420" w:hanging="260"/>
      </w:pPr>
      <w:r>
        <w:rPr>
          <w:b/>
          <w:color w:val="1F4E79"/>
        </w:rPr>
        <w:t>• </w:t>
      </w:r>
      <w:r>
        <w:rPr>
          <w:b/>
          <w:color w:val="1F4E79"/>
        </w:rPr>
        <w:t xml:space="preserve">Fase 40 - IMBALLO E SPEDIZIONE: </w:t>
      </w:r>
      <w:r>
        <w:rPr/>
        <w:t xml:space="preserve">Confezionamento e preparazione logistica (Reparto R200)</w:t>
      </w:r>
    </w:p>
    <w:p>
      <w:pPr>
        <w:pStyle w:val="Heading1"/>
      </w:pPr>
      <w:r>
        <w:rPr/>
        <w:t xml:space="preserve">6. Benefici Concreti per l'Azienda e Valore Aggiunto</w:t>
      </w:r>
    </w:p>
    <w:p>
      <w:pPr>
        <w:ind w:left="420" w:hanging="260"/>
        <w:spacing w:before="0" w:after="60"/>
      </w:pPr>
      <w:r>
        <w:rPr>
          <w:b/>
          <w:color w:val="1F4E79"/>
        </w:rPr>
        <w:t>• </w:t>
      </w:r>
      <w:r>
        <w:rPr>
          <w:b/>
          <w:color w:val="1F4E79"/>
        </w:rPr>
        <w:t xml:space="preserve">Continuità operativa garantita: </w:t>
      </w:r>
      <w:r>
        <w:rPr/>
        <w:t xml:space="preserve">La produzione in officina non ha subito interruzioni e il personale ha potuto proseguire le dichiarazioni senza dover reimmettere dati.</w:t>
      </w:r>
    </w:p>
    <w:p>
      <w:pPr>
        <w:ind w:left="420" w:hanging="260"/>
        <w:spacing w:before="0" w:after="60"/>
      </w:pPr>
      <w:r>
        <w:rPr>
          <w:b/>
          <w:color w:val="1F4E79"/>
        </w:rPr>
        <w:t>• </w:t>
      </w:r>
      <w:r>
        <w:rPr>
          <w:b/>
          <w:color w:val="1F4E79"/>
        </w:rPr>
        <w:t xml:space="preserve">Tracciabilità totale del conto lavoro: </w:t>
      </w:r>
      <w:r>
        <w:rPr/>
        <w:t xml:space="preserve">Le fasi esterne sono ora visibili e gestibili, consentendo il monitoraggio preciso dei lotti inviati al terzista e dei tempi di rientro.</w:t>
      </w:r>
    </w:p>
    <w:p>
      <w:pPr>
        <w:ind w:left="420" w:hanging="260"/>
      </w:pPr>
      <w:r>
        <w:rPr>
          <w:b/>
          <w:color w:val="1F4E79"/>
        </w:rPr>
        <w:t>• </w:t>
      </w:r>
      <w:r>
        <w:rPr>
          <w:b/>
          <w:color w:val="1F4E79"/>
        </w:rPr>
        <w:t xml:space="preserve">Solidità e riusabilità per il futuro: </w:t>
      </w:r>
      <w:r>
        <w:rPr/>
        <w:t xml:space="preserve">È stata creata una procedura standardizzata e documentata. Qualora in futuro un ordine di lavoro dovesse presentare anomalie analoghe (anche a seguito di modifiche tecniche dell'ultimo minuto), l'intervento potrà essere replicato in totale sicurezza in pochi istanti, senza alcun costo di fermo produttivo.</w:t>
      </w:r>
    </w:p>
    <w:p>
      <w:pPr>
        <w:pStyle w:val="Heading1"/>
      </w:pPr>
      <w:r>
        <w:rPr/>
        <w:t xml:space="preserve">7. Conclusioni e Chiusura Attività</w:t>
      </w:r>
    </w:p>
    <w:p>
      <w:pPr>
        <w:spacing w:before="0" w:after="180"/>
      </w:pPr>
      <w:r>
        <w:rPr/>
        <w:t xml:space="preserve">L'intervento si è concluso con pieno successo e con il collaudo positivo dell'esportazione verso il sistema MES. L'ordine di lavoro 202600184219 risulta ora pienamente operativo, corretto e monitorabile in ogni sua fase.</w:t>
      </w: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r>
        <w:tc>
          <w:tcPr>
            <w:tcW w:w="4680" w:type="dxa"/>
          </w:tcPr>
          <w:p>
            <w:pPr>
              <w:spacing w:before="0" w:after="240"/>
            </w:pPr>
            <w:r>
              <w:rPr>
                <w:b/>
                <w:color w:val="595959"/>
                <w:sz w:val="20"/>
              </w:rPr>
              <w:t xml:space="preserve">Per il Cliente / Committente:</w:t>
            </w:r>
          </w:p>
          <w:p>
            <w:pPr>
              <w:spacing w:before="0" w:after="40"/>
            </w:pPr>
            <w:r>
              <w:rPr>
                <w:color w:val="888888"/>
                <w:sz w:val="20"/>
              </w:rPr>
              <w:t xml:space="preserve">___________________________________</w:t>
            </w:r>
          </w:p>
          <w:p>
            <w:pPr/>
            <w:r>
              <w:rPr>
                <w:i/>
                <w:color w:val="777777"/>
                <w:sz w:val="18"/>
              </w:rPr>
              <w:t xml:space="preserve">Firma per presa visione e accettazione</w:t>
            </w:r>
          </w:p>
        </w:tc>
        <w:tc>
          <w:tcPr>
            <w:tcW w:w="4680" w:type="dxa"/>
          </w:tcPr>
          <w:p>
            <w:pPr>
              <w:spacing w:before="0" w:after="240"/>
            </w:pPr>
            <w:r>
              <w:rPr>
                <w:b/>
                <w:color w:val="1F4E79"/>
                <w:sz w:val="20"/>
              </w:rPr>
              <w:t xml:space="preserve">Per SOLVERIS (Consulente Tecnico):</w:t>
            </w:r>
          </w:p>
          <w:p>
            <w:pPr>
              <w:spacing w:before="0" w:after="40"/>
            </w:pPr>
            <w:r>
              <w:rPr>
                <w:b/>
                <w:color w:val="1F4E79"/>
                <w:sz w:val="20"/>
              </w:rPr>
              <w:t xml:space="preserve">Bandera Marco</w:t>
            </w:r>
          </w:p>
          <w:p>
            <w:pPr/>
            <w:r>
              <w:rPr>
                <w:i/>
                <w:color w:val="777777"/>
                <w:sz w:val="18"/>
              </w:rPr>
              <w:t xml:space="preserve">Consulenza e Integrazione Sistemi</w:t>
            </w:r>
          </w:p>
        </w:tc>
      </w:tr>
    </w:tbl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262626"/>
        <w:lang w:val="it-IT"/>
      </w:rPr>
    </w:rPrDefault>
    <w:pPrDefault>
      <w:pPr>
        <w:spacing w:line="276" w:lineRule="auto" w:after="120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240" w:after="120"/>
    </w:pPr>
    <w:rPr>
      <w:rFonts w:ascii="Calibri" w:hAnsi="Calibri"/>
      <w:b/>
      <w:sz w:val="44"/>
      <w:szCs w:val="44"/>
      <w:color w:val="1F4E79"/>
    </w:rPr>
  </w:style>
  <w:style w:type="paragraph" w:styleId="Subtitle">
    <w:name w:val="Subtitle"/>
    <w:basedOn w:val="Normal"/>
    <w:qFormat/>
    <w:pPr>
      <w:spacing w:before="0" w:after="240"/>
    </w:pPr>
    <w:rPr>
      <w:rFonts w:ascii="Calibri" w:hAnsi="Calibri"/>
      <w:i/>
      <w:sz w:val="26"/>
      <w:szCs w:val="26"/>
      <w:color w:val="595959"/>
    </w:rPr>
  </w:style>
  <w:style w:type="paragraph" w:styleId="Heading1">
    <w:name w:val="heading 1"/>
    <w:basedOn w:val="Normal"/>
    <w:qFormat/>
    <w:pPr>
      <w:spacing w:before="360" w:after="120"/>
    </w:pPr>
    <w:rPr>
      <w:rFonts w:ascii="Calibri" w:hAnsi="Calibri"/>
      <w:b/>
      <w:sz w:val="32"/>
      <w:szCs w:val="32"/>
      <w:color w:val="1F4E79"/>
    </w:rPr>
  </w:style>
  <w:style w:type="paragraph" w:styleId="Heading2">
    <w:name w:val="heading 2"/>
    <w:basedOn w:val="Normal"/>
    <w:qFormat/>
    <w:pPr>
      <w:spacing w:before="240" w:after="80"/>
    </w:pPr>
    <w:rPr>
      <w:rFonts w:ascii="Calibri" w:hAnsi="Calibri"/>
      <w:b/>
      <w:sz w:val="26"/>
      <w:szCs w:val="26"/>
      <w:color w:val="2E75B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