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00000" cy="1095652"/>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900000" cy="1095652"/>
                    </a:xfrm>
                    <a:prstGeom prst="rect"/>
                  </pic:spPr>
                </pic:pic>
              </a:graphicData>
            </a:graphic>
          </wp:inline>
        </w:drawing>
      </w:r>
    </w:p>
    <w:p/>
    <w:p>
      <w:pPr>
        <w:jc w:val="center"/>
      </w:pPr>
      <w:r>
        <w:rPr>
          <w:rFonts w:ascii="Calibri" w:hAnsi="Calibri"/>
          <w:b/>
          <w:i/>
          <w:sz w:val="32"/>
        </w:rPr>
        <w:t>ARSENALE MILITARE MARITTIMO</w:t>
      </w:r>
    </w:p>
    <w:p>
      <w:pPr>
        <w:jc w:val="center"/>
      </w:pPr>
      <w:r>
        <w:rPr>
          <w:rFonts w:ascii="Calibri" w:hAnsi="Calibri"/>
          <w:b/>
          <w:i/>
          <w:sz w:val="32"/>
        </w:rPr>
        <w:t>TARANTO</w:t>
      </w:r>
    </w:p>
    <w:p/>
    <w:p/>
    <w:p/>
    <w:p>
      <w:pPr>
        <w:jc w:val="center"/>
      </w:pPr>
      <w:r>
        <w:rPr>
          <w:rFonts w:ascii="Calibri" w:hAnsi="Calibri"/>
          <w:b/>
          <w:i w:val="0"/>
          <w:sz w:val="38"/>
        </w:rPr>
        <w:t>DOCUMENTO DI INFORMAZIONE</w:t>
      </w:r>
    </w:p>
    <w:p>
      <w:pPr>
        <w:jc w:val="center"/>
      </w:pPr>
      <w:r>
        <w:rPr>
          <w:rFonts w:ascii="Calibri" w:hAnsi="Calibri"/>
          <w:b/>
          <w:i w:val="0"/>
          <w:sz w:val="38"/>
        </w:rPr>
        <w:t>ALLE DITTE APPALTATRICI</w:t>
      </w:r>
    </w:p>
    <w:p>
      <w:pPr>
        <w:jc w:val="center"/>
      </w:pPr>
      <w:r>
        <w:rPr>
          <w:rFonts w:ascii="Calibri" w:hAnsi="Calibri"/>
          <w:b w:val="0"/>
          <w:i w:val="0"/>
          <w:sz w:val="24"/>
        </w:rPr>
        <w:t>ai sensi dell'art. 26, comma 1, lett. b)</w:t>
      </w:r>
    </w:p>
    <w:p>
      <w:pPr>
        <w:jc w:val="center"/>
      </w:pPr>
      <w:r>
        <w:rPr>
          <w:rFonts w:ascii="Calibri" w:hAnsi="Calibri"/>
          <w:b w:val="0"/>
          <w:i w:val="0"/>
          <w:sz w:val="24"/>
        </w:rPr>
        <w:t>D. Lgs. 81/2008 e s.m.i.</w:t>
      </w:r>
    </w:p>
    <w:p/>
    <w:p/>
    <w:p>
      <w:pPr>
        <w:jc w:val="center"/>
      </w:pPr>
      <w:r>
        <w:rPr>
          <w:rFonts w:ascii="Calibri" w:hAnsi="Calibri"/>
          <w:b/>
          <w:i w:val="0"/>
          <w:sz w:val="24"/>
        </w:rPr>
        <w:t>Oggetto</w:t>
      </w:r>
    </w:p>
    <w:p>
      <w:pPr>
        <w:jc w:val="both"/>
      </w:pPr>
      <w:r>
        <w:rPr>
          <w:rFonts w:ascii="Calibri" w:hAnsi="Calibri"/>
          <w:b/>
          <w:i w:val="0"/>
          <w:sz w:val="24"/>
        </w:rPr>
        <w:t>PROGRAMMA DI MANTENIMENTO CONDIZIONI OPERATIVE (MCO) PER I BACINI DI CARENAGGIO DI MARINARSEN TARANTO – REVISIONE N. 2 VERRICELLI DEL BACINO BRIN – DITTA I.T.C. S.r.l.</w:t>
      </w:r>
    </w:p>
    <w:p/>
    <w:p/>
    <w:p>
      <w:pPr>
        <w:jc w:val="both"/>
      </w:pPr>
      <w:r>
        <w:rPr>
          <w:rFonts w:ascii="Calibri" w:hAnsi="Calibri"/>
          <w:b/>
          <w:i/>
          <w:sz w:val="24"/>
        </w:rPr>
        <w:t>Il Responsabile del Servizio Prevenzione e Protezione</w:t>
      </w:r>
    </w:p>
    <w:p>
      <w:pPr>
        <w:jc w:val="both"/>
      </w:pPr>
      <w:r>
        <w:rPr>
          <w:rFonts w:ascii="Calibri" w:hAnsi="Calibri"/>
          <w:b/>
          <w:i/>
          <w:sz w:val="24"/>
        </w:rPr>
        <w:t>FST ing. Giancarlo CAFORIO</w:t>
      </w:r>
    </w:p>
    <w:p>
      <w:r>
        <w:br w:type="page"/>
      </w:r>
    </w:p>
    <w:p>
      <w:pPr>
        <w:pStyle w:val="Heading1"/>
        <w:jc w:val="both"/>
      </w:pPr>
      <w:r>
        <w:rPr>
          <w:rFonts w:ascii="Calibri" w:hAnsi="Calibri"/>
        </w:rPr>
        <w:t>PREMESSA</w:t>
      </w:r>
    </w:p>
    <w:p>
      <w:pPr>
        <w:jc w:val="both"/>
      </w:pPr>
      <w:r>
        <w:rPr>
          <w:rFonts w:ascii="Calibri" w:hAnsi="Calibri"/>
          <w:b w:val="0"/>
          <w:i w:val="0"/>
          <w:sz w:val="24"/>
        </w:rPr>
        <w:t>Lo scopo del presente documento è quello di fornire le informazioni, ai sensi dell’art. 26 comma 1 lettera b) del D. Lgs. 81/2008 e s.m.i., relative ai luoghi di lavoro oggetto del contratto e dipendenti dall’organizzazione del Committente, al fine di consentire alla Ditta appaltatrice di adottare le misure di prevenzione e protezione più idonee in relazione ai rischi specifici presenti nell’ambiente in cui il personale è destinato ad operare.</w:t>
      </w:r>
    </w:p>
    <w:p>
      <w:pPr>
        <w:jc w:val="both"/>
      </w:pPr>
      <w:r>
        <w:rPr>
          <w:rFonts w:ascii="Calibri" w:hAnsi="Calibri"/>
          <w:b w:val="0"/>
          <w:i/>
          <w:sz w:val="24"/>
        </w:rPr>
        <w:t>Ai sensi dell’art. 26 comma 3 D.Lgs. 81/2008, la Ditta Appaltatrice è tenuta a partecipare alle riunioni di coordinamento indette dal Committente e a prendere visione del DUVRI (Appendice A alla S.T.) ove predisposto. Il presente documento costituisce parte integrante della documentazione contrattuale (Fascicolo 2511/25 – Ordine nr. 2) e dovrà essere portato a conoscenza, da parte del Datore di Lavoro della Ditta appaltatrice, di tutto il personale impiegato nelle lavorazioni, ivi inclusi eventuali subappaltatori autorizzati e lavoratori autonomi.</w:t>
      </w:r>
    </w:p>
    <w:p/>
    <w:p>
      <w:pPr>
        <w:pStyle w:val="Heading1"/>
        <w:jc w:val="both"/>
      </w:pPr>
      <w:r>
        <w:rPr>
          <w:rFonts w:ascii="Calibri" w:hAnsi="Calibri"/>
        </w:rPr>
        <w:t>INFORMAZIONI SUI RISCHI INTERFERENZIALI E SUL COORDINAMENTO OPERATIVO</w:t>
      </w:r>
    </w:p>
    <w:p>
      <w:pPr>
        <w:jc w:val="both"/>
      </w:pPr>
      <w:r>
        <w:rPr>
          <w:rFonts w:ascii="Calibri" w:hAnsi="Calibri"/>
          <w:b w:val="0"/>
          <w:i w:val="0"/>
          <w:sz w:val="24"/>
        </w:rPr>
        <w:t>Le attività oggetto del presente affidamento si svolgeranno all’interno del comprensorio dell’Arsenale Militare Marittimo di Taranto, in area Bacino Brin, ove possono essere presenti, in concomitanza o in prossimità, ulteriori attività lavorative gestite secondo diverse linee di comando e distinti regimi tecnico-organizzativi.</w:t>
      </w:r>
    </w:p>
    <w:p>
      <w:pPr>
        <w:jc w:val="both"/>
      </w:pPr>
      <w:r>
        <w:rPr>
          <w:rFonts w:ascii="Calibri" w:hAnsi="Calibri"/>
          <w:b w:val="0"/>
          <w:i w:val="0"/>
          <w:sz w:val="24"/>
        </w:rPr>
        <w:t>Il presente documento fornisce pertanto le informazioni di carattere generale sui rischi presenti nell’ambiente di lavoro e sui rischi interferenziali conoscibili e stabili al momento della sua redazione, restando esclusa la descrizione dettagliata delle lavorazioni variabili in corso nel cantiere navale militare e nel cantiere pozzo prosciugamento RTL, che saranno oggetto di specifica informazione e coordinamento da parte del Responsabile Tecnico dei Lavori / Responsabile Esecuzione.</w:t>
      </w:r>
    </w:p>
    <w:p>
      <w:pPr>
        <w:jc w:val="both"/>
      </w:pPr>
      <w:r>
        <w:rPr>
          <w:rFonts w:ascii="Calibri" w:hAnsi="Calibri"/>
          <w:b w:val="0"/>
          <w:i w:val="0"/>
          <w:sz w:val="24"/>
        </w:rPr>
        <w:t>In particolare, il personale della Ditta ITC S.r.l. dovrà operare esclusivamente nelle aree autorizzate dal DEC e secondo le modalità concordate in sede di coordinamento, evitando ogni interferenza con le attività militari e con le lavorazioni di altre imprese eventualmente presenti nel comprensorio.</w:t>
      </w:r>
    </w:p>
    <w:p>
      <w:pPr>
        <w:jc w:val="both"/>
      </w:pPr>
      <w:r>
        <w:rPr>
          <w:rFonts w:ascii="Calibri" w:hAnsi="Calibri"/>
          <w:b w:val="0"/>
          <w:i w:val="0"/>
          <w:sz w:val="24"/>
        </w:rPr>
        <w:t>Per i rischi derivanti da attività soggette a D.Lgs. 272/1999, il coordinamento operativo, la convocazione delle riunioni e la formalizzazione per iscritto delle misure di prevenzione e protezione sono demandati al RTL / Responsabile Esecuzione dei lavori, fermo restando l’obbligo del committente di aggiornare il presente documento in caso di nuove interferenze non previste.</w:t>
      </w:r>
    </w:p>
    <w:p>
      <w:pPr>
        <w:jc w:val="both"/>
      </w:pPr>
      <w:r>
        <w:rPr>
          <w:rFonts w:ascii="Calibri" w:hAnsi="Calibri"/>
          <w:b w:val="0"/>
          <w:i w:val="0"/>
          <w:sz w:val="24"/>
        </w:rPr>
        <w:t>Qualsiasi variazione logistica, organizzativa o temporale che possa incidere sulla sicurezza delle attività dovrà essere comunicata tempestivamente al DEC e, comunque, prima della ripresa delle lavorazioni interessate.</w:t>
      </w:r>
    </w:p>
    <w:p>
      <w:pPr>
        <w:jc w:val="both"/>
      </w:pPr>
      <w:r>
        <w:rPr>
          <w:rFonts w:ascii="Calibri" w:hAnsi="Calibri"/>
          <w:b w:val="0"/>
          <w:i w:val="0"/>
          <w:sz w:val="24"/>
        </w:rPr>
        <w:t>Si dà atto che il presente documento informativo è integrato dal documento già trasmesso al Responsabile Tecnico dei Lavori / Responsabile Esecuzione (RTL/R.E.) per le attività soggette al D.Lgs. 272/1999, allegato al presente fascicolo quale parte integrante e sostanziale, ai fini del coordinamento delle interferenze e della formalizzazione delle misure di prevenzione e protezione.</w:t>
      </w:r>
    </w:p>
    <w:p/>
    <w:p>
      <w:pPr>
        <w:pStyle w:val="Heading1"/>
        <w:jc w:val="both"/>
      </w:pPr>
      <w:r>
        <w:rPr>
          <w:rFonts w:ascii="Calibri" w:hAnsi="Calibri"/>
        </w:rPr>
        <w:t>RIFERIMENTI AL CONTRATTO</w:t>
      </w:r>
    </w:p>
    <w:p>
      <w:pPr>
        <w:jc w:val="both"/>
      </w:pPr>
      <w:r>
        <w:rPr>
          <w:rFonts w:ascii="Calibri" w:hAnsi="Calibri"/>
          <w:b w:val="0"/>
          <w:i w:val="0"/>
          <w:sz w:val="24"/>
        </w:rPr>
        <w:t>Fascicolo: 2511/25 – Programma di mantenimento delle condizioni operative (MCO) per i bacini di carenaggio di MARINARSEN Taranto – Revisione n. 2 verricelli del Bacino BRIN.</w:t>
      </w:r>
    </w:p>
    <w:p>
      <w:pPr>
        <w:jc w:val="both"/>
      </w:pPr>
      <w:r>
        <w:rPr>
          <w:rFonts w:ascii="Calibri" w:hAnsi="Calibri"/>
          <w:b w:val="0"/>
          <w:i w:val="0"/>
          <w:sz w:val="24"/>
        </w:rPr>
        <w:t>Ordine: nr. 2</w:t>
      </w:r>
    </w:p>
    <w:p>
      <w:pPr>
        <w:jc w:val="both"/>
      </w:pPr>
      <w:r>
        <w:rPr>
          <w:rFonts w:ascii="Calibri" w:hAnsi="Calibri"/>
          <w:b w:val="0"/>
          <w:i w:val="0"/>
          <w:sz w:val="24"/>
        </w:rPr>
        <w:t>Ditta appaltatrice: I.T.C. S.r.l.</w:t>
      </w:r>
    </w:p>
    <w:p>
      <w:pPr>
        <w:jc w:val="both"/>
      </w:pPr>
      <w:r>
        <w:rPr>
          <w:rFonts w:ascii="Calibri" w:hAnsi="Calibri"/>
          <w:b w:val="0"/>
          <w:i w:val="0"/>
          <w:sz w:val="24"/>
        </w:rPr>
        <w:t>Committente: Arsenale Militare Marittimo di Taranto – MARINARSEN TARANTO</w:t>
      </w:r>
    </w:p>
    <w:p/>
    <w:p>
      <w:pPr>
        <w:pStyle w:val="Heading1"/>
        <w:jc w:val="both"/>
      </w:pPr>
      <w:r>
        <w:rPr>
          <w:rFonts w:ascii="Calibri" w:hAnsi="Calibri"/>
        </w:rPr>
        <w:t>AREE E LOCALI DOVE POSSONO ESSERE SVOLTI I LAVORI</w:t>
      </w:r>
    </w:p>
    <w:p>
      <w:pPr>
        <w:jc w:val="both"/>
      </w:pPr>
      <w:r>
        <w:rPr>
          <w:rFonts w:ascii="Calibri" w:hAnsi="Calibri"/>
          <w:b w:val="0"/>
          <w:i w:val="0"/>
          <w:sz w:val="24"/>
        </w:rPr>
        <w:t>Le attività di revisione dei n. 2 verricelli si svolgeranno nelle seguenti aree del comprensorio di MARINARSEN Taranto:</w:t>
      </w:r>
    </w:p>
    <w:p>
      <w:pPr>
        <w:jc w:val="both"/>
      </w:pPr>
      <w:r>
        <w:rPr>
          <w:rFonts w:ascii="Calibri" w:hAnsi="Calibri"/>
          <w:b w:val="0"/>
          <w:i w:val="0"/>
          <w:sz w:val="24"/>
        </w:rPr>
        <w:t>• Bacino di carenaggio BRIN – piano di banchina, ciglio bacino, postazioni dei verricelli di manovra;</w:t>
      </w:r>
    </w:p>
    <w:p>
      <w:pPr>
        <w:jc w:val="both"/>
      </w:pPr>
      <w:r>
        <w:rPr>
          <w:rFonts w:ascii="Calibri" w:hAnsi="Calibri"/>
          <w:b w:val="0"/>
          <w:i w:val="0"/>
          <w:sz w:val="24"/>
        </w:rPr>
        <w:t>• Aree limitrofe ai verricelli necessarie per la movimentazione di componenti, attrezzature e ricambi;</w:t>
      </w:r>
    </w:p>
    <w:p>
      <w:pPr>
        <w:jc w:val="both"/>
      </w:pPr>
      <w:r>
        <w:rPr>
          <w:rFonts w:ascii="Calibri" w:hAnsi="Calibri"/>
          <w:b w:val="0"/>
          <w:i w:val="0"/>
          <w:sz w:val="24"/>
        </w:rPr>
        <w:t>• Eventuali locali tecnici annessi al bacino, indicati di volta in volta dal DEC/RTL;</w:t>
      </w:r>
    </w:p>
    <w:p>
      <w:pPr>
        <w:jc w:val="both"/>
      </w:pPr>
      <w:r>
        <w:rPr>
          <w:rFonts w:ascii="Calibri" w:hAnsi="Calibri"/>
          <w:b w:val="0"/>
          <w:i w:val="0"/>
          <w:sz w:val="24"/>
        </w:rPr>
        <w:t>• Percorsi di accesso e transito all’interno del comprensorio, dal varco di ingresso autorizzato fino al Bacino BRIN.</w:t>
      </w:r>
    </w:p>
    <w:p>
      <w:pPr>
        <w:jc w:val="both"/>
      </w:pPr>
      <w:r>
        <w:rPr>
          <w:rFonts w:ascii="Calibri" w:hAnsi="Calibri"/>
          <w:b w:val="0"/>
          <w:i w:val="0"/>
          <w:sz w:val="24"/>
        </w:rPr>
        <w:t>Sono espressamente esclusi dall’area di lavoro autorizzata: gli specchi acquei e le banchine non strettamente connesse alle lavorazioni; i bacini diversi dal BRIN; le aree in cui sono presenti unità navali militari; le aree militari operative, i depositi, i locali con regime di accesso riservato; ogni altra zona non espressamente autorizzata dal DEC.</w:t>
      </w:r>
    </w:p>
    <w:p>
      <w:pPr>
        <w:jc w:val="both"/>
      </w:pPr>
      <w:r>
        <w:rPr>
          <w:rFonts w:ascii="Calibri" w:hAnsi="Calibri"/>
          <w:b w:val="0"/>
          <w:i w:val="0"/>
          <w:sz w:val="24"/>
        </w:rPr>
        <w:t>L’accesso alle aree di lavoro deve avvenire esclusivamente attraverso i percorsi indicati dal DEC e nei tempi concordati con il RTL/R.E.</w:t>
      </w:r>
    </w:p>
    <w:p/>
    <w:p>
      <w:pPr>
        <w:pStyle w:val="Heading1"/>
        <w:jc w:val="both"/>
      </w:pPr>
      <w:r>
        <w:rPr>
          <w:rFonts w:ascii="Calibri" w:hAnsi="Calibri"/>
        </w:rPr>
        <w:t>Figure Responsabili ai sensi del D. Lgs. 81/2008</w:t>
      </w:r>
    </w:p>
    <w:p>
      <w:pPr>
        <w:jc w:val="both"/>
      </w:pPr>
      <w:r>
        <w:rPr>
          <w:rFonts w:ascii="Calibri" w:hAnsi="Calibri"/>
          <w:b w:val="0"/>
          <w:i w:val="0"/>
          <w:sz w:val="24"/>
        </w:rPr>
        <w:t>Marinarsen ha una struttura gerarchica definita con Decreto Ministeriale (DM) e disposizioni interne. Di seguito vengono riportati i nominativi del Datore di lavoro, dei dirigenti e preposti interessati alla presente attività:</w:t>
      </w:r>
    </w:p>
    <w:p/>
    <w:p>
      <w:pPr>
        <w:jc w:val="both"/>
      </w:pPr>
      <w:r>
        <w:rPr>
          <w:rFonts w:ascii="Calibri" w:hAnsi="Calibri"/>
          <w:b/>
          <w:i w:val="0"/>
          <w:sz w:val="24"/>
        </w:rPr>
        <w:t>Datore di Lavoro - Direttore protempore dell’Arsenale di Taranto:</w:t>
      </w:r>
    </w:p>
    <w:p>
      <w:pPr>
        <w:jc w:val="both"/>
      </w:pPr>
      <w:r>
        <w:rPr>
          <w:rFonts w:ascii="Calibri" w:hAnsi="Calibri"/>
          <w:b w:val="0"/>
          <w:i w:val="0"/>
          <w:sz w:val="24"/>
        </w:rPr>
        <w:t>Amm. Isp. Alessandro BATTAGLIA</w:t>
      </w:r>
    </w:p>
    <w:p/>
    <w:p>
      <w:pPr>
        <w:jc w:val="both"/>
      </w:pPr>
      <w:r>
        <w:rPr>
          <w:rFonts w:ascii="Calibri" w:hAnsi="Calibri"/>
          <w:b w:val="0"/>
          <w:i w:val="0"/>
          <w:sz w:val="24"/>
        </w:rPr>
        <w:t>Figure di particolare interesse per l’oggetto dei lavori:</w:t>
      </w:r>
    </w:p>
    <w:p>
      <w:pPr>
        <w:jc w:val="both"/>
      </w:pPr>
      <w:r>
        <w:rPr>
          <w:rFonts w:ascii="Calibri" w:hAnsi="Calibri"/>
          <w:b w:val="0"/>
          <w:i w:val="0"/>
          <w:sz w:val="24"/>
        </w:rPr>
        <w:t>Capo Reparto Supporto Tecnico Arsenale: Dirigente Tommaso COVIELLO tel.099 775 2356</w:t>
      </w:r>
    </w:p>
    <w:p>
      <w:pPr>
        <w:jc w:val="both"/>
      </w:pPr>
      <w:r>
        <w:rPr>
          <w:rFonts w:ascii="Calibri" w:hAnsi="Calibri"/>
          <w:b w:val="0"/>
          <w:i w:val="0"/>
          <w:sz w:val="24"/>
        </w:rPr>
        <w:t>Direttore Operativo (D.O.): F.S.T. Ing. Antonio SURANO tel. 099 775 2603</w:t>
      </w:r>
    </w:p>
    <w:p>
      <w:pPr>
        <w:jc w:val="both"/>
      </w:pPr>
      <w:r>
        <w:rPr>
          <w:rFonts w:ascii="Calibri" w:hAnsi="Calibri"/>
          <w:b w:val="0"/>
          <w:i w:val="0"/>
          <w:sz w:val="24"/>
        </w:rPr>
        <w:t>Responsabile Servizio Prevenzione e Protezione: FST Giancarlo CAFORIO tel.099 775 3103</w:t>
      </w:r>
    </w:p>
    <w:p>
      <w:pPr>
        <w:jc w:val="both"/>
      </w:pPr>
      <w:r>
        <w:rPr>
          <w:rFonts w:ascii="Calibri" w:hAnsi="Calibri"/>
          <w:b w:val="0"/>
          <w:i w:val="0"/>
          <w:sz w:val="24"/>
        </w:rPr>
        <w:t>Medico competente: Dott. Giovanni TRIA tel.099 775 4028</w:t>
      </w:r>
    </w:p>
    <w:p>
      <w:pPr>
        <w:jc w:val="both"/>
      </w:pPr>
      <w:r>
        <w:rPr>
          <w:rFonts w:ascii="Calibri" w:hAnsi="Calibri"/>
          <w:b w:val="0"/>
          <w:i w:val="0"/>
          <w:sz w:val="24"/>
        </w:rPr>
        <w:t>Capo Sezione Sanitaria: C.C. Dott. Valerio SCARANO CATANZARO tel. 099 775 2366</w:t>
      </w:r>
    </w:p>
    <w:p/>
    <w:p>
      <w:pPr>
        <w:jc w:val="both"/>
      </w:pPr>
      <w:r>
        <w:rPr>
          <w:rFonts w:ascii="Calibri" w:hAnsi="Calibri"/>
          <w:b w:val="0"/>
          <w:i w:val="0"/>
          <w:sz w:val="24"/>
        </w:rPr>
        <w:t>RAPPRESENTANTI DEI LAVORATORI</w:t>
      </w:r>
    </w:p>
    <w:p>
      <w:pPr>
        <w:jc w:val="both"/>
      </w:pPr>
      <w:r>
        <w:rPr>
          <w:rFonts w:ascii="Calibri" w:hAnsi="Calibri"/>
          <w:b w:val="0"/>
          <w:i w:val="0"/>
          <w:sz w:val="24"/>
        </w:rPr>
        <w:t>Personale Civile:</w:t>
      </w:r>
    </w:p>
    <w:p>
      <w:pPr>
        <w:jc w:val="both"/>
      </w:pPr>
      <w:r>
        <w:rPr>
          <w:rFonts w:ascii="Calibri" w:hAnsi="Calibri"/>
          <w:b w:val="0"/>
          <w:i w:val="0"/>
          <w:sz w:val="24"/>
        </w:rPr>
        <w:t>Alessandro SCIALPI</w:t>
      </w:r>
    </w:p>
    <w:p>
      <w:pPr>
        <w:jc w:val="both"/>
      </w:pPr>
      <w:r>
        <w:rPr>
          <w:rFonts w:ascii="Calibri" w:hAnsi="Calibri"/>
          <w:b w:val="0"/>
          <w:i w:val="0"/>
          <w:sz w:val="24"/>
        </w:rPr>
        <w:t>Giovanni CHIFFI</w:t>
      </w:r>
    </w:p>
    <w:p>
      <w:pPr>
        <w:jc w:val="both"/>
      </w:pPr>
      <w:r>
        <w:rPr>
          <w:rFonts w:ascii="Calibri" w:hAnsi="Calibri"/>
          <w:b w:val="0"/>
          <w:i w:val="0"/>
          <w:sz w:val="24"/>
        </w:rPr>
        <w:t>Pierluigi PAULI</w:t>
      </w:r>
    </w:p>
    <w:p>
      <w:pPr>
        <w:jc w:val="both"/>
      </w:pPr>
      <w:r>
        <w:rPr>
          <w:rFonts w:ascii="Calibri" w:hAnsi="Calibri"/>
          <w:b w:val="0"/>
          <w:i w:val="0"/>
          <w:sz w:val="24"/>
        </w:rPr>
        <w:t>Pietro AVELLINO</w:t>
      </w:r>
    </w:p>
    <w:p>
      <w:pPr>
        <w:jc w:val="both"/>
      </w:pPr>
      <w:r>
        <w:rPr>
          <w:rFonts w:ascii="Calibri" w:hAnsi="Calibri"/>
          <w:b w:val="0"/>
          <w:i w:val="0"/>
          <w:sz w:val="24"/>
        </w:rPr>
        <w:t>Saverio CAPODIFERRO</w:t>
      </w:r>
    </w:p>
    <w:p>
      <w:pPr>
        <w:jc w:val="both"/>
      </w:pPr>
      <w:r>
        <w:rPr>
          <w:rFonts w:ascii="Calibri" w:hAnsi="Calibri"/>
          <w:b w:val="0"/>
          <w:i w:val="0"/>
          <w:sz w:val="24"/>
        </w:rPr>
        <w:t>Valentina FALCONE</w:t>
      </w:r>
    </w:p>
    <w:p>
      <w:pPr>
        <w:jc w:val="both"/>
      </w:pPr>
      <w:r>
        <w:rPr>
          <w:rFonts w:ascii="Calibri" w:hAnsi="Calibri"/>
          <w:b w:val="0"/>
          <w:i w:val="0"/>
          <w:sz w:val="24"/>
        </w:rPr>
        <w:t>Personale Militare:</w:t>
      </w:r>
    </w:p>
    <w:p>
      <w:pPr>
        <w:jc w:val="both"/>
      </w:pPr>
      <w:r>
        <w:rPr>
          <w:rFonts w:ascii="Calibri" w:hAnsi="Calibri"/>
          <w:b w:val="0"/>
          <w:i w:val="0"/>
          <w:sz w:val="24"/>
        </w:rPr>
        <w:t>--</w:t>
      </w:r>
    </w:p>
    <w:p>
      <w:r>
        <w:br w:type="page"/>
      </w:r>
    </w:p>
    <w:p>
      <w:pPr>
        <w:pStyle w:val="Heading1"/>
        <w:jc w:val="both"/>
      </w:pPr>
      <w:r>
        <w:rPr>
          <w:rFonts w:ascii="Calibri" w:hAnsi="Calibri"/>
        </w:rPr>
        <w:t>1) INFORMAZIONI GENERALI SULL’ARSENALE DI TARANTO</w:t>
      </w:r>
    </w:p>
    <w:p>
      <w:pPr>
        <w:jc w:val="both"/>
      </w:pPr>
      <w:r>
        <w:rPr>
          <w:rFonts w:ascii="Calibri" w:hAnsi="Calibri"/>
          <w:b w:val="0"/>
          <w:i w:val="0"/>
          <w:sz w:val="24"/>
        </w:rPr>
        <w:t>Denominazione Ente: ARSENALE MILITARE MARITTIMO TARANTO (detto anche MARINARSEN TARANTO)</w:t>
      </w:r>
    </w:p>
    <w:p/>
    <w:p>
      <w:pPr>
        <w:jc w:val="both"/>
      </w:pPr>
      <w:r>
        <w:rPr>
          <w:rFonts w:ascii="Calibri" w:hAnsi="Calibri"/>
          <w:b w:val="0"/>
          <w:i w:val="0"/>
          <w:sz w:val="24"/>
        </w:rPr>
        <w:t>Ubicazione:   TARANTO,  Piazza Ammiraglio Pasquale  Leonardi  CAP:  74123</w:t>
      </w:r>
    </w:p>
    <w:p/>
    <w:p>
      <w:pPr>
        <w:jc w:val="both"/>
      </w:pPr>
      <w:r>
        <w:rPr>
          <w:rFonts w:ascii="Calibri" w:hAnsi="Calibri"/>
          <w:b w:val="0"/>
          <w:i w:val="0"/>
          <w:sz w:val="24"/>
        </w:rPr>
        <w:t>Organo di Vigilanza Competente:   MARIVIGILANZA – AREA SUD – TARANTO</w:t>
      </w:r>
    </w:p>
    <w:p>
      <w:r>
        <w:br w:type="page"/>
      </w:r>
    </w:p>
    <w:p>
      <w:pPr>
        <w:pStyle w:val="Heading1"/>
        <w:jc w:val="both"/>
      </w:pPr>
      <w:r>
        <w:rPr>
          <w:rFonts w:ascii="Calibri" w:hAnsi="Calibri"/>
        </w:rPr>
        <w:t>2) INFORMAZIONI RELATIVE ALLA GESTIONE DELLE EMERGENZE, EVACUAZIONE e PRIMO SOCCORSO.</w:t>
      </w:r>
    </w:p>
    <w:p>
      <w:pPr>
        <w:pStyle w:val="Heading2"/>
        <w:jc w:val="center"/>
      </w:pPr>
      <w:r>
        <w:rPr>
          <w:rFonts w:ascii="Calibri" w:hAnsi="Calibri"/>
        </w:rPr>
        <w:t>EVACUAZIONE</w:t>
      </w:r>
    </w:p>
    <w:p>
      <w:pPr>
        <w:jc w:val="both"/>
      </w:pPr>
      <w:r>
        <w:rPr>
          <w:rFonts w:ascii="Calibri" w:hAnsi="Calibri"/>
          <w:b w:val="0"/>
          <w:i w:val="0"/>
          <w:sz w:val="24"/>
        </w:rPr>
        <w:t>Di seguito la planimetria con centri di raccolta di tutto il comprensorio Arsenalizio.</w:t>
      </w:r>
    </w:p>
    <w:p>
      <w:pPr>
        <w:jc w:val="center"/>
      </w:pPr>
      <w:r>
        <w:drawing>
          <wp:inline xmlns:a="http://schemas.openxmlformats.org/drawingml/2006/main" xmlns:pic="http://schemas.openxmlformats.org/drawingml/2006/picture">
            <wp:extent cx="5400000" cy="3322395"/>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400000" cy="3322395"/>
                    </a:xfrm>
                    <a:prstGeom prst="rect"/>
                  </pic:spPr>
                </pic:pic>
              </a:graphicData>
            </a:graphic>
          </wp:inline>
        </w:drawing>
      </w:r>
    </w:p>
    <w:p/>
    <w:p>
      <w:pPr>
        <w:jc w:val="center"/>
      </w:pPr>
      <w:r>
        <w:rPr>
          <w:rFonts w:ascii="Calibri" w:hAnsi="Calibri"/>
          <w:b/>
          <w:i w:val="0"/>
          <w:sz w:val="36"/>
        </w:rPr>
        <w:t>CHIAMATE DI EMERGENZA</w:t>
      </w:r>
    </w:p>
    <w:p/>
    <w:p>
      <w:pPr>
        <w:jc w:val="center"/>
      </w:pPr>
      <w:r>
        <w:rPr>
          <w:rFonts w:ascii="Calibri" w:hAnsi="Calibri"/>
          <w:b/>
          <w:i w:val="0"/>
          <w:sz w:val="24"/>
        </w:rPr>
        <w:t>EMERGENZA INCENDIO: 115 Vigili del Fuoco</w:t>
      </w:r>
    </w:p>
    <w:p/>
    <w:p>
      <w:pPr>
        <w:jc w:val="center"/>
      </w:pPr>
      <w:r>
        <w:rPr>
          <w:rFonts w:ascii="Calibri" w:hAnsi="Calibri"/>
          <w:b w:val="0"/>
          <w:i w:val="0"/>
          <w:sz w:val="24"/>
        </w:rPr>
        <w:t>EMERGENZA SANITARIA: 118 Pronto Soccorso</w:t>
      </w:r>
    </w:p>
    <w:p/>
    <w:p>
      <w:pPr>
        <w:jc w:val="center"/>
      </w:pPr>
      <w:r>
        <w:rPr>
          <w:rFonts w:ascii="Calibri" w:hAnsi="Calibri"/>
          <w:b/>
          <w:i w:val="0"/>
          <w:sz w:val="24"/>
        </w:rPr>
        <w:t>SALA MEDICA ARSENALE tel. 099 775 2841</w:t>
      </w:r>
    </w:p>
    <w:p>
      <w:pPr>
        <w:jc w:val="center"/>
      </w:pPr>
      <w:r>
        <w:rPr>
          <w:rFonts w:ascii="Calibri" w:hAnsi="Calibri"/>
          <w:b/>
          <w:i w:val="0"/>
          <w:sz w:val="24"/>
        </w:rPr>
        <w:t>Primo Soccorso per eventi non gravi solo durante i seguenti orari:</w:t>
      </w:r>
    </w:p>
    <w:p/>
    <w:p>
      <w:pPr>
        <w:jc w:val="center"/>
      </w:pPr>
      <w:r>
        <w:rPr>
          <w:rFonts w:ascii="Calibri" w:hAnsi="Calibri"/>
          <w:b/>
          <w:i w:val="0"/>
          <w:sz w:val="24"/>
        </w:rPr>
        <w:t>lunedì – giovedì dalle 08:00 alle 16:30</w:t>
      </w:r>
    </w:p>
    <w:p>
      <w:pPr>
        <w:jc w:val="center"/>
      </w:pPr>
      <w:r>
        <w:rPr>
          <w:rFonts w:ascii="Calibri" w:hAnsi="Calibri"/>
          <w:b/>
          <w:i w:val="0"/>
          <w:sz w:val="24"/>
        </w:rPr>
        <w:t>venerdì dalle 08:00 alle 12:00</w:t>
      </w:r>
    </w:p>
    <w:p/>
    <w:tbl>
      <w:tblPr>
        <w:tblStyle w:val="TableGrid"/>
        <w:tblW w:type="auto" w:w="0"/>
        <w:tblLook w:firstColumn="1" w:firstRow="1" w:lastColumn="0" w:lastRow="0" w:noHBand="0" w:noVBand="1" w:val="04A0"/>
      </w:tblPr>
      <w:tblGrid>
        <w:gridCol w:w="10206"/>
      </w:tblGrid>
      <w:tr>
        <w:tc>
          <w:tcPr>
            <w:tcW w:type="dxa" w:w="10206"/>
          </w:tcPr>
          <w:p>
            <w:pPr>
              <w:jc w:val="left"/>
            </w:pPr>
            <w:r>
              <w:rPr>
                <w:rFonts w:ascii="Calibri" w:hAnsi="Calibri"/>
                <w:b/>
                <w:sz w:val="22"/>
              </w:rPr>
              <w:t>EMERGENZA ELETTRICA</w:t>
              <w:br/>
              <w:br/>
              <w:t>Se necessita un intervento in emergenza sulla rete elettrica:</w:t>
              <w:br/>
              <w:t>Guardia Circuiti - Sezione Reti Elettriche:</w:t>
              <w:br/>
              <w:t>da telefono militare: 2601</w:t>
              <w:br/>
              <w:t>da telefono civile: 099 775 2601</w:t>
              <w:br/>
              <w:br/>
              <w:t>Elettricista di turno H24 (per bacini e banchine):</w:t>
              <w:br/>
              <w:t>da telefono militare: 2601</w:t>
              <w:br/>
              <w:t>da telefono civile: 099 775 2601</w:t>
            </w:r>
          </w:p>
        </w:tc>
      </w:tr>
    </w:tbl>
    <w:p/>
    <w:p>
      <w:pPr>
        <w:jc w:val="center"/>
      </w:pPr>
      <w:r>
        <w:rPr>
          <w:rFonts w:ascii="Calibri" w:hAnsi="Calibri"/>
          <w:b/>
          <w:i w:val="0"/>
          <w:sz w:val="30"/>
        </w:rPr>
        <w:t>EMERGENZA BACINO BRIN</w:t>
      </w:r>
    </w:p>
    <w:p/>
    <w:p>
      <w:pPr>
        <w:jc w:val="both"/>
      </w:pPr>
      <w:r>
        <w:rPr>
          <w:rFonts w:ascii="Calibri" w:hAnsi="Calibri"/>
          <w:b w:val="0"/>
          <w:i w:val="0"/>
          <w:sz w:val="24"/>
        </w:rPr>
        <w:t>In considerazione della specificità del Bacino BRIN, la Ditta deve attenersi alle seguenti disposizioni di emergenza:</w:t>
      </w:r>
    </w:p>
    <w:p>
      <w:pPr>
        <w:jc w:val="both"/>
      </w:pPr>
      <w:r>
        <w:rPr>
          <w:rFonts w:ascii="Calibri" w:hAnsi="Calibri"/>
          <w:b w:val="0"/>
          <w:i w:val="0"/>
          <w:sz w:val="24"/>
        </w:rPr>
        <w:t>• Caduta di persona o di materiali in bacino: interrompere le attività, dare l’allarme alla Centrale Operativa e al DEC, non tentare il recupero in autonomia se non in condizioni di sicurezza, agevolare l’intervento delle squadre di soccorso.</w:t>
      </w:r>
    </w:p>
    <w:p>
      <w:pPr>
        <w:jc w:val="both"/>
      </w:pPr>
      <w:r>
        <w:rPr>
          <w:rFonts w:ascii="Calibri" w:hAnsi="Calibri"/>
          <w:b w:val="0"/>
          <w:i w:val="0"/>
          <w:sz w:val="24"/>
        </w:rPr>
        <w:t>• Allagamento accidentale o variazione anomala del livello d’acqua: allontanarsi immediatamente dal piano vasca e dalle gallerie/pozzetti, raggiungere il piano di banchina lungo i percorsi più brevi e segnalati, dare l’allarme.</w:t>
      </w:r>
    </w:p>
    <w:p>
      <w:pPr>
        <w:jc w:val="both"/>
      </w:pPr>
      <w:r>
        <w:rPr>
          <w:rFonts w:ascii="Calibri" w:hAnsi="Calibri"/>
          <w:b w:val="0"/>
          <w:i w:val="0"/>
          <w:sz w:val="24"/>
        </w:rPr>
        <w:t>• Emergenza meccanica del verricello / dei sistemi di tenuta della porta-bacino / dei sistemi di pompaggio: arrestare le manovre in sicurezza, segnalare l’anomalia al DEC e al RTL/R.E., non riavviare le manovre fino a verifica e autorizzazione formale.</w:t>
      </w:r>
    </w:p>
    <w:p>
      <w:pPr>
        <w:jc w:val="both"/>
      </w:pPr>
      <w:r>
        <w:rPr>
          <w:rFonts w:ascii="Calibri" w:hAnsi="Calibri"/>
          <w:b w:val="0"/>
          <w:i w:val="0"/>
          <w:sz w:val="24"/>
        </w:rPr>
        <w:t>• Sversamenti di oli, idrocarburi o sostanze pericolose: contenere lo sversamento con i mezzi a disposizione (kit antinquinamento di cantiere) e dare immediato avviso, evitando lo scarico in mare.</w:t>
      </w:r>
    </w:p>
    <w:p>
      <w:pPr>
        <w:jc w:val="both"/>
      </w:pPr>
      <w:r>
        <w:rPr>
          <w:rFonts w:ascii="Calibri" w:hAnsi="Calibri"/>
          <w:b w:val="0"/>
          <w:i w:val="0"/>
          <w:sz w:val="24"/>
        </w:rPr>
        <w:t>• Incendio in bacino o nei locali tecnici annessi: utilizzare i mezzi di estinzione disponibili solo se addestrati e in sicurezza, attivare l’allarme, evacuare verso il punto di raccolta indicato.</w:t>
      </w:r>
    </w:p>
    <w:p>
      <w:pPr>
        <w:jc w:val="both"/>
      </w:pPr>
      <w:r>
        <w:rPr>
          <w:rFonts w:ascii="Calibri" w:hAnsi="Calibri"/>
          <w:b w:val="0"/>
          <w:i w:val="0"/>
          <w:sz w:val="24"/>
        </w:rPr>
        <w:t>L’attivazione delle pompe del bacino, la manovra della porta-bacino e ogni operazione di prosciugamento o riempimento sono di competenza esclusiva del personale di MARINARSEN. La Ditta non può in alcun caso intervenire su tali sistemi.</w:t>
      </w:r>
    </w:p>
    <w:p>
      <w:r>
        <w:br w:type="page"/>
      </w:r>
    </w:p>
    <w:p>
      <w:pPr>
        <w:jc w:val="center"/>
      </w:pPr>
      <w:r>
        <w:rPr>
          <w:rFonts w:ascii="Calibri" w:hAnsi="Calibri"/>
          <w:b/>
          <w:i w:val="0"/>
          <w:sz w:val="30"/>
        </w:rPr>
        <w:t>INFORMAZIONI SUGLI ACCESSI NEL COMPRENSORIO</w:t>
      </w:r>
    </w:p>
    <w:p/>
    <w:tbl>
      <w:tblPr>
        <w:tblStyle w:val="TableGrid"/>
        <w:tblW w:type="auto" w:w="0"/>
        <w:tblLook w:firstColumn="1" w:firstRow="1" w:lastColumn="0" w:lastRow="0" w:noHBand="0" w:noVBand="1" w:val="04A0"/>
      </w:tblPr>
      <w:tblGrid>
        <w:gridCol w:w="10206"/>
      </w:tblGrid>
      <w:tr>
        <w:tc>
          <w:tcPr>
            <w:tcW w:type="dxa" w:w="10206"/>
          </w:tcPr>
          <w:p>
            <w:r>
              <w:rPr>
                <w:rFonts w:ascii="Calibri" w:hAnsi="Calibri"/>
                <w:sz w:val="22"/>
              </w:rPr>
              <w:t>Ordine del giorno n°___ del __/__/2025</w:t>
              <w:br/>
              <w:t>Si applicano le vigenti disposizioni di MARINARSEN Taranto in materia di accesso al comprensorio per il personale delle Ditte appaltatrici.</w:t>
            </w:r>
          </w:p>
        </w:tc>
      </w:tr>
    </w:tbl>
    <w:p/>
    <w:p>
      <w:pPr>
        <w:jc w:val="center"/>
      </w:pPr>
      <w:r>
        <w:rPr>
          <w:rFonts w:ascii="Calibri" w:hAnsi="Calibri"/>
          <w:b/>
          <w:i w:val="0"/>
          <w:sz w:val="30"/>
        </w:rPr>
        <w:t>REPERIBILITÀ TELEFONICA SERVIZI DI GUARDIA E DI VIGILANZA</w:t>
      </w:r>
    </w:p>
    <w:p>
      <w:pPr>
        <w:jc w:val="both"/>
      </w:pPr>
      <w:r>
        <w:rPr>
          <w:rFonts w:ascii="Calibri" w:hAnsi="Calibri"/>
          <w:b/>
          <w:i w:val="0"/>
          <w:sz w:val="24"/>
        </w:rPr>
        <w:t>Comunicazione di Servizio VDA/___ del __/__/2025</w:t>
      </w:r>
    </w:p>
    <w:p/>
    <w:p>
      <w:pPr>
        <w:jc w:val="both"/>
      </w:pPr>
      <w:r>
        <w:rPr>
          <w:rFonts w:ascii="Calibri" w:hAnsi="Calibri"/>
          <w:b w:val="0"/>
          <w:i w:val="0"/>
          <w:sz w:val="24"/>
        </w:rPr>
        <w:t>L’accesso al comprensorio dell’Arsenale è regolato da specifiche disposizioni interne. La Ditta è tenuta a trasmettere preventivamente al DEC l’elenco nominativo del personale, richiedere il rilascio dei titoli di accesso (badge), transitare esclusivamente dai varchi indicati e restituire i titoli al termine delle attività.</w:t>
      </w:r>
    </w:p>
    <w:p>
      <w:pPr>
        <w:jc w:val="both"/>
      </w:pPr>
      <w:r>
        <w:rPr>
          <w:rFonts w:ascii="Calibri" w:hAnsi="Calibri"/>
          <w:b w:val="0"/>
          <w:i w:val="0"/>
          <w:sz w:val="24"/>
        </w:rPr>
        <w:t>All’interno del comprensorio è fatto obbligo di: rispettare la segnaletica; procedere con i mezzi a velocità ridotta (max 20 km/h), dando precedenza ai mezzi militari, ai mezzi di emergenza e ai pedoni; non eseguire riprese fotografiche senza autorizzazione; non introdurre materiali non autorizzati.</w:t>
      </w:r>
    </w:p>
    <w:p>
      <w:r>
        <w:br w:type="page"/>
      </w:r>
    </w:p>
    <w:p>
      <w:pPr>
        <w:pStyle w:val="Heading1"/>
        <w:jc w:val="both"/>
      </w:pPr>
      <w:r>
        <w:rPr>
          <w:rFonts w:ascii="Calibri" w:hAnsi="Calibri"/>
        </w:rPr>
        <w:t>3) INFORMAZIONI  SUI RISCHI</w:t>
      </w:r>
    </w:p>
    <w:p>
      <w:pPr>
        <w:pStyle w:val="Heading2"/>
        <w:jc w:val="center"/>
      </w:pPr>
      <w:r>
        <w:rPr>
          <w:rFonts w:ascii="Calibri" w:hAnsi="Calibri"/>
        </w:rPr>
        <w:t>CODIFICAZIONE FATTORI DI RISCHIO</w:t>
      </w:r>
    </w:p>
    <w:tbl>
      <w:tblPr>
        <w:tblStyle w:val="TableGrid"/>
        <w:tblW w:type="auto" w:w="0"/>
        <w:tblLook w:firstColumn="1" w:firstRow="1" w:lastColumn="0" w:lastRow="0" w:noHBand="0" w:noVBand="1" w:val="04A0"/>
      </w:tblPr>
      <w:tblGrid>
        <w:gridCol w:w="5103"/>
        <w:gridCol w:w="5103"/>
      </w:tblGrid>
      <w:tr>
        <w:tc>
          <w:tcPr>
            <w:tcW w:type="dxa" w:w="5103"/>
            <w:shd w:fill="D9E2F3" w:val="clear"/>
          </w:tcPr>
          <w:p>
            <w:r>
              <w:rPr>
                <w:b/>
              </w:rPr>
              <w:t>Codice FR (DVR Rev.14/2024)</w:t>
            </w:r>
          </w:p>
        </w:tc>
        <w:tc>
          <w:tcPr>
            <w:tcW w:type="dxa" w:w="5103"/>
            <w:shd w:fill="D9E2F3" w:val="clear"/>
          </w:tcPr>
          <w:p>
            <w:r>
              <w:rPr>
                <w:b/>
              </w:rPr>
              <w:t>Ambiti di potenziale rischio</w:t>
            </w:r>
          </w:p>
        </w:tc>
      </w:tr>
      <w:tr>
        <w:tc>
          <w:tcPr>
            <w:tcW w:type="dxa" w:w="5103"/>
          </w:tcPr>
          <w:p>
            <w:r>
              <w:rPr>
                <w:sz w:val="20"/>
              </w:rPr>
              <w:t>4 – Movimentazione manuale dei carichi</w:t>
            </w:r>
          </w:p>
        </w:tc>
        <w:tc>
          <w:tcPr>
            <w:tcW w:type="dxa" w:w="5103"/>
          </w:tcPr>
          <w:p>
            <w:r>
              <w:rPr>
                <w:sz w:val="20"/>
              </w:rPr>
              <w:t>Movimentazione di componenti meccanici dei verricelli (tamburi, riduttori, freni, perni). Rischio muscolo-scheletrico durante smontaggio e rimontaggio.</w:t>
            </w:r>
          </w:p>
        </w:tc>
      </w:tr>
      <w:tr>
        <w:tc>
          <w:tcPr>
            <w:tcW w:type="dxa" w:w="5103"/>
          </w:tcPr>
          <w:p>
            <w:r>
              <w:rPr>
                <w:sz w:val="20"/>
              </w:rPr>
              <w:t>7 – Rumore / 8 – Vibrazioni</w:t>
            </w:r>
          </w:p>
        </w:tc>
        <w:tc>
          <w:tcPr>
            <w:tcW w:type="dxa" w:w="5103"/>
          </w:tcPr>
          <w:p>
            <w:r>
              <w:rPr>
                <w:sz w:val="20"/>
              </w:rPr>
              <w:t>Utilizzo di utensili elettrici/pneumatici (smerigliatrici, avvitatori ad impulso, martelli) durante la revisione. Rumore e vibrazioni mano-braccio.</w:t>
            </w:r>
          </w:p>
        </w:tc>
      </w:tr>
      <w:tr>
        <w:tc>
          <w:tcPr>
            <w:tcW w:type="dxa" w:w="5103"/>
          </w:tcPr>
          <w:p>
            <w:r>
              <w:rPr>
                <w:sz w:val="20"/>
              </w:rPr>
              <w:t>9 – App. a pressione</w:t>
            </w:r>
          </w:p>
        </w:tc>
        <w:tc>
          <w:tcPr>
            <w:tcW w:type="dxa" w:w="5103"/>
          </w:tcPr>
          <w:p>
            <w:r>
              <w:rPr>
                <w:sz w:val="20"/>
              </w:rPr>
              <w:t>Eventuale utilizzo di aria compressa per pulizia componenti, prove di tenuta circuiti idraulici dei verricelli.</w:t>
            </w:r>
          </w:p>
        </w:tc>
      </w:tr>
      <w:tr>
        <w:tc>
          <w:tcPr>
            <w:tcW w:type="dxa" w:w="5103"/>
          </w:tcPr>
          <w:p>
            <w:r>
              <w:rPr>
                <w:sz w:val="20"/>
              </w:rPr>
              <w:t>10 – Apparecchi di sollevamento</w:t>
            </w:r>
          </w:p>
        </w:tc>
        <w:tc>
          <w:tcPr>
            <w:tcW w:type="dxa" w:w="5103"/>
          </w:tcPr>
          <w:p>
            <w:r>
              <w:rPr>
                <w:sz w:val="20"/>
              </w:rPr>
              <w:t>Utilizzo di gru, paranchi, argani per sollevamento e movimentazione organi meccanici dei verricelli (tamburi, motoriduttori, freni). Carichi sospesi.</w:t>
            </w:r>
          </w:p>
        </w:tc>
      </w:tr>
      <w:tr>
        <w:tc>
          <w:tcPr>
            <w:tcW w:type="dxa" w:w="5103"/>
          </w:tcPr>
          <w:p>
            <w:r>
              <w:rPr>
                <w:sz w:val="20"/>
              </w:rPr>
              <w:t>11 – App. trasp. mov. interna</w:t>
            </w:r>
          </w:p>
        </w:tc>
        <w:tc>
          <w:tcPr>
            <w:tcW w:type="dxa" w:w="5103"/>
          </w:tcPr>
          <w:p>
            <w:r>
              <w:rPr>
                <w:sz w:val="20"/>
              </w:rPr>
              <w:t>Transito di autogrù, carrelli elevatori, mezzi di trasporto componenti nelle aree di banchina e bacino. Interferenza con personale a piedi.</w:t>
            </w:r>
          </w:p>
        </w:tc>
      </w:tr>
      <w:tr>
        <w:tc>
          <w:tcPr>
            <w:tcW w:type="dxa" w:w="5103"/>
          </w:tcPr>
          <w:p>
            <w:r>
              <w:rPr>
                <w:sz w:val="20"/>
              </w:rPr>
              <w:t>12 – Attrezzature manuali</w:t>
            </w:r>
          </w:p>
        </w:tc>
        <w:tc>
          <w:tcPr>
            <w:tcW w:type="dxa" w:w="5103"/>
          </w:tcPr>
          <w:p>
            <w:r>
              <w:rPr>
                <w:sz w:val="20"/>
              </w:rPr>
              <w:t>Utilizzo di chiavi dinamometriche, estrattori, martinetti, attrezzi manuali durante le operazioni di smontaggio/rimontaggio dei verricelli.</w:t>
            </w:r>
          </w:p>
        </w:tc>
      </w:tr>
      <w:tr>
        <w:tc>
          <w:tcPr>
            <w:tcW w:type="dxa" w:w="5103"/>
          </w:tcPr>
          <w:p>
            <w:r>
              <w:rPr>
                <w:sz w:val="20"/>
              </w:rPr>
              <w:t>13 – Impianti elettrici</w:t>
            </w:r>
          </w:p>
        </w:tc>
        <w:tc>
          <w:tcPr>
            <w:tcW w:type="dxa" w:w="5103"/>
          </w:tcPr>
          <w:p>
            <w:r>
              <w:rPr>
                <w:sz w:val="20"/>
              </w:rPr>
              <w:t>Interventi su quadri di alimentazione e motori elettrici dei verricelli. Rischio elettrocuzione. Lavori elettrici ai sensi CEI 11-27.</w:t>
            </w:r>
          </w:p>
        </w:tc>
      </w:tr>
      <w:tr>
        <w:tc>
          <w:tcPr>
            <w:tcW w:type="dxa" w:w="5103"/>
          </w:tcPr>
          <w:p>
            <w:r>
              <w:rPr>
                <w:sz w:val="20"/>
              </w:rPr>
              <w:t>14 – Macchine</w:t>
            </w:r>
          </w:p>
        </w:tc>
        <w:tc>
          <w:tcPr>
            <w:tcW w:type="dxa" w:w="5103"/>
          </w:tcPr>
          <w:p>
            <w:r>
              <w:rPr>
                <w:sz w:val="20"/>
              </w:rPr>
              <w:t>Organi meccanici in movimento dei verricelli (tamburi, ingranaggi, freni). Rischio di cesoiamento, trascinamento, schiacciamento durante prove funzionali.</w:t>
            </w:r>
          </w:p>
        </w:tc>
      </w:tr>
      <w:tr>
        <w:tc>
          <w:tcPr>
            <w:tcW w:type="dxa" w:w="5103"/>
          </w:tcPr>
          <w:p>
            <w:r>
              <w:rPr>
                <w:sz w:val="20"/>
              </w:rPr>
              <w:t>15 – Sorgenti d’incendio e/o esplosione</w:t>
            </w:r>
          </w:p>
        </w:tc>
        <w:tc>
          <w:tcPr>
            <w:tcW w:type="dxa" w:w="5103"/>
          </w:tcPr>
          <w:p>
            <w:r>
              <w:rPr>
                <w:sz w:val="20"/>
              </w:rPr>
              <w:t>Lavorazioni a caldo (saldatura, molatura) su componenti metallici dei verricelli. Presenza di oli e grassi lubrificanti.</w:t>
            </w:r>
          </w:p>
        </w:tc>
      </w:tr>
      <w:tr>
        <w:tc>
          <w:tcPr>
            <w:tcW w:type="dxa" w:w="5103"/>
          </w:tcPr>
          <w:p>
            <w:r>
              <w:rPr>
                <w:sz w:val="20"/>
              </w:rPr>
              <w:t>17 – Locali/attrezzature di interconnessione</w:t>
            </w:r>
          </w:p>
        </w:tc>
        <w:tc>
          <w:tcPr>
            <w:tcW w:type="dxa" w:w="5103"/>
          </w:tcPr>
          <w:p>
            <w:r>
              <w:rPr>
                <w:sz w:val="20"/>
              </w:rPr>
              <w:t>Strade, banchine, ciglio bacino, scale di accesso. Interferenze con traffico militare e civile. Banchine non delimitate: pericolo caduta in mare.</w:t>
            </w:r>
          </w:p>
        </w:tc>
      </w:tr>
      <w:tr>
        <w:tc>
          <w:tcPr>
            <w:tcW w:type="dxa" w:w="5103"/>
          </w:tcPr>
          <w:p>
            <w:r>
              <w:rPr>
                <w:sz w:val="20"/>
              </w:rPr>
              <w:t>21 – Condizioni climatiche</w:t>
            </w:r>
          </w:p>
        </w:tc>
        <w:tc>
          <w:tcPr>
            <w:tcW w:type="dxa" w:w="5103"/>
          </w:tcPr>
          <w:p>
            <w:r>
              <w:rPr>
                <w:sz w:val="20"/>
              </w:rPr>
              <w:t>Attività all’aperto su banchina e ciglio bacino: esposizione a intemperie, vento forte, superfici rese scivolose dalla pioggia.</w:t>
            </w:r>
          </w:p>
        </w:tc>
      </w:tr>
      <w:tr>
        <w:tc>
          <w:tcPr>
            <w:tcW w:type="dxa" w:w="5103"/>
          </w:tcPr>
          <w:p>
            <w:r>
              <w:rPr>
                <w:sz w:val="20"/>
              </w:rPr>
              <w:t>23 – Organizzazione del lavoro</w:t>
            </w:r>
          </w:p>
        </w:tc>
        <w:tc>
          <w:tcPr>
            <w:tcW w:type="dxa" w:w="5103"/>
          </w:tcPr>
          <w:p>
            <w:r>
              <w:rPr>
                <w:sz w:val="20"/>
              </w:rPr>
              <w:t>Coordinamento con DEC e RTL/R.E. per ogni fase. Gestione delle interferenze con altre imprese e attività militari. Delimitazione area di lavoro.</w:t>
            </w:r>
          </w:p>
        </w:tc>
      </w:tr>
    </w:tbl>
    <w:p/>
    <w:p>
      <w:pPr>
        <w:pStyle w:val="Heading2"/>
        <w:jc w:val="center"/>
      </w:pPr>
      <w:r>
        <w:rPr>
          <w:rFonts w:ascii="Calibri" w:hAnsi="Calibri"/>
        </w:rPr>
        <w:t>QUADRO DI SINTESI</w:t>
      </w:r>
    </w:p>
    <w:p>
      <w:pPr>
        <w:jc w:val="both"/>
      </w:pPr>
      <w:r>
        <w:rPr>
          <w:rFonts w:ascii="Calibri" w:hAnsi="Calibri"/>
          <w:b/>
          <w:i/>
          <w:sz w:val="26"/>
        </w:rPr>
        <w:t>4 – Movimentazione Manuale dei Carichi</w:t>
      </w:r>
    </w:p>
    <w:p/>
    <w:p>
      <w:pPr>
        <w:jc w:val="both"/>
      </w:pPr>
      <w:r>
        <w:rPr>
          <w:rFonts w:ascii="Calibri" w:hAnsi="Calibri"/>
          <w:b w:val="0"/>
          <w:i w:val="0"/>
          <w:sz w:val="24"/>
        </w:rPr>
        <w:t>Le operazioni di smontaggio e rimontaggio dei verricelli comportano la movimentazione di componenti meccanici di peso significativo (tamburi, motoriduttori, freni, perni, boccole).</w:t>
      </w:r>
    </w:p>
    <w:p>
      <w:pPr>
        <w:jc w:val="both"/>
      </w:pPr>
      <w:r>
        <w:rPr>
          <w:rFonts w:ascii="Calibri" w:hAnsi="Calibri"/>
          <w:b w:val="0"/>
          <w:i w:val="0"/>
          <w:sz w:val="24"/>
        </w:rPr>
        <w:t>Per componenti di peso superiore a 25 kg: utilizzare obbligatoriamente mezzi meccanici di sollevamento (paranchi, gru, martinetti). Adottare posture corrette e alternare gli operatori per limitare l’esposizione.</w:t>
      </w:r>
    </w:p>
    <w:p/>
    <w:p>
      <w:pPr>
        <w:jc w:val="both"/>
      </w:pPr>
      <w:r>
        <w:rPr>
          <w:rFonts w:ascii="Calibri" w:hAnsi="Calibri"/>
          <w:b/>
          <w:i/>
          <w:sz w:val="26"/>
        </w:rPr>
        <w:t>7 – Rumore / 8 – Vibrazioni</w:t>
      </w:r>
    </w:p>
    <w:p/>
    <w:p>
      <w:pPr>
        <w:jc w:val="both"/>
      </w:pPr>
      <w:r>
        <w:rPr>
          <w:rFonts w:ascii="Calibri" w:hAnsi="Calibri"/>
          <w:b w:val="0"/>
          <w:i w:val="0"/>
          <w:sz w:val="24"/>
        </w:rPr>
        <w:t>L’utilizzo di smerigliatrici, avvitatori ad impulso, martelli e utensili pneumatici durante la revisione genera livelli di rumore e vibrazioni significativi.</w:t>
      </w:r>
    </w:p>
    <w:p>
      <w:pPr>
        <w:jc w:val="both"/>
      </w:pPr>
      <w:r>
        <w:rPr>
          <w:rFonts w:ascii="Calibri" w:hAnsi="Calibri"/>
          <w:b w:val="0"/>
          <w:i w:val="0"/>
          <w:sz w:val="24"/>
        </w:rPr>
        <w:t>Dotare il personale di protezioni uditive (cuffie o tappi EN 352, SNR ≥ 25 dB) durante le lavorazioni rumorose. Valutare l’esposizione a vibrazioni mano-braccio ai sensi del D.Lgs. 81/08 Titolo VIII Capo III. Alternare gli operatori.</w:t>
      </w:r>
    </w:p>
    <w:p/>
    <w:p>
      <w:pPr>
        <w:jc w:val="both"/>
      </w:pPr>
      <w:r>
        <w:rPr>
          <w:rFonts w:ascii="Calibri" w:hAnsi="Calibri"/>
          <w:b/>
          <w:i/>
          <w:sz w:val="26"/>
        </w:rPr>
        <w:t>10 – Apparecchi di Sollevamento</w:t>
      </w:r>
    </w:p>
    <w:p/>
    <w:p>
      <w:pPr>
        <w:jc w:val="both"/>
      </w:pPr>
      <w:r>
        <w:rPr>
          <w:rFonts w:ascii="Calibri" w:hAnsi="Calibri"/>
          <w:b w:val="0"/>
          <w:i w:val="0"/>
          <w:sz w:val="24"/>
        </w:rPr>
        <w:t>Il sollevamento e la movimentazione di organi meccanici dei verricelli (tamburi, riduttori, freni) mediante gru di banchina, autogrù o paranchi costituiscono un’attività a rischio elevato per la presenza di carichi sospesi in prossimità del ciglio bacino.</w:t>
      </w:r>
    </w:p>
    <w:p>
      <w:pPr>
        <w:jc w:val="both"/>
      </w:pPr>
      <w:r>
        <w:rPr>
          <w:rFonts w:ascii="Calibri" w:hAnsi="Calibri"/>
          <w:b w:val="0"/>
          <w:i w:val="0"/>
          <w:sz w:val="24"/>
        </w:rPr>
        <w:t>È vietata la sosta di personale sotto carichi sospesi. Delimitare l’area di tiro. Verificare l’idroneità delle brache, delle funi e dei ganci prima di ogni sollevamento. Le attrezzature di sollevamento devono essere sottoposte a verifiche periodiche in corso di validità. Coordinare le manovre con il personale di MARINARSEN preposto alla gru di banchina.</w:t>
      </w:r>
    </w:p>
    <w:p/>
    <w:p>
      <w:pPr>
        <w:jc w:val="both"/>
      </w:pPr>
      <w:r>
        <w:rPr>
          <w:rFonts w:ascii="Calibri" w:hAnsi="Calibri"/>
          <w:b/>
          <w:i/>
          <w:sz w:val="26"/>
        </w:rPr>
        <w:t>11 – Apparecchi Trasporto / Movimentazione Interna</w:t>
      </w:r>
    </w:p>
    <w:p/>
    <w:p>
      <w:pPr>
        <w:jc w:val="both"/>
      </w:pPr>
      <w:r>
        <w:rPr>
          <w:rFonts w:ascii="Calibri" w:hAnsi="Calibri"/>
          <w:b w:val="0"/>
          <w:i w:val="0"/>
          <w:sz w:val="24"/>
        </w:rPr>
        <w:t>L’autogrù e i mezzi di trasporto della Ditta transitano nelle aree interne dell’Arsenale in prossimità di personale e strutture.</w:t>
      </w:r>
    </w:p>
    <w:p>
      <w:pPr>
        <w:jc w:val="both"/>
      </w:pPr>
      <w:r>
        <w:rPr>
          <w:rFonts w:ascii="Calibri" w:hAnsi="Calibri"/>
          <w:b w:val="0"/>
          <w:i w:val="0"/>
          <w:sz w:val="24"/>
        </w:rPr>
        <w:t>Limite di velocità 20 km/h nel comprensorio, 10 km/h nelle aree operative. Delimitare l’area di manovra con barriere e segnaletica. Il personale a terra deve indossare indumenti ad alta visibilità (EN ISO 20471 Classe 2). Non sostare con i mezzi nei pressi di uscite di emergenza e vie di fuga.</w:t>
      </w:r>
    </w:p>
    <w:p/>
    <w:p>
      <w:pPr>
        <w:jc w:val="both"/>
      </w:pPr>
      <w:r>
        <w:rPr>
          <w:rFonts w:ascii="Calibri" w:hAnsi="Calibri"/>
          <w:b/>
          <w:i/>
          <w:sz w:val="26"/>
        </w:rPr>
        <w:t>13 – Impianti elettrici</w:t>
      </w:r>
    </w:p>
    <w:p/>
    <w:p>
      <w:pPr>
        <w:jc w:val="both"/>
      </w:pPr>
      <w:r>
        <w:rPr>
          <w:rFonts w:ascii="Calibri" w:hAnsi="Calibri"/>
          <w:b w:val="0"/>
          <w:i w:val="0"/>
          <w:sz w:val="24"/>
        </w:rPr>
        <w:t>Gli interventi sui motori elettrici e sui quadri di alimentazione dei verricelli comportano rischio di elettrocuzione. I lavori elettrici devono essere eseguiti da personale qualificato PES/PAV ai sensi della CEI 11-27.</w:t>
      </w:r>
    </w:p>
    <w:p>
      <w:pPr>
        <w:jc w:val="both"/>
      </w:pPr>
      <w:r>
        <w:rPr>
          <w:rFonts w:ascii="Calibri" w:hAnsi="Calibri"/>
          <w:b w:val="0"/>
          <w:i w:val="0"/>
          <w:sz w:val="24"/>
        </w:rPr>
        <w:t>Prima di ogni intervento: verificare il sezionamento e il blocco dell’alimentazione (procedura LOTO). Non è consentito effettuare lavori sotto tensione senza specifica autorizzazione scritta. Qualsiasi apparecchiatura elettrica introdotta dovrà rispondere alle normative vigenti e alle norme CEI applicabili.</w:t>
      </w:r>
    </w:p>
    <w:p>
      <w:pPr>
        <w:jc w:val="both"/>
      </w:pPr>
      <w:r>
        <w:rPr>
          <w:rFonts w:ascii="Calibri" w:hAnsi="Calibri"/>
          <w:b w:val="0"/>
          <w:i w:val="0"/>
          <w:sz w:val="24"/>
        </w:rPr>
        <w:t>Per qualsiasi intervento che coinvolga l’impianto elettrico di MARINARSEN è obbligatoria l’assistenza del personale abilitato dell’Arsenale (PES/PAV).</w:t>
      </w:r>
    </w:p>
    <w:p/>
    <w:p>
      <w:pPr>
        <w:jc w:val="both"/>
      </w:pPr>
      <w:r>
        <w:rPr>
          <w:rFonts w:ascii="Calibri" w:hAnsi="Calibri"/>
          <w:b/>
          <w:i/>
          <w:sz w:val="26"/>
        </w:rPr>
        <w:t>14 – Macchine</w:t>
      </w:r>
    </w:p>
    <w:p/>
    <w:p>
      <w:pPr>
        <w:jc w:val="both"/>
      </w:pPr>
      <w:r>
        <w:rPr>
          <w:rFonts w:ascii="Calibri" w:hAnsi="Calibri"/>
          <w:b w:val="0"/>
          <w:i w:val="0"/>
          <w:sz w:val="24"/>
        </w:rPr>
        <w:t>Durante le prove funzionali dei verricelli revisionati, gli organi meccanici in movimento (tamburi, ingranaggi, freni a nastro/disco) presentano rischio di cesoiamento, trascinamento e schiacciamento.</w:t>
      </w:r>
    </w:p>
    <w:p>
      <w:pPr>
        <w:jc w:val="both"/>
      </w:pPr>
      <w:r>
        <w:rPr>
          <w:rFonts w:ascii="Calibri" w:hAnsi="Calibri"/>
          <w:b w:val="0"/>
          <w:i w:val="0"/>
          <w:sz w:val="24"/>
        </w:rPr>
        <w:t>Le prove funzionali devono essere eseguite con area sgombra e delimitata, sotto la supervisione del RTL/R.E. e del preposto della Ditta. Ripristinare tutte le protezioni (carter, griglie) prima delle prove in movimento. Nessun operatore deve trovarsi nel raggio d’azione delle funi e dei tamburi durante il funzionamento.</w:t>
      </w:r>
    </w:p>
    <w:p/>
    <w:p>
      <w:pPr>
        <w:jc w:val="both"/>
      </w:pPr>
      <w:r>
        <w:rPr>
          <w:rFonts w:ascii="Calibri" w:hAnsi="Calibri"/>
          <w:b/>
          <w:i/>
          <w:sz w:val="26"/>
        </w:rPr>
        <w:t>15 – Sorgenti d’incendio e/o esplosione</w:t>
      </w:r>
    </w:p>
    <w:p/>
    <w:p>
      <w:pPr>
        <w:jc w:val="both"/>
      </w:pPr>
      <w:r>
        <w:rPr>
          <w:rFonts w:ascii="Calibri" w:hAnsi="Calibri"/>
          <w:b w:val="0"/>
          <w:i w:val="0"/>
          <w:sz w:val="24"/>
        </w:rPr>
        <w:t>Le lavorazioni a caldo (saldatura, taglio, molatura) su componenti metallici dei verricelli e la presenza di oli e grassi lubrificanti generano rischio incendio.</w:t>
      </w:r>
    </w:p>
    <w:p>
      <w:pPr>
        <w:jc w:val="both"/>
      </w:pPr>
      <w:r>
        <w:rPr>
          <w:rFonts w:ascii="Calibri" w:hAnsi="Calibri"/>
          <w:b w:val="0"/>
          <w:i w:val="0"/>
          <w:sz w:val="24"/>
        </w:rPr>
        <w:t>Richiedere obbligatoriamente il “Permesso di Lavoro a Caldo” al DEC prima dell’inizio di saldature, tagli o molature. Allontanare materiali combustibili dal raggio di 10 m. Garantire la presenza di un estintore a polvere o CO₂ in prossimità del punto di lavoro. Mantenere la vigilanza antincendio per almeno 60 minuti dopo la cessazione dei lavori a caldo.</w:t>
      </w:r>
    </w:p>
    <w:p/>
    <w:p>
      <w:pPr>
        <w:jc w:val="both"/>
      </w:pPr>
      <w:r>
        <w:rPr>
          <w:rFonts w:ascii="Calibri" w:hAnsi="Calibri"/>
          <w:b/>
          <w:i/>
          <w:sz w:val="26"/>
        </w:rPr>
        <w:t>17 – Locali/attrezzature di Interconnessione</w:t>
      </w:r>
    </w:p>
    <w:p/>
    <w:p>
      <w:pPr>
        <w:jc w:val="both"/>
      </w:pPr>
      <w:r>
        <w:rPr>
          <w:rFonts w:ascii="Calibri" w:hAnsi="Calibri"/>
          <w:b w:val="0"/>
          <w:i w:val="0"/>
          <w:sz w:val="24"/>
        </w:rPr>
        <w:t>Il comprensorio presenta strade, banchine, marciapiedi, scale e sottoservizi. Le banchine sul mare e il ciglio del Bacino BRIN non sono ovunque delimitate: pericolo di caduta in mare e in bacino.</w:t>
      </w:r>
    </w:p>
    <w:p>
      <w:pPr>
        <w:jc w:val="both"/>
      </w:pPr>
      <w:r>
        <w:rPr>
          <w:rFonts w:ascii="Calibri" w:hAnsi="Calibri"/>
          <w:b w:val="0"/>
          <w:i w:val="0"/>
          <w:sz w:val="24"/>
        </w:rPr>
        <w:t>Rispettare i percorsi stradali disposti. Non ingombrare con la propria attrezzatura le vie di evacuazione, non impedire l’accesso ai presidi antincendio e ai quadri elettrici. Prestare attenzione durante il transito veicolare per la presenza di beole rotte/lesionate. Velocità massima veicolare consentita: 20 km/h.</w:t>
      </w:r>
    </w:p>
    <w:p>
      <w:pPr>
        <w:jc w:val="both"/>
      </w:pPr>
      <w:r>
        <w:rPr>
          <w:rFonts w:ascii="Calibri" w:hAnsi="Calibri"/>
          <w:b w:val="0"/>
          <w:i w:val="0"/>
          <w:sz w:val="24"/>
        </w:rPr>
        <w:t>Le banchine sul mare e il ciglio del bacino non sono delimitate. Pericolo di caduta in acqua. In prossimità del ciglio bacino privo di parapetti: utilizzo obbligatorio di imbracatura anticaduta (EN 361) assicurata a punto fisso.</w:t>
      </w:r>
    </w:p>
    <w:p/>
    <w:p>
      <w:pPr>
        <w:jc w:val="both"/>
      </w:pPr>
      <w:r>
        <w:rPr>
          <w:rFonts w:ascii="Calibri" w:hAnsi="Calibri"/>
          <w:b/>
          <w:i/>
          <w:sz w:val="26"/>
        </w:rPr>
        <w:t>21 – Condizioni Climatiche</w:t>
      </w:r>
    </w:p>
    <w:p/>
    <w:p>
      <w:pPr>
        <w:jc w:val="both"/>
      </w:pPr>
      <w:r>
        <w:rPr>
          <w:rFonts w:ascii="Calibri" w:hAnsi="Calibri"/>
          <w:b w:val="0"/>
          <w:i w:val="0"/>
          <w:sz w:val="24"/>
        </w:rPr>
        <w:t>Le attività si svolgono prevalentemente all’aperto (banchina e ciglio bacino). Esposizione a intemperie, vento forte, superfici rese scivolose dalla pioggia.</w:t>
      </w:r>
    </w:p>
    <w:p>
      <w:pPr>
        <w:jc w:val="both"/>
      </w:pPr>
      <w:r>
        <w:rPr>
          <w:rFonts w:ascii="Calibri" w:hAnsi="Calibri"/>
          <w:b w:val="0"/>
          <w:i w:val="0"/>
          <w:sz w:val="24"/>
        </w:rPr>
        <w:t>In caso di vento forte (&gt; 60 km/h): sospendere le operazioni di sollevamento con gru/autogrù. In caso di pioggia intensa: valutare la sospensione delle attività in prossimità del ciglio bacino. Durante le operazioni estive, garantire pause adeguate e idratazione.</w:t>
      </w:r>
    </w:p>
    <w:p/>
    <w:p>
      <w:pPr>
        <w:jc w:val="both"/>
      </w:pPr>
      <w:r>
        <w:rPr>
          <w:rFonts w:ascii="Calibri" w:hAnsi="Calibri"/>
          <w:b/>
          <w:i/>
          <w:sz w:val="26"/>
        </w:rPr>
        <w:t>23 – Organizzazione del lavoro</w:t>
      </w:r>
    </w:p>
    <w:p/>
    <w:p>
      <w:pPr>
        <w:jc w:val="both"/>
      </w:pPr>
      <w:r>
        <w:rPr>
          <w:rFonts w:ascii="Calibri" w:hAnsi="Calibri"/>
          <w:b w:val="0"/>
          <w:i w:val="0"/>
          <w:sz w:val="24"/>
        </w:rPr>
        <w:t>Il personale della Ditta deve essere identificabile mediante tesserino di riconoscimento con fotografia, formato ed aggiornato alla sicurezza con i corsi previsti dalla legge e informato su quanto prescritto nel presente documento.</w:t>
      </w:r>
    </w:p>
    <w:p>
      <w:pPr>
        <w:jc w:val="both"/>
      </w:pPr>
      <w:r>
        <w:rPr>
          <w:rFonts w:ascii="Calibri" w:hAnsi="Calibri"/>
          <w:b w:val="0"/>
          <w:i w:val="0"/>
          <w:sz w:val="24"/>
        </w:rPr>
        <w:t>Delimitare l’area di intervento con barriere fisiche e idonea cartellonistica. La recinzione deve impedire l’accesso non autorizzato e proteggere i soggetti in transito.</w:t>
      </w:r>
    </w:p>
    <w:p>
      <w:pPr>
        <w:jc w:val="both"/>
      </w:pPr>
      <w:r>
        <w:rPr>
          <w:rFonts w:ascii="Calibri" w:hAnsi="Calibri"/>
          <w:b w:val="0"/>
          <w:i w:val="0"/>
          <w:sz w:val="24"/>
        </w:rPr>
        <w:t>Il preposto della Ditta deve garantire l’osservanza degli obblighi di legge, dell’uso dei DPI e della segnalazione delle inosservanze. Segnalare tempestivamente al DEC ogni anomalia, quasi-incidente o condizione di pericolo.</w:t>
      </w:r>
    </w:p>
    <w:p>
      <w:pPr>
        <w:jc w:val="both"/>
      </w:pPr>
      <w:r>
        <w:rPr>
          <w:rFonts w:ascii="Calibri" w:hAnsi="Calibri"/>
          <w:b w:val="0"/>
          <w:i w:val="0"/>
          <w:sz w:val="24"/>
        </w:rPr>
        <w:t>Qualsiasi variazione logistica, organizzativa o temporale deve essere comunicata al DEC prima della ripresa delle lavorazioni. Per le attività ricadenti nell’ambito del D.Lgs. 272/1999, il coordinamento è demandato al RTL/R.E.</w:t>
      </w:r>
    </w:p>
    <w:p>
      <w:r>
        <w:br w:type="page"/>
      </w:r>
    </w:p>
    <w:p>
      <w:pPr>
        <w:jc w:val="both"/>
      </w:pPr>
      <w:r>
        <w:rPr>
          <w:rFonts w:ascii="Calibri" w:hAnsi="Calibri"/>
          <w:b/>
          <w:i w:val="0"/>
          <w:sz w:val="24"/>
        </w:rPr>
        <w:t>Riepilogo DPI per Rischio – Fascicolo 2511/25 Ditta I.T.C. S.r.l.</w:t>
      </w:r>
    </w:p>
    <w:p/>
    <w:tbl>
      <w:tblPr>
        <w:tblStyle w:val="TableGrid"/>
        <w:tblW w:type="auto" w:w="0"/>
        <w:tblLook w:firstColumn="1" w:firstRow="1" w:lastColumn="0" w:lastRow="0" w:noHBand="0" w:noVBand="1" w:val="04A0"/>
      </w:tblPr>
      <w:tblGrid>
        <w:gridCol w:w="5103"/>
        <w:gridCol w:w="5103"/>
      </w:tblGrid>
      <w:tr>
        <w:tc>
          <w:tcPr>
            <w:tcW w:type="dxa" w:w="5103"/>
            <w:shd w:fill="D9E2F3" w:val="clear"/>
          </w:tcPr>
          <w:p>
            <w:r>
              <w:rPr>
                <w:b/>
              </w:rPr>
              <w:t>Rischio</w:t>
            </w:r>
          </w:p>
        </w:tc>
        <w:tc>
          <w:tcPr>
            <w:tcW w:type="dxa" w:w="5103"/>
            <w:shd w:fill="D9E2F3" w:val="clear"/>
          </w:tcPr>
          <w:p>
            <w:r>
              <w:rPr>
                <w:b/>
              </w:rPr>
              <w:t>DPI obbligatori</w:t>
            </w:r>
          </w:p>
        </w:tc>
      </w:tr>
      <w:tr>
        <w:tc>
          <w:tcPr>
            <w:tcW w:type="dxa" w:w="5103"/>
          </w:tcPr>
          <w:p>
            <w:r>
              <w:rPr>
                <w:sz w:val="20"/>
              </w:rPr>
              <w:t>4 – Movim. Manuale Carichi</w:t>
            </w:r>
          </w:p>
        </w:tc>
        <w:tc>
          <w:tcPr>
            <w:tcW w:type="dxa" w:w="5103"/>
          </w:tcPr>
          <w:p>
            <w:r>
              <w:rPr>
                <w:sz w:val="20"/>
              </w:rPr>
              <w:t>Guanti antitaglio; calzature di sicurezza con puntale (EN ISO 20345); cintura lombare per carichi &gt; 25 kg; ausili meccanici obbligatori.</w:t>
            </w:r>
          </w:p>
        </w:tc>
      </w:tr>
      <w:tr>
        <w:tc>
          <w:tcPr>
            <w:tcW w:type="dxa" w:w="5103"/>
          </w:tcPr>
          <w:p>
            <w:r>
              <w:rPr>
                <w:sz w:val="20"/>
              </w:rPr>
              <w:t>7/8 – Rumore / Vibrazioni</w:t>
            </w:r>
          </w:p>
        </w:tc>
        <w:tc>
          <w:tcPr>
            <w:tcW w:type="dxa" w:w="5103"/>
          </w:tcPr>
          <w:p>
            <w:r>
              <w:rPr>
                <w:sz w:val="20"/>
              </w:rPr>
              <w:t>Cuffie o tappi auricolari (EN 352, SNR ≥ 25 dB) durante utilizzo smerigliatrici, avvitatori ad impulso e utensili pneumatici.</w:t>
            </w:r>
          </w:p>
        </w:tc>
      </w:tr>
      <w:tr>
        <w:tc>
          <w:tcPr>
            <w:tcW w:type="dxa" w:w="5103"/>
          </w:tcPr>
          <w:p>
            <w:r>
              <w:rPr>
                <w:sz w:val="20"/>
              </w:rPr>
              <w:t>9 – App. a pressione</w:t>
            </w:r>
          </w:p>
        </w:tc>
        <w:tc>
          <w:tcPr>
            <w:tcW w:type="dxa" w:w="5103"/>
          </w:tcPr>
          <w:p>
            <w:r>
              <w:rPr>
                <w:sz w:val="20"/>
              </w:rPr>
              <w:t>Occhiali di protezione (EN 166); guanti; calzature di sicurezza.</w:t>
            </w:r>
          </w:p>
        </w:tc>
      </w:tr>
      <w:tr>
        <w:tc>
          <w:tcPr>
            <w:tcW w:type="dxa" w:w="5103"/>
          </w:tcPr>
          <w:p>
            <w:r>
              <w:rPr>
                <w:sz w:val="20"/>
              </w:rPr>
              <w:t>10 – App. di sollevamento</w:t>
            </w:r>
          </w:p>
        </w:tc>
        <w:tc>
          <w:tcPr>
            <w:tcW w:type="dxa" w:w="5103"/>
          </w:tcPr>
          <w:p>
            <w:r>
              <w:rPr>
                <w:sz w:val="20"/>
              </w:rPr>
              <w:t>Elmetto (EN 397); calzature di sicurezza; indumenti ad alta visibilità (EN ISO 20471); guanti da lavoro.</w:t>
            </w:r>
          </w:p>
        </w:tc>
      </w:tr>
      <w:tr>
        <w:tc>
          <w:tcPr>
            <w:tcW w:type="dxa" w:w="5103"/>
          </w:tcPr>
          <w:p>
            <w:r>
              <w:rPr>
                <w:sz w:val="20"/>
              </w:rPr>
              <w:t>11 – Trasporto / Movimentazione</w:t>
            </w:r>
          </w:p>
        </w:tc>
        <w:tc>
          <w:tcPr>
            <w:tcW w:type="dxa" w:w="5103"/>
          </w:tcPr>
          <w:p>
            <w:r>
              <w:rPr>
                <w:sz w:val="20"/>
              </w:rPr>
              <w:t>Indumenti ad alta visibilità (EN ISO 20471 Classe 2); calzature di sicurezza; elmetto nelle aree sotto carichi sospesi.</w:t>
            </w:r>
          </w:p>
        </w:tc>
      </w:tr>
      <w:tr>
        <w:tc>
          <w:tcPr>
            <w:tcW w:type="dxa" w:w="5103"/>
          </w:tcPr>
          <w:p>
            <w:r>
              <w:rPr>
                <w:sz w:val="20"/>
              </w:rPr>
              <w:t>12 – Attrezzature manuali</w:t>
            </w:r>
          </w:p>
        </w:tc>
        <w:tc>
          <w:tcPr>
            <w:tcW w:type="dxa" w:w="5103"/>
          </w:tcPr>
          <w:p>
            <w:r>
              <w:rPr>
                <w:sz w:val="20"/>
              </w:rPr>
              <w:t>Guanti antitaglio; occhiali di protezione; calzature di sicurezza.</w:t>
            </w:r>
          </w:p>
        </w:tc>
      </w:tr>
      <w:tr>
        <w:tc>
          <w:tcPr>
            <w:tcW w:type="dxa" w:w="5103"/>
          </w:tcPr>
          <w:p>
            <w:r>
              <w:rPr>
                <w:sz w:val="20"/>
              </w:rPr>
              <w:t>13 – Impianti Elettrici</w:t>
            </w:r>
          </w:p>
        </w:tc>
        <w:tc>
          <w:tcPr>
            <w:tcW w:type="dxa" w:w="5103"/>
          </w:tcPr>
          <w:p>
            <w:r>
              <w:rPr>
                <w:sz w:val="20"/>
              </w:rPr>
              <w:t>Guanti isolanti (EN 60903); calzature isolanti (EN 50321); occhiali; indumenti non conduttivi. Solo personale PES/PAV.</w:t>
            </w:r>
          </w:p>
        </w:tc>
      </w:tr>
      <w:tr>
        <w:tc>
          <w:tcPr>
            <w:tcW w:type="dxa" w:w="5103"/>
          </w:tcPr>
          <w:p>
            <w:r>
              <w:rPr>
                <w:sz w:val="20"/>
              </w:rPr>
              <w:t>14 – Macchine</w:t>
            </w:r>
          </w:p>
        </w:tc>
        <w:tc>
          <w:tcPr>
            <w:tcW w:type="dxa" w:w="5103"/>
          </w:tcPr>
          <w:p>
            <w:r>
              <w:rPr>
                <w:sz w:val="20"/>
              </w:rPr>
              <w:t>Elmetto; occhiali antiproiezione; guanti antitaglio; calzature di sicurezza; indumenti aderenti (no parti svolazzanti).</w:t>
            </w:r>
          </w:p>
        </w:tc>
      </w:tr>
      <w:tr>
        <w:tc>
          <w:tcPr>
            <w:tcW w:type="dxa" w:w="5103"/>
          </w:tcPr>
          <w:p>
            <w:r>
              <w:rPr>
                <w:sz w:val="20"/>
              </w:rPr>
              <w:t>15 – Incendio / Lavori a caldo</w:t>
            </w:r>
          </w:p>
        </w:tc>
        <w:tc>
          <w:tcPr>
            <w:tcW w:type="dxa" w:w="5103"/>
          </w:tcPr>
          <w:p>
            <w:r>
              <w:rPr>
                <w:sz w:val="20"/>
              </w:rPr>
              <w:t>Visiera per saldatura (EN 175); guanti per saldatore (EN 12477); grembiule ignifugo; calzature di sicurezza; estintore a portata di mano.</w:t>
            </w:r>
          </w:p>
        </w:tc>
      </w:tr>
      <w:tr>
        <w:tc>
          <w:tcPr>
            <w:tcW w:type="dxa" w:w="5103"/>
          </w:tcPr>
          <w:p>
            <w:r>
              <w:rPr>
                <w:sz w:val="20"/>
              </w:rPr>
              <w:t>17 – Interconnessione / Caduta in acqua</w:t>
            </w:r>
          </w:p>
        </w:tc>
        <w:tc>
          <w:tcPr>
            <w:tcW w:type="dxa" w:w="5103"/>
          </w:tcPr>
          <w:p>
            <w:r>
              <w:rPr>
                <w:sz w:val="20"/>
              </w:rPr>
              <w:t>Imbracatura anticaduta (EN 361) con longe assicurata a punto fisso per operazioni in prossimità ciglio bacino/banchine non delimitate; calzature antiscivolo; elmetto.</w:t>
            </w:r>
          </w:p>
        </w:tc>
      </w:tr>
      <w:tr>
        <w:tc>
          <w:tcPr>
            <w:tcW w:type="dxa" w:w="5103"/>
          </w:tcPr>
          <w:p>
            <w:r>
              <w:rPr>
                <w:sz w:val="20"/>
              </w:rPr>
              <w:t>21 – Condizioni climatiche</w:t>
            </w:r>
          </w:p>
        </w:tc>
        <w:tc>
          <w:tcPr>
            <w:tcW w:type="dxa" w:w="5103"/>
          </w:tcPr>
          <w:p>
            <w:r>
              <w:rPr>
                <w:sz w:val="20"/>
              </w:rPr>
              <w:t>Indumenti antipioggia/antivento; calzature antiscivolo; crema solare in periodo estivo; fornitura acqua potabile.</w:t>
            </w:r>
          </w:p>
        </w:tc>
      </w:tr>
      <w:tr>
        <w:tc>
          <w:tcPr>
            <w:tcW w:type="dxa" w:w="5103"/>
          </w:tcPr>
          <w:p>
            <w:r>
              <w:rPr>
                <w:sz w:val="20"/>
              </w:rPr>
              <w:t>23 – Organizzazione</w:t>
            </w:r>
          </w:p>
        </w:tc>
        <w:tc>
          <w:tcPr>
            <w:tcW w:type="dxa" w:w="5103"/>
          </w:tcPr>
          <w:p>
            <w:r>
              <w:rPr>
                <w:sz w:val="20"/>
              </w:rPr>
              <w:t>Tesserino identificativo; DPI di base sempre indossati in cantiere (elmetto, calzature S3, indumenti alta visibilità).</w:t>
            </w:r>
          </w:p>
        </w:tc>
      </w:tr>
    </w:tbl>
    <w:p>
      <w:r>
        <w:br w:type="page"/>
      </w:r>
    </w:p>
    <w:p>
      <w:pPr>
        <w:jc w:val="both"/>
      </w:pPr>
      <w:r>
        <w:rPr>
          <w:rFonts w:ascii="Calibri" w:hAnsi="Calibri"/>
          <w:b/>
          <w:i/>
          <w:sz w:val="22"/>
        </w:rPr>
        <w:t>NOTA: Il presente documento ha natura informativa e riguarda i rischi conoscibili e stabili presenti nelle aree di lavoro al momento della sua redazione. Non sostituisce la valutazione dei rischi propria della Ditta appaltatrice, né il documento di coordinamento per le attività ricadenti sotto il D.Lgs. 272/1999. Le lavorazioni variabili in corso nel cantiere navale militare e nel cantiere pozzo-prosciugamento RTL sono e restano oggetto di specifica informazione e coordinamento da parte del RTL/R.E.</w:t>
      </w:r>
    </w:p>
    <w:p/>
    <w:p/>
    <w:p>
      <w:pPr>
        <w:jc w:val="both"/>
      </w:pPr>
      <w:r>
        <w:rPr>
          <w:rFonts w:ascii="Calibri" w:hAnsi="Calibri"/>
          <w:b w:val="0"/>
          <w:i w:val="0"/>
          <w:sz w:val="22"/>
        </w:rPr>
        <w:t>Il sottoscritto, in qualità di Datore di Lavoro / Legale Rappresentante della Ditta I.T.C. S.r.l., dichiara di aver ricevuto e preso visione del presente Documento di Informazione alle Ditte, di averne compreso i contenuti e di accettarne integralmente le prescrizioni. Si impegna a trasmetterne il contenuto a tutto il proprio personale impiegato.</w:t>
      </w:r>
    </w:p>
    <w:p/>
    <w:p/>
    <w:tbl>
      <w:tblPr>
        <w:tblStyle w:val="TableGrid"/>
        <w:tblW w:type="auto" w:w="0"/>
        <w:tblLook w:firstColumn="1" w:firstRow="1" w:lastColumn="0" w:lastRow="0" w:noHBand="0" w:noVBand="1" w:val="04A0"/>
      </w:tblPr>
      <w:tblGrid>
        <w:gridCol w:w="2551"/>
        <w:gridCol w:w="2551"/>
        <w:gridCol w:w="2551"/>
        <w:gridCol w:w="2551"/>
      </w:tblGrid>
      <w:tr>
        <w:tc>
          <w:tcPr>
            <w:tcW w:type="dxa" w:w="2551"/>
            <w:shd w:fill="D9E2F3" w:val="clear"/>
          </w:tcPr>
          <w:p>
            <w:r>
              <w:rPr>
                <w:b/>
              </w:rPr>
              <w:t>Soggetto</w:t>
            </w:r>
          </w:p>
        </w:tc>
        <w:tc>
          <w:tcPr>
            <w:tcW w:type="dxa" w:w="2551"/>
            <w:shd w:fill="D9E2F3" w:val="clear"/>
          </w:tcPr>
          <w:p>
            <w:r>
              <w:rPr>
                <w:b/>
              </w:rPr>
              <w:t>Nominativo</w:t>
            </w:r>
          </w:p>
        </w:tc>
        <w:tc>
          <w:tcPr>
            <w:tcW w:type="dxa" w:w="2551"/>
            <w:shd w:fill="D9E2F3" w:val="clear"/>
          </w:tcPr>
          <w:p>
            <w:r>
              <w:rPr>
                <w:b/>
              </w:rPr>
              <w:t>Data</w:t>
            </w:r>
          </w:p>
        </w:tc>
        <w:tc>
          <w:tcPr>
            <w:tcW w:type="dxa" w:w="2551"/>
            <w:shd w:fill="D9E2F3" w:val="clear"/>
          </w:tcPr>
          <w:p>
            <w:r>
              <w:rPr>
                <w:b/>
              </w:rPr>
              <w:t>Firma</w:t>
            </w:r>
          </w:p>
        </w:tc>
      </w:tr>
      <w:tr>
        <w:tc>
          <w:tcPr>
            <w:tcW w:type="dxa" w:w="2551"/>
          </w:tcPr>
          <w:p>
            <w:r>
              <w:rPr>
                <w:sz w:val="20"/>
              </w:rPr>
              <w:t>Datore di Lavoro / Legale Rappresentante Ditta I.T.C. S.r.l.</w:t>
            </w:r>
          </w:p>
        </w:tc>
        <w:tc>
          <w:tcPr>
            <w:tcW w:type="dxa" w:w="2551"/>
          </w:tcPr>
          <w:p>
            <w:r/>
          </w:p>
        </w:tc>
        <w:tc>
          <w:tcPr>
            <w:tcW w:type="dxa" w:w="2551"/>
          </w:tcPr>
          <w:p>
            <w:r/>
          </w:p>
        </w:tc>
        <w:tc>
          <w:tcPr>
            <w:tcW w:type="dxa" w:w="2551"/>
          </w:tcPr>
          <w:p>
            <w:r/>
          </w:p>
        </w:tc>
      </w:tr>
      <w:tr>
        <w:tc>
          <w:tcPr>
            <w:tcW w:type="dxa" w:w="2551"/>
          </w:tcPr>
          <w:p>
            <w:r>
              <w:rPr>
                <w:sz w:val="20"/>
              </w:rPr>
              <w:t>RSPP Ditta I.T.C. S.r.l.</w:t>
            </w:r>
          </w:p>
        </w:tc>
        <w:tc>
          <w:tcPr>
            <w:tcW w:type="dxa" w:w="2551"/>
          </w:tcPr>
          <w:p>
            <w:r/>
          </w:p>
        </w:tc>
        <w:tc>
          <w:tcPr>
            <w:tcW w:type="dxa" w:w="2551"/>
          </w:tcPr>
          <w:p>
            <w:r/>
          </w:p>
        </w:tc>
        <w:tc>
          <w:tcPr>
            <w:tcW w:type="dxa" w:w="2551"/>
          </w:tcPr>
          <w:p>
            <w:r/>
          </w:p>
        </w:tc>
      </w:tr>
      <w:tr>
        <w:tc>
          <w:tcPr>
            <w:tcW w:type="dxa" w:w="2551"/>
          </w:tcPr>
          <w:p>
            <w:r>
              <w:rPr>
                <w:sz w:val="20"/>
              </w:rPr>
              <w:t>Referente di cantiere / Preposto Ditta</w:t>
            </w:r>
          </w:p>
        </w:tc>
        <w:tc>
          <w:tcPr>
            <w:tcW w:type="dxa" w:w="2551"/>
          </w:tcPr>
          <w:p>
            <w:r/>
          </w:p>
        </w:tc>
        <w:tc>
          <w:tcPr>
            <w:tcW w:type="dxa" w:w="2551"/>
          </w:tcPr>
          <w:p>
            <w:r/>
          </w:p>
        </w:tc>
        <w:tc>
          <w:tcPr>
            <w:tcW w:type="dxa" w:w="2551"/>
          </w:tcPr>
          <w:p>
            <w:r/>
          </w:p>
        </w:tc>
      </w:tr>
      <w:tr>
        <w:tc>
          <w:tcPr>
            <w:tcW w:type="dxa" w:w="2551"/>
          </w:tcPr>
          <w:p>
            <w:r>
              <w:rPr>
                <w:sz w:val="20"/>
              </w:rPr>
              <w:t>DEC – MARINARSEN Taranto</w:t>
            </w:r>
          </w:p>
        </w:tc>
        <w:tc>
          <w:tcPr>
            <w:tcW w:type="dxa" w:w="2551"/>
          </w:tcPr>
          <w:p>
            <w:r/>
          </w:p>
        </w:tc>
        <w:tc>
          <w:tcPr>
            <w:tcW w:type="dxa" w:w="2551"/>
          </w:tcPr>
          <w:p>
            <w:r/>
          </w:p>
        </w:tc>
        <w:tc>
          <w:tcPr>
            <w:tcW w:type="dxa" w:w="2551"/>
          </w:tcPr>
          <w:p>
            <w:r/>
          </w:p>
        </w:tc>
      </w:tr>
    </w:tbl>
    <w:p/>
    <w:p/>
    <w:p>
      <w:pPr>
        <w:jc w:val="both"/>
      </w:pPr>
      <w:r>
        <w:rPr>
          <w:rFonts w:ascii="Calibri" w:hAnsi="Calibri"/>
          <w:b/>
          <w:i w:val="0"/>
          <w:sz w:val="24"/>
        </w:rPr>
        <w:t>Per il Committente – MARINARSEN Taranto</w:t>
      </w:r>
    </w:p>
    <w:p/>
    <w:p>
      <w:pPr>
        <w:jc w:val="both"/>
      </w:pPr>
      <w:r>
        <w:rPr>
          <w:rFonts w:ascii="Calibri" w:hAnsi="Calibri"/>
          <w:b w:val="0"/>
          <w:i w:val="0"/>
          <w:sz w:val="24"/>
        </w:rPr>
        <w:t>Il Responsabile del Servizio di Prevenzione e Protezione</w:t>
      </w:r>
    </w:p>
    <w:p>
      <w:pPr>
        <w:jc w:val="both"/>
      </w:pPr>
      <w:r>
        <w:rPr>
          <w:rFonts w:ascii="Calibri" w:hAnsi="Calibri"/>
          <w:b w:val="0"/>
          <w:i w:val="0"/>
          <w:sz w:val="24"/>
        </w:rPr>
        <w:t>FST ing. Giancarlo CAFORIO</w:t>
      </w:r>
    </w:p>
    <w:p/>
    <w:p>
      <w:pPr>
        <w:jc w:val="both"/>
      </w:pPr>
      <w:r>
        <w:rPr>
          <w:rFonts w:ascii="Calibri" w:hAnsi="Calibri"/>
          <w:b w:val="0"/>
          <w:i w:val="0"/>
          <w:sz w:val="24"/>
        </w:rPr>
        <w:t>Data: ___/___/______        Firma: ___________________________</w:t>
      </w:r>
    </w:p>
    <w:sectPr w:rsidR="00FC693F" w:rsidRPr="0006063C" w:rsidSect="00034616">
      <w:headerReference w:type="default" r:id="rId9"/>
      <w:footerReference w:type="default" r:id="rId10"/>
      <w:pgSz w:w="11906" w:h="16838"/>
      <w:pgMar w:top="765" w:right="850" w:bottom="992" w:left="85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SERVIZIO PREVENZIONE E PROTEZIONE – ARSENALE M.M. TARANTO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3402"/>
      <w:gridCol w:w="3402"/>
      <w:gridCol w:w="3402"/>
    </w:tblGrid>
    <w:tr>
      <w:tc>
        <w:tcPr>
          <w:tcW w:type="dxa" w:w="3402"/>
        </w:tcPr>
        <w:p>
          <w:r>
            <w:rPr>
              <w:rFonts w:ascii="Calibri" w:hAnsi="Calibri"/>
              <w:sz w:val="16"/>
            </w:rPr>
            <w:t>Redatto a cura del:</w:t>
            <w:br/>
            <w:t xml:space="preserve">  Servizio Prevenzione e Protezione</w:t>
            <w:br/>
            <w:t>Arsenale M. M. Taranto</w:t>
          </w:r>
        </w:p>
      </w:tc>
      <w:tc>
        <w:tcPr>
          <w:tcW w:type="dxa" w:w="3402"/>
        </w:tcPr>
        <w:p>
          <w:pPr>
            <w:jc w:val="center"/>
          </w:pPr>
          <w:r>
            <w:rPr>
              <w:rFonts w:ascii="Calibri" w:hAnsi="Calibri"/>
              <w:b/>
              <w:sz w:val="18"/>
            </w:rPr>
            <w:t xml:space="preserve">DOCUMENTO DI </w:t>
            <w:br/>
            <w:t>INFORMAZIONE ALLE DITTE</w:t>
            <w:br/>
            <w:t>- D. Lgs. 81/2008 Art. 26 comma 1 lett. b) -</w:t>
          </w:r>
        </w:p>
      </w:tc>
      <w:tc>
        <w:tcPr>
          <w:tcW w:type="dxa" w:w="3402"/>
        </w:tcPr>
        <w:p>
          <w:pPr>
            <w:jc w:val="right"/>
          </w:pPr>
          <w:r>
            <w:rPr>
              <w:rFonts w:ascii="Calibri" w:hAnsi="Calibri"/>
              <w:sz w:val="18"/>
            </w:rPr>
            <w:t>_______ 2025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