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D.P.</w:t>
      </w:r>
    </w:p>
    <w:p>
      <w:pPr>
        <w:pStyle w:val="Normal"/>
        <w:rPr/>
      </w:pPr>
      <w:r>
        <w:rPr/>
      </w:r>
    </w:p>
    <w:p>
      <w:pPr>
        <w:pStyle w:val="Normal"/>
        <w:rPr/>
      </w:pPr>
      <w:r>
        <w:rPr/>
        <w:t>I could only assume that the “D.P” must be the initials of Danforth Phillips and the weekend he was referring to must have been the tragic weekend in which Mr. Phillips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Phillips. Lawton would be the next in line for inheritance if Agatha McGinnly was not of sound mind and I thought it prudent to find the descendant of the Phillips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Phillips line was a bit more challenging. Danforth Phillips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Theodor Phillips survived the fire and was a key witness in the murder trial of Langford Potts who was convicted of setting the fire that killed the family based on the testimony of Theodor. Mr. Potts last words after the sentencing were “I put them down in the name of God, my only failure is that I didn’t get them all”. Theodor Philips married and had a son and daughter. The only living descendant of the Philips line is Martin Phillips. Martin Phillips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Now that I had detailed information about the two persons who could lay claim to the inheritance I needed to make a visit to the Roxbury Sanitarium to visit Agatha McGinnly and determine if she would be fit to make her claim on the estate.</w:t>
      </w:r>
      <w:bookmarkStart w:id="0" w:name="_GoBack"/>
      <w:bookmarkEnd w:id="0"/>
      <w:r>
        <w:rPr/>
        <w:t xml:space="preserve"> </w:t>
      </w:r>
      <w:r>
        <w:rPr/>
        <w:t xml:space="preserve">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 five years in the institution. I met with Agatha in her room escorted by an orderly who remained in the room while we spoke, for my safety, </w:t>
      </w:r>
      <w:r>
        <w:rPr/>
        <w:t xml:space="preserve">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 xml:space="preserve">don’t think it can be fixed, I know, it will devour the world, it won’t stop.” as she spoke the last words, I could see a change in her eyes, as if some force not her own had taken residence there. In an instant   </w:t>
      </w:r>
      <w:r>
        <w:rPr/>
        <w:t xml:space="preserve">she </w:t>
      </w:r>
      <w:r>
        <w:rPr/>
        <w:t xml:space="preserve">lunged at me, swinging </w:t>
      </w:r>
      <w:r>
        <w:rPr/>
        <w:t>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companies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Application>LibreOffice/5.1.4.2$Linux_X86_64 LibreOffice_project/10m0$Build-2</Application>
  <Pages>11</Pages>
  <Words>5156</Words>
  <Characters>23133</Characters>
  <CharactersWithSpaces>28279</CharactersWithSpaces>
  <Paragraphs>39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2016-11-05T10:23:04Z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