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Agentic Pattern Recognition for Claims Integrity:</w:t>
        <w:br/>
        <w:t>An Explainable AI Approach to Fraud, Waste, and Abuse Detection</w:t>
      </w:r>
    </w:p>
    <w:p>
      <w:pPr>
        <w:jc w:val="center"/>
      </w:pPr>
      <w:r>
        <w:rPr>
          <w:i/>
          <w:sz w:val="20"/>
        </w:rPr>
        <w:t>Arunava Banerjee — Columbia University, MS Data Science</w:t>
        <w:br/>
        <w:t>Cotiviti Intern Assessment — Topic 2: Clinical Decision Making &amp; Pattern Recognition</w:t>
      </w:r>
    </w:p>
    <w:p>
      <w:pPr>
        <w:pStyle w:val="Heading2"/>
      </w:pPr>
      <w:r>
        <w:t>1. Topic Definition</w:t>
      </w:r>
    </w:p>
    <w:p>
      <w:r>
        <w:t>This report examines the application of agentic artificial intelligence to claims-integrity review in healthcare payment systems. Traditional fraud, waste, and abuse (FWA) detection relies on static rule engines or black-box machine learning classifiers that flag claims without explaining why. An agentic approach differs fundamentally: an LLM-powered agent autonomously decides which checks to run on a claim, executes them via tool calls, and synthesizes the results into a structured verdict with a plain-English rationale. "Agentic" means the system exhibits goal-directed behavior, selects and sequences its own actions, and calls external tools — distinguishing it from both static rules and assistive chatbots (Xu et al., 2025). "Explainable" means every flag cites the specific edit type, codes involved, and policy basis, directly addressing the provider-abrasion problem that plagues opaque flagging systems.</w:t>
      </w:r>
    </w:p>
    <w:p>
      <w:pPr>
        <w:pStyle w:val="Heading2"/>
      </w:pPr>
      <w:r>
        <w:t>2. Industry Trends</w:t>
      </w:r>
    </w:p>
    <w:p>
      <w:r>
        <w:t>Healthcare improper payments remain enormous: CMS reported approximately $87.1 billion in improper payments across its programs in 2024, with Medicare alone accounting for roughly $54.3 billion (KFF, 2025). It is critical to note that improper payments are not synonymous with fraud — they include billing errors, insufficient documentation, and medically unnecessary services — but the scale underscores the opportunity for automated detection (NHCAA, n.d.).</w:t>
      </w:r>
    </w:p>
    <w:p>
      <w:r>
        <w:t>Three converging trends are reshaping how payers approach this problem. First, the industry is shifting from postpay (pay-and-chase) to prepay review, catching issues before payment leaves the system — a direction Cotiviti's own analytics emphasize (Cotiviti, n.d.). Second, machine learning for claims anomaly detection has matured substantially; a recent systematic review spanning two decades of research identifies healthcare FWA as fundamentally an imbalanced-classification problem (fraud representing roughly 3–10% of claims) and highlights explainable AI as the critical frontier (Artificial Intelligence in Medicine, 2024). Third, agentic AI systems — LLMs that autonomously plan, call tools, and reason over results — are emerging as a new paradigm for compliance workflows, already piloted in financial AML detection and now transferable to healthcare claims integrity.</w:t>
      </w:r>
    </w:p>
    <w:p>
      <w:pPr>
        <w:pStyle w:val="Heading2"/>
      </w:pPr>
      <w:r>
        <w:t>3. Opportunities</w:t>
      </w:r>
    </w:p>
    <w:p>
      <w:r>
        <w:t>An explainable agentic layer offers three distinct advantages over existing approaches. First, it reduces provider abrasion: when a claim is flagged, the rationale cites the specific NCCI edit type (e.g., PTP unbundling, MUE unit cap violation, mutually exclusive code conflict) and the codes involved, giving providers a clear basis for appeal or correction rather than an opaque denial. Second, the agent architecture is extensible: new tools (policy retrieval, historical pattern analysis, provider profiling) can be added without retraining a classifier, because the LLM orchestrates tool selection dynamically. Third, the same pipeline scales across claim types — the proof-of-concept demonstrated here operates on CMS Carrier (physician/supplier) claims, but the tool-calling pattern applies equally to facility, DME, and pharmacy claims with domain-appropriate rule tables.</w:t>
      </w:r>
    </w:p>
    <w:p>
      <w:pPr>
        <w:pStyle w:val="Heading2"/>
      </w:pPr>
      <w:r>
        <w:t>4. Threats and Risks</w:t>
      </w:r>
    </w:p>
    <w:p>
      <w:r>
        <w:t>Four risks require mitigation. (1) False positives erode provider trust and increase administrative burden; the POC's single false positive (a legitimate hysterectomy flagged conservatively) illustrates that tuning the confidence threshold is essential before production deployment. (2) Regulatory scrutiny of AI in coverage and payment decisions is increasing; any deployed system must maintain full audit trails and human-in-the-loop review. (3) HIPAA and data-privacy constraints govern how claims data flows through LLM APIs — on-premise or BAA-covered inference endpoints are prerequisites. (4) Model drift and coding-standard updates (NCCI edits are updated quarterly) require ongoing rule-table maintenance; the agent's rule engine must be treated as a living artifact, not a static deployment.</w:t>
      </w:r>
    </w:p>
    <w:p>
      <w:pPr>
        <w:pStyle w:val="Heading2"/>
      </w:pPr>
      <w:r>
        <w:t>5. Strategic Recommendation</w:t>
      </w:r>
    </w:p>
    <w:p>
      <w:r>
        <w:t>Cotiviti should pilot an explainable agentic review layer on top of its existing prepay analytics, starting with a single high-FWA claim category (e.g., E/M office-visit upcoding, which the POC already handles). The agent would operate as a second-pass reviewer: claims flagged by existing statistical models would be routed to the agent for structured rationale generation, reducing the manual review burden on analysts while providing providers with actionable, citation-backed explanations for denials. This approach is incremental (no rip-and-replace), measurable (precision/recall on a labeled validation set), and aligned with Cotiviti's stated emphasis on prepay accuracy and provider transparency.</w:t>
      </w:r>
    </w:p>
    <w:p>
      <w:pPr>
        <w:pStyle w:val="Heading2"/>
      </w:pPr>
      <w:r>
        <w:t>6. Proof of Concept: Results</w:t>
      </w:r>
    </w:p>
    <w:p>
      <w:r>
        <w:t>The POC processes 30 synthetic claims (structured on the CMS DE-SynPUF Carrier schema) through a LangGraph agent that calls two tools: a coding-rule checker modeled on NCCI edits (PTP pairs, MUE caps, mutually exclusive edits, upcoding detection) and a statistical outlier scorer. Evaluated on all 30 labeled claims (12 flagged, 18 clean), the agent achieved 97% accuracy (29/30), 100% recall (12/12), 92% precision (12/13), and a 96% F1 score. The single misclassification — a false positive on a legitimate hysterectomy claim — reflects the system's conservative bias, which is appropriate for FWA detection where missed fraud is costlier than a flagged clean claim.</w:t>
      </w:r>
    </w:p>
    <w:p>
      <w:pPr>
        <w:pStyle w:val="Heading2"/>
      </w:pPr>
      <w:r>
        <w:t>Methods Note</w:t>
      </w:r>
    </w:p>
    <w:p>
      <w:pPr>
        <w:spacing w:before="120"/>
      </w:pPr>
      <w:r>
        <w:t>Research was conducted using Google Scholar, CMS.gov, and KFF.org. The POC was built with Python, LangGraph, and Claude (Anthropic) for the reasoning layer. Claude Code was used as a development assistant for code scaffolding and iterative debugging. All claims data is synthetic and self-generated on the CMS DE-SynPUF schema — no real patient data or PHI was used. The author reviewed, tested, and can defend all code and claims presented. AI tool use is disclosed per APA generative-AI guidance.</w:t>
      </w:r>
    </w:p>
    <w:p>
      <w:r>
        <w:br w:type="page"/>
      </w:r>
    </w:p>
    <w:p>
      <w:pPr>
        <w:pStyle w:val="Heading2"/>
      </w:pPr>
      <w:r>
        <w:t>Bibliography</w:t>
      </w:r>
    </w:p>
    <w:p>
      <w:pPr>
        <w:pStyle w:val="ListNumber"/>
        <w:spacing w:after="80"/>
      </w:pPr>
      <w:r>
        <w:rPr>
          <w:sz w:val="20"/>
        </w:rPr>
        <w:t>Centers for Medicare &amp; Medicaid Services. (n.d.). National Correct Coding Initiative (NCCI). CMS.gov. https://www.cms.gov/national-correct-coding-initiative-ncci</w:t>
      </w:r>
    </w:p>
    <w:p>
      <w:pPr>
        <w:pStyle w:val="ListNumber"/>
        <w:spacing w:after="80"/>
      </w:pPr>
      <w:r>
        <w:rPr>
          <w:sz w:val="20"/>
        </w:rPr>
        <w:t>Centers for Medicare &amp; Medicaid Services. (n.d.). Medicare NCCI FAQ Library. CMS.gov. https://www.cms.gov/medicare/coding-billing/national-correct-coding-initiative-ncci-edits/medicare-ncci-faq-library</w:t>
      </w:r>
    </w:p>
    <w:p>
      <w:pPr>
        <w:pStyle w:val="ListNumber"/>
        <w:spacing w:after="80"/>
      </w:pPr>
      <w:r>
        <w:rPr>
          <w:sz w:val="20"/>
        </w:rPr>
        <w:t>Cotiviti. (n.d.). Fraud, waste, and abuse resource hub. Cotiviti. https://resources.cotiviti.com/fraud-waste-and-abuse/</w:t>
      </w:r>
    </w:p>
    <w:p>
      <w:pPr>
        <w:pStyle w:val="ListNumber"/>
        <w:spacing w:after="80"/>
      </w:pPr>
      <w:r>
        <w:rPr>
          <w:sz w:val="20"/>
        </w:rPr>
        <w:t>KFF. (2025). Medicare program integrity and efforts to root out improper payments, fraud, waste and abuse. Kaiser Family Foundation. https://www.kff.org/medicare/medicare-program-integrity-and-efforts-to-root-out-improper-payments-fraud-waste-and-abuse/</w:t>
      </w:r>
    </w:p>
    <w:p>
      <w:pPr>
        <w:pStyle w:val="ListNumber"/>
        <w:spacing w:after="80"/>
      </w:pPr>
      <w:r>
        <w:rPr>
          <w:sz w:val="20"/>
        </w:rPr>
        <w:t>National Health Care Anti-Fraud Association. (n.d.). The challenge of health care fraud. NHCAA. https://www.nhcaa.org/tools-insights/about-health-care-fraud/the-challenge-of-health-care-fraud/</w:t>
      </w:r>
    </w:p>
    <w:p>
      <w:pPr>
        <w:pStyle w:val="ListNumber"/>
        <w:spacing w:after="80"/>
      </w:pPr>
      <w:r>
        <w:rPr>
          <w:sz w:val="20"/>
        </w:rPr>
        <w:t>Sánchez-Pérez, A., et al. (2024). Fraud detection in healthcare claims using machine learning: A systematic review. Artificial Intelligence in Medicine, 160. https://www.sciencedirect.com/science/article/pii/S0933365724003038</w:t>
      </w:r>
    </w:p>
    <w:p>
      <w:pPr>
        <w:pStyle w:val="ListNumber"/>
        <w:spacing w:after="80"/>
      </w:pPr>
      <w:r>
        <w:rPr>
          <w:sz w:val="20"/>
        </w:rPr>
        <w:t>Sivamohan, S., &amp; Srinivasan, S. (2025). Leakage-aware and explainable ML for healthcare claim fraud detection using imbalanced medical insurance data. International Journal of AI in Medical Issues. https://jurnal.yoctobrain.org/index.php/ijaimi/article/view/433</w:t>
      </w:r>
    </w:p>
    <w:p>
      <w:pPr>
        <w:pStyle w:val="ListNumber"/>
        <w:spacing w:after="80"/>
      </w:pPr>
      <w:r>
        <w:rPr>
          <w:sz w:val="20"/>
        </w:rPr>
        <w:t>Xu, Z., et al. (2025). Agentic AI. arXiv preprint arXiv:2602.16553. https://arxiv.org/abs/2602.16553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