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1593CAFC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5A56DD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5A56DD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5A56DD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4E10E3E4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E62F9A">
        <w:rPr>
          <w:rFonts w:hint="eastAsia"/>
          <w:b/>
          <w:bCs/>
          <w:sz w:val="32"/>
          <w:szCs w:val="32"/>
          <w:u w:val="single"/>
          <w:lang w:val="en-US"/>
        </w:rPr>
        <w:t>7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14225283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E62F9A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7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04A7C794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037EBB34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7F5C5B04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192FD55A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E228F6">
              <w:rPr>
                <w:rFonts w:hint="eastAsia"/>
                <w:szCs w:val="28"/>
                <w:lang w:val="en-US"/>
              </w:rPr>
              <w:t>5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E228F6">
              <w:rPr>
                <w:rFonts w:hint="eastAsia"/>
                <w:szCs w:val="28"/>
                <w:lang w:val="en-US"/>
              </w:rPr>
              <w:t>14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0FC0B954" w:rsidR="00DC1091" w:rsidRDefault="006C3BF7">
            <w:pPr>
              <w:jc w:val="both"/>
              <w:rPr>
                <w:lang w:val="en-US"/>
              </w:rPr>
            </w:pPr>
            <w:r>
              <w:t>习题</w:t>
            </w:r>
            <w:r>
              <w:t>5-10 </w:t>
            </w:r>
            <w:r>
              <w:t>（</w:t>
            </w:r>
            <w:r>
              <w:t>2</w:t>
            </w:r>
            <w:r>
              <w:t>）</w:t>
            </w:r>
            <w:r>
              <w:br/>
            </w:r>
            <w:r>
              <w:t>习题</w:t>
            </w:r>
            <w:r>
              <w:t>5-11</w:t>
            </w:r>
            <w:r>
              <w:br/>
              <w:t>191</w:t>
            </w:r>
            <w:r>
              <w:t>页</w:t>
            </w:r>
            <w:r>
              <w:t> </w:t>
            </w:r>
            <w:r>
              <w:t>例</w:t>
            </w:r>
            <w:r>
              <w:t>5.2.2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75439A32" w14:textId="77777777" w:rsidR="00BE6342" w:rsidRDefault="00BE6342" w:rsidP="00BE6342">
            <w:pPr>
              <w:pStyle w:val="2"/>
              <w:rPr>
                <w:rFonts w:hint="eastAsia"/>
              </w:rPr>
            </w:pPr>
            <w:bookmarkStart w:id="0" w:name="加载包"/>
            <w:proofErr w:type="spellStart"/>
            <w:r>
              <w:t>加载包</w:t>
            </w:r>
            <w:proofErr w:type="spellEnd"/>
          </w:p>
          <w:p w14:paraId="3D7F717E" w14:textId="77777777" w:rsidR="00BE6342" w:rsidRDefault="00BE6342" w:rsidP="00BE6342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readxl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(MASS)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加载相关函数</w:t>
            </w:r>
            <w:r>
              <w:br/>
            </w:r>
            <w:r>
              <w:rPr>
                <w:rStyle w:val="FunctionTok"/>
              </w:rPr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正态总体假设检验函数汇集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距离判别函数汇集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</w:p>
          <w:p w14:paraId="5D31B607" w14:textId="77777777" w:rsidR="00BE6342" w:rsidRDefault="00BE6342" w:rsidP="00BE6342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proofErr w:type="spellStart"/>
            <w:r>
              <w:lastRenderedPageBreak/>
              <w:t>第一题</w:t>
            </w:r>
            <w:proofErr w:type="spellEnd"/>
          </w:p>
          <w:p w14:paraId="572120C7" w14:textId="77777777" w:rsidR="00BE6342" w:rsidRDefault="00BE6342" w:rsidP="00BE6342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`</w:t>
            </w:r>
            <w:proofErr w:type="spellStart"/>
            <w:r>
              <w:rPr>
                <w:rStyle w:val="AttributeTok"/>
              </w:rPr>
              <w:t>colnames</w:t>
            </w:r>
            <w:proofErr w:type="spellEnd"/>
            <w:r>
              <w:rPr>
                <w:rStyle w:val="AttributeTok"/>
              </w:rPr>
              <w:t>&lt;-</w:t>
            </w:r>
            <w:r>
              <w:rPr>
                <w:rStyle w:val="StringTok"/>
              </w:rPr>
              <w:t>`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"X1"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"X3"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"X4"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"group"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,as.factor))</w:t>
            </w:r>
            <w:r>
              <w:br/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`</w:t>
            </w:r>
            <w:proofErr w:type="spellStart"/>
            <w:r>
              <w:rPr>
                <w:rStyle w:val="AttributeTok"/>
              </w:rPr>
              <w:t>colnames</w:t>
            </w:r>
            <w:proofErr w:type="spellEnd"/>
            <w:r>
              <w:rPr>
                <w:rStyle w:val="AttributeTok"/>
              </w:rPr>
              <w:t>&lt;-</w:t>
            </w:r>
            <w:r>
              <w:rPr>
                <w:rStyle w:val="StringTok"/>
              </w:rPr>
              <w:t>`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"X1"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"X3"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"X4"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r>
              <w:rPr>
                <w:rStyle w:val="FunctionTok"/>
              </w:rPr>
              <w:t>multi.cov.test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group,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</w:p>
          <w:p w14:paraId="2CF36443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p.value</w:t>
            </w:r>
            <w:proofErr w:type="spellEnd"/>
            <w:r>
              <w:br/>
            </w:r>
            <w:r>
              <w:rPr>
                <w:rStyle w:val="VerbatimChar"/>
              </w:rPr>
              <w:t>## [1] 0.01698739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correct.M</w:t>
            </w:r>
            <w:proofErr w:type="spellEnd"/>
            <w:r>
              <w:br/>
            </w:r>
            <w:r>
              <w:rPr>
                <w:rStyle w:val="VerbatimChar"/>
              </w:rPr>
              <w:t>## [1] 24.57182</w:t>
            </w:r>
          </w:p>
          <w:p w14:paraId="105A1C62" w14:textId="77777777" w:rsidR="00BE6342" w:rsidRDefault="00BE6342" w:rsidP="00BE6342">
            <w:pPr>
              <w:pStyle w:val="SourceCode"/>
            </w:pPr>
            <w:r>
              <w:rPr>
                <w:rStyle w:val="CommentTok"/>
              </w:rPr>
              <w:t>#Bayes</w:t>
            </w:r>
            <w:r>
              <w:br/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AttributeTok"/>
              </w:rPr>
              <w:t>TrnX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</w:t>
            </w:r>
            <w:proofErr w:type="spellStart"/>
            <w:r>
              <w:rPr>
                <w:rStyle w:val="AttributeTok"/>
              </w:rPr>
              <w:t>TrnG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group,</w:t>
            </w:r>
            <w:r>
              <w:rPr>
                <w:rStyle w:val="AttributeTok"/>
              </w:rPr>
              <w:t>var.equal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F)</w:t>
            </w:r>
            <w:r>
              <w:rPr>
                <w:rStyle w:val="SpecialCharTok"/>
              </w:rPr>
              <w:t>==</w:t>
            </w:r>
            <w:proofErr w:type="spellStart"/>
            <w:r>
              <w:rPr>
                <w:rStyle w:val="NormalTok"/>
              </w:rPr>
              <w:t>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group</w:t>
            </w:r>
            <w:proofErr w:type="spellEnd"/>
            <w:r>
              <w:rPr>
                <w:rStyle w:val="NormalTok"/>
              </w:rPr>
              <w:t>)</w:t>
            </w:r>
          </w:p>
          <w:p w14:paraId="6BFF9E5C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3    14</w:t>
            </w:r>
          </w:p>
          <w:p w14:paraId="486B298E" w14:textId="77777777" w:rsidR="00BE6342" w:rsidRDefault="00BE6342" w:rsidP="00BE6342">
            <w:pPr>
              <w:pStyle w:val="SourceCode"/>
            </w:pP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AttributeTok"/>
              </w:rPr>
              <w:t>TrnX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</w:t>
            </w:r>
            <w:proofErr w:type="spellStart"/>
            <w:r>
              <w:rPr>
                <w:rStyle w:val="AttributeTok"/>
              </w:rPr>
              <w:t>TrnG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group,</w:t>
            </w:r>
            <w:r>
              <w:rPr>
                <w:rStyle w:val="AttributeTok"/>
              </w:rPr>
              <w:t>TstX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data_new,</w:t>
            </w:r>
            <w:r>
              <w:rPr>
                <w:rStyle w:val="AttributeTok"/>
              </w:rPr>
              <w:t>var.equal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F)</w:t>
            </w:r>
          </w:p>
          <w:p w14:paraId="5226096C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>##       1 2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blong</w:t>
            </w:r>
            <w:proofErr w:type="spellEnd"/>
            <w:r>
              <w:rPr>
                <w:rStyle w:val="VerbatimChar"/>
              </w:rPr>
              <w:t xml:space="preserve"> 1 2 3</w:t>
            </w:r>
          </w:p>
          <w:p w14:paraId="18445019" w14:textId="77777777" w:rsidR="00BE6342" w:rsidRDefault="00BE6342" w:rsidP="00BE6342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与实验6的做法相同，删去指标2再进行判别，对协方差阵的检验结果为拒绝原假设，即认为各协方差阵不全相等，广义平方距离判别的回判结果正确率为82.3%，对新样本的判别结果为1,2,3</w:t>
            </w:r>
          </w:p>
          <w:p w14:paraId="0FC19D16" w14:textId="77777777" w:rsidR="00BE6342" w:rsidRDefault="00BE6342" w:rsidP="00BE6342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proofErr w:type="spellStart"/>
            <w:r>
              <w:t>第二题</w:t>
            </w:r>
            <w:proofErr w:type="spellEnd"/>
          </w:p>
          <w:p w14:paraId="11B40BD8" w14:textId="77777777" w:rsidR="00BE6342" w:rsidRDefault="00BE6342" w:rsidP="00BE6342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,as.factor))</w:t>
            </w:r>
            <w:r>
              <w:br/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由于是正态总体，协方差阵相同，直接调用实验手册中的</w:t>
            </w:r>
            <w:r>
              <w:rPr>
                <w:rStyle w:val="CommentTok"/>
              </w:rPr>
              <w:t>Bayes</w:t>
            </w:r>
            <w:r>
              <w:rPr>
                <w:rStyle w:val="CommentTok"/>
              </w:rPr>
              <w:t>判别函数即可</w:t>
            </w:r>
            <w:r>
              <w:br/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AttributeTok"/>
              </w:rPr>
              <w:t>var.equal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</w:t>
            </w:r>
            <w:r>
              <w:rPr>
                <w:rStyle w:val="NormalTok"/>
              </w:rPr>
              <w:t>)</w:t>
            </w:r>
          </w:p>
          <w:p w14:paraId="43370F72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TRUE </w:t>
            </w:r>
            <w:r>
              <w:br/>
            </w:r>
            <w:r>
              <w:rPr>
                <w:rStyle w:val="VerbatimChar"/>
              </w:rPr>
              <w:t>##   14</w:t>
            </w:r>
          </w:p>
          <w:p w14:paraId="3258682C" w14:textId="77777777" w:rsidR="00BE6342" w:rsidRDefault="00BE6342" w:rsidP="00BE6342">
            <w:pPr>
              <w:pStyle w:val="SourceCode"/>
            </w:pP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AttributeTok"/>
              </w:rPr>
              <w:t>var.equal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T,</w:t>
            </w:r>
            <w:r>
              <w:rPr>
                <w:rStyle w:val="AttributeTok"/>
              </w:rPr>
              <w:t>TstX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>)</w:t>
            </w:r>
          </w:p>
          <w:p w14:paraId="04A13F13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>##       1 2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blong</w:t>
            </w:r>
            <w:proofErr w:type="spellEnd"/>
            <w:r>
              <w:rPr>
                <w:rStyle w:val="VerbatimChar"/>
              </w:rPr>
              <w:t xml:space="preserve"> 2 3</w:t>
            </w:r>
          </w:p>
          <w:p w14:paraId="38FD5C46" w14:textId="77777777" w:rsidR="00BE6342" w:rsidRDefault="00BE6342" w:rsidP="00BE6342">
            <w:pPr>
              <w:pStyle w:val="FirstParagraph"/>
              <w:rPr>
                <w:rFonts w:hint="eastAsia"/>
              </w:rPr>
            </w:pPr>
            <w:r>
              <w:t>基于广义平方距离的回判结果为全部判断正确，对新样本的判断结果为2,3</w:t>
            </w:r>
          </w:p>
          <w:p w14:paraId="6AC9AEE3" w14:textId="77777777" w:rsidR="00BE6342" w:rsidRDefault="00BE6342" w:rsidP="00BE6342">
            <w:pPr>
              <w:pStyle w:val="2"/>
              <w:rPr>
                <w:rFonts w:hint="eastAsia"/>
              </w:rPr>
            </w:pPr>
            <w:bookmarkStart w:id="3" w:name="第三题"/>
            <w:bookmarkEnd w:id="2"/>
            <w:proofErr w:type="spellStart"/>
            <w:r>
              <w:t>第三题</w:t>
            </w:r>
            <w:proofErr w:type="spellEnd"/>
          </w:p>
          <w:p w14:paraId="564722EA" w14:textId="77777777" w:rsidR="00BE6342" w:rsidRDefault="00BE6342" w:rsidP="00BE6342">
            <w:pPr>
              <w:pStyle w:val="SourceCode"/>
            </w:pPr>
            <w:r>
              <w:rPr>
                <w:rStyle w:val="NormalTok"/>
              </w:rPr>
              <w:lastRenderedPageBreak/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多元统计例</w:t>
            </w:r>
            <w:r>
              <w:rPr>
                <w:rStyle w:val="StringTok"/>
              </w:rPr>
              <w:t>5.2.2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,factor,</w:t>
            </w:r>
            <w:r>
              <w:rPr>
                <w:rStyle w:val="AttributeTok"/>
              </w:rPr>
              <w:t>labels=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)))</w:t>
            </w:r>
          </w:p>
          <w:p w14:paraId="02134CF1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>## Warning: There was 1 warning in `mutate()`.</w:t>
            </w:r>
            <w:r>
              <w:br/>
            </w:r>
            <w:r>
              <w:rPr>
                <w:rStyle w:val="VerbatimChar"/>
              </w:rPr>
              <w:t>## ℹ In argument: `across(1, factor, labels = c(3, 2, 1))`.</w:t>
            </w:r>
            <w:r>
              <w:br/>
            </w:r>
            <w:r>
              <w:rPr>
                <w:rStyle w:val="VerbatimChar"/>
              </w:rPr>
              <w:t>## Caused by warning:</w:t>
            </w:r>
            <w:r>
              <w:br/>
            </w:r>
            <w:r>
              <w:rPr>
                <w:rStyle w:val="VerbatimChar"/>
              </w:rPr>
              <w:t xml:space="preserve">## ! The `...` argument of `across()` is deprecated as of </w:t>
            </w:r>
            <w:proofErr w:type="spellStart"/>
            <w:r>
              <w:rPr>
                <w:rStyle w:val="VerbatimChar"/>
              </w:rPr>
              <w:t>dplyr</w:t>
            </w:r>
            <w:proofErr w:type="spellEnd"/>
            <w:r>
              <w:rPr>
                <w:rStyle w:val="VerbatimChar"/>
              </w:rPr>
              <w:t xml:space="preserve"> 1.1.0.</w:t>
            </w:r>
            <w:r>
              <w:br/>
            </w:r>
            <w:r>
              <w:rPr>
                <w:rStyle w:val="VerbatimChar"/>
              </w:rPr>
              <w:t>## Supply arguments directly to `.</w:t>
            </w:r>
            <w:proofErr w:type="spellStart"/>
            <w:r>
              <w:rPr>
                <w:rStyle w:val="VerbatimChar"/>
              </w:rPr>
              <w:t>fns</w:t>
            </w:r>
            <w:proofErr w:type="spellEnd"/>
            <w:r>
              <w:rPr>
                <w:rStyle w:val="VerbatimChar"/>
              </w:rPr>
              <w:t>` through an anonymous function instead.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Previously</w:t>
            </w:r>
            <w:r>
              <w:br/>
            </w:r>
            <w:r>
              <w:rPr>
                <w:rStyle w:val="VerbatimChar"/>
              </w:rPr>
              <w:t>##   across(</w:t>
            </w:r>
            <w:proofErr w:type="spellStart"/>
            <w:r>
              <w:rPr>
                <w:rStyle w:val="VerbatimChar"/>
              </w:rPr>
              <w:t>a:b</w:t>
            </w:r>
            <w:proofErr w:type="spellEnd"/>
            <w:r>
              <w:rPr>
                <w:rStyle w:val="VerbatimChar"/>
              </w:rPr>
              <w:t>, mean, na.rm = TRUE)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Now</w:t>
            </w:r>
            <w:r>
              <w:br/>
            </w:r>
            <w:r>
              <w:rPr>
                <w:rStyle w:val="VerbatimChar"/>
              </w:rPr>
              <w:t>##   across(</w:t>
            </w:r>
            <w:proofErr w:type="spellStart"/>
            <w:r>
              <w:rPr>
                <w:rStyle w:val="VerbatimChar"/>
              </w:rPr>
              <w:t>a:b</w:t>
            </w:r>
            <w:proofErr w:type="spellEnd"/>
            <w:r>
              <w:rPr>
                <w:rStyle w:val="VerbatimChar"/>
              </w:rPr>
              <w:t>, \(x) mean(x, na.rm = TRUE))</w:t>
            </w:r>
          </w:p>
          <w:p w14:paraId="397B7C8A" w14:textId="77777777" w:rsidR="00BE6342" w:rsidRDefault="00BE6342" w:rsidP="00BE6342">
            <w:pPr>
              <w:pStyle w:val="SourceCode"/>
            </w:pPr>
            <w:proofErr w:type="spellStart"/>
            <w:r>
              <w:rPr>
                <w:rStyle w:val="FunctionTok"/>
              </w:rPr>
              <w:t>multi.cov.test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],</w:t>
            </w:r>
            <w:proofErr w:type="spellStart"/>
            <w:r>
              <w:rPr>
                <w:rStyle w:val="AttributeTok"/>
              </w:rPr>
              <w:t>ind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分类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</w:p>
          <w:p w14:paraId="51657C72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p.value</w:t>
            </w:r>
            <w:proofErr w:type="spellEnd"/>
            <w:r>
              <w:br/>
            </w:r>
            <w:r>
              <w:rPr>
                <w:rStyle w:val="VerbatimChar"/>
              </w:rPr>
              <w:t>## [1] 0.1190175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correct.M</w:t>
            </w:r>
            <w:proofErr w:type="spellEnd"/>
            <w:r>
              <w:br/>
            </w:r>
            <w:r>
              <w:rPr>
                <w:rStyle w:val="VerbatimChar"/>
              </w:rPr>
              <w:t>## [1] 17.89174</w:t>
            </w:r>
          </w:p>
          <w:p w14:paraId="3D6408BE" w14:textId="77777777" w:rsidR="00BE6342" w:rsidRDefault="00BE6342" w:rsidP="00BE6342">
            <w:pPr>
              <w:pStyle w:val="FirstParagraph"/>
              <w:rPr>
                <w:rFonts w:hint="eastAsia"/>
              </w:rPr>
            </w:pPr>
            <w:r>
              <w:t>先做协方差阵全相等的检验，在0.05的显著性水平下不能拒绝原假设，即认为协方差阵相等，教材中直接假定协方差阵不等可能出于经验证据，这里基于假设检验结果认为协方差阵相等，直接调用Bayes判别函数</w:t>
            </w:r>
          </w:p>
          <w:p w14:paraId="41B02702" w14:textId="77777777" w:rsidR="00BE6342" w:rsidRDefault="00BE6342" w:rsidP="00BE6342">
            <w:pPr>
              <w:pStyle w:val="SourceCode"/>
            </w:pP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分类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AttributeTok"/>
              </w:rPr>
              <w:t>var.equal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T)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分类</w:t>
            </w:r>
            <w:r>
              <w:rPr>
                <w:rStyle w:val="NormalTok"/>
              </w:rPr>
              <w:t>)</w:t>
            </w:r>
          </w:p>
          <w:p w14:paraId="1DD5443B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4    11</w:t>
            </w:r>
          </w:p>
          <w:p w14:paraId="19A7505F" w14:textId="77777777" w:rsidR="00BE6342" w:rsidRDefault="00BE6342" w:rsidP="00BE6342">
            <w:pPr>
              <w:pStyle w:val="FirstParagraph"/>
              <w:rPr>
                <w:rFonts w:hint="eastAsia"/>
              </w:rPr>
            </w:pPr>
            <w:r>
              <w:t>正确率为73.33%，</w:t>
            </w:r>
            <w:proofErr w:type="spellStart"/>
            <w:r>
              <w:t>下面再基于协方差阵不等的假定作检验</w:t>
            </w:r>
            <w:proofErr w:type="spellEnd"/>
          </w:p>
          <w:p w14:paraId="42C3042F" w14:textId="77777777" w:rsidR="00BE6342" w:rsidRDefault="00BE6342" w:rsidP="00BE6342">
            <w:pPr>
              <w:pStyle w:val="SourceCode"/>
            </w:pP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distinguish.bayes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分类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分类</w:t>
            </w:r>
            <w:r>
              <w:rPr>
                <w:rStyle w:val="NormalTok"/>
              </w:rPr>
              <w:t>)</w:t>
            </w:r>
          </w:p>
          <w:p w14:paraId="4E845757" w14:textId="77777777" w:rsidR="00BE6342" w:rsidRDefault="00BE6342" w:rsidP="00BE6342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4    11</w:t>
            </w:r>
          </w:p>
          <w:p w14:paraId="46177D65" w14:textId="77777777" w:rsidR="00BE6342" w:rsidRDefault="00BE6342" w:rsidP="00BE6342">
            <w:pPr>
              <w:pStyle w:val="FirstParagraph"/>
              <w:rPr>
                <w:rFonts w:hint="eastAsia"/>
              </w:rPr>
            </w:pPr>
            <w:r>
              <w:t>检验结果同样只有73.33%的正确率，暂不清楚为什么与教材结果不一致</w:t>
            </w:r>
          </w:p>
          <w:bookmarkEnd w:id="3"/>
          <w:p w14:paraId="41E9CD5D" w14:textId="29E8849D" w:rsidR="00DC1091" w:rsidRPr="00460550" w:rsidRDefault="00DC1091" w:rsidP="00460550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4A951" w14:textId="77777777" w:rsidR="007D1069" w:rsidRDefault="007D1069">
      <w:pPr>
        <w:spacing w:line="240" w:lineRule="auto"/>
      </w:pPr>
      <w:r>
        <w:separator/>
      </w:r>
    </w:p>
  </w:endnote>
  <w:endnote w:type="continuationSeparator" w:id="0">
    <w:p w14:paraId="42C2923C" w14:textId="77777777" w:rsidR="007D1069" w:rsidRDefault="007D1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AA76F" w14:textId="77777777" w:rsidR="007D1069" w:rsidRDefault="007D1069">
      <w:r>
        <w:separator/>
      </w:r>
    </w:p>
  </w:footnote>
  <w:footnote w:type="continuationSeparator" w:id="0">
    <w:p w14:paraId="78CFF606" w14:textId="77777777" w:rsidR="007D1069" w:rsidRDefault="007D1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72A27"/>
    <w:rsid w:val="001A0231"/>
    <w:rsid w:val="001A11F2"/>
    <w:rsid w:val="00210F8F"/>
    <w:rsid w:val="00251FE4"/>
    <w:rsid w:val="002731C4"/>
    <w:rsid w:val="00273455"/>
    <w:rsid w:val="00282C4D"/>
    <w:rsid w:val="003467B0"/>
    <w:rsid w:val="003A48F1"/>
    <w:rsid w:val="0040416F"/>
    <w:rsid w:val="0043565E"/>
    <w:rsid w:val="00460550"/>
    <w:rsid w:val="0046546C"/>
    <w:rsid w:val="004F6B59"/>
    <w:rsid w:val="0052213B"/>
    <w:rsid w:val="005408ED"/>
    <w:rsid w:val="005442FD"/>
    <w:rsid w:val="00566655"/>
    <w:rsid w:val="0057448D"/>
    <w:rsid w:val="005A56DD"/>
    <w:rsid w:val="005A69F2"/>
    <w:rsid w:val="00600F6D"/>
    <w:rsid w:val="006512D8"/>
    <w:rsid w:val="00655EC7"/>
    <w:rsid w:val="00666143"/>
    <w:rsid w:val="00674ADA"/>
    <w:rsid w:val="006A2359"/>
    <w:rsid w:val="006C3BF7"/>
    <w:rsid w:val="00707215"/>
    <w:rsid w:val="00777EAA"/>
    <w:rsid w:val="007864B4"/>
    <w:rsid w:val="007A2E7D"/>
    <w:rsid w:val="007D1069"/>
    <w:rsid w:val="007D13A7"/>
    <w:rsid w:val="007D4BCC"/>
    <w:rsid w:val="007D6936"/>
    <w:rsid w:val="007F55DB"/>
    <w:rsid w:val="007F7C59"/>
    <w:rsid w:val="00803134"/>
    <w:rsid w:val="00804D87"/>
    <w:rsid w:val="00824851"/>
    <w:rsid w:val="0087427A"/>
    <w:rsid w:val="00880652"/>
    <w:rsid w:val="00892D9C"/>
    <w:rsid w:val="008C3303"/>
    <w:rsid w:val="008F43D2"/>
    <w:rsid w:val="009425A9"/>
    <w:rsid w:val="0096570F"/>
    <w:rsid w:val="0096659B"/>
    <w:rsid w:val="00995558"/>
    <w:rsid w:val="009B1EE2"/>
    <w:rsid w:val="009B3A35"/>
    <w:rsid w:val="009D0685"/>
    <w:rsid w:val="009E15B7"/>
    <w:rsid w:val="009E2936"/>
    <w:rsid w:val="00A06D89"/>
    <w:rsid w:val="00A12189"/>
    <w:rsid w:val="00A1267B"/>
    <w:rsid w:val="00A44071"/>
    <w:rsid w:val="00A5552E"/>
    <w:rsid w:val="00A7672F"/>
    <w:rsid w:val="00A80F01"/>
    <w:rsid w:val="00AF0E40"/>
    <w:rsid w:val="00B56476"/>
    <w:rsid w:val="00B65CA5"/>
    <w:rsid w:val="00BA16DB"/>
    <w:rsid w:val="00BB0D54"/>
    <w:rsid w:val="00BB2BA5"/>
    <w:rsid w:val="00BC7F73"/>
    <w:rsid w:val="00BE3C17"/>
    <w:rsid w:val="00BE4C4C"/>
    <w:rsid w:val="00BE6342"/>
    <w:rsid w:val="00C014F3"/>
    <w:rsid w:val="00C14B2B"/>
    <w:rsid w:val="00C624E3"/>
    <w:rsid w:val="00D574E5"/>
    <w:rsid w:val="00D623B0"/>
    <w:rsid w:val="00D765D9"/>
    <w:rsid w:val="00D826E7"/>
    <w:rsid w:val="00DC1091"/>
    <w:rsid w:val="00DD4F71"/>
    <w:rsid w:val="00DE179D"/>
    <w:rsid w:val="00DE4721"/>
    <w:rsid w:val="00E04B10"/>
    <w:rsid w:val="00E07464"/>
    <w:rsid w:val="00E15101"/>
    <w:rsid w:val="00E228F6"/>
    <w:rsid w:val="00E455E8"/>
    <w:rsid w:val="00E62F9A"/>
    <w:rsid w:val="00E66F8B"/>
    <w:rsid w:val="00E75712"/>
    <w:rsid w:val="00F04724"/>
    <w:rsid w:val="00F61A25"/>
    <w:rsid w:val="00F65A10"/>
    <w:rsid w:val="00F7281F"/>
    <w:rsid w:val="00FA194C"/>
    <w:rsid w:val="00FB3959"/>
    <w:rsid w:val="00FC2E1D"/>
    <w:rsid w:val="00FE79A7"/>
    <w:rsid w:val="00FF53D1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20</cp:revision>
  <dcterms:created xsi:type="dcterms:W3CDTF">2021-09-27T01:15:00Z</dcterms:created>
  <dcterms:modified xsi:type="dcterms:W3CDTF">2024-11-14T04:45:00Z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