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50130" w14:textId="2B5443F6" w:rsidR="009125E3" w:rsidRPr="002E071C" w:rsidRDefault="002E071C" w:rsidP="002E071C">
      <w:pPr>
        <w:rPr>
          <w:rFonts w:asciiTheme="minorHAnsi" w:hAnsiTheme="minorHAnsi" w:cstheme="minorHAnsi"/>
          <w:b/>
        </w:rPr>
      </w:pPr>
      <w:r>
        <w:rPr>
          <w:rFonts w:asciiTheme="minorHAnsi" w:hAnsiTheme="minorHAnsi" w:cstheme="minorHAnsi"/>
          <w:b/>
        </w:rPr>
        <w:t xml:space="preserve">Appendix 1. </w:t>
      </w:r>
      <w:bookmarkStart w:id="0" w:name="_GoBack"/>
      <w:bookmarkEnd w:id="0"/>
      <w:r w:rsidR="009125E3" w:rsidRPr="002E071C">
        <w:rPr>
          <w:rFonts w:asciiTheme="minorHAnsi" w:hAnsiTheme="minorHAnsi" w:cstheme="minorHAnsi"/>
          <w:b/>
        </w:rPr>
        <w:t xml:space="preserve">Meta-Analyses And Individual Studies Of Demonstrating Effectiveness Of </w:t>
      </w:r>
      <w:r w:rsidR="00C3015C" w:rsidRPr="002E071C">
        <w:rPr>
          <w:rFonts w:asciiTheme="minorHAnsi" w:hAnsiTheme="minorHAnsi" w:cstheme="minorHAnsi"/>
          <w:b/>
        </w:rPr>
        <w:t>Treatment</w:t>
      </w:r>
      <w:r w:rsidR="009125E3" w:rsidRPr="002E071C">
        <w:rPr>
          <w:rFonts w:asciiTheme="minorHAnsi" w:hAnsiTheme="minorHAnsi" w:cstheme="minorHAnsi"/>
          <w:b/>
        </w:rPr>
        <w:t>s To Reduce Readmission Risk</w:t>
      </w:r>
    </w:p>
    <w:tbl>
      <w:tblPr>
        <w:tblStyle w:val="TableGrid"/>
        <w:tblW w:w="0" w:type="auto"/>
        <w:tblLook w:val="04A0" w:firstRow="1" w:lastRow="0" w:firstColumn="1" w:lastColumn="0" w:noHBand="0" w:noVBand="1"/>
      </w:tblPr>
      <w:tblGrid>
        <w:gridCol w:w="1885"/>
        <w:gridCol w:w="1980"/>
        <w:gridCol w:w="2610"/>
        <w:gridCol w:w="2875"/>
      </w:tblGrid>
      <w:tr w:rsidR="009125E3" w:rsidRPr="00C0611D" w14:paraId="333236C1" w14:textId="77777777" w:rsidTr="009125E3">
        <w:tc>
          <w:tcPr>
            <w:tcW w:w="1885" w:type="dxa"/>
            <w:shd w:val="clear" w:color="auto" w:fill="D9D9D9" w:themeFill="background1" w:themeFillShade="D9"/>
          </w:tcPr>
          <w:p w14:paraId="038B6D60"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Meta-analyses</w:t>
            </w:r>
          </w:p>
        </w:tc>
        <w:tc>
          <w:tcPr>
            <w:tcW w:w="1980" w:type="dxa"/>
            <w:shd w:val="clear" w:color="auto" w:fill="D9D9D9" w:themeFill="background1" w:themeFillShade="D9"/>
          </w:tcPr>
          <w:p w14:paraId="16EFB4AC"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Population</w:t>
            </w:r>
          </w:p>
        </w:tc>
        <w:tc>
          <w:tcPr>
            <w:tcW w:w="2610" w:type="dxa"/>
            <w:shd w:val="clear" w:color="auto" w:fill="D9D9D9" w:themeFill="background1" w:themeFillShade="D9"/>
          </w:tcPr>
          <w:p w14:paraId="04F2F830" w14:textId="338E1E61" w:rsidR="009125E3" w:rsidRPr="00C0611D" w:rsidRDefault="00C3015C" w:rsidP="0079174C">
            <w:pPr>
              <w:rPr>
                <w:rFonts w:asciiTheme="minorHAnsi" w:hAnsiTheme="minorHAnsi" w:cstheme="minorHAnsi"/>
                <w:sz w:val="22"/>
                <w:szCs w:val="22"/>
              </w:rPr>
            </w:pPr>
            <w:r>
              <w:rPr>
                <w:rFonts w:asciiTheme="minorHAnsi" w:hAnsiTheme="minorHAnsi" w:cstheme="minorHAnsi"/>
                <w:sz w:val="22"/>
                <w:szCs w:val="22"/>
              </w:rPr>
              <w:t>Treatment</w:t>
            </w:r>
            <w:r w:rsidR="009125E3" w:rsidRPr="00C0611D">
              <w:rPr>
                <w:rFonts w:asciiTheme="minorHAnsi" w:hAnsiTheme="minorHAnsi" w:cstheme="minorHAnsi"/>
                <w:sz w:val="22"/>
                <w:szCs w:val="22"/>
              </w:rPr>
              <w:t>(s)</w:t>
            </w:r>
          </w:p>
        </w:tc>
        <w:tc>
          <w:tcPr>
            <w:tcW w:w="2875" w:type="dxa"/>
            <w:shd w:val="clear" w:color="auto" w:fill="D9D9D9" w:themeFill="background1" w:themeFillShade="D9"/>
          </w:tcPr>
          <w:p w14:paraId="78280AC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Effect size</w:t>
            </w:r>
          </w:p>
        </w:tc>
      </w:tr>
      <w:tr w:rsidR="009125E3" w:rsidRPr="00C0611D" w14:paraId="16271458" w14:textId="77777777" w:rsidTr="009125E3">
        <w:tc>
          <w:tcPr>
            <w:tcW w:w="1885" w:type="dxa"/>
          </w:tcPr>
          <w:p w14:paraId="286B6873" w14:textId="39B4625B"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Feltner, 2014</w:t>
            </w:r>
            <w:r w:rsidR="00AE5971" w:rsidRPr="00C0611D">
              <w:rPr>
                <w:rFonts w:asciiTheme="minorHAnsi" w:hAnsiTheme="minorHAnsi" w:cstheme="minorHAnsi"/>
                <w:sz w:val="22"/>
                <w:szCs w:val="22"/>
                <w:vertAlign w:val="superscript"/>
              </w:rPr>
              <w:t>8</w:t>
            </w:r>
          </w:p>
        </w:tc>
        <w:tc>
          <w:tcPr>
            <w:tcW w:w="1980" w:type="dxa"/>
          </w:tcPr>
          <w:p w14:paraId="3B92D18E"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adults hospitalized with heart failure</w:t>
            </w:r>
          </w:p>
        </w:tc>
        <w:tc>
          <w:tcPr>
            <w:tcW w:w="2610" w:type="dxa"/>
          </w:tcPr>
          <w:p w14:paraId="0A7DFCE5" w14:textId="065C0781"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53 studies of 47 RCTs of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for heart failure patients. Included studies were categorized as home-visiting programs (15 RCTs), structured telephone support (STS) (13 trials), telemonitoring (8 trials), outpatient clinic-based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(7 trials), and primarily educational </w:t>
            </w:r>
            <w:r w:rsidR="00C3015C">
              <w:rPr>
                <w:rFonts w:asciiTheme="minorHAnsi" w:hAnsiTheme="minorHAnsi" w:cstheme="minorHAnsi"/>
                <w:sz w:val="22"/>
                <w:szCs w:val="22"/>
              </w:rPr>
              <w:t>treatment</w:t>
            </w:r>
            <w:r w:rsidRPr="00C0611D">
              <w:rPr>
                <w:rFonts w:asciiTheme="minorHAnsi" w:hAnsiTheme="minorHAnsi" w:cstheme="minorHAnsi"/>
                <w:sz w:val="22"/>
                <w:szCs w:val="22"/>
              </w:rPr>
              <w:t>s (4 trials). 30 days, 3–6 months</w:t>
            </w:r>
          </w:p>
        </w:tc>
        <w:tc>
          <w:tcPr>
            <w:tcW w:w="2875" w:type="dxa"/>
          </w:tcPr>
          <w:p w14:paraId="1E5B9B89" w14:textId="5CAD210E"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Effect sizes reported by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 Only home visiting and MD led heart failure clinics had evidence of effectiveness, For home visiting programs; High intensity (1 study): </w:t>
            </w:r>
          </w:p>
          <w:p w14:paraId="3B6A8F0B"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0.34 (0.19 to 0.62) </w:t>
            </w:r>
          </w:p>
          <w:p w14:paraId="01FE5C4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Lower intensity (1 study): 0.89 (0.43 to 1.85) for 30 days.</w:t>
            </w:r>
          </w:p>
        </w:tc>
      </w:tr>
      <w:tr w:rsidR="009125E3" w:rsidRPr="00C0611D" w14:paraId="6092A1AF" w14:textId="77777777" w:rsidTr="009125E3">
        <w:tc>
          <w:tcPr>
            <w:tcW w:w="1885" w:type="dxa"/>
          </w:tcPr>
          <w:p w14:paraId="744433CF" w14:textId="0E4B4A6B"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Leppin et al., 2014</w:t>
            </w:r>
            <w:r w:rsidR="00AE5971" w:rsidRPr="00C0611D">
              <w:rPr>
                <w:rFonts w:asciiTheme="minorHAnsi" w:hAnsiTheme="minorHAnsi" w:cstheme="minorHAnsi"/>
                <w:sz w:val="22"/>
                <w:szCs w:val="22"/>
                <w:vertAlign w:val="superscript"/>
              </w:rPr>
              <w:t>9</w:t>
            </w:r>
          </w:p>
        </w:tc>
        <w:tc>
          <w:tcPr>
            <w:tcW w:w="1980" w:type="dxa"/>
          </w:tcPr>
          <w:p w14:paraId="778473BF"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adults hospitalized for medical-surgical cause for more than 24 hrs and discharged home</w:t>
            </w:r>
          </w:p>
        </w:tc>
        <w:tc>
          <w:tcPr>
            <w:tcW w:w="2610" w:type="dxa"/>
          </w:tcPr>
          <w:p w14:paraId="2F5967CA" w14:textId="7AE5CC8E"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42 RCTs – any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 included.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included 1-7 activities. Most common activities were case management, patient education, home visit, and self-management support. </w:t>
            </w:r>
          </w:p>
        </w:tc>
        <w:tc>
          <w:tcPr>
            <w:tcW w:w="2875" w:type="dxa"/>
          </w:tcPr>
          <w:p w14:paraId="13EF7E8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RR=0.82 [95% CI 0.73 to 0.91]</w:t>
            </w:r>
          </w:p>
          <w:p w14:paraId="65D6128D" w14:textId="6371F953" w:rsidR="009125E3" w:rsidRPr="00C0611D" w:rsidRDefault="00C3015C" w:rsidP="0079174C">
            <w:pPr>
              <w:rPr>
                <w:rFonts w:asciiTheme="minorHAnsi" w:hAnsiTheme="minorHAnsi" w:cstheme="minorHAnsi"/>
                <w:sz w:val="22"/>
                <w:szCs w:val="22"/>
              </w:rPr>
            </w:pPr>
            <w:r>
              <w:rPr>
                <w:rFonts w:asciiTheme="minorHAnsi" w:hAnsiTheme="minorHAnsi" w:cstheme="minorHAnsi"/>
                <w:sz w:val="22"/>
                <w:szCs w:val="22"/>
              </w:rPr>
              <w:t>Treatment</w:t>
            </w:r>
            <w:r w:rsidR="00CA03D4" w:rsidRPr="00C0611D">
              <w:rPr>
                <w:rFonts w:asciiTheme="minorHAnsi" w:hAnsiTheme="minorHAnsi" w:cstheme="minorHAnsi"/>
                <w:sz w:val="22"/>
                <w:szCs w:val="22"/>
              </w:rPr>
              <w:t xml:space="preserve">s that </w:t>
            </w:r>
            <w:r w:rsidR="009125E3" w:rsidRPr="00C0611D">
              <w:rPr>
                <w:rFonts w:asciiTheme="minorHAnsi" w:hAnsiTheme="minorHAnsi" w:cstheme="minorHAnsi"/>
                <w:sz w:val="22"/>
                <w:szCs w:val="22"/>
              </w:rPr>
              <w:t>augmented patient capacity for self-care, RR-.68 (95%CI 0.53 to 0.86)</w:t>
            </w:r>
          </w:p>
        </w:tc>
      </w:tr>
      <w:tr w:rsidR="009125E3" w:rsidRPr="00C0611D" w14:paraId="182F4566" w14:textId="77777777" w:rsidTr="009125E3">
        <w:tc>
          <w:tcPr>
            <w:tcW w:w="1885" w:type="dxa"/>
          </w:tcPr>
          <w:p w14:paraId="74519714" w14:textId="4FC678DD"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Braet, Weltens, &amp; Sermeus, 2016</w:t>
            </w:r>
            <w:r w:rsidR="00AE5971" w:rsidRPr="00C0611D">
              <w:rPr>
                <w:rFonts w:asciiTheme="minorHAnsi" w:hAnsiTheme="minorHAnsi" w:cstheme="minorHAnsi"/>
                <w:sz w:val="22"/>
                <w:szCs w:val="22"/>
                <w:vertAlign w:val="superscript"/>
              </w:rPr>
              <w:t>10</w:t>
            </w:r>
          </w:p>
        </w:tc>
        <w:tc>
          <w:tcPr>
            <w:tcW w:w="1980" w:type="dxa"/>
          </w:tcPr>
          <w:p w14:paraId="791DD8AB"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adults (18 years or older) discharged from a medical or surgical ward.)</w:t>
            </w:r>
          </w:p>
        </w:tc>
        <w:tc>
          <w:tcPr>
            <w:tcW w:w="2610" w:type="dxa"/>
          </w:tcPr>
          <w:p w14:paraId="090E0273" w14:textId="01833BA2" w:rsidR="009125E3" w:rsidRPr="00C0611D" w:rsidRDefault="00AE5971"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51 RCTs </w:t>
            </w:r>
            <w:r w:rsidR="009125E3" w:rsidRPr="00C0611D">
              <w:rPr>
                <w:rFonts w:asciiTheme="minorHAnsi" w:hAnsiTheme="minorHAnsi" w:cstheme="minorHAnsi"/>
                <w:sz w:val="22"/>
                <w:szCs w:val="22"/>
              </w:rPr>
              <w:t xml:space="preserve">that evaluated discharge </w:t>
            </w:r>
            <w:r w:rsidR="00C3015C">
              <w:rPr>
                <w:rFonts w:asciiTheme="minorHAnsi" w:hAnsiTheme="minorHAnsi" w:cstheme="minorHAnsi"/>
                <w:sz w:val="22"/>
                <w:szCs w:val="22"/>
              </w:rPr>
              <w:t>treatment</w:t>
            </w:r>
            <w:r w:rsidR="009125E3" w:rsidRPr="00C0611D">
              <w:rPr>
                <w:rFonts w:asciiTheme="minorHAnsi" w:hAnsiTheme="minorHAnsi" w:cstheme="minorHAnsi"/>
                <w:sz w:val="22"/>
                <w:szCs w:val="22"/>
              </w:rPr>
              <w:t xml:space="preserve">s. The included </w:t>
            </w:r>
            <w:r w:rsidR="00C3015C">
              <w:rPr>
                <w:rFonts w:asciiTheme="minorHAnsi" w:hAnsiTheme="minorHAnsi" w:cstheme="minorHAnsi"/>
                <w:sz w:val="22"/>
                <w:szCs w:val="22"/>
              </w:rPr>
              <w:t>treatment</w:t>
            </w:r>
            <w:r w:rsidR="009125E3" w:rsidRPr="00C0611D">
              <w:rPr>
                <w:rFonts w:asciiTheme="minorHAnsi" w:hAnsiTheme="minorHAnsi" w:cstheme="minorHAnsi"/>
                <w:sz w:val="22"/>
                <w:szCs w:val="22"/>
              </w:rPr>
              <w:t>s must have been performed – at least partly – by hospital professionals with the intention of easing the care transition out of the hospital to home, or to prevent or alleviate problems after hospital discharge. Disease specific approaches were not considered.</w:t>
            </w:r>
          </w:p>
        </w:tc>
        <w:tc>
          <w:tcPr>
            <w:tcW w:w="2875" w:type="dxa"/>
          </w:tcPr>
          <w:p w14:paraId="79809FA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RR=0.77 [95% CI, 0.70-0.84]</w:t>
            </w:r>
          </w:p>
          <w:p w14:paraId="508EFA90" w14:textId="25D2F019"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Exploratory subgroup analysis found that </w:t>
            </w:r>
            <w:r w:rsidR="00C3015C">
              <w:rPr>
                <w:rFonts w:asciiTheme="minorHAnsi" w:hAnsiTheme="minorHAnsi" w:cstheme="minorHAnsi"/>
                <w:sz w:val="22"/>
                <w:szCs w:val="22"/>
              </w:rPr>
              <w:t>treatment</w:t>
            </w:r>
            <w:r w:rsidRPr="00C0611D">
              <w:rPr>
                <w:rFonts w:asciiTheme="minorHAnsi" w:hAnsiTheme="minorHAnsi" w:cstheme="minorHAnsi"/>
                <w:sz w:val="22"/>
                <w:szCs w:val="22"/>
              </w:rPr>
              <w:t>s starting during hospital stay and</w:t>
            </w:r>
            <w:r w:rsidR="00CA03D4" w:rsidRPr="00C0611D">
              <w:rPr>
                <w:rFonts w:asciiTheme="minorHAnsi" w:hAnsiTheme="minorHAnsi" w:cstheme="minorHAnsi"/>
                <w:sz w:val="22"/>
                <w:szCs w:val="22"/>
              </w:rPr>
              <w:t xml:space="preserve"> </w:t>
            </w:r>
            <w:r w:rsidRPr="00C0611D">
              <w:rPr>
                <w:rFonts w:asciiTheme="minorHAnsi" w:hAnsiTheme="minorHAnsi" w:cstheme="minorHAnsi"/>
                <w:sz w:val="22"/>
                <w:szCs w:val="22"/>
              </w:rPr>
              <w:t>continuing after discharge were more effective in reducing readmissions compared to</w:t>
            </w:r>
            <w:r w:rsidR="00CA03D4" w:rsidRPr="00C0611D">
              <w:rPr>
                <w:rFonts w:asciiTheme="minorHAnsi" w:hAnsiTheme="minorHAnsi" w:cstheme="minorHAnsi"/>
                <w:sz w:val="22"/>
                <w:szCs w:val="22"/>
              </w:rPr>
              <w:t xml:space="preserve"> </w:t>
            </w:r>
            <w:r w:rsidR="00C3015C">
              <w:rPr>
                <w:rFonts w:asciiTheme="minorHAnsi" w:hAnsiTheme="minorHAnsi" w:cstheme="minorHAnsi"/>
                <w:sz w:val="22"/>
                <w:szCs w:val="22"/>
              </w:rPr>
              <w:t>treatment</w:t>
            </w:r>
            <w:r w:rsidRPr="00C0611D">
              <w:rPr>
                <w:rFonts w:asciiTheme="minorHAnsi" w:hAnsiTheme="minorHAnsi" w:cstheme="minorHAnsi"/>
                <w:sz w:val="22"/>
                <w:szCs w:val="22"/>
              </w:rPr>
              <w:t>s starting after discharge (between subgroup difference p=0.01). Multicomponent</w:t>
            </w:r>
            <w:r w:rsidR="00CA03D4" w:rsidRPr="00C0611D">
              <w:rPr>
                <w:rFonts w:asciiTheme="minorHAnsi" w:hAnsiTheme="minorHAnsi" w:cstheme="minorHAnsi"/>
                <w:sz w:val="22"/>
                <w:szCs w:val="22"/>
              </w:rPr>
              <w:t xml:space="preserve">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were not more effective compared to single component </w:t>
            </w:r>
            <w:r w:rsidR="00C3015C">
              <w:rPr>
                <w:rFonts w:asciiTheme="minorHAnsi" w:hAnsiTheme="minorHAnsi" w:cstheme="minorHAnsi"/>
                <w:sz w:val="22"/>
                <w:szCs w:val="22"/>
              </w:rPr>
              <w:t>treatment</w:t>
            </w:r>
            <w:r w:rsidRPr="00C0611D">
              <w:rPr>
                <w:rFonts w:asciiTheme="minorHAnsi" w:hAnsiTheme="minorHAnsi" w:cstheme="minorHAnsi"/>
                <w:sz w:val="22"/>
                <w:szCs w:val="22"/>
              </w:rPr>
              <w:t>s (between</w:t>
            </w:r>
            <w:r w:rsidR="00CA03D4" w:rsidRPr="00C0611D">
              <w:rPr>
                <w:rFonts w:asciiTheme="minorHAnsi" w:hAnsiTheme="minorHAnsi" w:cstheme="minorHAnsi"/>
                <w:sz w:val="22"/>
                <w:szCs w:val="22"/>
              </w:rPr>
              <w:t xml:space="preserve"> </w:t>
            </w:r>
            <w:r w:rsidRPr="00C0611D">
              <w:rPr>
                <w:rFonts w:asciiTheme="minorHAnsi" w:hAnsiTheme="minorHAnsi" w:cstheme="minorHAnsi"/>
                <w:sz w:val="22"/>
                <w:szCs w:val="22"/>
              </w:rPr>
              <w:t xml:space="preserve">subgroup difference p=0.54). </w:t>
            </w:r>
            <w:r w:rsidR="00C3015C">
              <w:rPr>
                <w:rFonts w:asciiTheme="minorHAnsi" w:hAnsiTheme="minorHAnsi" w:cstheme="minorHAnsi"/>
                <w:sz w:val="22"/>
                <w:szCs w:val="22"/>
              </w:rPr>
              <w:t>Treatment</w:t>
            </w:r>
            <w:r w:rsidR="00CA03D4" w:rsidRPr="00C0611D">
              <w:rPr>
                <w:rFonts w:asciiTheme="minorHAnsi" w:hAnsiTheme="minorHAnsi" w:cstheme="minorHAnsi"/>
                <w:sz w:val="22"/>
                <w:szCs w:val="22"/>
              </w:rPr>
              <w:t xml:space="preserve">s oriented towards patient </w:t>
            </w:r>
            <w:r w:rsidRPr="00C0611D">
              <w:rPr>
                <w:rFonts w:asciiTheme="minorHAnsi" w:hAnsiTheme="minorHAnsi" w:cstheme="minorHAnsi"/>
                <w:sz w:val="22"/>
                <w:szCs w:val="22"/>
              </w:rPr>
              <w:t>empowerment were more</w:t>
            </w:r>
            <w:r w:rsidR="00CA03D4" w:rsidRPr="00C0611D">
              <w:rPr>
                <w:rFonts w:asciiTheme="minorHAnsi" w:hAnsiTheme="minorHAnsi" w:cstheme="minorHAnsi"/>
                <w:sz w:val="22"/>
                <w:szCs w:val="22"/>
              </w:rPr>
              <w:t xml:space="preserve"> </w:t>
            </w:r>
            <w:r w:rsidRPr="00C0611D">
              <w:rPr>
                <w:rFonts w:asciiTheme="minorHAnsi" w:hAnsiTheme="minorHAnsi" w:cstheme="minorHAnsi"/>
                <w:sz w:val="22"/>
                <w:szCs w:val="22"/>
              </w:rPr>
              <w:t xml:space="preserve">effective compared to all other </w:t>
            </w:r>
            <w:r w:rsidR="00C3015C">
              <w:rPr>
                <w:rFonts w:asciiTheme="minorHAnsi" w:hAnsiTheme="minorHAnsi" w:cstheme="minorHAnsi"/>
                <w:sz w:val="22"/>
                <w:szCs w:val="22"/>
              </w:rPr>
              <w:t>treatment</w:t>
            </w:r>
            <w:r w:rsidRPr="00C0611D">
              <w:rPr>
                <w:rFonts w:asciiTheme="minorHAnsi" w:hAnsiTheme="minorHAnsi" w:cstheme="minorHAnsi"/>
                <w:sz w:val="22"/>
                <w:szCs w:val="22"/>
              </w:rPr>
              <w:t xml:space="preserve">s </w:t>
            </w:r>
            <w:r w:rsidRPr="00C0611D">
              <w:rPr>
                <w:rFonts w:asciiTheme="minorHAnsi" w:hAnsiTheme="minorHAnsi" w:cstheme="minorHAnsi"/>
                <w:sz w:val="22"/>
                <w:szCs w:val="22"/>
              </w:rPr>
              <w:lastRenderedPageBreak/>
              <w:t>(between subgroup difference p=0.02).</w:t>
            </w:r>
          </w:p>
        </w:tc>
      </w:tr>
      <w:tr w:rsidR="009125E3" w:rsidRPr="00C0611D" w14:paraId="41B5084D" w14:textId="77777777" w:rsidTr="009125E3">
        <w:tc>
          <w:tcPr>
            <w:tcW w:w="1885" w:type="dxa"/>
            <w:shd w:val="clear" w:color="auto" w:fill="D9D9D9" w:themeFill="background1" w:themeFillShade="D9"/>
          </w:tcPr>
          <w:p w14:paraId="688620C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lastRenderedPageBreak/>
              <w:t>Individual RCTs</w:t>
            </w:r>
          </w:p>
        </w:tc>
        <w:tc>
          <w:tcPr>
            <w:tcW w:w="1980" w:type="dxa"/>
            <w:shd w:val="clear" w:color="auto" w:fill="D9D9D9" w:themeFill="background1" w:themeFillShade="D9"/>
          </w:tcPr>
          <w:p w14:paraId="7CA4AAD7"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Patient population</w:t>
            </w:r>
          </w:p>
        </w:tc>
        <w:tc>
          <w:tcPr>
            <w:tcW w:w="2610" w:type="dxa"/>
            <w:shd w:val="clear" w:color="auto" w:fill="D9D9D9" w:themeFill="background1" w:themeFillShade="D9"/>
          </w:tcPr>
          <w:p w14:paraId="543AE28E" w14:textId="6287CF12" w:rsidR="009125E3" w:rsidRPr="00C0611D" w:rsidRDefault="00C3015C" w:rsidP="0079174C">
            <w:pPr>
              <w:rPr>
                <w:rFonts w:asciiTheme="minorHAnsi" w:hAnsiTheme="minorHAnsi" w:cstheme="minorHAnsi"/>
                <w:sz w:val="22"/>
                <w:szCs w:val="22"/>
                <w:vertAlign w:val="superscript"/>
              </w:rPr>
            </w:pPr>
            <w:r>
              <w:rPr>
                <w:rFonts w:asciiTheme="minorHAnsi" w:hAnsiTheme="minorHAnsi" w:cstheme="minorHAnsi"/>
                <w:sz w:val="22"/>
                <w:szCs w:val="22"/>
              </w:rPr>
              <w:t>Treatment</w:t>
            </w:r>
            <w:r w:rsidR="009125E3" w:rsidRPr="00C0611D">
              <w:rPr>
                <w:rFonts w:asciiTheme="minorHAnsi" w:hAnsiTheme="minorHAnsi" w:cstheme="minorHAnsi"/>
                <w:sz w:val="22"/>
                <w:szCs w:val="22"/>
              </w:rPr>
              <w:t xml:space="preserve"> classification per  Braet, Weltens, &amp; Sermeus, 2016</w:t>
            </w:r>
            <w:r w:rsidR="00AE5971" w:rsidRPr="00C0611D">
              <w:rPr>
                <w:rFonts w:asciiTheme="minorHAnsi" w:hAnsiTheme="minorHAnsi" w:cstheme="minorHAnsi"/>
                <w:sz w:val="22"/>
                <w:szCs w:val="22"/>
                <w:vertAlign w:val="superscript"/>
              </w:rPr>
              <w:t>8</w:t>
            </w:r>
          </w:p>
        </w:tc>
        <w:tc>
          <w:tcPr>
            <w:tcW w:w="2875" w:type="dxa"/>
            <w:shd w:val="clear" w:color="auto" w:fill="D9D9D9" w:themeFill="background1" w:themeFillShade="D9"/>
          </w:tcPr>
          <w:p w14:paraId="72124384"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Effect size</w:t>
            </w:r>
          </w:p>
        </w:tc>
      </w:tr>
      <w:tr w:rsidR="009125E3" w:rsidRPr="00C0611D" w14:paraId="5587254F" w14:textId="77777777" w:rsidTr="009125E3">
        <w:tc>
          <w:tcPr>
            <w:tcW w:w="1885" w:type="dxa"/>
          </w:tcPr>
          <w:p w14:paraId="590C5ACC" w14:textId="517720C1"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Hansen, 1995</w:t>
            </w:r>
            <w:r w:rsidR="00AE5971" w:rsidRPr="00C0611D">
              <w:rPr>
                <w:rFonts w:asciiTheme="minorHAnsi" w:hAnsiTheme="minorHAnsi" w:cstheme="minorHAnsi"/>
                <w:sz w:val="22"/>
                <w:szCs w:val="22"/>
                <w:vertAlign w:val="superscript"/>
              </w:rPr>
              <w:t>11</w:t>
            </w:r>
          </w:p>
        </w:tc>
        <w:tc>
          <w:tcPr>
            <w:tcW w:w="1980" w:type="dxa"/>
          </w:tcPr>
          <w:p w14:paraId="4A04225E"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Discharged from geriatric ward</w:t>
            </w:r>
          </w:p>
        </w:tc>
        <w:tc>
          <w:tcPr>
            <w:tcW w:w="2610" w:type="dxa"/>
          </w:tcPr>
          <w:p w14:paraId="1BA75D52"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Transitional Care (home visits)</w:t>
            </w:r>
          </w:p>
        </w:tc>
        <w:tc>
          <w:tcPr>
            <w:tcW w:w="2875" w:type="dxa"/>
          </w:tcPr>
          <w:p w14:paraId="7EB3DF3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RR=0.30 (95% CI 0.16-0.57)</w:t>
            </w:r>
          </w:p>
        </w:tc>
      </w:tr>
      <w:tr w:rsidR="009125E3" w:rsidRPr="00C0611D" w14:paraId="6E6B6FB0" w14:textId="77777777" w:rsidTr="009125E3">
        <w:tc>
          <w:tcPr>
            <w:tcW w:w="1885" w:type="dxa"/>
          </w:tcPr>
          <w:p w14:paraId="3CAF29EE" w14:textId="3E5DFB9C"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Naylor, 1990</w:t>
            </w:r>
            <w:r w:rsidR="00AE5971" w:rsidRPr="00C0611D">
              <w:rPr>
                <w:rFonts w:asciiTheme="minorHAnsi" w:hAnsiTheme="minorHAnsi" w:cstheme="minorHAnsi"/>
                <w:sz w:val="22"/>
                <w:szCs w:val="22"/>
                <w:vertAlign w:val="superscript"/>
              </w:rPr>
              <w:t>12</w:t>
            </w:r>
          </w:p>
        </w:tc>
        <w:tc>
          <w:tcPr>
            <w:tcW w:w="1980" w:type="dxa"/>
          </w:tcPr>
          <w:p w14:paraId="26E86E52"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Elderly medical-surgical  </w:t>
            </w:r>
          </w:p>
        </w:tc>
        <w:tc>
          <w:tcPr>
            <w:tcW w:w="2610" w:type="dxa"/>
          </w:tcPr>
          <w:p w14:paraId="3DDD17FB"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planning/Transitional Care</w:t>
            </w:r>
          </w:p>
        </w:tc>
        <w:tc>
          <w:tcPr>
            <w:tcW w:w="2875" w:type="dxa"/>
          </w:tcPr>
          <w:p w14:paraId="65EDCA01"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RR=0.27 (95% CI 0.04-0.83)</w:t>
            </w:r>
          </w:p>
        </w:tc>
      </w:tr>
      <w:tr w:rsidR="009125E3" w:rsidRPr="00C0611D" w14:paraId="54BBBAB6" w14:textId="77777777" w:rsidTr="009125E3">
        <w:tc>
          <w:tcPr>
            <w:tcW w:w="1885" w:type="dxa"/>
          </w:tcPr>
          <w:p w14:paraId="2AA89F49" w14:textId="036E6ADA"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Naylor, 199</w:t>
            </w:r>
            <w:r w:rsidR="0094793C" w:rsidRPr="00C0611D">
              <w:rPr>
                <w:rFonts w:asciiTheme="minorHAnsi" w:hAnsiTheme="minorHAnsi" w:cstheme="minorHAnsi"/>
                <w:sz w:val="22"/>
                <w:szCs w:val="22"/>
              </w:rPr>
              <w:t>4</w:t>
            </w:r>
            <w:r w:rsidR="00AE5971" w:rsidRPr="00C0611D">
              <w:rPr>
                <w:rFonts w:asciiTheme="minorHAnsi" w:hAnsiTheme="minorHAnsi" w:cstheme="minorHAnsi"/>
                <w:sz w:val="22"/>
                <w:szCs w:val="22"/>
                <w:vertAlign w:val="superscript"/>
              </w:rPr>
              <w:t>13</w:t>
            </w:r>
          </w:p>
        </w:tc>
        <w:tc>
          <w:tcPr>
            <w:tcW w:w="1980" w:type="dxa"/>
          </w:tcPr>
          <w:p w14:paraId="21F3802C"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Elderly cardiac surgical  </w:t>
            </w:r>
          </w:p>
        </w:tc>
        <w:tc>
          <w:tcPr>
            <w:tcW w:w="2610" w:type="dxa"/>
          </w:tcPr>
          <w:p w14:paraId="1588EADC"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 xml:space="preserve">Discharge planning/Transitional Care </w:t>
            </w:r>
          </w:p>
        </w:tc>
        <w:tc>
          <w:tcPr>
            <w:tcW w:w="2875" w:type="dxa"/>
          </w:tcPr>
          <w:p w14:paraId="40A6A95A"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RR=0.35 (95%CI 0.19-0.65)</w:t>
            </w:r>
          </w:p>
        </w:tc>
      </w:tr>
      <w:tr w:rsidR="009125E3" w:rsidRPr="00C0611D" w14:paraId="4AD07DEE" w14:textId="77777777" w:rsidTr="009125E3">
        <w:tc>
          <w:tcPr>
            <w:tcW w:w="1885" w:type="dxa"/>
          </w:tcPr>
          <w:p w14:paraId="40F6A9DD" w14:textId="4D291A14"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Naylor, 2004</w:t>
            </w:r>
            <w:r w:rsidR="00AE5971" w:rsidRPr="00C0611D">
              <w:rPr>
                <w:rFonts w:asciiTheme="minorHAnsi" w:hAnsiTheme="minorHAnsi" w:cstheme="minorHAnsi"/>
                <w:sz w:val="22"/>
                <w:szCs w:val="22"/>
                <w:vertAlign w:val="superscript"/>
              </w:rPr>
              <w:t>14</w:t>
            </w:r>
          </w:p>
        </w:tc>
        <w:tc>
          <w:tcPr>
            <w:tcW w:w="1980" w:type="dxa"/>
          </w:tcPr>
          <w:p w14:paraId="51DF63A4"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 xml:space="preserve">Elderly medical-surgical  </w:t>
            </w:r>
          </w:p>
        </w:tc>
        <w:tc>
          <w:tcPr>
            <w:tcW w:w="2610" w:type="dxa"/>
          </w:tcPr>
          <w:p w14:paraId="01FE7B0D"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planning/Transitional Care</w:t>
            </w:r>
          </w:p>
        </w:tc>
        <w:tc>
          <w:tcPr>
            <w:tcW w:w="2875" w:type="dxa"/>
          </w:tcPr>
          <w:p w14:paraId="1AC3477D"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RR=0.34 (95% CI 0.19 to 0.62) </w:t>
            </w:r>
          </w:p>
          <w:p w14:paraId="509A4EDE" w14:textId="77777777" w:rsidR="009125E3" w:rsidRPr="00C0611D" w:rsidRDefault="009125E3" w:rsidP="0079174C">
            <w:pPr>
              <w:rPr>
                <w:rFonts w:asciiTheme="minorHAnsi" w:hAnsiTheme="minorHAnsi" w:cstheme="minorHAnsi"/>
                <w:sz w:val="22"/>
                <w:szCs w:val="22"/>
              </w:rPr>
            </w:pPr>
          </w:p>
        </w:tc>
      </w:tr>
      <w:tr w:rsidR="009125E3" w:rsidRPr="00C0611D" w14:paraId="422E86F0" w14:textId="77777777" w:rsidTr="009125E3">
        <w:tc>
          <w:tcPr>
            <w:tcW w:w="1885" w:type="dxa"/>
          </w:tcPr>
          <w:p w14:paraId="3B7BE0CA" w14:textId="0DC6941D"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McDonald, 2002</w:t>
            </w:r>
            <w:r w:rsidR="00AE5971" w:rsidRPr="00C0611D">
              <w:rPr>
                <w:rFonts w:asciiTheme="minorHAnsi" w:hAnsiTheme="minorHAnsi" w:cstheme="minorHAnsi"/>
                <w:sz w:val="22"/>
                <w:szCs w:val="22"/>
                <w:vertAlign w:val="superscript"/>
              </w:rPr>
              <w:t>15</w:t>
            </w:r>
          </w:p>
        </w:tc>
        <w:tc>
          <w:tcPr>
            <w:tcW w:w="1980" w:type="dxa"/>
          </w:tcPr>
          <w:p w14:paraId="1A6B6A3F"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Heart failure</w:t>
            </w:r>
          </w:p>
        </w:tc>
        <w:tc>
          <w:tcPr>
            <w:tcW w:w="2610" w:type="dxa"/>
          </w:tcPr>
          <w:p w14:paraId="25D7A398"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Multidisciplinary</w:t>
            </w:r>
          </w:p>
        </w:tc>
        <w:tc>
          <w:tcPr>
            <w:tcW w:w="2875" w:type="dxa"/>
          </w:tcPr>
          <w:p w14:paraId="5CABB43E"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RR=0.18 (95% CI 0.04 to 0.80) </w:t>
            </w:r>
          </w:p>
        </w:tc>
      </w:tr>
      <w:tr w:rsidR="009125E3" w:rsidRPr="00C0611D" w14:paraId="3B3387E1" w14:textId="77777777" w:rsidTr="009125E3">
        <w:tc>
          <w:tcPr>
            <w:tcW w:w="1885" w:type="dxa"/>
          </w:tcPr>
          <w:p w14:paraId="0DFB8BEB" w14:textId="002A63A2"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Parry, 2009</w:t>
            </w:r>
            <w:r w:rsidR="00AE5971" w:rsidRPr="00C0611D">
              <w:rPr>
                <w:rFonts w:asciiTheme="minorHAnsi" w:hAnsiTheme="minorHAnsi" w:cstheme="minorHAnsi"/>
                <w:sz w:val="22"/>
                <w:szCs w:val="22"/>
                <w:vertAlign w:val="superscript"/>
              </w:rPr>
              <w:t>16</w:t>
            </w:r>
            <w:r w:rsidRPr="00C0611D">
              <w:rPr>
                <w:rFonts w:asciiTheme="minorHAnsi" w:hAnsiTheme="minorHAnsi" w:cstheme="minorHAnsi"/>
                <w:sz w:val="22"/>
                <w:szCs w:val="22"/>
              </w:rPr>
              <w:t xml:space="preserve"> </w:t>
            </w:r>
          </w:p>
        </w:tc>
        <w:tc>
          <w:tcPr>
            <w:tcW w:w="1980" w:type="dxa"/>
          </w:tcPr>
          <w:p w14:paraId="06336AFA"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Elderly</w:t>
            </w:r>
          </w:p>
        </w:tc>
        <w:tc>
          <w:tcPr>
            <w:tcW w:w="2610" w:type="dxa"/>
          </w:tcPr>
          <w:p w14:paraId="7D9B9990"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Transitional Care</w:t>
            </w:r>
          </w:p>
        </w:tc>
        <w:tc>
          <w:tcPr>
            <w:tcW w:w="2875" w:type="dxa"/>
          </w:tcPr>
          <w:p w14:paraId="555F119D"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RR=0.30 (95% CI 0.11 to 0.85) </w:t>
            </w:r>
          </w:p>
        </w:tc>
      </w:tr>
      <w:tr w:rsidR="009125E3" w:rsidRPr="00C0611D" w14:paraId="3691E4DE" w14:textId="77777777" w:rsidTr="009125E3">
        <w:tc>
          <w:tcPr>
            <w:tcW w:w="1885" w:type="dxa"/>
          </w:tcPr>
          <w:p w14:paraId="42F0A665" w14:textId="56528E37"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Huang, 2005</w:t>
            </w:r>
            <w:r w:rsidR="00AE5971" w:rsidRPr="00C0611D">
              <w:rPr>
                <w:rFonts w:asciiTheme="minorHAnsi" w:hAnsiTheme="minorHAnsi" w:cstheme="minorHAnsi"/>
                <w:sz w:val="22"/>
                <w:szCs w:val="22"/>
                <w:vertAlign w:val="superscript"/>
              </w:rPr>
              <w:t>17</w:t>
            </w:r>
          </w:p>
        </w:tc>
        <w:tc>
          <w:tcPr>
            <w:tcW w:w="1980" w:type="dxa"/>
          </w:tcPr>
          <w:p w14:paraId="252C3A7F"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Hip fracture</w:t>
            </w:r>
          </w:p>
        </w:tc>
        <w:tc>
          <w:tcPr>
            <w:tcW w:w="2610" w:type="dxa"/>
          </w:tcPr>
          <w:p w14:paraId="2CCCF0C1"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w:t>
            </w:r>
          </w:p>
        </w:tc>
        <w:tc>
          <w:tcPr>
            <w:tcW w:w="2875" w:type="dxa"/>
          </w:tcPr>
          <w:p w14:paraId="4D3CF50D"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RR=0.31 (95% CI 0.11 to 0.89)</w:t>
            </w:r>
          </w:p>
        </w:tc>
      </w:tr>
      <w:tr w:rsidR="009125E3" w:rsidRPr="00C0611D" w14:paraId="316B2B2B" w14:textId="77777777" w:rsidTr="009125E3">
        <w:tc>
          <w:tcPr>
            <w:tcW w:w="1885" w:type="dxa"/>
          </w:tcPr>
          <w:p w14:paraId="1605D6C4" w14:textId="6C7D3AF9"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Lopez-Cabeza, 2006</w:t>
            </w:r>
            <w:r w:rsidR="00AE5971" w:rsidRPr="00C0611D">
              <w:rPr>
                <w:rFonts w:asciiTheme="minorHAnsi" w:hAnsiTheme="minorHAnsi" w:cstheme="minorHAnsi"/>
                <w:sz w:val="22"/>
                <w:szCs w:val="22"/>
                <w:vertAlign w:val="superscript"/>
              </w:rPr>
              <w:t>18</w:t>
            </w:r>
          </w:p>
        </w:tc>
        <w:tc>
          <w:tcPr>
            <w:tcW w:w="1980" w:type="dxa"/>
          </w:tcPr>
          <w:p w14:paraId="790CE6EE"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Heart failure</w:t>
            </w:r>
          </w:p>
        </w:tc>
        <w:tc>
          <w:tcPr>
            <w:tcW w:w="2610" w:type="dxa"/>
          </w:tcPr>
          <w:p w14:paraId="7F042E78"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Education</w:t>
            </w:r>
          </w:p>
        </w:tc>
        <w:tc>
          <w:tcPr>
            <w:tcW w:w="2875" w:type="dxa"/>
          </w:tcPr>
          <w:p w14:paraId="5E77B517"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RR=0.32 (95% CI 0.16 to 0.32)</w:t>
            </w:r>
          </w:p>
        </w:tc>
      </w:tr>
      <w:tr w:rsidR="009125E3" w:rsidRPr="00C0611D" w14:paraId="7332D8C2" w14:textId="77777777" w:rsidTr="009125E3">
        <w:tc>
          <w:tcPr>
            <w:tcW w:w="1885" w:type="dxa"/>
          </w:tcPr>
          <w:p w14:paraId="7763D51A" w14:textId="5E42649F"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Wong, 2011</w:t>
            </w:r>
            <w:r w:rsidR="00AE5971" w:rsidRPr="00C0611D">
              <w:rPr>
                <w:rFonts w:asciiTheme="minorHAnsi" w:hAnsiTheme="minorHAnsi" w:cstheme="minorHAnsi"/>
                <w:sz w:val="22"/>
                <w:szCs w:val="22"/>
                <w:vertAlign w:val="superscript"/>
              </w:rPr>
              <w:t>19</w:t>
            </w:r>
          </w:p>
        </w:tc>
        <w:tc>
          <w:tcPr>
            <w:tcW w:w="1980" w:type="dxa"/>
          </w:tcPr>
          <w:p w14:paraId="4BF34766"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Admitted to medical unit</w:t>
            </w:r>
          </w:p>
        </w:tc>
        <w:tc>
          <w:tcPr>
            <w:tcW w:w="2610" w:type="dxa"/>
          </w:tcPr>
          <w:p w14:paraId="4F06DEC2"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Transitional Care</w:t>
            </w:r>
          </w:p>
        </w:tc>
        <w:tc>
          <w:tcPr>
            <w:tcW w:w="2875" w:type="dxa"/>
          </w:tcPr>
          <w:p w14:paraId="559C95FC"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RR=0.42 (95% CI 0.26 to 0.66)</w:t>
            </w:r>
          </w:p>
        </w:tc>
      </w:tr>
      <w:tr w:rsidR="009125E3" w:rsidRPr="00C0611D" w14:paraId="665D5657" w14:textId="77777777" w:rsidTr="009125E3">
        <w:tc>
          <w:tcPr>
            <w:tcW w:w="1885" w:type="dxa"/>
          </w:tcPr>
          <w:p w14:paraId="00B2801E" w14:textId="226D9B7A"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Evans, 1993</w:t>
            </w:r>
            <w:r w:rsidR="00AE5971" w:rsidRPr="00C0611D">
              <w:rPr>
                <w:rFonts w:asciiTheme="minorHAnsi" w:hAnsiTheme="minorHAnsi" w:cstheme="minorHAnsi"/>
                <w:sz w:val="22"/>
                <w:szCs w:val="22"/>
                <w:vertAlign w:val="superscript"/>
              </w:rPr>
              <w:t>20</w:t>
            </w:r>
          </w:p>
        </w:tc>
        <w:tc>
          <w:tcPr>
            <w:tcW w:w="1980" w:type="dxa"/>
          </w:tcPr>
          <w:p w14:paraId="5AE9B944"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VA patients at risk</w:t>
            </w:r>
          </w:p>
        </w:tc>
        <w:tc>
          <w:tcPr>
            <w:tcW w:w="2610" w:type="dxa"/>
          </w:tcPr>
          <w:p w14:paraId="537552A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w:t>
            </w:r>
          </w:p>
        </w:tc>
        <w:tc>
          <w:tcPr>
            <w:tcW w:w="2875" w:type="dxa"/>
          </w:tcPr>
          <w:p w14:paraId="56F093A7"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RR=0.70 (95% CI 0.57 to 087)</w:t>
            </w:r>
          </w:p>
        </w:tc>
      </w:tr>
      <w:tr w:rsidR="009125E3" w:rsidRPr="00C0611D" w14:paraId="3DAE5FD5" w14:textId="77777777" w:rsidTr="009125E3">
        <w:tc>
          <w:tcPr>
            <w:tcW w:w="1885" w:type="dxa"/>
          </w:tcPr>
          <w:p w14:paraId="25C63E4B" w14:textId="7FE82160"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Rich, 1995</w:t>
            </w:r>
            <w:r w:rsidR="00AE5971" w:rsidRPr="00C0611D">
              <w:rPr>
                <w:rFonts w:asciiTheme="minorHAnsi" w:hAnsiTheme="minorHAnsi" w:cstheme="minorHAnsi"/>
                <w:sz w:val="22"/>
                <w:szCs w:val="22"/>
                <w:vertAlign w:val="superscript"/>
              </w:rPr>
              <w:t>21</w:t>
            </w:r>
          </w:p>
        </w:tc>
        <w:tc>
          <w:tcPr>
            <w:tcW w:w="1980" w:type="dxa"/>
          </w:tcPr>
          <w:p w14:paraId="4150924C"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Elderly heart failure</w:t>
            </w:r>
          </w:p>
        </w:tc>
        <w:tc>
          <w:tcPr>
            <w:tcW w:w="2610" w:type="dxa"/>
          </w:tcPr>
          <w:p w14:paraId="4B093949"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Multidisciplinary</w:t>
            </w:r>
          </w:p>
        </w:tc>
        <w:tc>
          <w:tcPr>
            <w:tcW w:w="2875" w:type="dxa"/>
          </w:tcPr>
          <w:p w14:paraId="3BE790E4"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RR=0.71 (95% CI 0.51 to 0.97)</w:t>
            </w:r>
          </w:p>
        </w:tc>
      </w:tr>
      <w:tr w:rsidR="009125E3" w:rsidRPr="00C0611D" w14:paraId="18ACDC60" w14:textId="77777777" w:rsidTr="009125E3">
        <w:tc>
          <w:tcPr>
            <w:tcW w:w="1885" w:type="dxa"/>
          </w:tcPr>
          <w:p w14:paraId="659F4285" w14:textId="45B4783F" w:rsidR="009125E3" w:rsidRPr="00C0611D" w:rsidRDefault="009125E3" w:rsidP="0079174C">
            <w:pPr>
              <w:rPr>
                <w:rFonts w:asciiTheme="minorHAnsi" w:hAnsiTheme="minorHAnsi" w:cstheme="minorHAnsi"/>
                <w:sz w:val="22"/>
                <w:szCs w:val="22"/>
                <w:vertAlign w:val="superscript"/>
              </w:rPr>
            </w:pPr>
            <w:r w:rsidRPr="00C0611D">
              <w:rPr>
                <w:rFonts w:asciiTheme="minorHAnsi" w:hAnsiTheme="minorHAnsi" w:cstheme="minorHAnsi"/>
                <w:sz w:val="22"/>
                <w:szCs w:val="22"/>
              </w:rPr>
              <w:t>Legrain, 2011</w:t>
            </w:r>
            <w:r w:rsidR="00AE5971" w:rsidRPr="00C0611D">
              <w:rPr>
                <w:rFonts w:asciiTheme="minorHAnsi" w:hAnsiTheme="minorHAnsi" w:cstheme="minorHAnsi"/>
                <w:sz w:val="22"/>
                <w:szCs w:val="22"/>
                <w:vertAlign w:val="superscript"/>
              </w:rPr>
              <w:t>22</w:t>
            </w:r>
          </w:p>
        </w:tc>
        <w:tc>
          <w:tcPr>
            <w:tcW w:w="1980" w:type="dxa"/>
          </w:tcPr>
          <w:p w14:paraId="29C7E7D9"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Older adults</w:t>
            </w:r>
          </w:p>
        </w:tc>
        <w:tc>
          <w:tcPr>
            <w:tcW w:w="2610" w:type="dxa"/>
          </w:tcPr>
          <w:p w14:paraId="75162926"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Discharge Planning</w:t>
            </w:r>
          </w:p>
        </w:tc>
        <w:tc>
          <w:tcPr>
            <w:tcW w:w="2875" w:type="dxa"/>
          </w:tcPr>
          <w:p w14:paraId="6E359548"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RR=0.71 (95% CI 0.54 to 0.93)</w:t>
            </w:r>
          </w:p>
        </w:tc>
      </w:tr>
      <w:tr w:rsidR="009125E3" w:rsidRPr="00C0611D" w14:paraId="7D8DFB41" w14:textId="77777777" w:rsidTr="009125E3">
        <w:tc>
          <w:tcPr>
            <w:tcW w:w="1885" w:type="dxa"/>
          </w:tcPr>
          <w:p w14:paraId="3A8F1409" w14:textId="7EC5B20D"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Melton, 2012</w:t>
            </w:r>
            <w:r w:rsidR="00AE5971" w:rsidRPr="00C0611D">
              <w:rPr>
                <w:rFonts w:asciiTheme="minorHAnsi" w:hAnsiTheme="minorHAnsi" w:cstheme="minorHAnsi"/>
                <w:sz w:val="22"/>
                <w:szCs w:val="22"/>
                <w:vertAlign w:val="superscript"/>
              </w:rPr>
              <w:t>23</w:t>
            </w:r>
          </w:p>
        </w:tc>
        <w:tc>
          <w:tcPr>
            <w:tcW w:w="1980" w:type="dxa"/>
          </w:tcPr>
          <w:p w14:paraId="1E0069D9" w14:textId="77777777" w:rsidR="009125E3" w:rsidRPr="00C0611D" w:rsidRDefault="009125E3" w:rsidP="0079174C">
            <w:pPr>
              <w:autoSpaceDE w:val="0"/>
              <w:autoSpaceDN w:val="0"/>
              <w:adjustRightInd w:val="0"/>
              <w:rPr>
                <w:rFonts w:asciiTheme="minorHAnsi" w:hAnsiTheme="minorHAnsi" w:cstheme="minorHAnsi"/>
                <w:sz w:val="22"/>
                <w:szCs w:val="22"/>
              </w:rPr>
            </w:pPr>
            <w:r w:rsidRPr="00C0611D">
              <w:rPr>
                <w:rFonts w:asciiTheme="minorHAnsi" w:hAnsiTheme="minorHAnsi" w:cstheme="minorHAnsi"/>
                <w:sz w:val="22"/>
                <w:szCs w:val="22"/>
              </w:rPr>
              <w:t>Patients at risk</w:t>
            </w:r>
          </w:p>
        </w:tc>
        <w:tc>
          <w:tcPr>
            <w:tcW w:w="2610" w:type="dxa"/>
          </w:tcPr>
          <w:p w14:paraId="10E975BD" w14:textId="77777777" w:rsidR="009125E3" w:rsidRPr="00C0611D" w:rsidRDefault="009125E3" w:rsidP="0079174C">
            <w:pPr>
              <w:rPr>
                <w:rFonts w:asciiTheme="minorHAnsi" w:hAnsiTheme="minorHAnsi" w:cstheme="minorHAnsi"/>
                <w:sz w:val="22"/>
                <w:szCs w:val="22"/>
              </w:rPr>
            </w:pPr>
            <w:r w:rsidRPr="00C0611D">
              <w:rPr>
                <w:rFonts w:asciiTheme="minorHAnsi" w:hAnsiTheme="minorHAnsi" w:cstheme="minorHAnsi"/>
                <w:sz w:val="22"/>
                <w:szCs w:val="22"/>
              </w:rPr>
              <w:t>Tele</w:t>
            </w:r>
          </w:p>
        </w:tc>
        <w:tc>
          <w:tcPr>
            <w:tcW w:w="2875" w:type="dxa"/>
          </w:tcPr>
          <w:p w14:paraId="67568735" w14:textId="77777777" w:rsidR="009125E3" w:rsidRPr="00C0611D" w:rsidRDefault="009125E3" w:rsidP="0079174C">
            <w:pPr>
              <w:pStyle w:val="Default"/>
              <w:rPr>
                <w:rFonts w:asciiTheme="minorHAnsi" w:hAnsiTheme="minorHAnsi" w:cstheme="minorHAnsi"/>
                <w:sz w:val="22"/>
                <w:szCs w:val="22"/>
              </w:rPr>
            </w:pPr>
            <w:r w:rsidRPr="00C0611D">
              <w:rPr>
                <w:rFonts w:asciiTheme="minorHAnsi" w:hAnsiTheme="minorHAnsi" w:cstheme="minorHAnsi"/>
                <w:sz w:val="22"/>
                <w:szCs w:val="22"/>
              </w:rPr>
              <w:t xml:space="preserve">RR=0.79 (95% CI 0.64 to 0.96) </w:t>
            </w:r>
          </w:p>
        </w:tc>
      </w:tr>
    </w:tbl>
    <w:p w14:paraId="4AECE83F" w14:textId="77777777" w:rsidR="009125E3" w:rsidRPr="00C0611D" w:rsidRDefault="009125E3" w:rsidP="0079174C">
      <w:pPr>
        <w:rPr>
          <w:rFonts w:asciiTheme="minorHAnsi" w:hAnsiTheme="minorHAnsi" w:cstheme="minorHAnsi"/>
          <w:sz w:val="22"/>
          <w:szCs w:val="22"/>
        </w:rPr>
      </w:pPr>
    </w:p>
    <w:p w14:paraId="00ED580E" w14:textId="26AE4552" w:rsidR="0094793C" w:rsidRPr="00C0611D" w:rsidRDefault="006F52E4" w:rsidP="0079174C">
      <w:pPr>
        <w:pStyle w:val="BasicParagraph"/>
        <w:spacing w:line="240" w:lineRule="auto"/>
        <w:rPr>
          <w:rFonts w:asciiTheme="minorHAnsi" w:hAnsiTheme="minorHAnsi" w:cstheme="minorHAnsi"/>
          <w:b/>
          <w:bCs/>
          <w:sz w:val="22"/>
          <w:szCs w:val="22"/>
        </w:rPr>
      </w:pPr>
      <w:r w:rsidRPr="00C0611D">
        <w:rPr>
          <w:rFonts w:asciiTheme="minorHAnsi" w:hAnsiTheme="minorHAnsi" w:cstheme="minorHAnsi"/>
          <w:b/>
          <w:sz w:val="22"/>
          <w:szCs w:val="22"/>
        </w:rPr>
        <w:t xml:space="preserve">Appendix </w:t>
      </w:r>
      <w:r w:rsidR="009125E3" w:rsidRPr="00C0611D">
        <w:rPr>
          <w:rFonts w:asciiTheme="minorHAnsi" w:hAnsiTheme="minorHAnsi" w:cstheme="minorHAnsi"/>
          <w:b/>
          <w:sz w:val="22"/>
          <w:szCs w:val="22"/>
        </w:rPr>
        <w:t>References:</w:t>
      </w:r>
      <w:r w:rsidR="0094793C" w:rsidRPr="00C0611D">
        <w:rPr>
          <w:rFonts w:asciiTheme="minorHAnsi" w:hAnsiTheme="minorHAnsi" w:cstheme="minorHAnsi"/>
          <w:b/>
          <w:bCs/>
          <w:sz w:val="22"/>
          <w:szCs w:val="22"/>
        </w:rPr>
        <w:t xml:space="preserve"> </w:t>
      </w:r>
    </w:p>
    <w:p w14:paraId="2C57B9B3"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van Walraven C, Dhalla IA, Bell C, et al. Derivation and validation of an index to predict early death or unplanned readmission after discharge from hospital to the community. CMAJ : Canadian Medical Association journal = journal de l'Association medicale canadienne. 2010;182(6):551-557.</w:t>
      </w:r>
    </w:p>
    <w:p w14:paraId="3C7BCCBD" w14:textId="77777777" w:rsidR="0094793C" w:rsidRPr="00C0611D" w:rsidRDefault="0094793C" w:rsidP="0079174C">
      <w:pPr>
        <w:pStyle w:val="ListParagraph"/>
        <w:numPr>
          <w:ilvl w:val="0"/>
          <w:numId w:val="9"/>
        </w:numPr>
        <w:spacing w:line="240" w:lineRule="auto"/>
        <w:rPr>
          <w:rStyle w:val="CommentReference"/>
          <w:rFonts w:asciiTheme="minorHAnsi" w:hAnsiTheme="minorHAnsi" w:cstheme="minorHAnsi"/>
          <w:sz w:val="22"/>
          <w:szCs w:val="22"/>
        </w:rPr>
      </w:pPr>
      <w:r w:rsidRPr="00C0611D">
        <w:rPr>
          <w:rFonts w:asciiTheme="minorHAnsi" w:hAnsiTheme="minorHAnsi" w:cstheme="minorHAnsi"/>
        </w:rPr>
        <w:t xml:space="preserve">Sieck, Carol K., "Correlation of the Boost Risk Stratification Tool as a Predictor of Unplanned 30-Day Readmission in Elderly Patients" (2017). Dissertations. 2855. </w:t>
      </w:r>
      <w:hyperlink r:id="rId13" w:history="1">
        <w:r w:rsidRPr="00C0611D">
          <w:rPr>
            <w:rStyle w:val="Hyperlink"/>
            <w:rFonts w:asciiTheme="minorHAnsi" w:hAnsiTheme="minorHAnsi" w:cstheme="minorHAnsi"/>
          </w:rPr>
          <w:t>https://ecommons.luc.edu/luc_diss/2855</w:t>
        </w:r>
      </w:hyperlink>
      <w:r w:rsidRPr="00C0611D">
        <w:rPr>
          <w:rFonts w:asciiTheme="minorHAnsi" w:hAnsiTheme="minorHAnsi" w:cstheme="minorHAnsi"/>
        </w:rPr>
        <w:t>.</w:t>
      </w:r>
    </w:p>
    <w:p w14:paraId="746A434A"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Style w:val="CommentReference"/>
          <w:rFonts w:asciiTheme="minorHAnsi" w:hAnsiTheme="minorHAnsi" w:cstheme="minorHAnsi"/>
          <w:sz w:val="22"/>
          <w:szCs w:val="22"/>
          <w:lang w:eastAsia="ja-JP"/>
        </w:rPr>
        <w:t>S</w:t>
      </w:r>
      <w:r w:rsidRPr="00C0611D">
        <w:rPr>
          <w:rFonts w:asciiTheme="minorHAnsi" w:hAnsiTheme="minorHAnsi" w:cstheme="minorHAnsi"/>
          <w:color w:val="303030"/>
          <w:shd w:val="clear" w:color="auto" w:fill="FFFFFF"/>
        </w:rPr>
        <w:t>tavem K, Hoel H, Skjaker SA, Haagensen R. Charlson comorbidity index derived from chart review or administrative data: agreement and prediction of mortality in intensive care patients. </w:t>
      </w:r>
      <w:r w:rsidRPr="00C0611D">
        <w:rPr>
          <w:rFonts w:asciiTheme="minorHAnsi" w:hAnsiTheme="minorHAnsi" w:cstheme="minorHAnsi"/>
          <w:i/>
          <w:iCs/>
          <w:color w:val="303030"/>
          <w:shd w:val="clear" w:color="auto" w:fill="FFFFFF"/>
        </w:rPr>
        <w:t>Clin Epidemiol</w:t>
      </w:r>
      <w:r w:rsidRPr="00C0611D">
        <w:rPr>
          <w:rFonts w:asciiTheme="minorHAnsi" w:hAnsiTheme="minorHAnsi" w:cstheme="minorHAnsi"/>
          <w:color w:val="303030"/>
          <w:shd w:val="clear" w:color="auto" w:fill="FFFFFF"/>
        </w:rPr>
        <w:t>. 2017;9:311-320. Published 2017 Jun 2. doi:10.2147/CLEP.S133624</w:t>
      </w:r>
    </w:p>
    <w:p w14:paraId="2BA46120"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shd w:val="clear" w:color="auto" w:fill="F4F4F3"/>
        </w:rPr>
        <w:t>Quan H, Sundararajan V, Halfon P, Fong A, Burnand B, Luthi JC, Saunders LD, Beck CA, Feasby TE, Ghali WA. Coding algorithms for defining comorbidities in ICD-9-CM and ICD-10 administrative data. </w:t>
      </w:r>
      <w:r w:rsidRPr="00C0611D">
        <w:rPr>
          <w:rFonts w:asciiTheme="minorHAnsi" w:hAnsiTheme="minorHAnsi" w:cstheme="minorHAnsi"/>
          <w:i/>
          <w:iCs/>
          <w:shd w:val="clear" w:color="auto" w:fill="F4F4F3"/>
        </w:rPr>
        <w:t>Med Care</w:t>
      </w:r>
      <w:r w:rsidRPr="00C0611D">
        <w:rPr>
          <w:rFonts w:asciiTheme="minorHAnsi" w:hAnsiTheme="minorHAnsi" w:cstheme="minorHAnsi"/>
          <w:shd w:val="clear" w:color="auto" w:fill="F4F4F3"/>
        </w:rPr>
        <w:t> 2005;43(11):1130-1139.</w:t>
      </w:r>
    </w:p>
    <w:p w14:paraId="5C2ECA30"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Moore BJ1, White S, Washington R, Coenen N, Elixhauser A.Identifying Increased Risk of Readmission and In-hospital Mortality Using Hospital Administrative Data: The AHRQ Elixhauser Comorbidity Index. Med Care. 2017 Jul;55(7):698-705. doi: 10.1097/MLR.0000000000000735.</w:t>
      </w:r>
    </w:p>
    <w:p w14:paraId="0A0F6ACF"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 xml:space="preserve">Elixhauser Comorbidity Software, Version 3.7. Agency for HealthCare Research and Quality; 2018. </w:t>
      </w:r>
      <w:hyperlink r:id="rId14" w:history="1">
        <w:r w:rsidRPr="00C0611D">
          <w:rPr>
            <w:rStyle w:val="Hyperlink"/>
            <w:rFonts w:asciiTheme="minorHAnsi" w:hAnsiTheme="minorHAnsi" w:cstheme="minorHAnsi"/>
          </w:rPr>
          <w:t>https://www.hcup-us.ahrq.gov/toolssoftware/comorbidity/comorbidity.jsp</w:t>
        </w:r>
      </w:hyperlink>
      <w:r w:rsidRPr="00C0611D">
        <w:rPr>
          <w:rFonts w:asciiTheme="minorHAnsi" w:hAnsiTheme="minorHAnsi" w:cstheme="minorHAnsi"/>
        </w:rPr>
        <w:t>.</w:t>
      </w:r>
    </w:p>
    <w:p w14:paraId="0C8132BC" w14:textId="3DC74CC9"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Kansagara D, Englande</w:t>
      </w:r>
      <w:r w:rsidR="00D85B3C">
        <w:rPr>
          <w:rFonts w:asciiTheme="minorHAnsi" w:hAnsiTheme="minorHAnsi" w:cstheme="minorHAnsi"/>
        </w:rPr>
        <w:t xml:space="preserve">r H, Salanitro A, et al. Risk </w:t>
      </w:r>
      <w:r w:rsidRPr="00C0611D">
        <w:rPr>
          <w:rFonts w:asciiTheme="minorHAnsi" w:hAnsiTheme="minorHAnsi" w:cstheme="minorHAnsi"/>
        </w:rPr>
        <w:t>prediction models for hospital readmission: a 7 systematic review. JAMA. 2011;306(15):1688-1698.</w:t>
      </w:r>
    </w:p>
    <w:p w14:paraId="53841E3A" w14:textId="53B5331A"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lastRenderedPageBreak/>
        <w:t xml:space="preserve">Feltner C, Jones CD, Cene CW, et al. Transitional care </w:t>
      </w:r>
      <w:r w:rsidR="00C3015C">
        <w:rPr>
          <w:rFonts w:asciiTheme="minorHAnsi" w:hAnsiTheme="minorHAnsi" w:cstheme="minorHAnsi"/>
        </w:rPr>
        <w:t>treatment</w:t>
      </w:r>
      <w:r w:rsidRPr="00C0611D">
        <w:rPr>
          <w:rFonts w:asciiTheme="minorHAnsi" w:hAnsiTheme="minorHAnsi" w:cstheme="minorHAnsi"/>
        </w:rPr>
        <w:t>s to prevent readmissions for persons with heart failure: a systematic review and meta-analysis. Annals of internal medicine. 2014;160(11):774-784.</w:t>
      </w:r>
    </w:p>
    <w:p w14:paraId="0E887F4D"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Leppin AL, Gionfriddo MR, Kessler M, et al. Preventing 30-day hospital readmissions: a systematic review and meta-analysis of randomized trials. JAMA internal medicine. 2014;174(7):1095-1107.</w:t>
      </w:r>
    </w:p>
    <w:p w14:paraId="2588537D" w14:textId="7BEE739B"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 xml:space="preserve">Braet A, Weltens C, Sermeus W. Effectiveness of discharge </w:t>
      </w:r>
      <w:r w:rsidR="00C3015C">
        <w:rPr>
          <w:rFonts w:asciiTheme="minorHAnsi" w:hAnsiTheme="minorHAnsi" w:cstheme="minorHAnsi"/>
        </w:rPr>
        <w:t>treatment</w:t>
      </w:r>
      <w:r w:rsidRPr="00C0611D">
        <w:rPr>
          <w:rFonts w:asciiTheme="minorHAnsi" w:hAnsiTheme="minorHAnsi" w:cstheme="minorHAnsi"/>
        </w:rPr>
        <w:t>s from hospital to home on hospital readmissions: a systematic review. JBI database of systematic reviews and implementation reports. 2016;14(2):106-173.</w:t>
      </w:r>
    </w:p>
    <w:p w14:paraId="79F7A3D2"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Hansen FR, Poulsen H, Sorensen KH. A model of regular geriatric follow-up by home visits to selected patients discharged from a geriatric ward: a randomized controlled trial. </w:t>
      </w:r>
      <w:r w:rsidRPr="00C0611D">
        <w:rPr>
          <w:rFonts w:asciiTheme="minorHAnsi" w:hAnsiTheme="minorHAnsi" w:cstheme="minorHAnsi"/>
          <w:i/>
          <w:iCs/>
        </w:rPr>
        <w:t xml:space="preserve">Aging (Milan, Italy). </w:t>
      </w:r>
      <w:r w:rsidRPr="00C0611D">
        <w:rPr>
          <w:rFonts w:asciiTheme="minorHAnsi" w:hAnsiTheme="minorHAnsi" w:cstheme="minorHAnsi"/>
        </w:rPr>
        <w:t>1995;7(3):202-206.</w:t>
      </w:r>
    </w:p>
    <w:p w14:paraId="2C549F15"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Naylor MD. Comprehensive discharge planning for hospitalized elderly: a pilot study. Nurs Res. 1990; 39(3): 156-61. 67. Naylor M, Brooten D, Jones R, Lavizzo-Mourey R, Mezey M, Pauly M. Comprehensive discharge planning for the hospitalized elderly: a randomized clinical trial. Ann Intern Med. 1994; 120(12): 999-1006.</w:t>
      </w:r>
    </w:p>
    <w:p w14:paraId="4567C2C5"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Naylor MD, Brooten DA, Campbell RL, Maislin G, McCauley KM, Schwartz JS. Transitional care of older adults hospitalized with heart failure: a randomized, controlled trial. Journal of the American Geriatrics Society. 2004;52(5):675-684.</w:t>
      </w:r>
    </w:p>
    <w:p w14:paraId="38A7C6C0" w14:textId="77777777" w:rsidR="0094793C" w:rsidRPr="00C0611D" w:rsidRDefault="0094793C" w:rsidP="0079174C">
      <w:pPr>
        <w:pStyle w:val="ListParagraph"/>
        <w:numPr>
          <w:ilvl w:val="0"/>
          <w:numId w:val="9"/>
        </w:numPr>
        <w:spacing w:line="240" w:lineRule="auto"/>
        <w:rPr>
          <w:rFonts w:asciiTheme="minorHAnsi" w:hAnsiTheme="minorHAnsi" w:cstheme="minorHAnsi"/>
        </w:rPr>
      </w:pPr>
      <w:r w:rsidRPr="00C0611D">
        <w:rPr>
          <w:rFonts w:asciiTheme="minorHAnsi" w:hAnsiTheme="minorHAnsi" w:cstheme="minorHAnsi"/>
        </w:rPr>
        <w:t>Naylor MD, Brooten DA, Campbell RL, Maislin G, McCauley KM, Schwartz JS. Transitional care of older adults hospitalized with heart failure: a randomized, controlled trial. Journal of the American Geriatrics Society. 2004;52(5):675-684.</w:t>
      </w:r>
    </w:p>
    <w:p w14:paraId="17807CA8"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McDonald K, Ledwidge M, Cahill J, Quigley P, Maurer B, Travers B, et al. Heart failure management: Multidisciplinary care has intrinsic benefit above the optimization of medical care. J Card Fail. 2002; 8(3): 142-8.</w:t>
      </w:r>
    </w:p>
    <w:p w14:paraId="373B08C1" w14:textId="7F71DFFC"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Parry C, Min SJ, Chugh A, Chalmers S, Coleman EA. Further application of the care transitions </w:t>
      </w:r>
      <w:r w:rsidR="00C3015C">
        <w:rPr>
          <w:rFonts w:asciiTheme="minorHAnsi" w:hAnsiTheme="minorHAnsi" w:cstheme="minorHAnsi"/>
        </w:rPr>
        <w:t>treatment</w:t>
      </w:r>
      <w:r w:rsidRPr="00C0611D">
        <w:rPr>
          <w:rFonts w:asciiTheme="minorHAnsi" w:hAnsiTheme="minorHAnsi" w:cstheme="minorHAnsi"/>
        </w:rPr>
        <w:t>: results of a randomized controlled trial conducted in a fee-for-service setting. Home Health Care Serv Q. 2009; 28(2-3): 84-99.</w:t>
      </w:r>
    </w:p>
    <w:p w14:paraId="6ECBB824" w14:textId="06EB38D8"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 xml:space="preserve">Huang T, Liang S. A randomized clinical trial of the effectiveness of a discharge planning </w:t>
      </w:r>
      <w:r w:rsidR="00C3015C">
        <w:rPr>
          <w:rFonts w:asciiTheme="minorHAnsi" w:hAnsiTheme="minorHAnsi" w:cstheme="minorHAnsi"/>
        </w:rPr>
        <w:t>treatment</w:t>
      </w:r>
      <w:r w:rsidRPr="00C0611D">
        <w:rPr>
          <w:rFonts w:asciiTheme="minorHAnsi" w:hAnsiTheme="minorHAnsi" w:cstheme="minorHAnsi"/>
        </w:rPr>
        <w:t xml:space="preserve"> in hospitalized elders with hip fracture due to falling. J Clin Nurs. 2005; 14(10): 1193-201.</w:t>
      </w:r>
    </w:p>
    <w:p w14:paraId="186429BA"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Lopez Cabezas C, Falces Salvador C, Cubi Quadrada D, Arnau Bartes A, Ylla Bore M, Muro Perea N, et al. Randomized clinical trial of a postdischarge pharmaceutical care program vs. regular follow-up in patients with heart failure. Farm Hosp. 2006; 30(6): 328-42.</w:t>
      </w:r>
    </w:p>
    <w:p w14:paraId="55A186BB"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Wong FK, Ho MM, Yeung S, Tam SK, Chow SK. Effects of a health-social partnership transitional program on hospital readmission: a randomized controlled trial. Soc Sci Med. 2011; 73(7): 960-9.</w:t>
      </w:r>
    </w:p>
    <w:p w14:paraId="30BA9CAF"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hAnsiTheme="minorHAnsi" w:cstheme="minorHAnsi"/>
        </w:rPr>
      </w:pPr>
      <w:r w:rsidRPr="00C0611D">
        <w:rPr>
          <w:rFonts w:asciiTheme="minorHAnsi" w:hAnsiTheme="minorHAnsi" w:cstheme="minorHAnsi"/>
        </w:rPr>
        <w:t>Evans RL, Hendricks RD. Evaluating hospital discharge planning - a randomized clinical-trial. Med Care. 1993 Apr; 31(4): 358-70.</w:t>
      </w:r>
    </w:p>
    <w:p w14:paraId="0219BCDF" w14:textId="0C2B42EC" w:rsidR="0094793C" w:rsidRPr="00C0611D" w:rsidRDefault="0094793C" w:rsidP="0079174C">
      <w:pPr>
        <w:pStyle w:val="ListParagraph"/>
        <w:numPr>
          <w:ilvl w:val="0"/>
          <w:numId w:val="9"/>
        </w:numPr>
        <w:autoSpaceDE w:val="0"/>
        <w:autoSpaceDN w:val="0"/>
        <w:adjustRightInd w:val="0"/>
        <w:spacing w:after="0" w:line="240" w:lineRule="auto"/>
        <w:rPr>
          <w:rFonts w:asciiTheme="minorHAnsi" w:eastAsia="GuardianSansGR-Regular" w:hAnsiTheme="minorHAnsi" w:cstheme="minorHAnsi"/>
          <w:color w:val="1A171C"/>
        </w:rPr>
      </w:pPr>
      <w:r w:rsidRPr="00C0611D">
        <w:rPr>
          <w:rFonts w:asciiTheme="minorHAnsi" w:eastAsia="GuardianSansGR-Regular" w:hAnsiTheme="minorHAnsi" w:cstheme="minorHAnsi"/>
          <w:color w:val="1A171C"/>
        </w:rPr>
        <w:t xml:space="preserve">Rich MW, Beckham V, Wittenberg C, Leven CL, Freedland KE, Carney RM. A multidisciplinary </w:t>
      </w:r>
      <w:r w:rsidR="00C3015C">
        <w:rPr>
          <w:rFonts w:asciiTheme="minorHAnsi" w:eastAsia="GuardianSansGR-Regular" w:hAnsiTheme="minorHAnsi" w:cstheme="minorHAnsi"/>
          <w:color w:val="1A171C"/>
        </w:rPr>
        <w:t>treatment</w:t>
      </w:r>
      <w:r w:rsidRPr="00C0611D">
        <w:rPr>
          <w:rFonts w:asciiTheme="minorHAnsi" w:eastAsia="GuardianSansGR-Regular" w:hAnsiTheme="minorHAnsi" w:cstheme="minorHAnsi"/>
          <w:color w:val="1A171C"/>
        </w:rPr>
        <w:t xml:space="preserve"> to prevent the readmission of elderlypati ents with congestive heart failure. </w:t>
      </w:r>
      <w:r w:rsidRPr="00C0611D">
        <w:rPr>
          <w:rFonts w:asciiTheme="minorHAnsi" w:eastAsia="GuardianSansGR-Regular" w:hAnsiTheme="minorHAnsi" w:cstheme="minorHAnsi"/>
          <w:i/>
          <w:iCs/>
          <w:color w:val="1A171C"/>
        </w:rPr>
        <w:t>N Engl J Med</w:t>
      </w:r>
      <w:r w:rsidRPr="00C0611D">
        <w:rPr>
          <w:rFonts w:asciiTheme="minorHAnsi" w:eastAsia="GuardianSansGR-Regular" w:hAnsiTheme="minorHAnsi" w:cstheme="minorHAnsi"/>
          <w:color w:val="1A171C"/>
        </w:rPr>
        <w:t>. 1995;333(18):1190-1195.</w:t>
      </w:r>
    </w:p>
    <w:p w14:paraId="306F5B94" w14:textId="5BA7B26E" w:rsidR="0094793C" w:rsidRPr="00C0611D" w:rsidRDefault="0094793C" w:rsidP="0079174C">
      <w:pPr>
        <w:pStyle w:val="ListParagraph"/>
        <w:numPr>
          <w:ilvl w:val="0"/>
          <w:numId w:val="9"/>
        </w:numPr>
        <w:autoSpaceDE w:val="0"/>
        <w:autoSpaceDN w:val="0"/>
        <w:adjustRightInd w:val="0"/>
        <w:spacing w:after="0" w:line="240" w:lineRule="auto"/>
        <w:rPr>
          <w:rFonts w:asciiTheme="minorHAnsi" w:eastAsia="GuardianSansGR-Regular" w:hAnsiTheme="minorHAnsi" w:cstheme="minorHAnsi"/>
          <w:color w:val="1A171C"/>
        </w:rPr>
      </w:pPr>
      <w:r w:rsidRPr="00C0611D">
        <w:rPr>
          <w:rFonts w:asciiTheme="minorHAnsi" w:hAnsiTheme="minorHAnsi" w:cstheme="minorHAnsi"/>
        </w:rPr>
        <w:t xml:space="preserve">Legrain S, Tubach F, Bonnet-Zamponi D, Lemaire A, Aquino JP, Paillaud E, et al. A new multimodal geriatric discharge-planning </w:t>
      </w:r>
      <w:r w:rsidR="00C3015C">
        <w:rPr>
          <w:rFonts w:asciiTheme="minorHAnsi" w:hAnsiTheme="minorHAnsi" w:cstheme="minorHAnsi"/>
        </w:rPr>
        <w:t>treatment</w:t>
      </w:r>
      <w:r w:rsidRPr="00C0611D">
        <w:rPr>
          <w:rFonts w:asciiTheme="minorHAnsi" w:hAnsiTheme="minorHAnsi" w:cstheme="minorHAnsi"/>
        </w:rPr>
        <w:t xml:space="preserve"> to prevent emergency visits and rehospitalizations of older adults: The optimization of medication in aged multicenter randomized controlled trial. J Am Geriatr Soc. 2011; 59(11): 2017-28.</w:t>
      </w:r>
    </w:p>
    <w:p w14:paraId="3B1908D2" w14:textId="77777777" w:rsidR="0094793C" w:rsidRPr="00C0611D" w:rsidRDefault="0094793C" w:rsidP="0079174C">
      <w:pPr>
        <w:pStyle w:val="ListParagraph"/>
        <w:numPr>
          <w:ilvl w:val="0"/>
          <w:numId w:val="9"/>
        </w:numPr>
        <w:autoSpaceDE w:val="0"/>
        <w:autoSpaceDN w:val="0"/>
        <w:adjustRightInd w:val="0"/>
        <w:spacing w:after="0" w:line="240" w:lineRule="auto"/>
        <w:rPr>
          <w:rFonts w:asciiTheme="minorHAnsi" w:eastAsia="GuardianSansGR-Regular" w:hAnsiTheme="minorHAnsi" w:cstheme="minorHAnsi"/>
          <w:color w:val="1A171C"/>
        </w:rPr>
      </w:pPr>
      <w:r w:rsidRPr="00C0611D">
        <w:rPr>
          <w:rFonts w:asciiTheme="minorHAnsi" w:eastAsia="GuardianSansGR-Regular" w:hAnsiTheme="minorHAnsi" w:cstheme="minorHAnsi"/>
          <w:color w:val="1A171C"/>
        </w:rPr>
        <w:lastRenderedPageBreak/>
        <w:t xml:space="preserve">Melton LD, Foreman C, Scott E,McGinnisM, Cousins M. Prioritized post-discharge telephonic outreach reduces hospital readmissions for select high-risk patients. </w:t>
      </w:r>
      <w:r w:rsidRPr="00C0611D">
        <w:rPr>
          <w:rFonts w:asciiTheme="minorHAnsi" w:eastAsia="GuardianSansGR-Regular" w:hAnsiTheme="minorHAnsi" w:cstheme="minorHAnsi"/>
          <w:i/>
          <w:iCs/>
          <w:color w:val="1A171C"/>
        </w:rPr>
        <w:t>Am J Manag Care</w:t>
      </w:r>
      <w:r w:rsidRPr="00C0611D">
        <w:rPr>
          <w:rFonts w:asciiTheme="minorHAnsi" w:eastAsia="GuardianSansGR-Regular" w:hAnsiTheme="minorHAnsi" w:cstheme="minorHAnsi"/>
          <w:color w:val="1A171C"/>
        </w:rPr>
        <w:t>. 2012;18(12): 838-844.</w:t>
      </w:r>
    </w:p>
    <w:p w14:paraId="2BB047D4" w14:textId="3327BD1F" w:rsidR="00AE5971" w:rsidRPr="00C0611D" w:rsidRDefault="003B43FE" w:rsidP="0008137A">
      <w:pPr>
        <w:rPr>
          <w:rFonts w:asciiTheme="minorHAnsi" w:hAnsiTheme="minorHAnsi" w:cstheme="minorHAnsi"/>
          <w:sz w:val="22"/>
          <w:szCs w:val="22"/>
        </w:rPr>
      </w:pPr>
      <w:r>
        <w:rPr>
          <w:rFonts w:asciiTheme="minorHAnsi" w:hAnsiTheme="minorHAnsi" w:cstheme="minorHAnsi"/>
          <w:sz w:val="22"/>
          <w:szCs w:val="22"/>
        </w:rPr>
        <w:br w:type="page"/>
      </w:r>
    </w:p>
    <w:sectPr w:rsidR="00AE5971" w:rsidRPr="00C0611D" w:rsidSect="00C0611D">
      <w:headerReference w:type="default" r:id="rId15"/>
      <w:footerReference w:type="even" r:id="rId16"/>
      <w:footerReference w:type="default" r:id="rId17"/>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A04A7" w14:textId="77777777" w:rsidR="00DA2C7F" w:rsidRDefault="00DA2C7F">
      <w:r>
        <w:separator/>
      </w:r>
    </w:p>
  </w:endnote>
  <w:endnote w:type="continuationSeparator" w:id="0">
    <w:p w14:paraId="46A337BD" w14:textId="77777777" w:rsidR="00DA2C7F" w:rsidRDefault="00DA2C7F">
      <w:r>
        <w:continuationSeparator/>
      </w:r>
    </w:p>
  </w:endnote>
  <w:endnote w:type="continuationNotice" w:id="1">
    <w:p w14:paraId="14A607F1" w14:textId="77777777" w:rsidR="00DA2C7F" w:rsidRDefault="00DA2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3" w:usb1="00000000" w:usb2="00000000" w:usb3="00000000" w:csb0="00000001" w:csb1="00000000"/>
  </w:font>
  <w:font w:name="Times-Roma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uardianSansGR-Regular">
    <w:altName w:val="Yu Gothic"/>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EC7F2" w14:textId="77777777" w:rsidR="00566016" w:rsidRDefault="00566016" w:rsidP="006C3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94D40" w14:textId="77777777" w:rsidR="00566016" w:rsidRDefault="00566016" w:rsidP="006C32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B9D" w14:textId="7C0EF15B" w:rsidR="00566016" w:rsidRPr="00824132" w:rsidRDefault="00566016" w:rsidP="003452B9">
    <w:pPr>
      <w:pStyle w:val="Footer"/>
      <w:framePr w:wrap="around" w:vAnchor="text" w:hAnchor="page" w:x="11341" w:y="65"/>
      <w:rPr>
        <w:rStyle w:val="PageNumber"/>
      </w:rPr>
    </w:pPr>
    <w:r w:rsidRPr="00824132">
      <w:rPr>
        <w:rStyle w:val="PageNumber"/>
        <w:rFonts w:ascii="Arial" w:hAnsi="Arial"/>
        <w:sz w:val="16"/>
      </w:rPr>
      <w:fldChar w:fldCharType="begin"/>
    </w:r>
    <w:r w:rsidRPr="00824132">
      <w:rPr>
        <w:rStyle w:val="PageNumber"/>
        <w:rFonts w:ascii="Arial" w:hAnsi="Arial"/>
        <w:sz w:val="16"/>
      </w:rPr>
      <w:instrText xml:space="preserve">PAGE  </w:instrText>
    </w:r>
    <w:r w:rsidRPr="00824132">
      <w:rPr>
        <w:rStyle w:val="PageNumber"/>
        <w:rFonts w:ascii="Arial" w:hAnsi="Arial"/>
        <w:sz w:val="16"/>
      </w:rPr>
      <w:fldChar w:fldCharType="separate"/>
    </w:r>
    <w:r w:rsidR="002E071C">
      <w:rPr>
        <w:rStyle w:val="PageNumber"/>
        <w:rFonts w:ascii="Arial" w:hAnsi="Arial"/>
        <w:noProof/>
        <w:sz w:val="16"/>
      </w:rPr>
      <w:t>1</w:t>
    </w:r>
    <w:r w:rsidRPr="00824132">
      <w:rPr>
        <w:rStyle w:val="PageNumber"/>
        <w:rFonts w:ascii="Arial" w:hAnsi="Arial"/>
        <w:sz w:val="16"/>
      </w:rPr>
      <w:fldChar w:fldCharType="end"/>
    </w:r>
  </w:p>
  <w:p w14:paraId="3BD1F4D3" w14:textId="0B7354B7" w:rsidR="00566016" w:rsidRPr="00AC562D" w:rsidRDefault="00566016" w:rsidP="006C32DC">
    <w:pPr>
      <w:pStyle w:val="Footer"/>
      <w:ind w:right="360"/>
      <w:rPr>
        <w:rFonts w:ascii="Calibri" w:hAnsi="Calibri"/>
        <w:sz w:val="20"/>
        <w:szCs w:val="18"/>
      </w:rPr>
    </w:pPr>
    <w:r w:rsidRPr="00AC562D">
      <w:rPr>
        <w:rFonts w:ascii="Calibri" w:hAnsi="Calibri"/>
        <w:sz w:val="20"/>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03EFB" w14:textId="77777777" w:rsidR="00DA2C7F" w:rsidRDefault="00DA2C7F">
      <w:r>
        <w:separator/>
      </w:r>
    </w:p>
  </w:footnote>
  <w:footnote w:type="continuationSeparator" w:id="0">
    <w:p w14:paraId="15E132F6" w14:textId="77777777" w:rsidR="00DA2C7F" w:rsidRDefault="00DA2C7F">
      <w:r>
        <w:continuationSeparator/>
      </w:r>
    </w:p>
  </w:footnote>
  <w:footnote w:type="continuationNotice" w:id="1">
    <w:p w14:paraId="15710055" w14:textId="77777777" w:rsidR="00DA2C7F" w:rsidRDefault="00DA2C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586DB" w14:textId="4E0448EC" w:rsidR="00566016" w:rsidRPr="006A00A1" w:rsidRDefault="00566016" w:rsidP="006C32DC">
    <w:pPr>
      <w:tabs>
        <w:tab w:val="left" w:pos="390"/>
        <w:tab w:val="right" w:pos="10800"/>
      </w:tabs>
      <w:jc w:val="right"/>
      <w:rPr>
        <w:sz w:val="10"/>
      </w:rPr>
    </w:pPr>
    <w:r>
      <w:tab/>
    </w:r>
  </w:p>
  <w:p w14:paraId="6DD36CA8" w14:textId="77777777" w:rsidR="00566016" w:rsidRPr="00B72FB6" w:rsidRDefault="00566016" w:rsidP="00C14D16">
    <w:pPr>
      <w:pStyle w:val="Header"/>
      <w:tabs>
        <w:tab w:val="clear" w:pos="4320"/>
        <w:tab w:val="clear" w:pos="8640"/>
        <w:tab w:val="left" w:pos="4605"/>
      </w:tabs>
      <w:rPr>
        <w:sz w:val="4"/>
      </w:rPr>
    </w:pPr>
    <w:r>
      <w:rPr>
        <w:sz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27.95pt;height:18.8pt;visibility:visible;mso-wrap-style:square" o:bullet="t">
        <v:imagedata r:id="rId1" o:title=""/>
      </v:shape>
    </w:pict>
  </w:numPicBullet>
  <w:abstractNum w:abstractNumId="0" w15:restartNumberingAfterBreak="0">
    <w:nsid w:val="08206411"/>
    <w:multiLevelType w:val="hybridMultilevel"/>
    <w:tmpl w:val="DAD23586"/>
    <w:lvl w:ilvl="0" w:tplc="9E28FCBA">
      <w:start w:val="1"/>
      <w:numFmt w:val="upperLetter"/>
      <w:lvlText w:val="%1."/>
      <w:lvlJc w:val="left"/>
      <w:pPr>
        <w:ind w:left="630" w:hanging="360"/>
      </w:pPr>
      <w:rPr>
        <w:rFonts w:asciiTheme="minorHAnsi" w:hAnsiTheme="minorHAnsi" w:cstheme="minorHAnsi" w:hint="default"/>
        <w:b/>
        <w:sz w:val="22"/>
        <w:szCs w:val="22"/>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A47B65"/>
    <w:multiLevelType w:val="hybridMultilevel"/>
    <w:tmpl w:val="1AA0E0EC"/>
    <w:lvl w:ilvl="0" w:tplc="776C009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3025"/>
    <w:multiLevelType w:val="hybridMultilevel"/>
    <w:tmpl w:val="4B2C3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D3103"/>
    <w:multiLevelType w:val="hybridMultilevel"/>
    <w:tmpl w:val="17EAC192"/>
    <w:lvl w:ilvl="0" w:tplc="776C0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243DF"/>
    <w:multiLevelType w:val="hybridMultilevel"/>
    <w:tmpl w:val="038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20867"/>
    <w:multiLevelType w:val="hybridMultilevel"/>
    <w:tmpl w:val="2CB6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6B673F"/>
    <w:multiLevelType w:val="hybridMultilevel"/>
    <w:tmpl w:val="B9046F40"/>
    <w:lvl w:ilvl="0" w:tplc="B3B0DAFC">
      <w:start w:val="1"/>
      <w:numFmt w:val="decimal"/>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611F3"/>
    <w:multiLevelType w:val="hybridMultilevel"/>
    <w:tmpl w:val="17C41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012AD"/>
    <w:multiLevelType w:val="hybridMultilevel"/>
    <w:tmpl w:val="66C4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2727C"/>
    <w:multiLevelType w:val="hybridMultilevel"/>
    <w:tmpl w:val="89843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C673F8"/>
    <w:multiLevelType w:val="hybridMultilevel"/>
    <w:tmpl w:val="89F05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A9442D"/>
    <w:multiLevelType w:val="hybridMultilevel"/>
    <w:tmpl w:val="6D385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A20A01"/>
    <w:multiLevelType w:val="hybridMultilevel"/>
    <w:tmpl w:val="F87C5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D609AC"/>
    <w:multiLevelType w:val="hybridMultilevel"/>
    <w:tmpl w:val="02D877CA"/>
    <w:lvl w:ilvl="0" w:tplc="776C0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72EEC"/>
    <w:multiLevelType w:val="hybridMultilevel"/>
    <w:tmpl w:val="803E6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67D20"/>
    <w:multiLevelType w:val="hybridMultilevel"/>
    <w:tmpl w:val="F6DCF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2"/>
  </w:num>
  <w:num w:numId="5">
    <w:abstractNumId w:val="9"/>
  </w:num>
  <w:num w:numId="6">
    <w:abstractNumId w:val="10"/>
  </w:num>
  <w:num w:numId="7">
    <w:abstractNumId w:val="1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num>
  <w:num w:numId="12">
    <w:abstractNumId w:val="1"/>
  </w:num>
  <w:num w:numId="13">
    <w:abstractNumId w:val="4"/>
  </w:num>
  <w:num w:numId="14">
    <w:abstractNumId w:val="7"/>
  </w:num>
  <w:num w:numId="15">
    <w:abstractNumId w:val="14"/>
  </w:num>
  <w:num w:numId="16">
    <w:abstractNumId w:val="15"/>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2e9awwhpwdexez0spxde9nee95as9swxaz&quot;&gt;methods 2018-Converted&lt;record-ids&gt;&lt;item&gt;1&lt;/item&gt;&lt;item&gt;11&lt;/item&gt;&lt;item&gt;14&lt;/item&gt;&lt;item&gt;39&lt;/item&gt;&lt;item&gt;46&lt;/item&gt;&lt;item&gt;47&lt;/item&gt;&lt;item&gt;48&lt;/item&gt;&lt;item&gt;49&lt;/item&gt;&lt;item&gt;56&lt;/item&gt;&lt;item&gt;57&lt;/item&gt;&lt;item&gt;58&lt;/item&gt;&lt;item&gt;61&lt;/item&gt;&lt;item&gt;65&lt;/item&gt;&lt;item&gt;66&lt;/item&gt;&lt;item&gt;69&lt;/item&gt;&lt;item&gt;70&lt;/item&gt;&lt;item&gt;71&lt;/item&gt;&lt;item&gt;75&lt;/item&gt;&lt;item&gt;76&lt;/item&gt;&lt;item&gt;77&lt;/item&gt;&lt;item&gt;85&lt;/item&gt;&lt;item&gt;89&lt;/item&gt;&lt;item&gt;94&lt;/item&gt;&lt;item&gt;95&lt;/item&gt;&lt;item&gt;96&lt;/item&gt;&lt;item&gt;97&lt;/item&gt;&lt;item&gt;98&lt;/item&gt;&lt;item&gt;101&lt;/item&gt;&lt;item&gt;102&lt;/item&gt;&lt;item&gt;103&lt;/item&gt;&lt;/record-ids&gt;&lt;/item&gt;&lt;/Libraries&gt;"/>
  </w:docVars>
  <w:rsids>
    <w:rsidRoot w:val="006A00A1"/>
    <w:rsid w:val="00000A9D"/>
    <w:rsid w:val="00000C3F"/>
    <w:rsid w:val="00002FBD"/>
    <w:rsid w:val="000038AC"/>
    <w:rsid w:val="00003E90"/>
    <w:rsid w:val="00004014"/>
    <w:rsid w:val="000043B7"/>
    <w:rsid w:val="00004835"/>
    <w:rsid w:val="00006D55"/>
    <w:rsid w:val="00007D46"/>
    <w:rsid w:val="00012CAD"/>
    <w:rsid w:val="00015C2C"/>
    <w:rsid w:val="000171A5"/>
    <w:rsid w:val="00017586"/>
    <w:rsid w:val="00022F2A"/>
    <w:rsid w:val="0002384A"/>
    <w:rsid w:val="00025EBE"/>
    <w:rsid w:val="00027C25"/>
    <w:rsid w:val="00027E00"/>
    <w:rsid w:val="00032CF9"/>
    <w:rsid w:val="00032EDA"/>
    <w:rsid w:val="000333E8"/>
    <w:rsid w:val="00033908"/>
    <w:rsid w:val="000346CF"/>
    <w:rsid w:val="00035025"/>
    <w:rsid w:val="00036D1E"/>
    <w:rsid w:val="00041CFC"/>
    <w:rsid w:val="00041E16"/>
    <w:rsid w:val="00043B9A"/>
    <w:rsid w:val="00051DD0"/>
    <w:rsid w:val="00051F4C"/>
    <w:rsid w:val="000542EA"/>
    <w:rsid w:val="00054898"/>
    <w:rsid w:val="00054A94"/>
    <w:rsid w:val="00055FA2"/>
    <w:rsid w:val="000565EF"/>
    <w:rsid w:val="00056A79"/>
    <w:rsid w:val="00061031"/>
    <w:rsid w:val="00061515"/>
    <w:rsid w:val="00062EAD"/>
    <w:rsid w:val="00064307"/>
    <w:rsid w:val="00065912"/>
    <w:rsid w:val="00066B42"/>
    <w:rsid w:val="0006707E"/>
    <w:rsid w:val="00070C2F"/>
    <w:rsid w:val="000728A5"/>
    <w:rsid w:val="00073A64"/>
    <w:rsid w:val="000744D6"/>
    <w:rsid w:val="000756BB"/>
    <w:rsid w:val="000779B2"/>
    <w:rsid w:val="0008137A"/>
    <w:rsid w:val="000826F5"/>
    <w:rsid w:val="00083875"/>
    <w:rsid w:val="0008542D"/>
    <w:rsid w:val="00085F2F"/>
    <w:rsid w:val="00087040"/>
    <w:rsid w:val="00091B27"/>
    <w:rsid w:val="00091CD2"/>
    <w:rsid w:val="000926F1"/>
    <w:rsid w:val="0009293F"/>
    <w:rsid w:val="00093595"/>
    <w:rsid w:val="00096EB1"/>
    <w:rsid w:val="000A1CC2"/>
    <w:rsid w:val="000A404E"/>
    <w:rsid w:val="000A67F9"/>
    <w:rsid w:val="000A6A68"/>
    <w:rsid w:val="000A6D6D"/>
    <w:rsid w:val="000B090F"/>
    <w:rsid w:val="000B0D56"/>
    <w:rsid w:val="000B2848"/>
    <w:rsid w:val="000B3820"/>
    <w:rsid w:val="000B520A"/>
    <w:rsid w:val="000B60CD"/>
    <w:rsid w:val="000B6269"/>
    <w:rsid w:val="000B7794"/>
    <w:rsid w:val="000B7929"/>
    <w:rsid w:val="000C2C13"/>
    <w:rsid w:val="000C2D08"/>
    <w:rsid w:val="000C313D"/>
    <w:rsid w:val="000C339F"/>
    <w:rsid w:val="000C3B9F"/>
    <w:rsid w:val="000C4B60"/>
    <w:rsid w:val="000C68B1"/>
    <w:rsid w:val="000D03FA"/>
    <w:rsid w:val="000D0B94"/>
    <w:rsid w:val="000D2E45"/>
    <w:rsid w:val="000D3BD2"/>
    <w:rsid w:val="000D52ED"/>
    <w:rsid w:val="000D612B"/>
    <w:rsid w:val="000D79D5"/>
    <w:rsid w:val="000D7E4B"/>
    <w:rsid w:val="000E0606"/>
    <w:rsid w:val="000E0EE5"/>
    <w:rsid w:val="000E117E"/>
    <w:rsid w:val="000E16DC"/>
    <w:rsid w:val="000E1914"/>
    <w:rsid w:val="000E2399"/>
    <w:rsid w:val="000E2E04"/>
    <w:rsid w:val="000E3162"/>
    <w:rsid w:val="000E3908"/>
    <w:rsid w:val="000E4E50"/>
    <w:rsid w:val="000E5ACC"/>
    <w:rsid w:val="000E6FD2"/>
    <w:rsid w:val="000E7593"/>
    <w:rsid w:val="000F1462"/>
    <w:rsid w:val="000F28B9"/>
    <w:rsid w:val="000F4C19"/>
    <w:rsid w:val="000F5B10"/>
    <w:rsid w:val="000F6125"/>
    <w:rsid w:val="000F742D"/>
    <w:rsid w:val="000F7654"/>
    <w:rsid w:val="00100285"/>
    <w:rsid w:val="00101853"/>
    <w:rsid w:val="0010191F"/>
    <w:rsid w:val="0010611A"/>
    <w:rsid w:val="00106F53"/>
    <w:rsid w:val="00113065"/>
    <w:rsid w:val="00113BE3"/>
    <w:rsid w:val="001141E9"/>
    <w:rsid w:val="001148FF"/>
    <w:rsid w:val="00116917"/>
    <w:rsid w:val="001217FF"/>
    <w:rsid w:val="00122AE3"/>
    <w:rsid w:val="00123CDD"/>
    <w:rsid w:val="0012589D"/>
    <w:rsid w:val="00126EDC"/>
    <w:rsid w:val="001272EC"/>
    <w:rsid w:val="00127966"/>
    <w:rsid w:val="001308AD"/>
    <w:rsid w:val="001312B5"/>
    <w:rsid w:val="00132C4F"/>
    <w:rsid w:val="00134386"/>
    <w:rsid w:val="00134507"/>
    <w:rsid w:val="00135392"/>
    <w:rsid w:val="001368A0"/>
    <w:rsid w:val="0014065C"/>
    <w:rsid w:val="0014213F"/>
    <w:rsid w:val="00144115"/>
    <w:rsid w:val="00150F60"/>
    <w:rsid w:val="00151F8B"/>
    <w:rsid w:val="001561C9"/>
    <w:rsid w:val="00157B94"/>
    <w:rsid w:val="00163160"/>
    <w:rsid w:val="001637AC"/>
    <w:rsid w:val="0016434E"/>
    <w:rsid w:val="001645F4"/>
    <w:rsid w:val="00166066"/>
    <w:rsid w:val="0016608A"/>
    <w:rsid w:val="00167C7E"/>
    <w:rsid w:val="00170544"/>
    <w:rsid w:val="00170F22"/>
    <w:rsid w:val="0017349D"/>
    <w:rsid w:val="001736D2"/>
    <w:rsid w:val="00174159"/>
    <w:rsid w:val="0017449F"/>
    <w:rsid w:val="00174A82"/>
    <w:rsid w:val="00175971"/>
    <w:rsid w:val="00175F67"/>
    <w:rsid w:val="00176704"/>
    <w:rsid w:val="00180821"/>
    <w:rsid w:val="001809A2"/>
    <w:rsid w:val="00180E1A"/>
    <w:rsid w:val="00181D7C"/>
    <w:rsid w:val="0018216D"/>
    <w:rsid w:val="001833F1"/>
    <w:rsid w:val="00184650"/>
    <w:rsid w:val="00185854"/>
    <w:rsid w:val="0018693B"/>
    <w:rsid w:val="001904C5"/>
    <w:rsid w:val="00190703"/>
    <w:rsid w:val="00190D07"/>
    <w:rsid w:val="001941CA"/>
    <w:rsid w:val="00195752"/>
    <w:rsid w:val="00195A55"/>
    <w:rsid w:val="0019640B"/>
    <w:rsid w:val="001A0069"/>
    <w:rsid w:val="001A0DB6"/>
    <w:rsid w:val="001A2492"/>
    <w:rsid w:val="001A2A23"/>
    <w:rsid w:val="001A4AB6"/>
    <w:rsid w:val="001A6185"/>
    <w:rsid w:val="001A6D0B"/>
    <w:rsid w:val="001A7843"/>
    <w:rsid w:val="001B000D"/>
    <w:rsid w:val="001B151B"/>
    <w:rsid w:val="001B18DD"/>
    <w:rsid w:val="001B342A"/>
    <w:rsid w:val="001B39C2"/>
    <w:rsid w:val="001B3CDF"/>
    <w:rsid w:val="001B4232"/>
    <w:rsid w:val="001B6926"/>
    <w:rsid w:val="001B7C2E"/>
    <w:rsid w:val="001B7C76"/>
    <w:rsid w:val="001B7D95"/>
    <w:rsid w:val="001C0019"/>
    <w:rsid w:val="001C065E"/>
    <w:rsid w:val="001C0678"/>
    <w:rsid w:val="001C1FA6"/>
    <w:rsid w:val="001C2C2B"/>
    <w:rsid w:val="001C2CF9"/>
    <w:rsid w:val="001C396B"/>
    <w:rsid w:val="001C42EF"/>
    <w:rsid w:val="001C527E"/>
    <w:rsid w:val="001C537F"/>
    <w:rsid w:val="001C65FA"/>
    <w:rsid w:val="001C6D5E"/>
    <w:rsid w:val="001D0EEB"/>
    <w:rsid w:val="001D0F88"/>
    <w:rsid w:val="001D195D"/>
    <w:rsid w:val="001D2CAB"/>
    <w:rsid w:val="001D5350"/>
    <w:rsid w:val="001D5B56"/>
    <w:rsid w:val="001D7909"/>
    <w:rsid w:val="001E025A"/>
    <w:rsid w:val="001E154C"/>
    <w:rsid w:val="001E1D8D"/>
    <w:rsid w:val="001E224B"/>
    <w:rsid w:val="001E22C2"/>
    <w:rsid w:val="001E337A"/>
    <w:rsid w:val="001E4D10"/>
    <w:rsid w:val="001E4FD1"/>
    <w:rsid w:val="001E6D10"/>
    <w:rsid w:val="001E7725"/>
    <w:rsid w:val="001E7E96"/>
    <w:rsid w:val="001F1086"/>
    <w:rsid w:val="001F2B2A"/>
    <w:rsid w:val="001F2DD8"/>
    <w:rsid w:val="001F3883"/>
    <w:rsid w:val="001F6B3C"/>
    <w:rsid w:val="0020209D"/>
    <w:rsid w:val="00204B5E"/>
    <w:rsid w:val="00210622"/>
    <w:rsid w:val="002128DA"/>
    <w:rsid w:val="002135C8"/>
    <w:rsid w:val="0021379E"/>
    <w:rsid w:val="00213812"/>
    <w:rsid w:val="00213908"/>
    <w:rsid w:val="0021409F"/>
    <w:rsid w:val="00214AB5"/>
    <w:rsid w:val="00214B21"/>
    <w:rsid w:val="00216631"/>
    <w:rsid w:val="00221312"/>
    <w:rsid w:val="00222177"/>
    <w:rsid w:val="00223EE7"/>
    <w:rsid w:val="0022410A"/>
    <w:rsid w:val="002249DC"/>
    <w:rsid w:val="00224B25"/>
    <w:rsid w:val="0022628F"/>
    <w:rsid w:val="002269FF"/>
    <w:rsid w:val="0023021F"/>
    <w:rsid w:val="00230D50"/>
    <w:rsid w:val="0023204B"/>
    <w:rsid w:val="00233D94"/>
    <w:rsid w:val="0023435B"/>
    <w:rsid w:val="00234F2F"/>
    <w:rsid w:val="002401A8"/>
    <w:rsid w:val="00241329"/>
    <w:rsid w:val="0024371A"/>
    <w:rsid w:val="00247ED7"/>
    <w:rsid w:val="002506FC"/>
    <w:rsid w:val="00251304"/>
    <w:rsid w:val="0025163B"/>
    <w:rsid w:val="00252093"/>
    <w:rsid w:val="00253B7E"/>
    <w:rsid w:val="002576F8"/>
    <w:rsid w:val="00260016"/>
    <w:rsid w:val="00260974"/>
    <w:rsid w:val="00265A08"/>
    <w:rsid w:val="00265A2E"/>
    <w:rsid w:val="00266B02"/>
    <w:rsid w:val="00271BA6"/>
    <w:rsid w:val="0027523D"/>
    <w:rsid w:val="0027661D"/>
    <w:rsid w:val="00276813"/>
    <w:rsid w:val="002770F4"/>
    <w:rsid w:val="0027778D"/>
    <w:rsid w:val="00281119"/>
    <w:rsid w:val="002831DA"/>
    <w:rsid w:val="00286C74"/>
    <w:rsid w:val="0029077C"/>
    <w:rsid w:val="00292419"/>
    <w:rsid w:val="0029385E"/>
    <w:rsid w:val="00293AD3"/>
    <w:rsid w:val="0029537B"/>
    <w:rsid w:val="00295D4A"/>
    <w:rsid w:val="00296446"/>
    <w:rsid w:val="0029760A"/>
    <w:rsid w:val="00297809"/>
    <w:rsid w:val="002A1718"/>
    <w:rsid w:val="002A3458"/>
    <w:rsid w:val="002A34E0"/>
    <w:rsid w:val="002A52E2"/>
    <w:rsid w:val="002A557E"/>
    <w:rsid w:val="002A5AEA"/>
    <w:rsid w:val="002A610B"/>
    <w:rsid w:val="002B2512"/>
    <w:rsid w:val="002B3FB5"/>
    <w:rsid w:val="002B528C"/>
    <w:rsid w:val="002B5FAD"/>
    <w:rsid w:val="002B6FC7"/>
    <w:rsid w:val="002B7AD0"/>
    <w:rsid w:val="002C0E5E"/>
    <w:rsid w:val="002C1FC4"/>
    <w:rsid w:val="002C34EC"/>
    <w:rsid w:val="002C42AB"/>
    <w:rsid w:val="002C4A27"/>
    <w:rsid w:val="002C5EFF"/>
    <w:rsid w:val="002C65D8"/>
    <w:rsid w:val="002D0272"/>
    <w:rsid w:val="002D0C76"/>
    <w:rsid w:val="002D1C08"/>
    <w:rsid w:val="002D32FA"/>
    <w:rsid w:val="002D3D42"/>
    <w:rsid w:val="002D657A"/>
    <w:rsid w:val="002E071C"/>
    <w:rsid w:val="002E08A3"/>
    <w:rsid w:val="002E0D90"/>
    <w:rsid w:val="002E1A9F"/>
    <w:rsid w:val="002E2ABA"/>
    <w:rsid w:val="002E2F09"/>
    <w:rsid w:val="002E527D"/>
    <w:rsid w:val="002E5553"/>
    <w:rsid w:val="002E695D"/>
    <w:rsid w:val="002E7C3E"/>
    <w:rsid w:val="002F0D5C"/>
    <w:rsid w:val="002F286A"/>
    <w:rsid w:val="002F538E"/>
    <w:rsid w:val="00300488"/>
    <w:rsid w:val="00301D80"/>
    <w:rsid w:val="0030657F"/>
    <w:rsid w:val="00306DC8"/>
    <w:rsid w:val="00307043"/>
    <w:rsid w:val="003073E1"/>
    <w:rsid w:val="00310DAB"/>
    <w:rsid w:val="003117C2"/>
    <w:rsid w:val="003122F4"/>
    <w:rsid w:val="00313875"/>
    <w:rsid w:val="00313FB5"/>
    <w:rsid w:val="00315108"/>
    <w:rsid w:val="00317D62"/>
    <w:rsid w:val="00321369"/>
    <w:rsid w:val="00322974"/>
    <w:rsid w:val="00322C96"/>
    <w:rsid w:val="00323F7D"/>
    <w:rsid w:val="00324AF9"/>
    <w:rsid w:val="0032564B"/>
    <w:rsid w:val="00325E02"/>
    <w:rsid w:val="00326051"/>
    <w:rsid w:val="003269F7"/>
    <w:rsid w:val="00326CA4"/>
    <w:rsid w:val="00326EB7"/>
    <w:rsid w:val="003271A3"/>
    <w:rsid w:val="0032781D"/>
    <w:rsid w:val="00330A20"/>
    <w:rsid w:val="00331C21"/>
    <w:rsid w:val="003334D6"/>
    <w:rsid w:val="003335F7"/>
    <w:rsid w:val="003366E4"/>
    <w:rsid w:val="003401D1"/>
    <w:rsid w:val="0034089D"/>
    <w:rsid w:val="003418C5"/>
    <w:rsid w:val="003452B9"/>
    <w:rsid w:val="003455AA"/>
    <w:rsid w:val="003472F3"/>
    <w:rsid w:val="003507FA"/>
    <w:rsid w:val="0035150F"/>
    <w:rsid w:val="003521BD"/>
    <w:rsid w:val="00354415"/>
    <w:rsid w:val="00357053"/>
    <w:rsid w:val="00357C3D"/>
    <w:rsid w:val="00360C8B"/>
    <w:rsid w:val="00360F8C"/>
    <w:rsid w:val="00361245"/>
    <w:rsid w:val="003620CE"/>
    <w:rsid w:val="0036245C"/>
    <w:rsid w:val="00362D8B"/>
    <w:rsid w:val="00363F3D"/>
    <w:rsid w:val="003647E6"/>
    <w:rsid w:val="0036533B"/>
    <w:rsid w:val="003662B7"/>
    <w:rsid w:val="00367C80"/>
    <w:rsid w:val="00371642"/>
    <w:rsid w:val="00372A96"/>
    <w:rsid w:val="00374163"/>
    <w:rsid w:val="00374712"/>
    <w:rsid w:val="00375934"/>
    <w:rsid w:val="0037633D"/>
    <w:rsid w:val="003772AA"/>
    <w:rsid w:val="00377AAA"/>
    <w:rsid w:val="00380D8D"/>
    <w:rsid w:val="003810E7"/>
    <w:rsid w:val="003836B0"/>
    <w:rsid w:val="00385422"/>
    <w:rsid w:val="00385498"/>
    <w:rsid w:val="003859DD"/>
    <w:rsid w:val="00387033"/>
    <w:rsid w:val="003875F2"/>
    <w:rsid w:val="00391072"/>
    <w:rsid w:val="00392090"/>
    <w:rsid w:val="00393481"/>
    <w:rsid w:val="00393F5E"/>
    <w:rsid w:val="00395745"/>
    <w:rsid w:val="003A2835"/>
    <w:rsid w:val="003A4382"/>
    <w:rsid w:val="003A4717"/>
    <w:rsid w:val="003A5AA3"/>
    <w:rsid w:val="003A5E67"/>
    <w:rsid w:val="003A70AE"/>
    <w:rsid w:val="003A7296"/>
    <w:rsid w:val="003B0CBC"/>
    <w:rsid w:val="003B43FE"/>
    <w:rsid w:val="003B5D06"/>
    <w:rsid w:val="003B68C5"/>
    <w:rsid w:val="003B68F2"/>
    <w:rsid w:val="003C0C99"/>
    <w:rsid w:val="003C0FFF"/>
    <w:rsid w:val="003C119E"/>
    <w:rsid w:val="003C31C9"/>
    <w:rsid w:val="003C4A77"/>
    <w:rsid w:val="003C5FCA"/>
    <w:rsid w:val="003D04E1"/>
    <w:rsid w:val="003D1271"/>
    <w:rsid w:val="003D1B12"/>
    <w:rsid w:val="003D3DC4"/>
    <w:rsid w:val="003D4546"/>
    <w:rsid w:val="003D645F"/>
    <w:rsid w:val="003D7E64"/>
    <w:rsid w:val="003E0F9D"/>
    <w:rsid w:val="003E1157"/>
    <w:rsid w:val="003E1205"/>
    <w:rsid w:val="003E2E2F"/>
    <w:rsid w:val="003E30D5"/>
    <w:rsid w:val="003E4051"/>
    <w:rsid w:val="003E43ED"/>
    <w:rsid w:val="003E4A4C"/>
    <w:rsid w:val="003E4CF7"/>
    <w:rsid w:val="003E646E"/>
    <w:rsid w:val="003E6FC9"/>
    <w:rsid w:val="003F0696"/>
    <w:rsid w:val="003F07C3"/>
    <w:rsid w:val="003F0B3D"/>
    <w:rsid w:val="003F12D6"/>
    <w:rsid w:val="003F158D"/>
    <w:rsid w:val="003F1D90"/>
    <w:rsid w:val="003F1E1B"/>
    <w:rsid w:val="003F2636"/>
    <w:rsid w:val="003F31E1"/>
    <w:rsid w:val="003F33A1"/>
    <w:rsid w:val="00400466"/>
    <w:rsid w:val="0040074C"/>
    <w:rsid w:val="004012B0"/>
    <w:rsid w:val="00401C91"/>
    <w:rsid w:val="00401D73"/>
    <w:rsid w:val="0040268E"/>
    <w:rsid w:val="004039FC"/>
    <w:rsid w:val="00403BA3"/>
    <w:rsid w:val="00405BAE"/>
    <w:rsid w:val="0041186D"/>
    <w:rsid w:val="00412F20"/>
    <w:rsid w:val="00413084"/>
    <w:rsid w:val="00413E95"/>
    <w:rsid w:val="00414003"/>
    <w:rsid w:val="0041572F"/>
    <w:rsid w:val="00417B19"/>
    <w:rsid w:val="004219EA"/>
    <w:rsid w:val="00421A87"/>
    <w:rsid w:val="00422DDB"/>
    <w:rsid w:val="00422DEC"/>
    <w:rsid w:val="00423C69"/>
    <w:rsid w:val="0042635F"/>
    <w:rsid w:val="00427BD3"/>
    <w:rsid w:val="00430109"/>
    <w:rsid w:val="004305AD"/>
    <w:rsid w:val="00432584"/>
    <w:rsid w:val="004325A0"/>
    <w:rsid w:val="00432AC6"/>
    <w:rsid w:val="00433202"/>
    <w:rsid w:val="0043327B"/>
    <w:rsid w:val="00434AFA"/>
    <w:rsid w:val="004370BC"/>
    <w:rsid w:val="004411DE"/>
    <w:rsid w:val="00441289"/>
    <w:rsid w:val="00441831"/>
    <w:rsid w:val="004421C6"/>
    <w:rsid w:val="00442D6A"/>
    <w:rsid w:val="00442D9E"/>
    <w:rsid w:val="00443846"/>
    <w:rsid w:val="0044430C"/>
    <w:rsid w:val="00444DA6"/>
    <w:rsid w:val="0044630C"/>
    <w:rsid w:val="00446C62"/>
    <w:rsid w:val="004478FA"/>
    <w:rsid w:val="004501CD"/>
    <w:rsid w:val="00450CFF"/>
    <w:rsid w:val="00451EE4"/>
    <w:rsid w:val="00451F79"/>
    <w:rsid w:val="004523CB"/>
    <w:rsid w:val="00454CA2"/>
    <w:rsid w:val="004563BF"/>
    <w:rsid w:val="0045711C"/>
    <w:rsid w:val="00460A08"/>
    <w:rsid w:val="00460FC3"/>
    <w:rsid w:val="00464DBA"/>
    <w:rsid w:val="00470A50"/>
    <w:rsid w:val="00470B51"/>
    <w:rsid w:val="00471268"/>
    <w:rsid w:val="004712C1"/>
    <w:rsid w:val="00471DEF"/>
    <w:rsid w:val="00471FB4"/>
    <w:rsid w:val="0047286E"/>
    <w:rsid w:val="00473429"/>
    <w:rsid w:val="004765B6"/>
    <w:rsid w:val="00477EAE"/>
    <w:rsid w:val="00483C72"/>
    <w:rsid w:val="00484C91"/>
    <w:rsid w:val="00484DF6"/>
    <w:rsid w:val="004853C1"/>
    <w:rsid w:val="004855F6"/>
    <w:rsid w:val="00486D61"/>
    <w:rsid w:val="00487819"/>
    <w:rsid w:val="0048787C"/>
    <w:rsid w:val="00491108"/>
    <w:rsid w:val="00494516"/>
    <w:rsid w:val="00495AC6"/>
    <w:rsid w:val="00496AAC"/>
    <w:rsid w:val="00496BF9"/>
    <w:rsid w:val="00496D81"/>
    <w:rsid w:val="004A0773"/>
    <w:rsid w:val="004A16B3"/>
    <w:rsid w:val="004A273A"/>
    <w:rsid w:val="004A3179"/>
    <w:rsid w:val="004A44AB"/>
    <w:rsid w:val="004B0FEE"/>
    <w:rsid w:val="004B68A3"/>
    <w:rsid w:val="004B7484"/>
    <w:rsid w:val="004B76E7"/>
    <w:rsid w:val="004C0269"/>
    <w:rsid w:val="004C1800"/>
    <w:rsid w:val="004C209C"/>
    <w:rsid w:val="004C2705"/>
    <w:rsid w:val="004C378D"/>
    <w:rsid w:val="004C5783"/>
    <w:rsid w:val="004C57EE"/>
    <w:rsid w:val="004C5BB7"/>
    <w:rsid w:val="004C5D30"/>
    <w:rsid w:val="004C6C19"/>
    <w:rsid w:val="004C7B5B"/>
    <w:rsid w:val="004D05D5"/>
    <w:rsid w:val="004D264D"/>
    <w:rsid w:val="004D516F"/>
    <w:rsid w:val="004D5CEE"/>
    <w:rsid w:val="004E056D"/>
    <w:rsid w:val="004E0DC3"/>
    <w:rsid w:val="004E1174"/>
    <w:rsid w:val="004E2F7B"/>
    <w:rsid w:val="004E35C2"/>
    <w:rsid w:val="004E3C02"/>
    <w:rsid w:val="004E4237"/>
    <w:rsid w:val="004E4CA7"/>
    <w:rsid w:val="004E4FA8"/>
    <w:rsid w:val="004E6D7F"/>
    <w:rsid w:val="004E7DE7"/>
    <w:rsid w:val="004F140D"/>
    <w:rsid w:val="004F24DA"/>
    <w:rsid w:val="004F3939"/>
    <w:rsid w:val="004F532B"/>
    <w:rsid w:val="004F7971"/>
    <w:rsid w:val="00501530"/>
    <w:rsid w:val="005019E1"/>
    <w:rsid w:val="005066CD"/>
    <w:rsid w:val="00510EEF"/>
    <w:rsid w:val="00511685"/>
    <w:rsid w:val="0051246A"/>
    <w:rsid w:val="005127AD"/>
    <w:rsid w:val="00514619"/>
    <w:rsid w:val="005150F6"/>
    <w:rsid w:val="005167AF"/>
    <w:rsid w:val="0051703F"/>
    <w:rsid w:val="00521316"/>
    <w:rsid w:val="0052143B"/>
    <w:rsid w:val="005215F9"/>
    <w:rsid w:val="005219DF"/>
    <w:rsid w:val="0052285D"/>
    <w:rsid w:val="00527376"/>
    <w:rsid w:val="00527B70"/>
    <w:rsid w:val="00527C7E"/>
    <w:rsid w:val="00531383"/>
    <w:rsid w:val="00531903"/>
    <w:rsid w:val="005332E1"/>
    <w:rsid w:val="00533A1C"/>
    <w:rsid w:val="00534B36"/>
    <w:rsid w:val="0053608A"/>
    <w:rsid w:val="005400B2"/>
    <w:rsid w:val="00540CD9"/>
    <w:rsid w:val="005410DE"/>
    <w:rsid w:val="00541F66"/>
    <w:rsid w:val="005439D8"/>
    <w:rsid w:val="00543C24"/>
    <w:rsid w:val="00543E97"/>
    <w:rsid w:val="00544CD9"/>
    <w:rsid w:val="00545528"/>
    <w:rsid w:val="00550206"/>
    <w:rsid w:val="005534B1"/>
    <w:rsid w:val="00555665"/>
    <w:rsid w:val="00555E86"/>
    <w:rsid w:val="005563A4"/>
    <w:rsid w:val="005603A4"/>
    <w:rsid w:val="00563B26"/>
    <w:rsid w:val="00563D55"/>
    <w:rsid w:val="00564846"/>
    <w:rsid w:val="00566016"/>
    <w:rsid w:val="00566491"/>
    <w:rsid w:val="00567D6F"/>
    <w:rsid w:val="00572B0F"/>
    <w:rsid w:val="005737E5"/>
    <w:rsid w:val="00574FF4"/>
    <w:rsid w:val="0057547B"/>
    <w:rsid w:val="00575588"/>
    <w:rsid w:val="0058062D"/>
    <w:rsid w:val="0058220C"/>
    <w:rsid w:val="005828F9"/>
    <w:rsid w:val="00585E43"/>
    <w:rsid w:val="0059112B"/>
    <w:rsid w:val="00591B8C"/>
    <w:rsid w:val="005932EF"/>
    <w:rsid w:val="00593A3E"/>
    <w:rsid w:val="005954C6"/>
    <w:rsid w:val="00595693"/>
    <w:rsid w:val="00597E27"/>
    <w:rsid w:val="005A0284"/>
    <w:rsid w:val="005A0F34"/>
    <w:rsid w:val="005A1475"/>
    <w:rsid w:val="005A1C8D"/>
    <w:rsid w:val="005A27A8"/>
    <w:rsid w:val="005A2D16"/>
    <w:rsid w:val="005A35F4"/>
    <w:rsid w:val="005A3AB4"/>
    <w:rsid w:val="005A502B"/>
    <w:rsid w:val="005A5358"/>
    <w:rsid w:val="005A56FB"/>
    <w:rsid w:val="005A660E"/>
    <w:rsid w:val="005A680C"/>
    <w:rsid w:val="005B0693"/>
    <w:rsid w:val="005B17DB"/>
    <w:rsid w:val="005B26B0"/>
    <w:rsid w:val="005B2772"/>
    <w:rsid w:val="005B3361"/>
    <w:rsid w:val="005B4121"/>
    <w:rsid w:val="005B4525"/>
    <w:rsid w:val="005B60B1"/>
    <w:rsid w:val="005B654E"/>
    <w:rsid w:val="005B73C4"/>
    <w:rsid w:val="005B7A27"/>
    <w:rsid w:val="005C2D83"/>
    <w:rsid w:val="005C2D8B"/>
    <w:rsid w:val="005C5403"/>
    <w:rsid w:val="005C576E"/>
    <w:rsid w:val="005C6797"/>
    <w:rsid w:val="005D01A6"/>
    <w:rsid w:val="005D30DA"/>
    <w:rsid w:val="005D46DC"/>
    <w:rsid w:val="005D4B97"/>
    <w:rsid w:val="005D5748"/>
    <w:rsid w:val="005D69E5"/>
    <w:rsid w:val="005D6B33"/>
    <w:rsid w:val="005E6418"/>
    <w:rsid w:val="005F0B98"/>
    <w:rsid w:val="005F129E"/>
    <w:rsid w:val="005F13C6"/>
    <w:rsid w:val="005F13E7"/>
    <w:rsid w:val="005F16FC"/>
    <w:rsid w:val="005F213F"/>
    <w:rsid w:val="005F399E"/>
    <w:rsid w:val="005F7C10"/>
    <w:rsid w:val="00601333"/>
    <w:rsid w:val="00601AAF"/>
    <w:rsid w:val="00602596"/>
    <w:rsid w:val="00603244"/>
    <w:rsid w:val="006037EF"/>
    <w:rsid w:val="00603BFC"/>
    <w:rsid w:val="00604565"/>
    <w:rsid w:val="00605271"/>
    <w:rsid w:val="006078F4"/>
    <w:rsid w:val="00611622"/>
    <w:rsid w:val="00611D87"/>
    <w:rsid w:val="00612360"/>
    <w:rsid w:val="006124CC"/>
    <w:rsid w:val="0061272C"/>
    <w:rsid w:val="006136D3"/>
    <w:rsid w:val="006138D5"/>
    <w:rsid w:val="00613F2B"/>
    <w:rsid w:val="00615D88"/>
    <w:rsid w:val="00620735"/>
    <w:rsid w:val="00621CC5"/>
    <w:rsid w:val="00621F3C"/>
    <w:rsid w:val="006220D6"/>
    <w:rsid w:val="00630071"/>
    <w:rsid w:val="0063184D"/>
    <w:rsid w:val="00631E4F"/>
    <w:rsid w:val="006331AE"/>
    <w:rsid w:val="0063357D"/>
    <w:rsid w:val="00633CD9"/>
    <w:rsid w:val="00633ED8"/>
    <w:rsid w:val="00634CAB"/>
    <w:rsid w:val="00635114"/>
    <w:rsid w:val="00635D1D"/>
    <w:rsid w:val="0063669C"/>
    <w:rsid w:val="00641312"/>
    <w:rsid w:val="006414AF"/>
    <w:rsid w:val="00643F57"/>
    <w:rsid w:val="0064675E"/>
    <w:rsid w:val="00650DF7"/>
    <w:rsid w:val="00650EA8"/>
    <w:rsid w:val="00651585"/>
    <w:rsid w:val="00653B7D"/>
    <w:rsid w:val="00653E09"/>
    <w:rsid w:val="0065513A"/>
    <w:rsid w:val="00655C8D"/>
    <w:rsid w:val="0065656E"/>
    <w:rsid w:val="006566EE"/>
    <w:rsid w:val="006600CD"/>
    <w:rsid w:val="00661045"/>
    <w:rsid w:val="006619B8"/>
    <w:rsid w:val="00664130"/>
    <w:rsid w:val="006650A5"/>
    <w:rsid w:val="00665C42"/>
    <w:rsid w:val="00665E7B"/>
    <w:rsid w:val="0067213F"/>
    <w:rsid w:val="00675014"/>
    <w:rsid w:val="00675456"/>
    <w:rsid w:val="0067597D"/>
    <w:rsid w:val="00676B7F"/>
    <w:rsid w:val="00680A56"/>
    <w:rsid w:val="00681A0A"/>
    <w:rsid w:val="00682E43"/>
    <w:rsid w:val="00683255"/>
    <w:rsid w:val="0068345F"/>
    <w:rsid w:val="00685B3F"/>
    <w:rsid w:val="00691846"/>
    <w:rsid w:val="00691D51"/>
    <w:rsid w:val="00692064"/>
    <w:rsid w:val="0069291E"/>
    <w:rsid w:val="006952EA"/>
    <w:rsid w:val="00695D77"/>
    <w:rsid w:val="006963F6"/>
    <w:rsid w:val="00697E17"/>
    <w:rsid w:val="006A00A1"/>
    <w:rsid w:val="006A156C"/>
    <w:rsid w:val="006A1F75"/>
    <w:rsid w:val="006A3BBA"/>
    <w:rsid w:val="006A4EA4"/>
    <w:rsid w:val="006A5A70"/>
    <w:rsid w:val="006A7671"/>
    <w:rsid w:val="006A7F6B"/>
    <w:rsid w:val="006B0C03"/>
    <w:rsid w:val="006B105C"/>
    <w:rsid w:val="006B1489"/>
    <w:rsid w:val="006B26FD"/>
    <w:rsid w:val="006B2838"/>
    <w:rsid w:val="006B2993"/>
    <w:rsid w:val="006B4B29"/>
    <w:rsid w:val="006B5B06"/>
    <w:rsid w:val="006B6596"/>
    <w:rsid w:val="006B718D"/>
    <w:rsid w:val="006B7EA0"/>
    <w:rsid w:val="006C06F8"/>
    <w:rsid w:val="006C1175"/>
    <w:rsid w:val="006C2A7F"/>
    <w:rsid w:val="006C2DBA"/>
    <w:rsid w:val="006C30CA"/>
    <w:rsid w:val="006C32DC"/>
    <w:rsid w:val="006C44ED"/>
    <w:rsid w:val="006C45D7"/>
    <w:rsid w:val="006C4726"/>
    <w:rsid w:val="006C5432"/>
    <w:rsid w:val="006C6CCE"/>
    <w:rsid w:val="006D1372"/>
    <w:rsid w:val="006D40E1"/>
    <w:rsid w:val="006D565C"/>
    <w:rsid w:val="006D57BA"/>
    <w:rsid w:val="006D5A28"/>
    <w:rsid w:val="006D6511"/>
    <w:rsid w:val="006D7AD7"/>
    <w:rsid w:val="006D7C36"/>
    <w:rsid w:val="006E0213"/>
    <w:rsid w:val="006E1F9B"/>
    <w:rsid w:val="006E2C2E"/>
    <w:rsid w:val="006E3C16"/>
    <w:rsid w:val="006E494A"/>
    <w:rsid w:val="006E559D"/>
    <w:rsid w:val="006E5794"/>
    <w:rsid w:val="006E5E4F"/>
    <w:rsid w:val="006E6D46"/>
    <w:rsid w:val="006E783C"/>
    <w:rsid w:val="006F3E39"/>
    <w:rsid w:val="006F3E85"/>
    <w:rsid w:val="006F46F3"/>
    <w:rsid w:val="006F4C2B"/>
    <w:rsid w:val="006F52E4"/>
    <w:rsid w:val="006F72D2"/>
    <w:rsid w:val="006F783F"/>
    <w:rsid w:val="00704309"/>
    <w:rsid w:val="0070643D"/>
    <w:rsid w:val="007075FA"/>
    <w:rsid w:val="00707611"/>
    <w:rsid w:val="0071318D"/>
    <w:rsid w:val="007131F1"/>
    <w:rsid w:val="00715260"/>
    <w:rsid w:val="007202BB"/>
    <w:rsid w:val="0072064A"/>
    <w:rsid w:val="00721129"/>
    <w:rsid w:val="00721661"/>
    <w:rsid w:val="007218CF"/>
    <w:rsid w:val="007247BC"/>
    <w:rsid w:val="00727450"/>
    <w:rsid w:val="00730872"/>
    <w:rsid w:val="00730E7F"/>
    <w:rsid w:val="00731415"/>
    <w:rsid w:val="0073160D"/>
    <w:rsid w:val="00731964"/>
    <w:rsid w:val="00732F17"/>
    <w:rsid w:val="00733EBE"/>
    <w:rsid w:val="0073527D"/>
    <w:rsid w:val="00735BDF"/>
    <w:rsid w:val="007364A7"/>
    <w:rsid w:val="00736F6A"/>
    <w:rsid w:val="00740AF9"/>
    <w:rsid w:val="00740CC4"/>
    <w:rsid w:val="00741298"/>
    <w:rsid w:val="0074343A"/>
    <w:rsid w:val="00743816"/>
    <w:rsid w:val="00745A2F"/>
    <w:rsid w:val="00745E6D"/>
    <w:rsid w:val="007461F6"/>
    <w:rsid w:val="007463B2"/>
    <w:rsid w:val="007475F8"/>
    <w:rsid w:val="00747646"/>
    <w:rsid w:val="00747D4D"/>
    <w:rsid w:val="0075071B"/>
    <w:rsid w:val="0075290D"/>
    <w:rsid w:val="00754CBD"/>
    <w:rsid w:val="00754F76"/>
    <w:rsid w:val="00754F8C"/>
    <w:rsid w:val="007550BE"/>
    <w:rsid w:val="00757890"/>
    <w:rsid w:val="00757E7E"/>
    <w:rsid w:val="0076003F"/>
    <w:rsid w:val="00760503"/>
    <w:rsid w:val="00761D19"/>
    <w:rsid w:val="007623E2"/>
    <w:rsid w:val="00764225"/>
    <w:rsid w:val="007643C2"/>
    <w:rsid w:val="00764815"/>
    <w:rsid w:val="00765028"/>
    <w:rsid w:val="0076539D"/>
    <w:rsid w:val="007661F8"/>
    <w:rsid w:val="00766853"/>
    <w:rsid w:val="00767620"/>
    <w:rsid w:val="00770CC3"/>
    <w:rsid w:val="00774B59"/>
    <w:rsid w:val="0077685D"/>
    <w:rsid w:val="00776A52"/>
    <w:rsid w:val="00777C34"/>
    <w:rsid w:val="0078197D"/>
    <w:rsid w:val="00781F54"/>
    <w:rsid w:val="00783581"/>
    <w:rsid w:val="00783CDA"/>
    <w:rsid w:val="00785DB7"/>
    <w:rsid w:val="007862C4"/>
    <w:rsid w:val="00786482"/>
    <w:rsid w:val="0079174C"/>
    <w:rsid w:val="007923BC"/>
    <w:rsid w:val="0079344B"/>
    <w:rsid w:val="00795A5F"/>
    <w:rsid w:val="00797678"/>
    <w:rsid w:val="007A1028"/>
    <w:rsid w:val="007A14CC"/>
    <w:rsid w:val="007A1E6A"/>
    <w:rsid w:val="007A6ED7"/>
    <w:rsid w:val="007A6F18"/>
    <w:rsid w:val="007A7460"/>
    <w:rsid w:val="007B0C33"/>
    <w:rsid w:val="007B1F08"/>
    <w:rsid w:val="007B35FB"/>
    <w:rsid w:val="007B4636"/>
    <w:rsid w:val="007B525D"/>
    <w:rsid w:val="007B5BF8"/>
    <w:rsid w:val="007B631A"/>
    <w:rsid w:val="007B7883"/>
    <w:rsid w:val="007B7C4B"/>
    <w:rsid w:val="007C00A3"/>
    <w:rsid w:val="007C104F"/>
    <w:rsid w:val="007C1088"/>
    <w:rsid w:val="007C17A2"/>
    <w:rsid w:val="007C1EE5"/>
    <w:rsid w:val="007C2379"/>
    <w:rsid w:val="007C647E"/>
    <w:rsid w:val="007C7355"/>
    <w:rsid w:val="007C7975"/>
    <w:rsid w:val="007D0606"/>
    <w:rsid w:val="007D140D"/>
    <w:rsid w:val="007D2F1B"/>
    <w:rsid w:val="007D31A3"/>
    <w:rsid w:val="007D3693"/>
    <w:rsid w:val="007E2C43"/>
    <w:rsid w:val="007E30F6"/>
    <w:rsid w:val="007E3116"/>
    <w:rsid w:val="007E3596"/>
    <w:rsid w:val="007E38F8"/>
    <w:rsid w:val="007E4746"/>
    <w:rsid w:val="007F06A6"/>
    <w:rsid w:val="007F2F68"/>
    <w:rsid w:val="007F4E72"/>
    <w:rsid w:val="007F7DBC"/>
    <w:rsid w:val="008002B9"/>
    <w:rsid w:val="00800569"/>
    <w:rsid w:val="00801C16"/>
    <w:rsid w:val="008025A4"/>
    <w:rsid w:val="0080355B"/>
    <w:rsid w:val="00804D82"/>
    <w:rsid w:val="00806323"/>
    <w:rsid w:val="008065F9"/>
    <w:rsid w:val="00806663"/>
    <w:rsid w:val="00806D15"/>
    <w:rsid w:val="008070CC"/>
    <w:rsid w:val="00812613"/>
    <w:rsid w:val="008150E9"/>
    <w:rsid w:val="00815845"/>
    <w:rsid w:val="008226BB"/>
    <w:rsid w:val="008226E3"/>
    <w:rsid w:val="00822E65"/>
    <w:rsid w:val="008251EC"/>
    <w:rsid w:val="00825CD1"/>
    <w:rsid w:val="0082675E"/>
    <w:rsid w:val="00826ADF"/>
    <w:rsid w:val="00826DB4"/>
    <w:rsid w:val="00830104"/>
    <w:rsid w:val="00830188"/>
    <w:rsid w:val="00832269"/>
    <w:rsid w:val="00832BDC"/>
    <w:rsid w:val="008347C0"/>
    <w:rsid w:val="00836097"/>
    <w:rsid w:val="008377ED"/>
    <w:rsid w:val="00840102"/>
    <w:rsid w:val="00840639"/>
    <w:rsid w:val="00841687"/>
    <w:rsid w:val="00843CF2"/>
    <w:rsid w:val="00843F3C"/>
    <w:rsid w:val="00845DCE"/>
    <w:rsid w:val="00845E2E"/>
    <w:rsid w:val="00845E39"/>
    <w:rsid w:val="0084651C"/>
    <w:rsid w:val="00850DAA"/>
    <w:rsid w:val="00852379"/>
    <w:rsid w:val="008535F9"/>
    <w:rsid w:val="00853679"/>
    <w:rsid w:val="008542B1"/>
    <w:rsid w:val="008544AF"/>
    <w:rsid w:val="00854725"/>
    <w:rsid w:val="00854B1D"/>
    <w:rsid w:val="00855280"/>
    <w:rsid w:val="00855911"/>
    <w:rsid w:val="00856431"/>
    <w:rsid w:val="00856977"/>
    <w:rsid w:val="00862200"/>
    <w:rsid w:val="0086228C"/>
    <w:rsid w:val="00863675"/>
    <w:rsid w:val="008636F9"/>
    <w:rsid w:val="008651F4"/>
    <w:rsid w:val="0086593E"/>
    <w:rsid w:val="00865E28"/>
    <w:rsid w:val="00867A75"/>
    <w:rsid w:val="008715F8"/>
    <w:rsid w:val="008716B7"/>
    <w:rsid w:val="00872455"/>
    <w:rsid w:val="008730E9"/>
    <w:rsid w:val="0087440E"/>
    <w:rsid w:val="008747FE"/>
    <w:rsid w:val="008760BC"/>
    <w:rsid w:val="008769AF"/>
    <w:rsid w:val="00876F67"/>
    <w:rsid w:val="008775C2"/>
    <w:rsid w:val="008807FA"/>
    <w:rsid w:val="00880A76"/>
    <w:rsid w:val="0088154C"/>
    <w:rsid w:val="008818A0"/>
    <w:rsid w:val="0088391C"/>
    <w:rsid w:val="00883BE0"/>
    <w:rsid w:val="00883C02"/>
    <w:rsid w:val="00883D65"/>
    <w:rsid w:val="00885C34"/>
    <w:rsid w:val="00886649"/>
    <w:rsid w:val="00886C2B"/>
    <w:rsid w:val="00890157"/>
    <w:rsid w:val="00890C0E"/>
    <w:rsid w:val="00891786"/>
    <w:rsid w:val="0089277E"/>
    <w:rsid w:val="008A033C"/>
    <w:rsid w:val="008A0D74"/>
    <w:rsid w:val="008A22CD"/>
    <w:rsid w:val="008A31DA"/>
    <w:rsid w:val="008A6A53"/>
    <w:rsid w:val="008A73D9"/>
    <w:rsid w:val="008B03BE"/>
    <w:rsid w:val="008B0B54"/>
    <w:rsid w:val="008B2146"/>
    <w:rsid w:val="008B233F"/>
    <w:rsid w:val="008B3630"/>
    <w:rsid w:val="008B522D"/>
    <w:rsid w:val="008B5F39"/>
    <w:rsid w:val="008B6112"/>
    <w:rsid w:val="008B6747"/>
    <w:rsid w:val="008B7270"/>
    <w:rsid w:val="008C1695"/>
    <w:rsid w:val="008C2044"/>
    <w:rsid w:val="008C2A08"/>
    <w:rsid w:val="008C3540"/>
    <w:rsid w:val="008C4E7A"/>
    <w:rsid w:val="008D1342"/>
    <w:rsid w:val="008D138F"/>
    <w:rsid w:val="008D20DE"/>
    <w:rsid w:val="008D24AB"/>
    <w:rsid w:val="008D2563"/>
    <w:rsid w:val="008D2DBB"/>
    <w:rsid w:val="008D4082"/>
    <w:rsid w:val="008D426B"/>
    <w:rsid w:val="008D50F0"/>
    <w:rsid w:val="008E052C"/>
    <w:rsid w:val="008E3257"/>
    <w:rsid w:val="008E35F1"/>
    <w:rsid w:val="008E48AC"/>
    <w:rsid w:val="008E4958"/>
    <w:rsid w:val="008E6476"/>
    <w:rsid w:val="008E6637"/>
    <w:rsid w:val="008E671B"/>
    <w:rsid w:val="008F2643"/>
    <w:rsid w:val="008F3DAA"/>
    <w:rsid w:val="008F6B0F"/>
    <w:rsid w:val="008F7C59"/>
    <w:rsid w:val="00901172"/>
    <w:rsid w:val="0090241B"/>
    <w:rsid w:val="009025D9"/>
    <w:rsid w:val="00903BEC"/>
    <w:rsid w:val="009049BE"/>
    <w:rsid w:val="00904A18"/>
    <w:rsid w:val="00904B35"/>
    <w:rsid w:val="009062E4"/>
    <w:rsid w:val="0090663B"/>
    <w:rsid w:val="00907378"/>
    <w:rsid w:val="00910C40"/>
    <w:rsid w:val="00910E46"/>
    <w:rsid w:val="009125E3"/>
    <w:rsid w:val="00916978"/>
    <w:rsid w:val="00920D31"/>
    <w:rsid w:val="00921A48"/>
    <w:rsid w:val="009223B5"/>
    <w:rsid w:val="009255AA"/>
    <w:rsid w:val="00925726"/>
    <w:rsid w:val="0092618A"/>
    <w:rsid w:val="00926774"/>
    <w:rsid w:val="0092703E"/>
    <w:rsid w:val="0093019B"/>
    <w:rsid w:val="00932ED8"/>
    <w:rsid w:val="0093493B"/>
    <w:rsid w:val="00937DA4"/>
    <w:rsid w:val="00937DD8"/>
    <w:rsid w:val="00942F13"/>
    <w:rsid w:val="00944C14"/>
    <w:rsid w:val="009454E7"/>
    <w:rsid w:val="00945AAB"/>
    <w:rsid w:val="009462AA"/>
    <w:rsid w:val="009466EA"/>
    <w:rsid w:val="0094793C"/>
    <w:rsid w:val="00950222"/>
    <w:rsid w:val="00950A46"/>
    <w:rsid w:val="009519B9"/>
    <w:rsid w:val="00952055"/>
    <w:rsid w:val="00952A5B"/>
    <w:rsid w:val="009538FD"/>
    <w:rsid w:val="0095441A"/>
    <w:rsid w:val="00954AB1"/>
    <w:rsid w:val="00954F37"/>
    <w:rsid w:val="00955321"/>
    <w:rsid w:val="00961579"/>
    <w:rsid w:val="00963F1E"/>
    <w:rsid w:val="00966248"/>
    <w:rsid w:val="00966B26"/>
    <w:rsid w:val="00970F2E"/>
    <w:rsid w:val="00974167"/>
    <w:rsid w:val="00976BD5"/>
    <w:rsid w:val="00980482"/>
    <w:rsid w:val="00981799"/>
    <w:rsid w:val="00982D57"/>
    <w:rsid w:val="00983970"/>
    <w:rsid w:val="00984659"/>
    <w:rsid w:val="0099154E"/>
    <w:rsid w:val="0099176D"/>
    <w:rsid w:val="00992525"/>
    <w:rsid w:val="009957E1"/>
    <w:rsid w:val="009969AB"/>
    <w:rsid w:val="009971B8"/>
    <w:rsid w:val="009A12E5"/>
    <w:rsid w:val="009A1D8C"/>
    <w:rsid w:val="009A42FA"/>
    <w:rsid w:val="009A45AB"/>
    <w:rsid w:val="009A4DF2"/>
    <w:rsid w:val="009A506B"/>
    <w:rsid w:val="009A79B9"/>
    <w:rsid w:val="009B00B1"/>
    <w:rsid w:val="009B0FC4"/>
    <w:rsid w:val="009B21AA"/>
    <w:rsid w:val="009B2B4C"/>
    <w:rsid w:val="009B42FC"/>
    <w:rsid w:val="009B4365"/>
    <w:rsid w:val="009B4CA7"/>
    <w:rsid w:val="009B4F9D"/>
    <w:rsid w:val="009B5C20"/>
    <w:rsid w:val="009B64E8"/>
    <w:rsid w:val="009B665C"/>
    <w:rsid w:val="009B7BFB"/>
    <w:rsid w:val="009C032F"/>
    <w:rsid w:val="009C37B6"/>
    <w:rsid w:val="009C3A68"/>
    <w:rsid w:val="009C455F"/>
    <w:rsid w:val="009C4600"/>
    <w:rsid w:val="009C5B04"/>
    <w:rsid w:val="009C7CBC"/>
    <w:rsid w:val="009D0D7B"/>
    <w:rsid w:val="009D1074"/>
    <w:rsid w:val="009D178C"/>
    <w:rsid w:val="009D71D5"/>
    <w:rsid w:val="009D7D60"/>
    <w:rsid w:val="009E014F"/>
    <w:rsid w:val="009E090A"/>
    <w:rsid w:val="009E0CC2"/>
    <w:rsid w:val="009E11B5"/>
    <w:rsid w:val="009E1642"/>
    <w:rsid w:val="009E40F9"/>
    <w:rsid w:val="009E61BC"/>
    <w:rsid w:val="009E6B2B"/>
    <w:rsid w:val="009E7544"/>
    <w:rsid w:val="009E7B4B"/>
    <w:rsid w:val="009F1DDC"/>
    <w:rsid w:val="009F2490"/>
    <w:rsid w:val="009F4E50"/>
    <w:rsid w:val="009F5053"/>
    <w:rsid w:val="009F5A8C"/>
    <w:rsid w:val="009F7E6E"/>
    <w:rsid w:val="009F7FD1"/>
    <w:rsid w:val="00A00457"/>
    <w:rsid w:val="00A0089C"/>
    <w:rsid w:val="00A016F6"/>
    <w:rsid w:val="00A01F00"/>
    <w:rsid w:val="00A02692"/>
    <w:rsid w:val="00A0310E"/>
    <w:rsid w:val="00A0435D"/>
    <w:rsid w:val="00A07FBD"/>
    <w:rsid w:val="00A10FEF"/>
    <w:rsid w:val="00A118E8"/>
    <w:rsid w:val="00A12F96"/>
    <w:rsid w:val="00A13428"/>
    <w:rsid w:val="00A138EE"/>
    <w:rsid w:val="00A13C8B"/>
    <w:rsid w:val="00A140B8"/>
    <w:rsid w:val="00A150B0"/>
    <w:rsid w:val="00A17539"/>
    <w:rsid w:val="00A2146C"/>
    <w:rsid w:val="00A234DC"/>
    <w:rsid w:val="00A23B50"/>
    <w:rsid w:val="00A23BE0"/>
    <w:rsid w:val="00A23FBC"/>
    <w:rsid w:val="00A244EA"/>
    <w:rsid w:val="00A24D1F"/>
    <w:rsid w:val="00A24FFE"/>
    <w:rsid w:val="00A26084"/>
    <w:rsid w:val="00A2638D"/>
    <w:rsid w:val="00A316BF"/>
    <w:rsid w:val="00A31A6B"/>
    <w:rsid w:val="00A32698"/>
    <w:rsid w:val="00A33925"/>
    <w:rsid w:val="00A33978"/>
    <w:rsid w:val="00A34EBB"/>
    <w:rsid w:val="00A3593A"/>
    <w:rsid w:val="00A35E95"/>
    <w:rsid w:val="00A40F36"/>
    <w:rsid w:val="00A4294B"/>
    <w:rsid w:val="00A44D77"/>
    <w:rsid w:val="00A44F87"/>
    <w:rsid w:val="00A4647A"/>
    <w:rsid w:val="00A4675C"/>
    <w:rsid w:val="00A46898"/>
    <w:rsid w:val="00A50A30"/>
    <w:rsid w:val="00A549CE"/>
    <w:rsid w:val="00A60BB8"/>
    <w:rsid w:val="00A61158"/>
    <w:rsid w:val="00A61757"/>
    <w:rsid w:val="00A61990"/>
    <w:rsid w:val="00A6271E"/>
    <w:rsid w:val="00A63183"/>
    <w:rsid w:val="00A63DA5"/>
    <w:rsid w:val="00A64524"/>
    <w:rsid w:val="00A64F38"/>
    <w:rsid w:val="00A65113"/>
    <w:rsid w:val="00A67E28"/>
    <w:rsid w:val="00A719CA"/>
    <w:rsid w:val="00A74026"/>
    <w:rsid w:val="00A771B0"/>
    <w:rsid w:val="00A77EE4"/>
    <w:rsid w:val="00A81D05"/>
    <w:rsid w:val="00A82282"/>
    <w:rsid w:val="00A82F8D"/>
    <w:rsid w:val="00A83515"/>
    <w:rsid w:val="00A84D93"/>
    <w:rsid w:val="00A938F3"/>
    <w:rsid w:val="00A93F3D"/>
    <w:rsid w:val="00A9451E"/>
    <w:rsid w:val="00A94ABB"/>
    <w:rsid w:val="00A9519B"/>
    <w:rsid w:val="00A96457"/>
    <w:rsid w:val="00A96D4A"/>
    <w:rsid w:val="00A96F83"/>
    <w:rsid w:val="00AA0610"/>
    <w:rsid w:val="00AA1E16"/>
    <w:rsid w:val="00AA2C48"/>
    <w:rsid w:val="00AA3D0D"/>
    <w:rsid w:val="00AA6A8E"/>
    <w:rsid w:val="00AA7CA9"/>
    <w:rsid w:val="00AB00B5"/>
    <w:rsid w:val="00AB1223"/>
    <w:rsid w:val="00AB1614"/>
    <w:rsid w:val="00AB1EAE"/>
    <w:rsid w:val="00AB2022"/>
    <w:rsid w:val="00AB251C"/>
    <w:rsid w:val="00AB3F92"/>
    <w:rsid w:val="00AB43C7"/>
    <w:rsid w:val="00AB54AB"/>
    <w:rsid w:val="00AB652D"/>
    <w:rsid w:val="00AB77EA"/>
    <w:rsid w:val="00AB7A29"/>
    <w:rsid w:val="00AC049A"/>
    <w:rsid w:val="00AC07D7"/>
    <w:rsid w:val="00AC0813"/>
    <w:rsid w:val="00AC0A9E"/>
    <w:rsid w:val="00AC3194"/>
    <w:rsid w:val="00AC3783"/>
    <w:rsid w:val="00AC562D"/>
    <w:rsid w:val="00AC5E49"/>
    <w:rsid w:val="00AC6B36"/>
    <w:rsid w:val="00AC74B2"/>
    <w:rsid w:val="00AD12AD"/>
    <w:rsid w:val="00AD2183"/>
    <w:rsid w:val="00AD4ED0"/>
    <w:rsid w:val="00AD7CDF"/>
    <w:rsid w:val="00AD7F27"/>
    <w:rsid w:val="00AE3151"/>
    <w:rsid w:val="00AE393B"/>
    <w:rsid w:val="00AE3CA2"/>
    <w:rsid w:val="00AE45F9"/>
    <w:rsid w:val="00AE5971"/>
    <w:rsid w:val="00AE5AFC"/>
    <w:rsid w:val="00AE6A69"/>
    <w:rsid w:val="00AE6F1F"/>
    <w:rsid w:val="00AE7B5A"/>
    <w:rsid w:val="00AE7FD5"/>
    <w:rsid w:val="00AF0E9A"/>
    <w:rsid w:val="00AF24F6"/>
    <w:rsid w:val="00AF467F"/>
    <w:rsid w:val="00AF5383"/>
    <w:rsid w:val="00AF6674"/>
    <w:rsid w:val="00AF72A7"/>
    <w:rsid w:val="00B0074C"/>
    <w:rsid w:val="00B00BD2"/>
    <w:rsid w:val="00B01117"/>
    <w:rsid w:val="00B01452"/>
    <w:rsid w:val="00B014CC"/>
    <w:rsid w:val="00B024E9"/>
    <w:rsid w:val="00B02C5C"/>
    <w:rsid w:val="00B03847"/>
    <w:rsid w:val="00B049DB"/>
    <w:rsid w:val="00B1058A"/>
    <w:rsid w:val="00B107C6"/>
    <w:rsid w:val="00B12496"/>
    <w:rsid w:val="00B127DF"/>
    <w:rsid w:val="00B152F1"/>
    <w:rsid w:val="00B1656C"/>
    <w:rsid w:val="00B17348"/>
    <w:rsid w:val="00B20822"/>
    <w:rsid w:val="00B2105E"/>
    <w:rsid w:val="00B2113D"/>
    <w:rsid w:val="00B21C9A"/>
    <w:rsid w:val="00B24A12"/>
    <w:rsid w:val="00B25DF4"/>
    <w:rsid w:val="00B3172C"/>
    <w:rsid w:val="00B3380D"/>
    <w:rsid w:val="00B35A78"/>
    <w:rsid w:val="00B35B37"/>
    <w:rsid w:val="00B375D8"/>
    <w:rsid w:val="00B42B66"/>
    <w:rsid w:val="00B438BC"/>
    <w:rsid w:val="00B442C0"/>
    <w:rsid w:val="00B50821"/>
    <w:rsid w:val="00B51723"/>
    <w:rsid w:val="00B534AF"/>
    <w:rsid w:val="00B53BE6"/>
    <w:rsid w:val="00B53E8E"/>
    <w:rsid w:val="00B5563C"/>
    <w:rsid w:val="00B5580B"/>
    <w:rsid w:val="00B55A41"/>
    <w:rsid w:val="00B55F98"/>
    <w:rsid w:val="00B56AB3"/>
    <w:rsid w:val="00B610B5"/>
    <w:rsid w:val="00B632A7"/>
    <w:rsid w:val="00B647E9"/>
    <w:rsid w:val="00B6705A"/>
    <w:rsid w:val="00B67D71"/>
    <w:rsid w:val="00B70034"/>
    <w:rsid w:val="00B74285"/>
    <w:rsid w:val="00B76ABF"/>
    <w:rsid w:val="00B77480"/>
    <w:rsid w:val="00B80BBC"/>
    <w:rsid w:val="00B811DE"/>
    <w:rsid w:val="00B834D6"/>
    <w:rsid w:val="00B83D5A"/>
    <w:rsid w:val="00B85F9A"/>
    <w:rsid w:val="00B86012"/>
    <w:rsid w:val="00B86598"/>
    <w:rsid w:val="00B90BAD"/>
    <w:rsid w:val="00B9644C"/>
    <w:rsid w:val="00B9720B"/>
    <w:rsid w:val="00BA4F4B"/>
    <w:rsid w:val="00BA6775"/>
    <w:rsid w:val="00BA7809"/>
    <w:rsid w:val="00BA79B8"/>
    <w:rsid w:val="00BB24B3"/>
    <w:rsid w:val="00BB2C44"/>
    <w:rsid w:val="00BB5205"/>
    <w:rsid w:val="00BB611A"/>
    <w:rsid w:val="00BB61C0"/>
    <w:rsid w:val="00BB72D9"/>
    <w:rsid w:val="00BB7308"/>
    <w:rsid w:val="00BB7D7A"/>
    <w:rsid w:val="00BC0FEB"/>
    <w:rsid w:val="00BC1249"/>
    <w:rsid w:val="00BC5853"/>
    <w:rsid w:val="00BC6FA6"/>
    <w:rsid w:val="00BD2CA1"/>
    <w:rsid w:val="00BD3830"/>
    <w:rsid w:val="00BD3D94"/>
    <w:rsid w:val="00BD3EEC"/>
    <w:rsid w:val="00BD5DF5"/>
    <w:rsid w:val="00BE1EB3"/>
    <w:rsid w:val="00BE5510"/>
    <w:rsid w:val="00BF067B"/>
    <w:rsid w:val="00BF0732"/>
    <w:rsid w:val="00BF2731"/>
    <w:rsid w:val="00BF3846"/>
    <w:rsid w:val="00BF4185"/>
    <w:rsid w:val="00BF43AA"/>
    <w:rsid w:val="00BF447C"/>
    <w:rsid w:val="00BF448E"/>
    <w:rsid w:val="00BF6B90"/>
    <w:rsid w:val="00C00710"/>
    <w:rsid w:val="00C007D1"/>
    <w:rsid w:val="00C013A3"/>
    <w:rsid w:val="00C01BD3"/>
    <w:rsid w:val="00C02F93"/>
    <w:rsid w:val="00C034CB"/>
    <w:rsid w:val="00C03DC5"/>
    <w:rsid w:val="00C04060"/>
    <w:rsid w:val="00C0611D"/>
    <w:rsid w:val="00C0634E"/>
    <w:rsid w:val="00C0758B"/>
    <w:rsid w:val="00C075D4"/>
    <w:rsid w:val="00C119E9"/>
    <w:rsid w:val="00C12E3B"/>
    <w:rsid w:val="00C13248"/>
    <w:rsid w:val="00C13C18"/>
    <w:rsid w:val="00C143DC"/>
    <w:rsid w:val="00C14D16"/>
    <w:rsid w:val="00C16486"/>
    <w:rsid w:val="00C178FF"/>
    <w:rsid w:val="00C20900"/>
    <w:rsid w:val="00C215C0"/>
    <w:rsid w:val="00C25C77"/>
    <w:rsid w:val="00C27D24"/>
    <w:rsid w:val="00C3015C"/>
    <w:rsid w:val="00C353EE"/>
    <w:rsid w:val="00C36919"/>
    <w:rsid w:val="00C36BB9"/>
    <w:rsid w:val="00C37E69"/>
    <w:rsid w:val="00C40198"/>
    <w:rsid w:val="00C43BEA"/>
    <w:rsid w:val="00C4479E"/>
    <w:rsid w:val="00C455CC"/>
    <w:rsid w:val="00C50DE0"/>
    <w:rsid w:val="00C51440"/>
    <w:rsid w:val="00C51BCF"/>
    <w:rsid w:val="00C51EEB"/>
    <w:rsid w:val="00C5233B"/>
    <w:rsid w:val="00C5242F"/>
    <w:rsid w:val="00C52A4F"/>
    <w:rsid w:val="00C53BD4"/>
    <w:rsid w:val="00C5759B"/>
    <w:rsid w:val="00C57756"/>
    <w:rsid w:val="00C6039D"/>
    <w:rsid w:val="00C605D0"/>
    <w:rsid w:val="00C6395A"/>
    <w:rsid w:val="00C63B99"/>
    <w:rsid w:val="00C6763A"/>
    <w:rsid w:val="00C70A8B"/>
    <w:rsid w:val="00C72EC0"/>
    <w:rsid w:val="00C736D0"/>
    <w:rsid w:val="00C741B2"/>
    <w:rsid w:val="00C7515A"/>
    <w:rsid w:val="00C76203"/>
    <w:rsid w:val="00C76A13"/>
    <w:rsid w:val="00C8017A"/>
    <w:rsid w:val="00C823A5"/>
    <w:rsid w:val="00C832D6"/>
    <w:rsid w:val="00C83518"/>
    <w:rsid w:val="00C85F92"/>
    <w:rsid w:val="00C903C5"/>
    <w:rsid w:val="00C92831"/>
    <w:rsid w:val="00C9771C"/>
    <w:rsid w:val="00CA03D4"/>
    <w:rsid w:val="00CA0615"/>
    <w:rsid w:val="00CA1D82"/>
    <w:rsid w:val="00CA2FEA"/>
    <w:rsid w:val="00CA6480"/>
    <w:rsid w:val="00CA79C3"/>
    <w:rsid w:val="00CB0151"/>
    <w:rsid w:val="00CB01B3"/>
    <w:rsid w:val="00CB0460"/>
    <w:rsid w:val="00CB0481"/>
    <w:rsid w:val="00CB0699"/>
    <w:rsid w:val="00CB06AD"/>
    <w:rsid w:val="00CB0952"/>
    <w:rsid w:val="00CB2487"/>
    <w:rsid w:val="00CB35CA"/>
    <w:rsid w:val="00CB39E3"/>
    <w:rsid w:val="00CB5A14"/>
    <w:rsid w:val="00CB6122"/>
    <w:rsid w:val="00CB6A9B"/>
    <w:rsid w:val="00CC07F8"/>
    <w:rsid w:val="00CC0C00"/>
    <w:rsid w:val="00CC13DF"/>
    <w:rsid w:val="00CC2C8D"/>
    <w:rsid w:val="00CC2F5C"/>
    <w:rsid w:val="00CC445A"/>
    <w:rsid w:val="00CC49E8"/>
    <w:rsid w:val="00CC61C1"/>
    <w:rsid w:val="00CC6C3B"/>
    <w:rsid w:val="00CC7CAC"/>
    <w:rsid w:val="00CD187B"/>
    <w:rsid w:val="00CD2D85"/>
    <w:rsid w:val="00CD342D"/>
    <w:rsid w:val="00CD3EEC"/>
    <w:rsid w:val="00CD467A"/>
    <w:rsid w:val="00CD481D"/>
    <w:rsid w:val="00CD5429"/>
    <w:rsid w:val="00CD5667"/>
    <w:rsid w:val="00CD5E02"/>
    <w:rsid w:val="00CD79F7"/>
    <w:rsid w:val="00CE0761"/>
    <w:rsid w:val="00CE0B32"/>
    <w:rsid w:val="00CE270A"/>
    <w:rsid w:val="00CE37A7"/>
    <w:rsid w:val="00CE39A6"/>
    <w:rsid w:val="00CE51A7"/>
    <w:rsid w:val="00CE5D50"/>
    <w:rsid w:val="00CE6184"/>
    <w:rsid w:val="00CE720A"/>
    <w:rsid w:val="00CF160F"/>
    <w:rsid w:val="00CF18AE"/>
    <w:rsid w:val="00CF1F56"/>
    <w:rsid w:val="00CF6065"/>
    <w:rsid w:val="00CF6719"/>
    <w:rsid w:val="00D01524"/>
    <w:rsid w:val="00D01A7E"/>
    <w:rsid w:val="00D01B89"/>
    <w:rsid w:val="00D01EFE"/>
    <w:rsid w:val="00D042B6"/>
    <w:rsid w:val="00D0518B"/>
    <w:rsid w:val="00D058C4"/>
    <w:rsid w:val="00D058D6"/>
    <w:rsid w:val="00D067C0"/>
    <w:rsid w:val="00D06817"/>
    <w:rsid w:val="00D120B3"/>
    <w:rsid w:val="00D120C9"/>
    <w:rsid w:val="00D135A9"/>
    <w:rsid w:val="00D14E1F"/>
    <w:rsid w:val="00D1664B"/>
    <w:rsid w:val="00D17896"/>
    <w:rsid w:val="00D2065F"/>
    <w:rsid w:val="00D22004"/>
    <w:rsid w:val="00D23CD9"/>
    <w:rsid w:val="00D24742"/>
    <w:rsid w:val="00D2662E"/>
    <w:rsid w:val="00D30C27"/>
    <w:rsid w:val="00D321C0"/>
    <w:rsid w:val="00D3284E"/>
    <w:rsid w:val="00D32D57"/>
    <w:rsid w:val="00D34D99"/>
    <w:rsid w:val="00D37727"/>
    <w:rsid w:val="00D37D00"/>
    <w:rsid w:val="00D40609"/>
    <w:rsid w:val="00D40BB8"/>
    <w:rsid w:val="00D4150B"/>
    <w:rsid w:val="00D41895"/>
    <w:rsid w:val="00D427EB"/>
    <w:rsid w:val="00D43EBC"/>
    <w:rsid w:val="00D45136"/>
    <w:rsid w:val="00D45608"/>
    <w:rsid w:val="00D47CA4"/>
    <w:rsid w:val="00D50292"/>
    <w:rsid w:val="00D5106F"/>
    <w:rsid w:val="00D546FE"/>
    <w:rsid w:val="00D55367"/>
    <w:rsid w:val="00D63CD9"/>
    <w:rsid w:val="00D6436B"/>
    <w:rsid w:val="00D72501"/>
    <w:rsid w:val="00D7279C"/>
    <w:rsid w:val="00D740B1"/>
    <w:rsid w:val="00D759D4"/>
    <w:rsid w:val="00D76337"/>
    <w:rsid w:val="00D807C8"/>
    <w:rsid w:val="00D808CE"/>
    <w:rsid w:val="00D8124A"/>
    <w:rsid w:val="00D82575"/>
    <w:rsid w:val="00D82858"/>
    <w:rsid w:val="00D8548F"/>
    <w:rsid w:val="00D85B3C"/>
    <w:rsid w:val="00D8652F"/>
    <w:rsid w:val="00D87232"/>
    <w:rsid w:val="00D9220A"/>
    <w:rsid w:val="00D928C5"/>
    <w:rsid w:val="00D93C7D"/>
    <w:rsid w:val="00D964AE"/>
    <w:rsid w:val="00DA06EF"/>
    <w:rsid w:val="00DA2C7F"/>
    <w:rsid w:val="00DA2FA8"/>
    <w:rsid w:val="00DA4DF0"/>
    <w:rsid w:val="00DA5855"/>
    <w:rsid w:val="00DA7B8A"/>
    <w:rsid w:val="00DB0079"/>
    <w:rsid w:val="00DB1D8B"/>
    <w:rsid w:val="00DB25D8"/>
    <w:rsid w:val="00DB2D5A"/>
    <w:rsid w:val="00DB2F39"/>
    <w:rsid w:val="00DB2FFC"/>
    <w:rsid w:val="00DB370F"/>
    <w:rsid w:val="00DB44F4"/>
    <w:rsid w:val="00DB493B"/>
    <w:rsid w:val="00DB5FDB"/>
    <w:rsid w:val="00DB7F25"/>
    <w:rsid w:val="00DC03C1"/>
    <w:rsid w:val="00DC062D"/>
    <w:rsid w:val="00DC2928"/>
    <w:rsid w:val="00DC3B86"/>
    <w:rsid w:val="00DC42BF"/>
    <w:rsid w:val="00DC7F20"/>
    <w:rsid w:val="00DD3722"/>
    <w:rsid w:val="00DD6567"/>
    <w:rsid w:val="00DD6C9A"/>
    <w:rsid w:val="00DD7049"/>
    <w:rsid w:val="00DD7D95"/>
    <w:rsid w:val="00DE0A76"/>
    <w:rsid w:val="00DE1DA6"/>
    <w:rsid w:val="00DE2B7F"/>
    <w:rsid w:val="00DE319E"/>
    <w:rsid w:val="00DE3B8C"/>
    <w:rsid w:val="00DE615F"/>
    <w:rsid w:val="00DE6CC7"/>
    <w:rsid w:val="00DF0082"/>
    <w:rsid w:val="00DF204F"/>
    <w:rsid w:val="00DF56FD"/>
    <w:rsid w:val="00DF68F9"/>
    <w:rsid w:val="00DF740E"/>
    <w:rsid w:val="00DF74DB"/>
    <w:rsid w:val="00E00422"/>
    <w:rsid w:val="00E00C57"/>
    <w:rsid w:val="00E00C58"/>
    <w:rsid w:val="00E02279"/>
    <w:rsid w:val="00E0297F"/>
    <w:rsid w:val="00E03D56"/>
    <w:rsid w:val="00E112E1"/>
    <w:rsid w:val="00E1680D"/>
    <w:rsid w:val="00E16A57"/>
    <w:rsid w:val="00E20DB4"/>
    <w:rsid w:val="00E20DE3"/>
    <w:rsid w:val="00E210F7"/>
    <w:rsid w:val="00E234BF"/>
    <w:rsid w:val="00E239AC"/>
    <w:rsid w:val="00E2496A"/>
    <w:rsid w:val="00E258C0"/>
    <w:rsid w:val="00E2644C"/>
    <w:rsid w:val="00E26AE6"/>
    <w:rsid w:val="00E30521"/>
    <w:rsid w:val="00E30C0B"/>
    <w:rsid w:val="00E31F16"/>
    <w:rsid w:val="00E33AFC"/>
    <w:rsid w:val="00E33BF7"/>
    <w:rsid w:val="00E343F5"/>
    <w:rsid w:val="00E43B8A"/>
    <w:rsid w:val="00E44BD5"/>
    <w:rsid w:val="00E453C3"/>
    <w:rsid w:val="00E45870"/>
    <w:rsid w:val="00E5101D"/>
    <w:rsid w:val="00E51A35"/>
    <w:rsid w:val="00E51C25"/>
    <w:rsid w:val="00E51D9F"/>
    <w:rsid w:val="00E51DAC"/>
    <w:rsid w:val="00E55660"/>
    <w:rsid w:val="00E5639F"/>
    <w:rsid w:val="00E56D4A"/>
    <w:rsid w:val="00E579DD"/>
    <w:rsid w:val="00E610F6"/>
    <w:rsid w:val="00E6183E"/>
    <w:rsid w:val="00E61DE9"/>
    <w:rsid w:val="00E64B4B"/>
    <w:rsid w:val="00E6546C"/>
    <w:rsid w:val="00E6586B"/>
    <w:rsid w:val="00E65D2A"/>
    <w:rsid w:val="00E67EE1"/>
    <w:rsid w:val="00E72729"/>
    <w:rsid w:val="00E72BAF"/>
    <w:rsid w:val="00E72F29"/>
    <w:rsid w:val="00E73F2B"/>
    <w:rsid w:val="00E74FEE"/>
    <w:rsid w:val="00E76901"/>
    <w:rsid w:val="00E77DC9"/>
    <w:rsid w:val="00E80543"/>
    <w:rsid w:val="00E811BC"/>
    <w:rsid w:val="00E82471"/>
    <w:rsid w:val="00E859DA"/>
    <w:rsid w:val="00E86F78"/>
    <w:rsid w:val="00E87B0B"/>
    <w:rsid w:val="00E90DB0"/>
    <w:rsid w:val="00E919B3"/>
    <w:rsid w:val="00E9317E"/>
    <w:rsid w:val="00E93433"/>
    <w:rsid w:val="00E96F29"/>
    <w:rsid w:val="00E96F7C"/>
    <w:rsid w:val="00E9713E"/>
    <w:rsid w:val="00E97A09"/>
    <w:rsid w:val="00EA15DD"/>
    <w:rsid w:val="00EA46AE"/>
    <w:rsid w:val="00EA5AC8"/>
    <w:rsid w:val="00EA7201"/>
    <w:rsid w:val="00EB11A0"/>
    <w:rsid w:val="00EB2546"/>
    <w:rsid w:val="00EB2826"/>
    <w:rsid w:val="00EB3EF9"/>
    <w:rsid w:val="00EB4019"/>
    <w:rsid w:val="00EB4630"/>
    <w:rsid w:val="00EB4C72"/>
    <w:rsid w:val="00EB5C39"/>
    <w:rsid w:val="00EC1FE4"/>
    <w:rsid w:val="00EC3FDD"/>
    <w:rsid w:val="00EC4380"/>
    <w:rsid w:val="00EC503A"/>
    <w:rsid w:val="00EC6075"/>
    <w:rsid w:val="00EC6605"/>
    <w:rsid w:val="00EC71DE"/>
    <w:rsid w:val="00ED22A1"/>
    <w:rsid w:val="00ED460F"/>
    <w:rsid w:val="00ED66F4"/>
    <w:rsid w:val="00EE07CB"/>
    <w:rsid w:val="00EE12E4"/>
    <w:rsid w:val="00EE17E7"/>
    <w:rsid w:val="00EE1F7D"/>
    <w:rsid w:val="00EE228B"/>
    <w:rsid w:val="00EE39CB"/>
    <w:rsid w:val="00EE3F31"/>
    <w:rsid w:val="00EE5295"/>
    <w:rsid w:val="00EE6A12"/>
    <w:rsid w:val="00EE7628"/>
    <w:rsid w:val="00EF0C8D"/>
    <w:rsid w:val="00EF3750"/>
    <w:rsid w:val="00EF620B"/>
    <w:rsid w:val="00EF65E4"/>
    <w:rsid w:val="00F0248B"/>
    <w:rsid w:val="00F02876"/>
    <w:rsid w:val="00F04159"/>
    <w:rsid w:val="00F042C8"/>
    <w:rsid w:val="00F04A4F"/>
    <w:rsid w:val="00F05CBE"/>
    <w:rsid w:val="00F100A2"/>
    <w:rsid w:val="00F117DA"/>
    <w:rsid w:val="00F12791"/>
    <w:rsid w:val="00F1296F"/>
    <w:rsid w:val="00F12AB4"/>
    <w:rsid w:val="00F1353D"/>
    <w:rsid w:val="00F14C52"/>
    <w:rsid w:val="00F14F94"/>
    <w:rsid w:val="00F1705D"/>
    <w:rsid w:val="00F21397"/>
    <w:rsid w:val="00F222D2"/>
    <w:rsid w:val="00F23297"/>
    <w:rsid w:val="00F234B2"/>
    <w:rsid w:val="00F248F7"/>
    <w:rsid w:val="00F24D7E"/>
    <w:rsid w:val="00F25F14"/>
    <w:rsid w:val="00F324AA"/>
    <w:rsid w:val="00F32C58"/>
    <w:rsid w:val="00F348EF"/>
    <w:rsid w:val="00F37359"/>
    <w:rsid w:val="00F424C9"/>
    <w:rsid w:val="00F426E3"/>
    <w:rsid w:val="00F432B4"/>
    <w:rsid w:val="00F46DF3"/>
    <w:rsid w:val="00F4728A"/>
    <w:rsid w:val="00F50F25"/>
    <w:rsid w:val="00F511C6"/>
    <w:rsid w:val="00F5157F"/>
    <w:rsid w:val="00F5176A"/>
    <w:rsid w:val="00F52876"/>
    <w:rsid w:val="00F562BE"/>
    <w:rsid w:val="00F5689C"/>
    <w:rsid w:val="00F5732E"/>
    <w:rsid w:val="00F574A3"/>
    <w:rsid w:val="00F575A8"/>
    <w:rsid w:val="00F61394"/>
    <w:rsid w:val="00F61D2B"/>
    <w:rsid w:val="00F6202B"/>
    <w:rsid w:val="00F6397B"/>
    <w:rsid w:val="00F642FD"/>
    <w:rsid w:val="00F64BAE"/>
    <w:rsid w:val="00F64CBE"/>
    <w:rsid w:val="00F64F78"/>
    <w:rsid w:val="00F65306"/>
    <w:rsid w:val="00F658F2"/>
    <w:rsid w:val="00F65ABC"/>
    <w:rsid w:val="00F660A5"/>
    <w:rsid w:val="00F71961"/>
    <w:rsid w:val="00F71DA1"/>
    <w:rsid w:val="00F71E7C"/>
    <w:rsid w:val="00F72207"/>
    <w:rsid w:val="00F76A86"/>
    <w:rsid w:val="00F77170"/>
    <w:rsid w:val="00F80128"/>
    <w:rsid w:val="00F81821"/>
    <w:rsid w:val="00F81B6D"/>
    <w:rsid w:val="00F82D36"/>
    <w:rsid w:val="00F82F81"/>
    <w:rsid w:val="00F8374B"/>
    <w:rsid w:val="00F84239"/>
    <w:rsid w:val="00F8545F"/>
    <w:rsid w:val="00F875D8"/>
    <w:rsid w:val="00F90E35"/>
    <w:rsid w:val="00F938AD"/>
    <w:rsid w:val="00F94EBD"/>
    <w:rsid w:val="00F965E3"/>
    <w:rsid w:val="00FA2234"/>
    <w:rsid w:val="00FA37F7"/>
    <w:rsid w:val="00FA435F"/>
    <w:rsid w:val="00FA53A8"/>
    <w:rsid w:val="00FA58B5"/>
    <w:rsid w:val="00FA6681"/>
    <w:rsid w:val="00FA6F86"/>
    <w:rsid w:val="00FA7D52"/>
    <w:rsid w:val="00FA7D5A"/>
    <w:rsid w:val="00FB3158"/>
    <w:rsid w:val="00FB332F"/>
    <w:rsid w:val="00FB433E"/>
    <w:rsid w:val="00FB482D"/>
    <w:rsid w:val="00FB51B8"/>
    <w:rsid w:val="00FB55B4"/>
    <w:rsid w:val="00FB6636"/>
    <w:rsid w:val="00FB6FA4"/>
    <w:rsid w:val="00FB7F7F"/>
    <w:rsid w:val="00FC0CAA"/>
    <w:rsid w:val="00FC0DF0"/>
    <w:rsid w:val="00FC17A9"/>
    <w:rsid w:val="00FC1897"/>
    <w:rsid w:val="00FC386D"/>
    <w:rsid w:val="00FD1677"/>
    <w:rsid w:val="00FD2632"/>
    <w:rsid w:val="00FD49C1"/>
    <w:rsid w:val="00FD5589"/>
    <w:rsid w:val="00FD708C"/>
    <w:rsid w:val="00FE0C60"/>
    <w:rsid w:val="00FE2761"/>
    <w:rsid w:val="00FE2AAA"/>
    <w:rsid w:val="00FE2BE0"/>
    <w:rsid w:val="00FE4A13"/>
    <w:rsid w:val="00FE4CE8"/>
    <w:rsid w:val="00FF001D"/>
    <w:rsid w:val="00FF0690"/>
    <w:rsid w:val="00FF1385"/>
    <w:rsid w:val="00FF2201"/>
    <w:rsid w:val="00FF2A71"/>
    <w:rsid w:val="00FF337A"/>
    <w:rsid w:val="00FF38FC"/>
    <w:rsid w:val="00FF3A12"/>
    <w:rsid w:val="00FF4535"/>
    <w:rsid w:val="00FF5264"/>
    <w:rsid w:val="00FF5A4A"/>
    <w:rsid w:val="00FF6AC3"/>
    <w:rsid w:val="00FF76DE"/>
    <w:rsid w:val="01B6F25D"/>
    <w:rsid w:val="034C0523"/>
    <w:rsid w:val="06B39D76"/>
    <w:rsid w:val="0777F8B0"/>
    <w:rsid w:val="0D844085"/>
    <w:rsid w:val="1151D4FF"/>
    <w:rsid w:val="136869B4"/>
    <w:rsid w:val="14296835"/>
    <w:rsid w:val="25A7B256"/>
    <w:rsid w:val="3099EE0E"/>
    <w:rsid w:val="314246E7"/>
    <w:rsid w:val="345792BE"/>
    <w:rsid w:val="35A78CF0"/>
    <w:rsid w:val="35FFC6A4"/>
    <w:rsid w:val="36D3D7D3"/>
    <w:rsid w:val="43CC9A95"/>
    <w:rsid w:val="518A5FF4"/>
    <w:rsid w:val="5F16E354"/>
    <w:rsid w:val="617A8F31"/>
    <w:rsid w:val="625AB229"/>
    <w:rsid w:val="62BD8D03"/>
    <w:rsid w:val="6DDD5347"/>
    <w:rsid w:val="72DA79E2"/>
    <w:rsid w:val="75C25816"/>
    <w:rsid w:val="77889643"/>
    <w:rsid w:val="7A249C14"/>
    <w:rsid w:val="7A42CEFE"/>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1F2B5F"/>
  <w15:chartTrackingRefBased/>
  <w15:docId w15:val="{E7DCE063-4F8C-4AF4-AB77-774A0920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C9"/>
    <w:rPr>
      <w:sz w:val="24"/>
      <w:szCs w:val="24"/>
    </w:rPr>
  </w:style>
  <w:style w:type="paragraph" w:styleId="Heading1">
    <w:name w:val="heading 1"/>
    <w:basedOn w:val="Normal"/>
    <w:link w:val="Heading1Char"/>
    <w:uiPriority w:val="1"/>
    <w:qFormat/>
    <w:rsid w:val="000043B7"/>
    <w:pPr>
      <w:widowControl w:val="0"/>
      <w:ind w:left="567" w:hanging="360"/>
      <w:outlineLvl w:val="0"/>
    </w:pPr>
    <w:rPr>
      <w:rFonts w:ascii="Calibri" w:eastAsia="Calibri" w:hAnsi="Calibri"/>
      <w:b/>
      <w:bCs/>
      <w:sz w:val="32"/>
      <w:szCs w:val="32"/>
      <w:lang w:eastAsia="en-US"/>
    </w:rPr>
  </w:style>
  <w:style w:type="paragraph" w:styleId="Heading2">
    <w:name w:val="heading 2"/>
    <w:basedOn w:val="Normal"/>
    <w:link w:val="Heading2Char"/>
    <w:uiPriority w:val="1"/>
    <w:qFormat/>
    <w:rsid w:val="000043B7"/>
    <w:pPr>
      <w:widowControl w:val="0"/>
      <w:ind w:left="116"/>
      <w:outlineLvl w:val="1"/>
    </w:pPr>
    <w:rPr>
      <w:rFonts w:ascii="Calibri" w:eastAsia="Calibri" w:hAnsi="Calibri"/>
      <w:b/>
      <w:bCs/>
      <w:sz w:val="22"/>
      <w:szCs w:val="22"/>
      <w:lang w:eastAsia="en-US"/>
    </w:rPr>
  </w:style>
  <w:style w:type="paragraph" w:styleId="Heading3">
    <w:name w:val="heading 3"/>
    <w:basedOn w:val="Normal"/>
    <w:link w:val="Heading3Char"/>
    <w:uiPriority w:val="1"/>
    <w:qFormat/>
    <w:rsid w:val="000043B7"/>
    <w:pPr>
      <w:widowControl w:val="0"/>
      <w:ind w:left="114"/>
      <w:outlineLvl w:val="2"/>
    </w:pPr>
    <w:rPr>
      <w:rFonts w:ascii="Calibri" w:eastAsia="Calibri" w:hAnsi="Calibri"/>
      <w:b/>
      <w:bCs/>
      <w: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31ABA"/>
    <w:rPr>
      <w:rFonts w:ascii="Lucida Grande" w:hAnsi="Lucida Grande"/>
      <w:sz w:val="18"/>
      <w:szCs w:val="18"/>
    </w:rPr>
  </w:style>
  <w:style w:type="character" w:customStyle="1" w:styleId="BalloonTextChar">
    <w:name w:val="Balloon Text Char"/>
    <w:uiPriority w:val="99"/>
    <w:semiHidden/>
    <w:rsid w:val="005D2F82"/>
    <w:rPr>
      <w:rFonts w:ascii="Lucida Grande" w:hAnsi="Lucida Grande"/>
      <w:sz w:val="18"/>
      <w:szCs w:val="18"/>
    </w:rPr>
  </w:style>
  <w:style w:type="character" w:customStyle="1" w:styleId="BalloonTextChar2">
    <w:name w:val="Balloon Text Char2"/>
    <w:uiPriority w:val="99"/>
    <w:semiHidden/>
    <w:rsid w:val="00B31ABA"/>
    <w:rPr>
      <w:rFonts w:ascii="Lucida Grande" w:hAnsi="Lucida Grande"/>
      <w:sz w:val="18"/>
      <w:szCs w:val="18"/>
    </w:rPr>
  </w:style>
  <w:style w:type="character" w:customStyle="1" w:styleId="BalloonTextChar1">
    <w:name w:val="Balloon Text Char1"/>
    <w:link w:val="BalloonText"/>
    <w:uiPriority w:val="99"/>
    <w:semiHidden/>
    <w:rsid w:val="00B31ABA"/>
    <w:rPr>
      <w:rFonts w:ascii="Lucida Grande" w:hAnsi="Lucida Grande"/>
      <w:sz w:val="18"/>
      <w:szCs w:val="18"/>
    </w:rPr>
  </w:style>
  <w:style w:type="paragraph" w:customStyle="1" w:styleId="BasicParagraph">
    <w:name w:val="[Basic Paragraph]"/>
    <w:basedOn w:val="Normal"/>
    <w:uiPriority w:val="99"/>
    <w:rsid w:val="006A00A1"/>
    <w:pPr>
      <w:widowControl w:val="0"/>
      <w:autoSpaceDE w:val="0"/>
      <w:autoSpaceDN w:val="0"/>
      <w:adjustRightInd w:val="0"/>
      <w:spacing w:line="288" w:lineRule="auto"/>
      <w:textAlignment w:val="center"/>
    </w:pPr>
    <w:rPr>
      <w:rFonts w:ascii="Times-Roman" w:hAnsi="Times-Roman" w:cs="Times-Roman"/>
      <w:color w:val="000000"/>
    </w:rPr>
  </w:style>
  <w:style w:type="table" w:styleId="TableGrid">
    <w:name w:val="Table Grid"/>
    <w:basedOn w:val="TableNormal"/>
    <w:uiPriority w:val="39"/>
    <w:rsid w:val="006A00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72FB6"/>
    <w:pPr>
      <w:tabs>
        <w:tab w:val="center" w:pos="4320"/>
        <w:tab w:val="right" w:pos="8640"/>
      </w:tabs>
    </w:pPr>
  </w:style>
  <w:style w:type="character" w:customStyle="1" w:styleId="HeaderChar">
    <w:name w:val="Header Char"/>
    <w:basedOn w:val="DefaultParagraphFont"/>
    <w:link w:val="Header"/>
    <w:uiPriority w:val="99"/>
    <w:rsid w:val="00B72FB6"/>
  </w:style>
  <w:style w:type="paragraph" w:styleId="Footer">
    <w:name w:val="footer"/>
    <w:basedOn w:val="Normal"/>
    <w:link w:val="FooterChar"/>
    <w:uiPriority w:val="99"/>
    <w:unhideWhenUsed/>
    <w:rsid w:val="00B72FB6"/>
    <w:pPr>
      <w:tabs>
        <w:tab w:val="center" w:pos="4320"/>
        <w:tab w:val="right" w:pos="8640"/>
      </w:tabs>
    </w:pPr>
  </w:style>
  <w:style w:type="character" w:customStyle="1" w:styleId="FooterChar">
    <w:name w:val="Footer Char"/>
    <w:basedOn w:val="DefaultParagraphFont"/>
    <w:link w:val="Footer"/>
    <w:uiPriority w:val="99"/>
    <w:rsid w:val="00B72FB6"/>
  </w:style>
  <w:style w:type="character" w:styleId="PageNumber">
    <w:name w:val="page number"/>
    <w:basedOn w:val="DefaultParagraphFont"/>
    <w:uiPriority w:val="99"/>
    <w:semiHidden/>
    <w:unhideWhenUsed/>
    <w:rsid w:val="00B72FB6"/>
  </w:style>
  <w:style w:type="character" w:styleId="Strong">
    <w:name w:val="Strong"/>
    <w:uiPriority w:val="22"/>
    <w:qFormat/>
    <w:rsid w:val="002E5F42"/>
    <w:rPr>
      <w:rFonts w:cs="Times New Roman"/>
      <w:b/>
      <w:bCs/>
    </w:rPr>
  </w:style>
  <w:style w:type="character" w:styleId="CommentReference">
    <w:name w:val="annotation reference"/>
    <w:uiPriority w:val="99"/>
    <w:unhideWhenUsed/>
    <w:rsid w:val="003A25B7"/>
    <w:rPr>
      <w:sz w:val="18"/>
      <w:szCs w:val="18"/>
    </w:rPr>
  </w:style>
  <w:style w:type="paragraph" w:styleId="CommentText">
    <w:name w:val="annotation text"/>
    <w:basedOn w:val="Normal"/>
    <w:link w:val="CommentTextChar"/>
    <w:uiPriority w:val="99"/>
    <w:unhideWhenUsed/>
    <w:rsid w:val="003A25B7"/>
  </w:style>
  <w:style w:type="character" w:customStyle="1" w:styleId="CommentTextChar">
    <w:name w:val="Comment Text Char"/>
    <w:basedOn w:val="DefaultParagraphFont"/>
    <w:link w:val="CommentText"/>
    <w:uiPriority w:val="99"/>
    <w:rsid w:val="003A25B7"/>
  </w:style>
  <w:style w:type="paragraph" w:styleId="CommentSubject">
    <w:name w:val="annotation subject"/>
    <w:basedOn w:val="CommentText"/>
    <w:next w:val="CommentText"/>
    <w:link w:val="CommentSubjectChar"/>
    <w:uiPriority w:val="99"/>
    <w:semiHidden/>
    <w:unhideWhenUsed/>
    <w:rsid w:val="003A25B7"/>
    <w:rPr>
      <w:b/>
      <w:bCs/>
      <w:sz w:val="20"/>
      <w:szCs w:val="20"/>
    </w:rPr>
  </w:style>
  <w:style w:type="character" w:customStyle="1" w:styleId="CommentSubjectChar">
    <w:name w:val="Comment Subject Char"/>
    <w:link w:val="CommentSubject"/>
    <w:uiPriority w:val="99"/>
    <w:semiHidden/>
    <w:rsid w:val="003A25B7"/>
    <w:rPr>
      <w:b/>
      <w:bCs/>
      <w:sz w:val="20"/>
      <w:szCs w:val="20"/>
    </w:rPr>
  </w:style>
  <w:style w:type="character" w:styleId="Hyperlink">
    <w:name w:val="Hyperlink"/>
    <w:aliases w:val="Avalere Hyperlink"/>
    <w:uiPriority w:val="99"/>
    <w:unhideWhenUsed/>
    <w:rsid w:val="00BA5912"/>
    <w:rPr>
      <w:color w:val="0000FF"/>
      <w:u w:val="single"/>
    </w:rPr>
  </w:style>
  <w:style w:type="character" w:styleId="FollowedHyperlink">
    <w:name w:val="FollowedHyperlink"/>
    <w:uiPriority w:val="99"/>
    <w:semiHidden/>
    <w:unhideWhenUsed/>
    <w:rsid w:val="00BA5912"/>
    <w:rPr>
      <w:color w:val="800080"/>
      <w:u w:val="single"/>
    </w:rPr>
  </w:style>
  <w:style w:type="paragraph" w:customStyle="1" w:styleId="NormalBullet">
    <w:name w:val="Normal Bullet"/>
    <w:basedOn w:val="ColorfulList-Accent11"/>
    <w:uiPriority w:val="99"/>
    <w:rsid w:val="00F02751"/>
    <w:pPr>
      <w:spacing w:after="120" w:line="276" w:lineRule="auto"/>
      <w:ind w:left="0"/>
      <w:contextualSpacing w:val="0"/>
    </w:pPr>
    <w:rPr>
      <w:rFonts w:ascii="Calibri" w:eastAsia="Times New Roman" w:hAnsi="Calibri" w:cs="Arial"/>
      <w:color w:val="000000"/>
      <w:spacing w:val="3"/>
      <w:sz w:val="22"/>
      <w:szCs w:val="22"/>
    </w:rPr>
  </w:style>
  <w:style w:type="paragraph" w:customStyle="1" w:styleId="ColorfulList-Accent11">
    <w:name w:val="Colorful List - Accent 11"/>
    <w:basedOn w:val="Normal"/>
    <w:rsid w:val="00F02751"/>
    <w:pPr>
      <w:ind w:left="720"/>
      <w:contextualSpacing/>
    </w:pPr>
  </w:style>
  <w:style w:type="paragraph" w:customStyle="1" w:styleId="ColorfulList-Accent12">
    <w:name w:val="Colorful List - Accent 12"/>
    <w:basedOn w:val="Normal"/>
    <w:link w:val="ColorfulList-Accent1Char"/>
    <w:uiPriority w:val="34"/>
    <w:qFormat/>
    <w:rsid w:val="00C13C18"/>
    <w:pPr>
      <w:spacing w:after="200" w:line="276" w:lineRule="auto"/>
      <w:ind w:left="720"/>
      <w:contextualSpacing/>
    </w:pPr>
    <w:rPr>
      <w:rFonts w:ascii="Calibri" w:eastAsia="Times New Roman" w:hAnsi="Calibri" w:cs="Calibri"/>
      <w:sz w:val="22"/>
      <w:szCs w:val="22"/>
      <w:lang w:eastAsia="en-US"/>
    </w:rPr>
  </w:style>
  <w:style w:type="paragraph" w:customStyle="1" w:styleId="ColorfulShading-Accent11">
    <w:name w:val="Colorful Shading - Accent 11"/>
    <w:hidden/>
    <w:uiPriority w:val="99"/>
    <w:rsid w:val="00992525"/>
    <w:rPr>
      <w:sz w:val="24"/>
      <w:szCs w:val="24"/>
    </w:rPr>
  </w:style>
  <w:style w:type="paragraph" w:styleId="FootnoteText">
    <w:name w:val="footnote text"/>
    <w:basedOn w:val="Normal"/>
    <w:link w:val="FootnoteTextChar"/>
    <w:uiPriority w:val="99"/>
    <w:rsid w:val="007C7355"/>
    <w:rPr>
      <w:rFonts w:ascii="Calibri" w:eastAsia="Times New Roman" w:hAnsi="Calibri"/>
      <w:sz w:val="20"/>
      <w:szCs w:val="20"/>
    </w:rPr>
  </w:style>
  <w:style w:type="character" w:customStyle="1" w:styleId="FootnoteTextChar">
    <w:name w:val="Footnote Text Char"/>
    <w:link w:val="FootnoteText"/>
    <w:uiPriority w:val="99"/>
    <w:rsid w:val="007C7355"/>
    <w:rPr>
      <w:rFonts w:ascii="Calibri" w:eastAsia="Times New Roman" w:hAnsi="Calibri"/>
    </w:rPr>
  </w:style>
  <w:style w:type="character" w:styleId="FootnoteReference">
    <w:name w:val="footnote reference"/>
    <w:uiPriority w:val="99"/>
    <w:unhideWhenUsed/>
    <w:rsid w:val="007C7355"/>
    <w:rPr>
      <w:vertAlign w:val="superscript"/>
    </w:rPr>
  </w:style>
  <w:style w:type="character" w:styleId="Emphasis">
    <w:name w:val="Emphasis"/>
    <w:qFormat/>
    <w:rsid w:val="00B86598"/>
    <w:rPr>
      <w:rFonts w:ascii="Times New Roman" w:hAnsi="Times New Roman"/>
      <w:i/>
      <w:iCs/>
      <w:sz w:val="22"/>
    </w:rPr>
  </w:style>
  <w:style w:type="paragraph" w:styleId="NormalWeb">
    <w:name w:val="Normal (Web)"/>
    <w:basedOn w:val="Normal"/>
    <w:uiPriority w:val="99"/>
    <w:unhideWhenUsed/>
    <w:rsid w:val="0016608A"/>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rsid w:val="000F28B9"/>
    <w:rPr>
      <w:rFonts w:cs="Times New Roman"/>
    </w:rPr>
  </w:style>
  <w:style w:type="paragraph" w:styleId="BodyText">
    <w:name w:val="Body Text"/>
    <w:basedOn w:val="Normal"/>
    <w:link w:val="BodyTextChar"/>
    <w:uiPriority w:val="1"/>
    <w:qFormat/>
    <w:rsid w:val="009D7D60"/>
    <w:pPr>
      <w:widowControl w:val="0"/>
      <w:ind w:left="937" w:hanging="361"/>
    </w:pPr>
    <w:rPr>
      <w:rFonts w:ascii="Calibri" w:eastAsia="Calibri" w:hAnsi="Calibri"/>
      <w:sz w:val="22"/>
      <w:szCs w:val="22"/>
      <w:lang w:eastAsia="en-US"/>
    </w:rPr>
  </w:style>
  <w:style w:type="character" w:customStyle="1" w:styleId="BodyTextChar">
    <w:name w:val="Body Text Char"/>
    <w:link w:val="BodyText"/>
    <w:uiPriority w:val="1"/>
    <w:rsid w:val="009D7D60"/>
    <w:rPr>
      <w:rFonts w:ascii="Calibri" w:eastAsia="Calibri" w:hAnsi="Calibri" w:cs="Times New Roman"/>
      <w:sz w:val="22"/>
      <w:szCs w:val="22"/>
    </w:rPr>
  </w:style>
  <w:style w:type="character" w:customStyle="1" w:styleId="Heading1Char">
    <w:name w:val="Heading 1 Char"/>
    <w:link w:val="Heading1"/>
    <w:uiPriority w:val="1"/>
    <w:rsid w:val="000043B7"/>
    <w:rPr>
      <w:rFonts w:ascii="Calibri" w:eastAsia="Calibri" w:hAnsi="Calibri" w:cs="Times New Roman"/>
      <w:b/>
      <w:bCs/>
      <w:sz w:val="32"/>
      <w:szCs w:val="32"/>
    </w:rPr>
  </w:style>
  <w:style w:type="character" w:customStyle="1" w:styleId="Heading2Char">
    <w:name w:val="Heading 2 Char"/>
    <w:link w:val="Heading2"/>
    <w:uiPriority w:val="1"/>
    <w:rsid w:val="000043B7"/>
    <w:rPr>
      <w:rFonts w:ascii="Calibri" w:eastAsia="Calibri" w:hAnsi="Calibri" w:cs="Times New Roman"/>
      <w:b/>
      <w:bCs/>
      <w:sz w:val="22"/>
      <w:szCs w:val="22"/>
    </w:rPr>
  </w:style>
  <w:style w:type="character" w:customStyle="1" w:styleId="Heading3Char">
    <w:name w:val="Heading 3 Char"/>
    <w:link w:val="Heading3"/>
    <w:uiPriority w:val="1"/>
    <w:rsid w:val="000043B7"/>
    <w:rPr>
      <w:rFonts w:ascii="Calibri" w:eastAsia="Calibri" w:hAnsi="Calibri" w:cs="Times New Roman"/>
      <w:b/>
      <w:bCs/>
      <w:i/>
      <w:sz w:val="22"/>
      <w:szCs w:val="22"/>
    </w:rPr>
  </w:style>
  <w:style w:type="paragraph" w:styleId="TOC1">
    <w:name w:val="toc 1"/>
    <w:basedOn w:val="Normal"/>
    <w:uiPriority w:val="1"/>
    <w:qFormat/>
    <w:rsid w:val="000043B7"/>
    <w:pPr>
      <w:widowControl w:val="0"/>
      <w:spacing w:before="135"/>
      <w:ind w:left="555" w:hanging="440"/>
    </w:pPr>
    <w:rPr>
      <w:rFonts w:ascii="Arial" w:eastAsia="Arial" w:hAnsi="Arial"/>
      <w:b/>
      <w:bCs/>
      <w:sz w:val="22"/>
      <w:szCs w:val="22"/>
      <w:lang w:eastAsia="en-US"/>
    </w:rPr>
  </w:style>
  <w:style w:type="paragraph" w:styleId="TOC2">
    <w:name w:val="toc 2"/>
    <w:basedOn w:val="Normal"/>
    <w:uiPriority w:val="1"/>
    <w:qFormat/>
    <w:rsid w:val="000043B7"/>
    <w:pPr>
      <w:widowControl w:val="0"/>
      <w:spacing w:before="142"/>
      <w:ind w:left="555"/>
    </w:pPr>
    <w:rPr>
      <w:rFonts w:ascii="Calibri" w:eastAsia="Calibri" w:hAnsi="Calibri"/>
      <w:sz w:val="22"/>
      <w:szCs w:val="22"/>
      <w:lang w:eastAsia="en-US"/>
    </w:rPr>
  </w:style>
  <w:style w:type="paragraph" w:customStyle="1" w:styleId="TableParagraph">
    <w:name w:val="Table Paragraph"/>
    <w:basedOn w:val="Normal"/>
    <w:uiPriority w:val="1"/>
    <w:qFormat/>
    <w:rsid w:val="000043B7"/>
    <w:pPr>
      <w:widowControl w:val="0"/>
    </w:pPr>
    <w:rPr>
      <w:rFonts w:ascii="Calibri" w:eastAsia="Calibri" w:hAnsi="Calibri"/>
      <w:sz w:val="22"/>
      <w:szCs w:val="22"/>
      <w:lang w:eastAsia="en-US"/>
    </w:rPr>
  </w:style>
  <w:style w:type="paragraph" w:customStyle="1" w:styleId="SplitScreenText">
    <w:name w:val="Split Screen Text"/>
    <w:rsid w:val="000043B7"/>
    <w:rPr>
      <w:rFonts w:ascii="Times New Roman" w:eastAsia="Times New Roman" w:hAnsi="Times New Roman"/>
      <w:color w:val="000000"/>
      <w:sz w:val="24"/>
      <w:lang w:eastAsia="en-US"/>
    </w:rPr>
  </w:style>
  <w:style w:type="character" w:customStyle="1" w:styleId="apple-style-span">
    <w:name w:val="apple-style-span"/>
    <w:basedOn w:val="DefaultParagraphFont"/>
    <w:rsid w:val="000043B7"/>
  </w:style>
  <w:style w:type="character" w:customStyle="1" w:styleId="ColorfulList-Accent1Char">
    <w:name w:val="Colorful List - Accent 1 Char"/>
    <w:link w:val="ColorfulList-Accent12"/>
    <w:uiPriority w:val="34"/>
    <w:locked/>
    <w:rsid w:val="007550BE"/>
    <w:rPr>
      <w:rFonts w:ascii="Calibri" w:eastAsia="Times New Roman" w:hAnsi="Calibri" w:cs="Calibri"/>
      <w:sz w:val="22"/>
      <w:szCs w:val="22"/>
      <w:lang w:eastAsia="en-US"/>
    </w:rPr>
  </w:style>
  <w:style w:type="paragraph" w:styleId="ListParagraph">
    <w:name w:val="List Paragraph"/>
    <w:basedOn w:val="Normal"/>
    <w:link w:val="ListParagraphChar"/>
    <w:uiPriority w:val="34"/>
    <w:qFormat/>
    <w:rsid w:val="004E6D7F"/>
    <w:pPr>
      <w:spacing w:after="160" w:line="259"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locked/>
    <w:rsid w:val="004E6D7F"/>
    <w:rPr>
      <w:rFonts w:ascii="Calibri" w:eastAsia="Calibri" w:hAnsi="Calibri"/>
      <w:sz w:val="22"/>
      <w:szCs w:val="22"/>
    </w:rPr>
  </w:style>
  <w:style w:type="paragraph" w:styleId="Revision">
    <w:name w:val="Revision"/>
    <w:hidden/>
    <w:uiPriority w:val="99"/>
    <w:semiHidden/>
    <w:rsid w:val="002F538E"/>
    <w:rPr>
      <w:sz w:val="24"/>
      <w:szCs w:val="24"/>
    </w:rPr>
  </w:style>
  <w:style w:type="character" w:customStyle="1" w:styleId="Mention1">
    <w:name w:val="Mention1"/>
    <w:basedOn w:val="DefaultParagraphFont"/>
    <w:uiPriority w:val="99"/>
    <w:semiHidden/>
    <w:unhideWhenUsed/>
    <w:rsid w:val="00950A46"/>
    <w:rPr>
      <w:color w:val="2B579A"/>
      <w:shd w:val="clear" w:color="auto" w:fill="E6E6E6"/>
    </w:rPr>
  </w:style>
  <w:style w:type="character" w:customStyle="1" w:styleId="UnresolvedMention1">
    <w:name w:val="Unresolved Mention1"/>
    <w:basedOn w:val="DefaultParagraphFont"/>
    <w:uiPriority w:val="99"/>
    <w:semiHidden/>
    <w:unhideWhenUsed/>
    <w:rsid w:val="0027661D"/>
    <w:rPr>
      <w:color w:val="808080"/>
      <w:shd w:val="clear" w:color="auto" w:fill="E6E6E6"/>
    </w:rPr>
  </w:style>
  <w:style w:type="paragraph" w:customStyle="1" w:styleId="EndNoteBibliographyTitle">
    <w:name w:val="EndNote Bibliography Title"/>
    <w:basedOn w:val="Normal"/>
    <w:link w:val="EndNoteBibliographyTitleChar"/>
    <w:rsid w:val="00865E28"/>
    <w:pPr>
      <w:jc w:val="center"/>
    </w:pPr>
    <w:rPr>
      <w:noProof/>
    </w:rPr>
  </w:style>
  <w:style w:type="character" w:customStyle="1" w:styleId="EndNoteBibliographyTitleChar">
    <w:name w:val="EndNote Bibliography Title Char"/>
    <w:basedOn w:val="ListParagraphChar"/>
    <w:link w:val="EndNoteBibliographyTitle"/>
    <w:rsid w:val="00865E28"/>
    <w:rPr>
      <w:rFonts w:ascii="Calibri" w:eastAsia="Calibri" w:hAnsi="Calibri"/>
      <w:noProof/>
      <w:sz w:val="24"/>
      <w:szCs w:val="24"/>
    </w:rPr>
  </w:style>
  <w:style w:type="paragraph" w:customStyle="1" w:styleId="EndNoteBibliography">
    <w:name w:val="EndNote Bibliography"/>
    <w:basedOn w:val="Normal"/>
    <w:link w:val="EndNoteBibliographyChar"/>
    <w:rsid w:val="00865E28"/>
    <w:rPr>
      <w:noProof/>
    </w:rPr>
  </w:style>
  <w:style w:type="character" w:customStyle="1" w:styleId="EndNoteBibliographyChar">
    <w:name w:val="EndNote Bibliography Char"/>
    <w:basedOn w:val="ListParagraphChar"/>
    <w:link w:val="EndNoteBibliography"/>
    <w:rsid w:val="00865E28"/>
    <w:rPr>
      <w:rFonts w:ascii="Calibri" w:eastAsia="Calibri" w:hAnsi="Calibri"/>
      <w:noProof/>
      <w:sz w:val="24"/>
      <w:szCs w:val="24"/>
    </w:rPr>
  </w:style>
  <w:style w:type="character" w:styleId="PlaceholderText">
    <w:name w:val="Placeholder Text"/>
    <w:basedOn w:val="DefaultParagraphFont"/>
    <w:semiHidden/>
    <w:rsid w:val="005A502B"/>
    <w:rPr>
      <w:color w:val="808080"/>
    </w:rPr>
  </w:style>
  <w:style w:type="paragraph" w:customStyle="1" w:styleId="Default">
    <w:name w:val="Default"/>
    <w:rsid w:val="009125E3"/>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5723">
      <w:bodyDiv w:val="1"/>
      <w:marLeft w:val="0"/>
      <w:marRight w:val="0"/>
      <w:marTop w:val="0"/>
      <w:marBottom w:val="0"/>
      <w:divBdr>
        <w:top w:val="none" w:sz="0" w:space="0" w:color="auto"/>
        <w:left w:val="none" w:sz="0" w:space="0" w:color="auto"/>
        <w:bottom w:val="none" w:sz="0" w:space="0" w:color="auto"/>
        <w:right w:val="none" w:sz="0" w:space="0" w:color="auto"/>
      </w:divBdr>
    </w:div>
    <w:div w:id="121577422">
      <w:bodyDiv w:val="1"/>
      <w:marLeft w:val="0"/>
      <w:marRight w:val="0"/>
      <w:marTop w:val="0"/>
      <w:marBottom w:val="0"/>
      <w:divBdr>
        <w:top w:val="none" w:sz="0" w:space="0" w:color="auto"/>
        <w:left w:val="none" w:sz="0" w:space="0" w:color="auto"/>
        <w:bottom w:val="none" w:sz="0" w:space="0" w:color="auto"/>
        <w:right w:val="none" w:sz="0" w:space="0" w:color="auto"/>
      </w:divBdr>
    </w:div>
    <w:div w:id="176309442">
      <w:bodyDiv w:val="1"/>
      <w:marLeft w:val="0"/>
      <w:marRight w:val="0"/>
      <w:marTop w:val="0"/>
      <w:marBottom w:val="0"/>
      <w:divBdr>
        <w:top w:val="none" w:sz="0" w:space="0" w:color="auto"/>
        <w:left w:val="none" w:sz="0" w:space="0" w:color="auto"/>
        <w:bottom w:val="none" w:sz="0" w:space="0" w:color="auto"/>
        <w:right w:val="none" w:sz="0" w:space="0" w:color="auto"/>
      </w:divBdr>
    </w:div>
    <w:div w:id="187567388">
      <w:bodyDiv w:val="1"/>
      <w:marLeft w:val="0"/>
      <w:marRight w:val="0"/>
      <w:marTop w:val="0"/>
      <w:marBottom w:val="0"/>
      <w:divBdr>
        <w:top w:val="none" w:sz="0" w:space="0" w:color="auto"/>
        <w:left w:val="none" w:sz="0" w:space="0" w:color="auto"/>
        <w:bottom w:val="none" w:sz="0" w:space="0" w:color="auto"/>
        <w:right w:val="none" w:sz="0" w:space="0" w:color="auto"/>
      </w:divBdr>
    </w:div>
    <w:div w:id="313223188">
      <w:bodyDiv w:val="1"/>
      <w:marLeft w:val="0"/>
      <w:marRight w:val="0"/>
      <w:marTop w:val="0"/>
      <w:marBottom w:val="0"/>
      <w:divBdr>
        <w:top w:val="none" w:sz="0" w:space="0" w:color="auto"/>
        <w:left w:val="none" w:sz="0" w:space="0" w:color="auto"/>
        <w:bottom w:val="none" w:sz="0" w:space="0" w:color="auto"/>
        <w:right w:val="none" w:sz="0" w:space="0" w:color="auto"/>
      </w:divBdr>
    </w:div>
    <w:div w:id="334112536">
      <w:bodyDiv w:val="1"/>
      <w:marLeft w:val="0"/>
      <w:marRight w:val="0"/>
      <w:marTop w:val="0"/>
      <w:marBottom w:val="0"/>
      <w:divBdr>
        <w:top w:val="none" w:sz="0" w:space="0" w:color="auto"/>
        <w:left w:val="none" w:sz="0" w:space="0" w:color="auto"/>
        <w:bottom w:val="none" w:sz="0" w:space="0" w:color="auto"/>
        <w:right w:val="none" w:sz="0" w:space="0" w:color="auto"/>
      </w:divBdr>
    </w:div>
    <w:div w:id="360789295">
      <w:bodyDiv w:val="1"/>
      <w:marLeft w:val="0"/>
      <w:marRight w:val="0"/>
      <w:marTop w:val="0"/>
      <w:marBottom w:val="0"/>
      <w:divBdr>
        <w:top w:val="none" w:sz="0" w:space="0" w:color="auto"/>
        <w:left w:val="none" w:sz="0" w:space="0" w:color="auto"/>
        <w:bottom w:val="none" w:sz="0" w:space="0" w:color="auto"/>
        <w:right w:val="none" w:sz="0" w:space="0" w:color="auto"/>
      </w:divBdr>
    </w:div>
    <w:div w:id="433474715">
      <w:bodyDiv w:val="1"/>
      <w:marLeft w:val="0"/>
      <w:marRight w:val="0"/>
      <w:marTop w:val="0"/>
      <w:marBottom w:val="0"/>
      <w:divBdr>
        <w:top w:val="none" w:sz="0" w:space="0" w:color="auto"/>
        <w:left w:val="none" w:sz="0" w:space="0" w:color="auto"/>
        <w:bottom w:val="none" w:sz="0" w:space="0" w:color="auto"/>
        <w:right w:val="none" w:sz="0" w:space="0" w:color="auto"/>
      </w:divBdr>
    </w:div>
    <w:div w:id="878516754">
      <w:bodyDiv w:val="1"/>
      <w:marLeft w:val="0"/>
      <w:marRight w:val="0"/>
      <w:marTop w:val="0"/>
      <w:marBottom w:val="0"/>
      <w:divBdr>
        <w:top w:val="none" w:sz="0" w:space="0" w:color="auto"/>
        <w:left w:val="none" w:sz="0" w:space="0" w:color="auto"/>
        <w:bottom w:val="none" w:sz="0" w:space="0" w:color="auto"/>
        <w:right w:val="none" w:sz="0" w:space="0" w:color="auto"/>
      </w:divBdr>
    </w:div>
    <w:div w:id="901062778">
      <w:bodyDiv w:val="1"/>
      <w:marLeft w:val="0"/>
      <w:marRight w:val="0"/>
      <w:marTop w:val="0"/>
      <w:marBottom w:val="0"/>
      <w:divBdr>
        <w:top w:val="none" w:sz="0" w:space="0" w:color="auto"/>
        <w:left w:val="none" w:sz="0" w:space="0" w:color="auto"/>
        <w:bottom w:val="none" w:sz="0" w:space="0" w:color="auto"/>
        <w:right w:val="none" w:sz="0" w:space="0" w:color="auto"/>
      </w:divBdr>
    </w:div>
    <w:div w:id="1021931311">
      <w:bodyDiv w:val="1"/>
      <w:marLeft w:val="0"/>
      <w:marRight w:val="0"/>
      <w:marTop w:val="0"/>
      <w:marBottom w:val="0"/>
      <w:divBdr>
        <w:top w:val="none" w:sz="0" w:space="0" w:color="auto"/>
        <w:left w:val="none" w:sz="0" w:space="0" w:color="auto"/>
        <w:bottom w:val="none" w:sz="0" w:space="0" w:color="auto"/>
        <w:right w:val="none" w:sz="0" w:space="0" w:color="auto"/>
      </w:divBdr>
    </w:div>
    <w:div w:id="1111390827">
      <w:bodyDiv w:val="1"/>
      <w:marLeft w:val="0"/>
      <w:marRight w:val="0"/>
      <w:marTop w:val="0"/>
      <w:marBottom w:val="0"/>
      <w:divBdr>
        <w:top w:val="none" w:sz="0" w:space="0" w:color="auto"/>
        <w:left w:val="none" w:sz="0" w:space="0" w:color="auto"/>
        <w:bottom w:val="none" w:sz="0" w:space="0" w:color="auto"/>
        <w:right w:val="none" w:sz="0" w:space="0" w:color="auto"/>
      </w:divBdr>
    </w:div>
    <w:div w:id="1422682971">
      <w:bodyDiv w:val="1"/>
      <w:marLeft w:val="0"/>
      <w:marRight w:val="0"/>
      <w:marTop w:val="0"/>
      <w:marBottom w:val="0"/>
      <w:divBdr>
        <w:top w:val="none" w:sz="0" w:space="0" w:color="auto"/>
        <w:left w:val="none" w:sz="0" w:space="0" w:color="auto"/>
        <w:bottom w:val="none" w:sz="0" w:space="0" w:color="auto"/>
        <w:right w:val="none" w:sz="0" w:space="0" w:color="auto"/>
      </w:divBdr>
    </w:div>
    <w:div w:id="1490249918">
      <w:bodyDiv w:val="1"/>
      <w:marLeft w:val="0"/>
      <w:marRight w:val="0"/>
      <w:marTop w:val="0"/>
      <w:marBottom w:val="0"/>
      <w:divBdr>
        <w:top w:val="none" w:sz="0" w:space="0" w:color="auto"/>
        <w:left w:val="none" w:sz="0" w:space="0" w:color="auto"/>
        <w:bottom w:val="none" w:sz="0" w:space="0" w:color="auto"/>
        <w:right w:val="none" w:sz="0" w:space="0" w:color="auto"/>
      </w:divBdr>
    </w:div>
    <w:div w:id="1544754387">
      <w:bodyDiv w:val="1"/>
      <w:marLeft w:val="0"/>
      <w:marRight w:val="0"/>
      <w:marTop w:val="0"/>
      <w:marBottom w:val="0"/>
      <w:divBdr>
        <w:top w:val="none" w:sz="0" w:space="0" w:color="auto"/>
        <w:left w:val="none" w:sz="0" w:space="0" w:color="auto"/>
        <w:bottom w:val="none" w:sz="0" w:space="0" w:color="auto"/>
        <w:right w:val="none" w:sz="0" w:space="0" w:color="auto"/>
      </w:divBdr>
    </w:div>
    <w:div w:id="1709379391">
      <w:bodyDiv w:val="1"/>
      <w:marLeft w:val="0"/>
      <w:marRight w:val="0"/>
      <w:marTop w:val="0"/>
      <w:marBottom w:val="0"/>
      <w:divBdr>
        <w:top w:val="none" w:sz="0" w:space="0" w:color="auto"/>
        <w:left w:val="none" w:sz="0" w:space="0" w:color="auto"/>
        <w:bottom w:val="none" w:sz="0" w:space="0" w:color="auto"/>
        <w:right w:val="none" w:sz="0" w:space="0" w:color="auto"/>
      </w:divBdr>
    </w:div>
    <w:div w:id="1820077326">
      <w:bodyDiv w:val="1"/>
      <w:marLeft w:val="0"/>
      <w:marRight w:val="0"/>
      <w:marTop w:val="0"/>
      <w:marBottom w:val="0"/>
      <w:divBdr>
        <w:top w:val="none" w:sz="0" w:space="0" w:color="auto"/>
        <w:left w:val="none" w:sz="0" w:space="0" w:color="auto"/>
        <w:bottom w:val="none" w:sz="0" w:space="0" w:color="auto"/>
        <w:right w:val="none" w:sz="0" w:space="0" w:color="auto"/>
      </w:divBdr>
    </w:div>
    <w:div w:id="1822771945">
      <w:bodyDiv w:val="1"/>
      <w:marLeft w:val="0"/>
      <w:marRight w:val="0"/>
      <w:marTop w:val="0"/>
      <w:marBottom w:val="0"/>
      <w:divBdr>
        <w:top w:val="none" w:sz="0" w:space="0" w:color="auto"/>
        <w:left w:val="none" w:sz="0" w:space="0" w:color="auto"/>
        <w:bottom w:val="none" w:sz="0" w:space="0" w:color="auto"/>
        <w:right w:val="none" w:sz="0" w:space="0" w:color="auto"/>
      </w:divBdr>
    </w:div>
    <w:div w:id="1939751772">
      <w:bodyDiv w:val="1"/>
      <w:marLeft w:val="0"/>
      <w:marRight w:val="0"/>
      <w:marTop w:val="0"/>
      <w:marBottom w:val="0"/>
      <w:divBdr>
        <w:top w:val="none" w:sz="0" w:space="0" w:color="auto"/>
        <w:left w:val="none" w:sz="0" w:space="0" w:color="auto"/>
        <w:bottom w:val="none" w:sz="0" w:space="0" w:color="auto"/>
        <w:right w:val="none" w:sz="0" w:space="0" w:color="auto"/>
      </w:divBdr>
    </w:div>
    <w:div w:id="212653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urldefense.proofpoint.com/v2/url?u=https-3A__ecommons.luc.edu_luc-5Fdiss_2855&amp;d=DwMFAg&amp;c=S1d2Gs1Y1NQV8Lx35_Qi5FnTH2uYWyh_OhOS94IqYCo&amp;r=PWuOTl1QBJXJsRn5i67lTXlO_ZV4JFMfiDy9peBL7D4&amp;m=Ham68OiBFwa40etpFvEQQ8PW-AJveuXmF4xlX3kaLec&amp;s=6epHSYxetIWnbG3Y6JhwV8UTIcElNJiG4eMNi1F3hSc&amp;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urldefense.proofpoint.com/v2/url?u=https-3A__www.hcup-2Dus.ahrq.gov_toolssoftware_comorbidity_comorbidity.jsp&amp;d=DwMFAg&amp;c=S1d2Gs1Y1NQV8Lx35_Qi5FnTH2uYWyh_OhOS94IqYCo&amp;r=PWuOTl1QBJXJsRn5i67lTXlO_ZV4JFMfiDy9peBL7D4&amp;m=Ham68OiBFwa40etpFvEQQ8PW-AJveuXmF4xlX3kaLec&amp;s=USJ7auN67SIrP0Hzt1m8gfQ6ceGgwfZb9rk0Y4OXypQ&amp;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DA3E71F38B644CA0D5AC24F8C3D5C1" ma:contentTypeVersion="11" ma:contentTypeDescription="Create a new document." ma:contentTypeScope="" ma:versionID="a6c9fb6fae2aa3991a98b0ad913b40fa">
  <xsd:schema xmlns:xsd="http://www.w3.org/2001/XMLSchema" xmlns:xs="http://www.w3.org/2001/XMLSchema" xmlns:p="http://schemas.microsoft.com/office/2006/metadata/properties" xmlns:ns2="f3741e23-c059-4cf4-a06a-51a466296b32" xmlns:ns3="2e3fcec8-8fd3-4f36-b03c-547bc15bc659" targetNamespace="http://schemas.microsoft.com/office/2006/metadata/properties" ma:root="true" ma:fieldsID="23e4cba6d075c7c476f1b1f48e064738" ns2:_="" ns3:_="">
    <xsd:import namespace="f3741e23-c059-4cf4-a06a-51a466296b32"/>
    <xsd:import namespace="2e3fcec8-8fd3-4f36-b03c-547bc15bc65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41e23-c059-4cf4-a06a-51a466296b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fcec8-8fd3-4f36-b03c-547bc15bc6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f3741e23-c059-4cf4-a06a-51a466296b32">MS12-1559711769-802</_dlc_DocId>
    <_dlc_DocIdUrl xmlns="f3741e23-c059-4cf4-a06a-51a466296b32">
      <Url>https://pcori.sharepoint.com/PSIM/OCPSIM/_layouts/15/DocIdRedir.aspx?ID=MS12-1559711769-802</Url>
      <Description>MS12-1559711769-802</Description>
    </_dlc_DocIdUrl>
    <SharedWithUsers xmlns="f3741e23-c059-4cf4-a06a-51a466296b32">
      <UserInfo>
        <DisplayName/>
        <AccountId xsi:nil="true"/>
        <AccountType/>
      </UserInfo>
    </SharedWithUsers>
  </documentManagement>
</p:properties>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4834271-2A4A-4E92-874A-865A0714FF15}">
  <ds:schemaRefs>
    <ds:schemaRef ds:uri="http://schemas.microsoft.com/sharepoint/v3/contenttype/forms"/>
  </ds:schemaRefs>
</ds:datastoreItem>
</file>

<file path=customXml/itemProps2.xml><?xml version="1.0" encoding="utf-8"?>
<ds:datastoreItem xmlns:ds="http://schemas.openxmlformats.org/officeDocument/2006/customXml" ds:itemID="{54A15B00-2CC2-4454-9899-D5409287237B}">
  <ds:schemaRefs>
    <ds:schemaRef ds:uri="http://schemas.microsoft.com/sharepoint/events"/>
  </ds:schemaRefs>
</ds:datastoreItem>
</file>

<file path=customXml/itemProps3.xml><?xml version="1.0" encoding="utf-8"?>
<ds:datastoreItem xmlns:ds="http://schemas.openxmlformats.org/officeDocument/2006/customXml" ds:itemID="{388B1508-AAB4-4DB0-AC6E-B8B1083680A0}">
  <ds:schemaRefs>
    <ds:schemaRef ds:uri="http://schemas.microsoft.com/office/2006/metadata/longProperties"/>
  </ds:schemaRefs>
</ds:datastoreItem>
</file>

<file path=customXml/itemProps4.xml><?xml version="1.0" encoding="utf-8"?>
<ds:datastoreItem xmlns:ds="http://schemas.openxmlformats.org/officeDocument/2006/customXml" ds:itemID="{15386F84-0C3A-470B-B569-BA67BABB1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41e23-c059-4cf4-a06a-51a466296b32"/>
    <ds:schemaRef ds:uri="2e3fcec8-8fd3-4f36-b03c-547bc15bc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52D071-DF9E-4944-9080-E9864649F065}">
  <ds:schemaRefs>
    <ds:schemaRef ds:uri="http://schemas.microsoft.com/office/2006/metadata/properties"/>
    <ds:schemaRef ds:uri="http://schemas.microsoft.com/office/infopath/2007/PartnerControls"/>
    <ds:schemaRef ds:uri="f3741e23-c059-4cf4-a06a-51a466296b32"/>
  </ds:schemaRefs>
</ds:datastoreItem>
</file>

<file path=customXml/itemProps6.xml><?xml version="1.0" encoding="utf-8"?>
<ds:datastoreItem xmlns:ds="http://schemas.openxmlformats.org/officeDocument/2006/customXml" ds:itemID="{70E3E2ED-0AF5-4570-A055-7FC785EB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PCORI</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Saynisch</dc:creator>
  <cp:keywords/>
  <dc:description/>
  <cp:lastModifiedBy>Yakusheva, Olga</cp:lastModifiedBy>
  <cp:revision>3</cp:revision>
  <cp:lastPrinted>2019-07-31T16:55:00Z</cp:lastPrinted>
  <dcterms:created xsi:type="dcterms:W3CDTF">2022-08-08T22:13:00Z</dcterms:created>
  <dcterms:modified xsi:type="dcterms:W3CDTF">2022-08-08T22:13:00Z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0x01010056DA3E71F38B644CA0D5AC24F8C3D5C1</vt:lpwstr>
  </property>
  <property fmtid="{D5CDD505-2E9C-101B-9397-08002B2CF9AE}" pid="3" name="_dlc_DocIdItemGuid">
    <vt:lpwstr>de621351-8043-4c29-bef6-4f6376e98cb1</vt:lpwstr>
  </property>
  <property fmtid="{D5CDD505-2E9C-101B-9397-08002B2CF9AE}" pid="4" name="PublishingExpirationDate">
    <vt:lpwstr/>
  </property>
  <property fmtid="{D5CDD505-2E9C-101B-9397-08002B2CF9AE}" pid="5" name="PublishingStartDate">
    <vt:lpwstr/>
  </property>
  <property fmtid="{D5CDD505-2E9C-101B-9397-08002B2CF9AE}" pid="6" name="_dlc_DocId">
    <vt:lpwstr>CMACYCLE-615713636-31</vt:lpwstr>
  </property>
  <property fmtid="{D5CDD505-2E9C-101B-9397-08002B2CF9AE}" pid="7" name="_dlc_DocIdUrl">
    <vt:lpwstr>https://pcori.sharepoint.com/sites/Cycles/c12016/_layouts/15/DocIdRedir.aspx?ID=CMACYCLE-615713636-31, CMACYCLE-615713636-31</vt:lpwstr>
  </property>
  <property fmtid="{D5CDD505-2E9C-101B-9397-08002B2CF9AE}" pid="8" name="SharedWithUsers">
    <vt:lpwstr/>
  </property>
</Properties>
</file>