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6EA" w:rsidRPr="001906EA" w:rsidRDefault="001906EA" w:rsidP="001906EA">
      <w:pPr>
        <w:pStyle w:val="Title"/>
      </w:pPr>
      <w:r w:rsidRPr="001906EA">
        <w:t xml:space="preserve">Do Remittances </w:t>
      </w:r>
      <w:r>
        <w:t>Increase</w:t>
      </w:r>
      <w:r w:rsidRPr="001906EA">
        <w:t xml:space="preserve"> Women’s </w:t>
      </w:r>
      <w:r>
        <w:t>Autonomy</w:t>
      </w:r>
      <w:r w:rsidRPr="001906EA">
        <w:t xml:space="preserve">? Evidence from </w:t>
      </w:r>
      <w:r>
        <w:t>India</w:t>
      </w:r>
    </w:p>
    <w:p w:rsidR="001906EA" w:rsidRDefault="001906EA" w:rsidP="001906EA">
      <w:pPr>
        <w:jc w:val="center"/>
        <w:rPr>
          <w:rFonts w:ascii="Cambria" w:hAnsi="Cambria"/>
        </w:rPr>
      </w:pPr>
      <w:r>
        <w:rPr>
          <w:rFonts w:ascii="Cambria" w:hAnsi="Cambria"/>
        </w:rPr>
        <w:t>James T. Bang</w:t>
      </w:r>
      <w:r>
        <w:rPr>
          <w:rFonts w:ascii="Cambria" w:hAnsi="Cambria"/>
        </w:rPr>
        <w:br/>
        <w:t>St. Ambrose University</w:t>
      </w:r>
    </w:p>
    <w:p w:rsidR="001906EA" w:rsidRPr="001906EA" w:rsidRDefault="001906EA" w:rsidP="001906EA">
      <w:pPr>
        <w:jc w:val="center"/>
        <w:rPr>
          <w:rFonts w:ascii="Cambria" w:hAnsi="Cambria"/>
        </w:rPr>
      </w:pPr>
      <w:r>
        <w:rPr>
          <w:rFonts w:ascii="Cambria" w:hAnsi="Cambria"/>
        </w:rPr>
        <w:t>Aniruddha Mitra</w:t>
      </w:r>
      <w:r>
        <w:rPr>
          <w:rFonts w:ascii="Cambria" w:hAnsi="Cambria"/>
        </w:rPr>
        <w:br/>
        <w:t>Bard College</w:t>
      </w:r>
    </w:p>
    <w:p w:rsidR="001906EA" w:rsidRPr="00F1329F" w:rsidRDefault="001906EA" w:rsidP="001906EA">
      <w:pPr>
        <w:jc w:val="center"/>
        <w:rPr>
          <w:rFonts w:ascii="Cambria" w:hAnsi="Cambria"/>
          <w:b/>
        </w:rPr>
      </w:pPr>
      <w:r w:rsidRPr="00F1329F">
        <w:rPr>
          <w:rFonts w:ascii="Cambria" w:hAnsi="Cambria"/>
          <w:b/>
        </w:rPr>
        <w:t>Abstract</w:t>
      </w:r>
    </w:p>
    <w:p w:rsidR="001906EA" w:rsidRPr="00F1329F" w:rsidRDefault="001906EA" w:rsidP="001906EA">
      <w:pPr>
        <w:jc w:val="both"/>
        <w:rPr>
          <w:rFonts w:ascii="Cambria" w:hAnsi="Cambria"/>
          <w:sz w:val="24"/>
          <w:szCs w:val="24"/>
        </w:rPr>
      </w:pPr>
      <w:bookmarkStart w:id="0" w:name="_Hlk44406471"/>
      <w:r>
        <w:rPr>
          <w:rFonts w:ascii="Cambria" w:hAnsi="Cambria"/>
          <w:sz w:val="24"/>
          <w:szCs w:val="24"/>
          <w:shd w:val="clear" w:color="auto" w:fill="FFFFFF"/>
        </w:rPr>
        <w:t>An</w:t>
      </w:r>
      <w:r w:rsidRPr="00F1329F">
        <w:rPr>
          <w:rFonts w:ascii="Cambria" w:hAnsi="Cambria"/>
          <w:sz w:val="24"/>
          <w:szCs w:val="24"/>
          <w:shd w:val="clear" w:color="auto" w:fill="FFFFFF"/>
        </w:rPr>
        <w:t xml:space="preserve"> emerging interdisciplinary literature explores the transformation of prevailing gender norms as communities experience emigration and associated inflows of remittances. This paper focuses on a key gender norm, namely</w:t>
      </w:r>
      <w:r>
        <w:rPr>
          <w:rFonts w:ascii="Cambria" w:hAnsi="Cambria"/>
          <w:sz w:val="24"/>
          <w:szCs w:val="24"/>
          <w:shd w:val="clear" w:color="auto" w:fill="FFFFFF"/>
        </w:rPr>
        <w:t xml:space="preserve"> women’s decision-making autonomy within the household</w:t>
      </w:r>
      <w:r w:rsidRPr="00F1329F">
        <w:rPr>
          <w:rFonts w:ascii="Cambria" w:hAnsi="Cambria"/>
          <w:sz w:val="24"/>
          <w:szCs w:val="24"/>
          <w:shd w:val="clear" w:color="auto" w:fill="FFFFFF"/>
        </w:rPr>
        <w:t xml:space="preserve">. </w:t>
      </w:r>
      <w:r w:rsidR="00621D10">
        <w:rPr>
          <w:rFonts w:ascii="Cambria" w:hAnsi="Cambria"/>
          <w:sz w:val="24"/>
          <w:szCs w:val="24"/>
          <w:shd w:val="clear" w:color="auto" w:fill="FFFFFF"/>
        </w:rPr>
        <w:t>Using data from the 2011 round of the India Human Development Surveys</w:t>
      </w:r>
      <w:r w:rsidRPr="00F1329F">
        <w:rPr>
          <w:rFonts w:ascii="Cambria" w:hAnsi="Cambria"/>
          <w:sz w:val="24"/>
          <w:szCs w:val="24"/>
          <w:shd w:val="clear" w:color="auto" w:fill="FFFFFF"/>
        </w:rPr>
        <w:t>, we investigate the impact of remittance</w:t>
      </w:r>
      <w:r>
        <w:rPr>
          <w:rFonts w:ascii="Cambria" w:hAnsi="Cambria"/>
          <w:sz w:val="24"/>
          <w:szCs w:val="24"/>
          <w:shd w:val="clear" w:color="auto" w:fill="FFFFFF"/>
        </w:rPr>
        <w:t>s</w:t>
      </w:r>
      <w:r w:rsidRPr="00F1329F">
        <w:rPr>
          <w:rFonts w:ascii="Cambria" w:hAnsi="Cambria"/>
          <w:sz w:val="24"/>
          <w:szCs w:val="24"/>
          <w:shd w:val="clear" w:color="auto" w:fill="FFFFFF"/>
        </w:rPr>
        <w:t xml:space="preserve"> on </w:t>
      </w:r>
      <w:r>
        <w:rPr>
          <w:rFonts w:ascii="Cambria" w:hAnsi="Cambria"/>
          <w:sz w:val="24"/>
          <w:szCs w:val="24"/>
          <w:shd w:val="clear" w:color="auto" w:fill="FFFFFF"/>
        </w:rPr>
        <w:t>the extent to which women contribute to decisions like major purchases, number of children, and health care decisions, as well as the extent to which women must obtain permission to visit family, go shopping, or travel using transit</w:t>
      </w:r>
      <w:r w:rsidR="00621D10">
        <w:rPr>
          <w:rFonts w:ascii="Cambria" w:hAnsi="Cambria"/>
          <w:sz w:val="24"/>
          <w:szCs w:val="24"/>
          <w:shd w:val="clear" w:color="auto" w:fill="FFFFFF"/>
        </w:rPr>
        <w:t>. Given the absence of a dynamic panel that tracks the same households</w:t>
      </w:r>
      <w:r w:rsidR="00E733E0">
        <w:rPr>
          <w:rFonts w:ascii="Cambria" w:hAnsi="Cambria"/>
          <w:sz w:val="24"/>
          <w:szCs w:val="24"/>
          <w:shd w:val="clear" w:color="auto" w:fill="FFFFFF"/>
        </w:rPr>
        <w:t xml:space="preserve"> over time</w:t>
      </w:r>
      <w:r w:rsidR="00621D10">
        <w:rPr>
          <w:rFonts w:ascii="Cambria" w:hAnsi="Cambria"/>
          <w:sz w:val="24"/>
          <w:szCs w:val="24"/>
          <w:shd w:val="clear" w:color="auto" w:fill="FFFFFF"/>
        </w:rPr>
        <w:t xml:space="preserve">, as well as difficulties obtaining valid instruments, we employ </w:t>
      </w:r>
      <w:bookmarkStart w:id="1" w:name="_GoBack"/>
      <w:bookmarkEnd w:id="1"/>
      <w:r w:rsidR="00D94D10">
        <w:rPr>
          <w:rFonts w:ascii="Cambria" w:hAnsi="Cambria"/>
          <w:sz w:val="24"/>
          <w:szCs w:val="24"/>
          <w:shd w:val="clear" w:color="auto" w:fill="FFFFFF"/>
        </w:rPr>
        <w:t>covariate-balancing</w:t>
      </w:r>
      <w:r>
        <w:rPr>
          <w:rFonts w:ascii="Cambria" w:hAnsi="Cambria"/>
          <w:sz w:val="24"/>
          <w:szCs w:val="24"/>
          <w:shd w:val="clear" w:color="auto" w:fill="FFFFFF"/>
        </w:rPr>
        <w:t xml:space="preserve"> methods</w:t>
      </w:r>
      <w:r w:rsidR="00621D10">
        <w:rPr>
          <w:rFonts w:ascii="Cambria" w:hAnsi="Cambria"/>
          <w:sz w:val="24"/>
          <w:szCs w:val="24"/>
          <w:shd w:val="clear" w:color="auto" w:fill="FFFFFF"/>
        </w:rPr>
        <w:t xml:space="preserve"> in order to isolate a causal effect for remittances.</w:t>
      </w:r>
      <w:r w:rsidRPr="00F1329F">
        <w:rPr>
          <w:rFonts w:ascii="Cambria" w:hAnsi="Cambria"/>
          <w:sz w:val="24"/>
          <w:szCs w:val="24"/>
          <w:shd w:val="clear" w:color="auto" w:fill="FFFFFF"/>
        </w:rPr>
        <w:t xml:space="preserve"> </w:t>
      </w:r>
    </w:p>
    <w:bookmarkEnd w:id="0"/>
    <w:p w:rsidR="00E454B9" w:rsidRDefault="001906EA" w:rsidP="001906EA">
      <w:r w:rsidRPr="00F1329F">
        <w:rPr>
          <w:rFonts w:ascii="Cambria" w:hAnsi="Cambria"/>
          <w:b/>
          <w:sz w:val="24"/>
          <w:szCs w:val="24"/>
        </w:rPr>
        <w:t>Keywords:</w:t>
      </w:r>
      <w:r w:rsidRPr="00F1329F">
        <w:rPr>
          <w:rFonts w:ascii="Cambria" w:hAnsi="Cambria"/>
          <w:sz w:val="24"/>
          <w:szCs w:val="24"/>
        </w:rPr>
        <w:t xml:space="preserve"> Remittances, </w:t>
      </w:r>
      <w:r w:rsidR="00E733E0">
        <w:rPr>
          <w:rFonts w:ascii="Cambria" w:hAnsi="Cambria"/>
          <w:sz w:val="24"/>
          <w:szCs w:val="24"/>
        </w:rPr>
        <w:t>Gender Norms, Migration</w:t>
      </w:r>
    </w:p>
    <w:sectPr w:rsidR="00E454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0E1" w:rsidRDefault="000C00E1">
      <w:pPr>
        <w:spacing w:after="0" w:line="240" w:lineRule="auto"/>
      </w:pPr>
      <w:r>
        <w:separator/>
      </w:r>
    </w:p>
  </w:endnote>
  <w:endnote w:type="continuationSeparator" w:id="0">
    <w:p w:rsidR="000C00E1" w:rsidRDefault="000C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0E1" w:rsidRDefault="000C00E1">
      <w:pPr>
        <w:spacing w:after="0" w:line="240" w:lineRule="auto"/>
      </w:pPr>
      <w:r>
        <w:separator/>
      </w:r>
    </w:p>
  </w:footnote>
  <w:footnote w:type="continuationSeparator" w:id="0">
    <w:p w:rsidR="000C00E1" w:rsidRDefault="000C0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998" w:rsidRDefault="00E733E0">
    <w:pPr>
      <w:pStyle w:val="Header"/>
      <w:jc w:val="right"/>
    </w:pPr>
    <w:r>
      <w:fldChar w:fldCharType="begin"/>
    </w:r>
    <w:r>
      <w:instrText xml:space="preserve"> PAGE   \* MERGEFORMAT </w:instrText>
    </w:r>
    <w:r>
      <w:fldChar w:fldCharType="separate"/>
    </w:r>
    <w:r w:rsidR="00D94D10">
      <w:rPr>
        <w:noProof/>
      </w:rPr>
      <w:t>1</w:t>
    </w:r>
    <w:r>
      <w:rPr>
        <w:noProof/>
      </w:rPr>
      <w:fldChar w:fldCharType="end"/>
    </w:r>
  </w:p>
  <w:p w:rsidR="00090998" w:rsidRDefault="000C00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EA"/>
    <w:rsid w:val="000C00E1"/>
    <w:rsid w:val="001906EA"/>
    <w:rsid w:val="003E2DA4"/>
    <w:rsid w:val="00621D10"/>
    <w:rsid w:val="007461A9"/>
    <w:rsid w:val="00903FA0"/>
    <w:rsid w:val="00D94D10"/>
    <w:rsid w:val="00E454B9"/>
    <w:rsid w:val="00E7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1FE5A-0DB3-4F90-ACDE-98014EC5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EA"/>
    <w:rPr>
      <w:rFonts w:ascii="Calibri" w:eastAsia="Calibri" w:hAnsi="Calibri" w:cs="Times New Roman"/>
    </w:rPr>
  </w:style>
  <w:style w:type="paragraph" w:styleId="Heading1">
    <w:name w:val="heading 1"/>
    <w:basedOn w:val="Normal"/>
    <w:next w:val="Normal"/>
    <w:link w:val="Heading1Char"/>
    <w:uiPriority w:val="9"/>
    <w:qFormat/>
    <w:rsid w:val="00903FA0"/>
    <w:pPr>
      <w:keepNext/>
      <w:keepLines/>
      <w:spacing w:before="240" w:after="0" w:line="480" w:lineRule="auto"/>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3E2DA4"/>
    <w:pPr>
      <w:keepNext/>
      <w:keepLines/>
      <w:spacing w:before="40" w:after="0" w:line="480" w:lineRule="auto"/>
      <w:outlineLvl w:val="1"/>
    </w:pPr>
    <w:rPr>
      <w:rFonts w:ascii="Cambria" w:eastAsiaTheme="majorEastAsia" w:hAnsi="Cambr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6EA"/>
    <w:pPr>
      <w:spacing w:after="360" w:line="240" w:lineRule="auto"/>
      <w:contextualSpacing/>
      <w:jc w:val="center"/>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1906EA"/>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903FA0"/>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3E2DA4"/>
    <w:rPr>
      <w:rFonts w:ascii="Cambria" w:eastAsiaTheme="majorEastAsia" w:hAnsi="Cambria" w:cstheme="majorBidi"/>
      <w:sz w:val="26"/>
      <w:szCs w:val="26"/>
    </w:rPr>
  </w:style>
  <w:style w:type="paragraph" w:styleId="Header">
    <w:name w:val="header"/>
    <w:basedOn w:val="Normal"/>
    <w:link w:val="HeaderChar"/>
    <w:uiPriority w:val="99"/>
    <w:unhideWhenUsed/>
    <w:rsid w:val="001906EA"/>
    <w:pPr>
      <w:tabs>
        <w:tab w:val="center" w:pos="4680"/>
        <w:tab w:val="right" w:pos="9360"/>
      </w:tabs>
      <w:spacing w:after="0" w:line="240" w:lineRule="auto"/>
      <w:ind w:firstLine="360"/>
    </w:pPr>
    <w:rPr>
      <w:rFonts w:ascii="Cambria" w:hAnsi="Cambria"/>
      <w:sz w:val="24"/>
      <w:szCs w:val="24"/>
    </w:rPr>
  </w:style>
  <w:style w:type="character" w:customStyle="1" w:styleId="HeaderChar">
    <w:name w:val="Header Char"/>
    <w:basedOn w:val="DefaultParagraphFont"/>
    <w:link w:val="Header"/>
    <w:uiPriority w:val="99"/>
    <w:rsid w:val="001906EA"/>
    <w:rPr>
      <w:rFonts w:ascii="Cambria" w:eastAsia="Calibri"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 Ambrose University</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James T</dc:creator>
  <cp:keywords/>
  <dc:description/>
  <cp:lastModifiedBy>Bang James T</cp:lastModifiedBy>
  <cp:revision>3</cp:revision>
  <dcterms:created xsi:type="dcterms:W3CDTF">2022-03-31T16:48:00Z</dcterms:created>
  <dcterms:modified xsi:type="dcterms:W3CDTF">2022-08-25T19:54:00Z</dcterms:modified>
</cp:coreProperties>
</file>