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jc w:val="center"/>
      </w:pPr>
      <w:r>
        <w:rPr>
          <w:rFonts w:ascii="Times New Roman" w:hAnsi="Times New Roman"/>
          <w:b/>
          <w:sz w:val="32"/>
        </w:rPr>
        <w:t>TÓM TẮT NGHỊ ĐỊNH SỐ 37/2026/NĐ-CP</w:t>
      </w:r>
    </w:p>
    <w:p>
      <w:pPr>
        <w:spacing w:after="80"/>
        <w:ind w:firstLine="576"/>
        <w:jc w:val="both"/>
      </w:pPr>
      <w:r>
        <w:rPr>
          <w:rFonts w:ascii="Times New Roman" w:hAnsi="Times New Roman"/>
          <w:sz w:val="26"/>
        </w:rPr>
        <w:t>Nội dung chi tiết áp dụng cho thuốc thử IVD chia nhỏ/đóng gói tại Việt Nam.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Quy định chung và định nghĩa thuật ngữ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Điều/khoản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Tiêu đề quy định</w:t>
            </w:r>
          </w:p>
        </w:tc>
        <w:tc>
          <w:tcPr>
            <w:tcW w:type="dxa" w:w="3216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Nội dung chi tiết áp dụng cho thuốc thử IVD</w:t>
            </w:r>
          </w:p>
        </w:tc>
      </w:tr>
      <w:tr>
        <w:tc>
          <w:tcPr>
            <w:tcW w:type="dxa" w:w="32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Times New Roman" w:hAnsi="Times New Roman"/>
                <w:sz w:val="24"/>
              </w:rPr>
              <w:t>Điều 2, khoản 1</w:t>
            </w:r>
          </w:p>
        </w:tc>
        <w:tc>
          <w:tcPr>
            <w:tcW w:type="dxa" w:w="32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Times New Roman" w:hAnsi="Times New Roman"/>
                <w:sz w:val="24"/>
              </w:rPr>
              <w:t>Đối tượng áp dụng</w:t>
            </w:r>
          </w:p>
        </w:tc>
        <w:tc>
          <w:tcPr>
            <w:tcW w:type="dxa" w:w="32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rFonts w:ascii="Times New Roman" w:hAnsi="Times New Roman"/>
                <w:sz w:val="24"/>
              </w:rPr>
              <w:t>Áp dụng đối với các tổ chức, cá nhân sản xuất, kinh doanh thuốc thử IVD.</w:t>
            </w:r>
          </w:p>
        </w:tc>
      </w:tr>
    </w:tbl>
    <w:p/>
    <w:p>
      <w:pPr>
        <w:spacing w:before="120" w:after="120"/>
        <w:ind w:left="576"/>
      </w:pPr>
      <w:r>
        <w:rPr>
          <w:rFonts w:ascii="Times New Roman" w:hAnsi="Times New Roman"/>
          <w:i/>
          <w:color w:val="505050"/>
          <w:sz w:val="26"/>
        </w:rPr>
        <w:t>Lưu ý: Doanh nghiệp cần hoàn thành hồ sơ công bố trước thời hạn quy định.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