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Borders>
          <w:top w:val="nil"/>
          <w:left w:val="nil"/>
          <w:bottom w:val="nil"/>
          <w:right w:val="nil"/>
          <w:insideH w:val="nil"/>
          <w:insideV w:val="nil"/>
        </w:tblBorders>
        <w:tblLayout w:type="fixed"/>
        <w:tblCellMar>
          <w:left w:w="0" w:type="dxa"/>
          <w:right w:w="0" w:type="dxa"/>
        </w:tblCellMar>
        <w:tblLook w:firstColumn="1" w:firstRow="1" w:lastColumn="0" w:lastRow="0" w:noHBand="0" w:noVBand="1" w:val="04A0"/>
      </w:tblPr>
      <w:tblGrid>
        <w:gridCol w:w="3402"/>
        <w:gridCol w:w="5670"/>
      </w:tblGrid>
      <w:tr>
        <w:trPr>
          <w:cantSplit/>
        </w:trPr>
        <w:tc>
          <w:tcPr>
            <w:tcW w:type="dxa" w:w="3402"/>
          </w:tcPr>
          <w:p>
            <w:pPr>
              <w:spacing w:before="0" w:after="0" w:line="240" w:lineRule="auto"/>
              <w:ind w:firstLine="0"/>
              <w:jc w:val="center"/>
            </w:pPr>
            <w:r>
              <w:rPr>
                <w:rFonts w:ascii="Times New Roman" w:hAnsi="Times New Roman" w:eastAsia="Times New Roman" w:cs="Times New Roman"/>
                <w:b w:val="0"/>
                <w:i w:val="0"/>
                <w:color w:val="000000"/>
                <w:sz w:val="26"/>
              </w:rPr>
              <w:t>UBND TỈNH AN GIANG</w:t>
            </w:r>
          </w:p>
          <w:p>
            <w:pPr>
              <w:spacing w:before="0" w:after="0" w:line="240" w:lineRule="auto"/>
              <w:ind w:firstLine="0"/>
              <w:jc w:val="center"/>
            </w:pPr>
            <w:r>
              <w:rPr>
                <w:rFonts w:ascii="Times New Roman" w:hAnsi="Times New Roman" w:eastAsia="Times New Roman" w:cs="Times New Roman"/>
                <w:b/>
                <w:i w:val="0"/>
                <w:color w:val="000000"/>
                <w:sz w:val="26"/>
              </w:rPr>
              <w:t>SỞ TÀI CHÍNH</w:t>
            </w:r>
          </w:p>
          <w:p>
            <w:pPr>
              <w:pBdr>
                <w:bottom w:val="single" w:sz="6" w:space="1" w:color="000000"/>
              </w:pBdr>
              <w:spacing w:before="0" w:after="0" w:lineRule="exact" w:line="100"/>
              <w:ind w:left="1292" w:right="1292"/>
            </w:pPr>
            <w:r>
              <w:rPr>
                <w:rFonts w:ascii="Times New Roman" w:hAnsi="Times New Roman" w:eastAsia="Times New Roman" w:cs="Times New Roman"/>
                <w:b w:val="0"/>
                <w:i w:val="0"/>
                <w:color w:val="000000"/>
                <w:sz w:val="4"/>
              </w:rPr>
            </w:r>
          </w:p>
        </w:tc>
        <w:tc>
          <w:tcPr>
            <w:tcW w:type="dxa" w:w="5669"/>
          </w:tcPr>
          <w:p>
            <w:pPr>
              <w:spacing w:before="0" w:after="0" w:line="240" w:lineRule="auto"/>
              <w:ind w:firstLine="0"/>
              <w:jc w:val="center"/>
            </w:pPr>
            <w:r>
              <w:rPr>
                <w:rFonts w:ascii="Times New Roman" w:hAnsi="Times New Roman" w:eastAsia="Times New Roman" w:cs="Times New Roman"/>
                <w:b/>
                <w:i w:val="0"/>
                <w:color w:val="000000"/>
                <w:sz w:val="26"/>
              </w:rPr>
              <w:t>CỘNG HÒA XÃ HỘI CHỦ NGHĨA VIỆT NAM</w:t>
            </w:r>
          </w:p>
          <w:p>
            <w:pPr>
              <w:spacing w:before="0" w:after="0" w:line="240" w:lineRule="auto"/>
              <w:ind w:firstLine="0"/>
              <w:jc w:val="center"/>
            </w:pPr>
            <w:r>
              <w:rPr>
                <w:rFonts w:ascii="Times New Roman" w:hAnsi="Times New Roman" w:eastAsia="Times New Roman" w:cs="Times New Roman"/>
                <w:b/>
                <w:i w:val="0"/>
                <w:color w:val="000000"/>
                <w:sz w:val="28"/>
              </w:rPr>
              <w:t>Độc lập - Tự do - Hạnh phúc</w:t>
            </w:r>
          </w:p>
          <w:p>
            <w:pPr>
              <w:pBdr>
                <w:bottom w:val="single" w:sz="6" w:space="1" w:color="000000"/>
              </w:pBdr>
              <w:spacing w:before="0" w:after="0" w:lineRule="exact" w:line="100"/>
              <w:ind w:left="1123" w:right="1123"/>
            </w:pPr>
            <w:r>
              <w:rPr>
                <w:rFonts w:ascii="Times New Roman" w:hAnsi="Times New Roman" w:eastAsia="Times New Roman" w:cs="Times New Roman"/>
                <w:b w:val="0"/>
                <w:i w:val="0"/>
                <w:color w:val="000000"/>
                <w:sz w:val="4"/>
              </w:rPr>
            </w:r>
          </w:p>
        </w:tc>
      </w:tr>
      <w:tr>
        <w:trPr>
          <w:cantSplit/>
        </w:trPr>
        <w:tc>
          <w:tcPr>
            <w:tcW w:type="dxa" w:w="3402"/>
          </w:tcPr>
          <w:p>
            <w:pPr>
              <w:spacing w:before="120" w:after="0" w:line="240" w:lineRule="auto"/>
              <w:ind w:firstLine="0"/>
              <w:jc w:val="center"/>
            </w:pPr>
            <w:r>
              <w:rPr>
                <w:rFonts w:ascii="Times New Roman" w:hAnsi="Times New Roman" w:eastAsia="Times New Roman" w:cs="Times New Roman"/>
                <w:b w:val="0"/>
                <w:i w:val="0"/>
                <w:color w:val="000000"/>
                <w:sz w:val="26"/>
              </w:rPr>
              <w:t>Số: 456/STC-ĐT</w:t>
            </w:r>
          </w:p>
          <w:p>
            <w:pPr>
              <w:spacing w:before="60" w:after="0" w:line="240" w:lineRule="auto"/>
              <w:ind w:firstLine="0"/>
              <w:jc w:val="center"/>
            </w:pPr>
            <w:r>
              <w:rPr>
                <w:rFonts w:ascii="Times New Roman" w:hAnsi="Times New Roman" w:eastAsia="Times New Roman" w:cs="Times New Roman"/>
                <w:b w:val="0"/>
                <w:i w:val="0"/>
                <w:color w:val="000000"/>
                <w:sz w:val="24"/>
              </w:rPr>
              <w:t>V/v đề nghị chấp thuận chủ trương đầu tư dự án Nhà máy chế biến nông sản công nghệ cao</w:t>
            </w:r>
          </w:p>
        </w:tc>
        <w:tc>
          <w:tcPr>
            <w:tcW w:type="dxa" w:w="5669"/>
          </w:tcPr>
          <w:p>
            <w:pPr>
              <w:spacing w:before="120" w:after="0" w:line="240" w:lineRule="auto"/>
              <w:ind w:firstLine="0"/>
              <w:jc w:val="center"/>
            </w:pPr>
            <w:r>
              <w:rPr>
                <w:rFonts w:ascii="Times New Roman" w:hAnsi="Times New Roman" w:eastAsia="Times New Roman" w:cs="Times New Roman"/>
                <w:b w:val="0"/>
                <w:i/>
                <w:color w:val="000000"/>
                <w:sz w:val="28"/>
              </w:rPr>
              <w:t>An Giang, ngày 15 tháng 5 năm 2026</w:t>
            </w:r>
          </w:p>
        </w:tc>
      </w:tr>
    </w:tbl>
    <w:p>
      <w:pPr>
        <w:keepNext w:val="0"/>
        <w:spacing w:before="120" w:after="0" w:line="240" w:lineRule="auto"/>
        <w:ind w:firstLine="0"/>
        <w:jc w:val="both"/>
      </w:pPr>
    </w:p>
    <w:p>
      <w:pPr>
        <w:keepNext w:val="0"/>
        <w:spacing w:before="240" w:after="240" w:line="240" w:lineRule="auto"/>
        <w:ind w:firstLine="0"/>
        <w:jc w:val="center"/>
      </w:pPr>
      <w:r>
        <w:rPr>
          <w:rFonts w:ascii="Times New Roman" w:hAnsi="Times New Roman" w:eastAsia="Times New Roman" w:cs="Times New Roman"/>
          <w:b w:val="0"/>
          <w:i w:val="0"/>
          <w:color w:val="000000"/>
          <w:sz w:val="28"/>
        </w:rPr>
        <w:t xml:space="preserve">Kính gửi: </w:t>
      </w:r>
      <w:r>
        <w:rPr>
          <w:rFonts w:ascii="Times New Roman" w:hAnsi="Times New Roman" w:eastAsia="Times New Roman" w:cs="Times New Roman"/>
          <w:b w:val="0"/>
          <w:i w:val="0"/>
          <w:color w:val="000000"/>
          <w:sz w:val="28"/>
        </w:rPr>
        <w:t>Ủy ban nhân dân tỉnh An Giang</w:t>
      </w:r>
    </w:p>
    <w:p>
      <w:pPr>
        <w:keepNext w:val="0"/>
        <w:spacing w:before="60" w:after="60" w:lineRule="atLeast" w:line="360"/>
        <w:ind w:firstLine="720"/>
        <w:jc w:val="both"/>
      </w:pPr>
      <w:r>
        <w:rPr>
          <w:rFonts w:ascii="Times New Roman" w:hAnsi="Times New Roman" w:eastAsia="Times New Roman" w:cs="Times New Roman"/>
          <w:b w:val="0"/>
          <w:i w:val="0"/>
          <w:color w:val="000000"/>
          <w:sz w:val="28"/>
        </w:rPr>
        <w:t>Ngày 02 tháng 5 năm 2026, Sở Tài chính nhận được hồ sơ đề nghị chấp thuận chủ trương đầu tư dự án Nhà máy chế biến nông sản công nghệ cao của Công ty TNHH Nông sản Xanh (sau đây gọi là nhà đầu tư). Sau khi tổ chức lấy ý kiến các sở, ngành liên quan, Sở Tài chính báo cáo và đề nghị như sau:</w:t>
      </w:r>
    </w:p>
    <w:p>
      <w:pPr>
        <w:keepNext/>
        <w:spacing w:before="120" w:after="60" w:lineRule="atLeast" w:line="360"/>
        <w:ind w:firstLine="720"/>
        <w:jc w:val="both"/>
      </w:pPr>
      <w:r>
        <w:rPr>
          <w:rFonts w:ascii="Times New Roman" w:hAnsi="Times New Roman" w:eastAsia="Times New Roman" w:cs="Times New Roman"/>
          <w:b/>
          <w:i w:val="0"/>
          <w:color w:val="000000"/>
          <w:sz w:val="28"/>
        </w:rPr>
        <w:t>1. Thông tin chính của dự án</w:t>
      </w:r>
    </w:p>
    <w:p>
      <w:pPr>
        <w:keepNext w:val="0"/>
        <w:spacing w:before="60" w:after="60" w:lineRule="atLeast" w:line="360"/>
        <w:ind w:firstLine="720"/>
        <w:jc w:val="both"/>
      </w:pPr>
      <w:r>
        <w:rPr>
          <w:rFonts w:ascii="Times New Roman" w:hAnsi="Times New Roman" w:eastAsia="Times New Roman" w:cs="Times New Roman"/>
          <w:b w:val="0"/>
          <w:i w:val="0"/>
          <w:color w:val="000000"/>
          <w:sz w:val="28"/>
        </w:rPr>
        <w:t>a) Địa điểm thực hiện: Lô CN-05, Khu công nghiệp Bình Long, tỉnh An Giang;</w:t>
      </w:r>
    </w:p>
    <w:p>
      <w:pPr>
        <w:keepNext w:val="0"/>
        <w:spacing w:before="60" w:after="60" w:lineRule="atLeast" w:line="360"/>
        <w:ind w:firstLine="720"/>
        <w:jc w:val="both"/>
      </w:pPr>
      <w:r>
        <w:rPr>
          <w:rFonts w:ascii="Times New Roman" w:hAnsi="Times New Roman" w:eastAsia="Times New Roman" w:cs="Times New Roman"/>
          <w:b w:val="0"/>
          <w:i w:val="0"/>
          <w:color w:val="000000"/>
          <w:sz w:val="28"/>
        </w:rPr>
        <w:t>b) Diện tích đất sử dụng: 25.000 m² (2,5 ha);</w:t>
      </w:r>
    </w:p>
    <w:p>
      <w:pPr>
        <w:keepNext w:val="0"/>
        <w:spacing w:before="60" w:after="60" w:lineRule="atLeast" w:line="360"/>
        <w:ind w:firstLine="720"/>
        <w:jc w:val="both"/>
      </w:pPr>
      <w:r>
        <w:rPr>
          <w:rFonts w:ascii="Times New Roman" w:hAnsi="Times New Roman" w:eastAsia="Times New Roman" w:cs="Times New Roman"/>
          <w:b w:val="0"/>
          <w:i w:val="0"/>
          <w:color w:val="000000"/>
          <w:sz w:val="28"/>
        </w:rPr>
        <w:t>c) Tổng vốn đầu tư: 185.000.000.000 đồng (một trăm tám mươi lăm tỷ đồng), trong đó vốn chủ sở hữu chiếm 30%;</w:t>
      </w:r>
    </w:p>
    <w:p>
      <w:pPr>
        <w:keepNext w:val="0"/>
        <w:spacing w:before="60" w:after="60" w:lineRule="atLeast" w:line="360"/>
        <w:ind w:firstLine="720"/>
        <w:jc w:val="both"/>
      </w:pPr>
      <w:r>
        <w:rPr>
          <w:rFonts w:ascii="Times New Roman" w:hAnsi="Times New Roman" w:eastAsia="Times New Roman" w:cs="Times New Roman"/>
          <w:b w:val="0"/>
          <w:i w:val="0"/>
          <w:color w:val="000000"/>
          <w:sz w:val="28"/>
        </w:rPr>
        <w:t>d) Tiến độ: khởi công quý III năm 2026, đưa vào hoạt động quý IV năm 2027.</w:t>
      </w:r>
    </w:p>
    <w:p>
      <w:pPr>
        <w:keepNext/>
        <w:spacing w:before="120" w:after="60" w:lineRule="atLeast" w:line="360"/>
        <w:ind w:firstLine="720"/>
        <w:jc w:val="both"/>
      </w:pPr>
      <w:r>
        <w:rPr>
          <w:rFonts w:ascii="Times New Roman" w:hAnsi="Times New Roman" w:eastAsia="Times New Roman" w:cs="Times New Roman"/>
          <w:b/>
          <w:i w:val="0"/>
          <w:color w:val="000000"/>
          <w:sz w:val="28"/>
        </w:rPr>
        <w:t>2. Kết quả thẩm định</w:t>
      </w:r>
    </w:p>
    <w:p>
      <w:pPr>
        <w:keepNext w:val="0"/>
        <w:spacing w:before="60" w:after="60" w:lineRule="atLeast" w:line="360"/>
        <w:ind w:firstLine="720"/>
        <w:jc w:val="both"/>
      </w:pPr>
      <w:r>
        <w:rPr>
          <w:rFonts w:ascii="Times New Roman" w:hAnsi="Times New Roman" w:eastAsia="Times New Roman" w:cs="Times New Roman"/>
          <w:b w:val="0"/>
          <w:i w:val="0"/>
          <w:color w:val="000000"/>
          <w:sz w:val="28"/>
        </w:rPr>
        <w:t>Dự án phù hợp với quy hoạch tỉnh; nhà đầu tư đáp ứng điều kiện về năng lực tài chính theo báo cáo tài chính đã được kiểm toán năm 2025; các sở, ngành được lấy ý kiến đều thống nhất.</w:t>
      </w:r>
    </w:p>
    <w:p>
      <w:pPr>
        <w:keepNext/>
        <w:spacing w:before="60" w:after="60" w:lineRule="atLeast" w:line="360"/>
        <w:ind w:firstLine="720"/>
        <w:jc w:val="both"/>
      </w:pPr>
      <w:r>
        <w:rPr>
          <w:rFonts w:ascii="Times New Roman" w:hAnsi="Times New Roman" w:eastAsia="Times New Roman" w:cs="Times New Roman"/>
          <w:b w:val="0"/>
          <w:i w:val="0"/>
          <w:color w:val="000000"/>
          <w:sz w:val="28"/>
        </w:rPr>
        <w:t>Sở Tài chính kính đề nghị Ủy ban nhân dân tỉnh xem xét, chấp thuận chủ trương đầu tư dự án nêu trên./.</w:t>
      </w:r>
    </w:p>
    <w:tbl>
      <w:tblPr>
        <w:tblW w:type="auto" w:w="0"/>
        <w:tblBorders>
          <w:top w:val="nil"/>
          <w:left w:val="nil"/>
          <w:bottom w:val="nil"/>
          <w:right w:val="nil"/>
          <w:insideH w:val="nil"/>
          <w:insideV w:val="nil"/>
        </w:tblBorders>
        <w:tblLayout w:type="fixed"/>
        <w:tblCellMar>
          <w:left w:w="0" w:type="dxa"/>
          <w:right w:w="0" w:type="dxa"/>
        </w:tblCellMar>
        <w:tblLook w:firstColumn="1" w:firstRow="1" w:lastColumn="0" w:lastRow="0" w:noHBand="0" w:noVBand="1" w:val="04A0"/>
      </w:tblPr>
      <w:tblGrid>
        <w:gridCol w:w="3969"/>
        <w:gridCol w:w="5103"/>
      </w:tblGrid>
      <w:tr>
        <w:trPr>
          <w:cantSplit/>
        </w:trPr>
        <w:tc>
          <w:tcPr>
            <w:tcW w:type="dxa" w:w="3969"/>
          </w:tcPr>
          <w:p>
            <w:pPr>
              <w:spacing w:before="240" w:after="0" w:line="240" w:lineRule="auto"/>
              <w:ind w:firstLine="0"/>
              <w:jc w:val="left"/>
            </w:pPr>
            <w:r>
              <w:rPr>
                <w:rFonts w:ascii="Times New Roman" w:hAnsi="Times New Roman" w:eastAsia="Times New Roman" w:cs="Times New Roman"/>
                <w:b/>
                <w:i/>
                <w:color w:val="000000"/>
                <w:sz w:val="24"/>
              </w:rPr>
              <w:t>Nơi nhận:</w:t>
            </w:r>
          </w:p>
          <w:p>
            <w:pPr>
              <w:spacing w:before="0" w:after="0" w:line="240" w:lineRule="auto"/>
              <w:ind w:firstLine="0"/>
              <w:jc w:val="left"/>
            </w:pPr>
            <w:r>
              <w:rPr>
                <w:rFonts w:ascii="Times New Roman" w:hAnsi="Times New Roman" w:eastAsia="Times New Roman" w:cs="Times New Roman"/>
                <w:b w:val="0"/>
                <w:i w:val="0"/>
                <w:color w:val="000000"/>
                <w:sz w:val="22"/>
              </w:rPr>
              <w:t>- Như trên;</w:t>
            </w:r>
          </w:p>
          <w:p>
            <w:pPr>
              <w:spacing w:before="0" w:after="0" w:line="240" w:lineRule="auto"/>
              <w:ind w:firstLine="0"/>
              <w:jc w:val="left"/>
            </w:pPr>
            <w:r>
              <w:rPr>
                <w:rFonts w:ascii="Times New Roman" w:hAnsi="Times New Roman" w:eastAsia="Times New Roman" w:cs="Times New Roman"/>
                <w:b w:val="0"/>
                <w:i w:val="0"/>
                <w:color w:val="000000"/>
                <w:sz w:val="22"/>
              </w:rPr>
              <w:t>- Sở Nông nghiệp và Môi trường;</w:t>
            </w:r>
          </w:p>
          <w:p>
            <w:pPr>
              <w:spacing w:before="0" w:after="0" w:line="240" w:lineRule="auto"/>
              <w:ind w:firstLine="0"/>
              <w:jc w:val="left"/>
            </w:pPr>
            <w:r>
              <w:rPr>
                <w:rFonts w:ascii="Times New Roman" w:hAnsi="Times New Roman" w:eastAsia="Times New Roman" w:cs="Times New Roman"/>
                <w:b w:val="0"/>
                <w:i w:val="0"/>
                <w:color w:val="000000"/>
                <w:sz w:val="22"/>
              </w:rPr>
              <w:t>- Sở Xây dựng;</w:t>
            </w:r>
          </w:p>
          <w:p>
            <w:pPr>
              <w:spacing w:before="0" w:after="0" w:line="240" w:lineRule="auto"/>
              <w:ind w:firstLine="0"/>
              <w:jc w:val="left"/>
            </w:pPr>
            <w:r>
              <w:rPr>
                <w:rFonts w:ascii="Times New Roman" w:hAnsi="Times New Roman" w:eastAsia="Times New Roman" w:cs="Times New Roman"/>
                <w:b w:val="0"/>
                <w:i w:val="0"/>
                <w:color w:val="000000"/>
                <w:sz w:val="22"/>
              </w:rPr>
              <w:t>- Ban Quản lý các khu công nghiệp tỉnh;</w:t>
            </w:r>
          </w:p>
          <w:p>
            <w:pPr>
              <w:spacing w:before="0" w:after="0" w:line="240" w:lineRule="auto"/>
              <w:ind w:firstLine="0"/>
              <w:jc w:val="left"/>
            </w:pPr>
            <w:r>
              <w:rPr>
                <w:rFonts w:ascii="Times New Roman" w:hAnsi="Times New Roman" w:eastAsia="Times New Roman" w:cs="Times New Roman"/>
                <w:b w:val="0"/>
                <w:i w:val="0"/>
                <w:color w:val="000000"/>
                <w:sz w:val="22"/>
              </w:rPr>
              <w:t>- Lưu: VT, ĐT.</w:t>
            </w:r>
          </w:p>
        </w:tc>
        <w:tc>
          <w:tcPr>
            <w:tcW w:type="dxa" w:w="5102"/>
          </w:tcPr>
          <w:p>
            <w:pPr>
              <w:spacing w:before="240" w:after="0" w:line="240" w:lineRule="auto"/>
              <w:ind w:firstLine="0"/>
              <w:jc w:val="center"/>
            </w:pPr>
            <w:r>
              <w:rPr>
                <w:rFonts w:ascii="Times New Roman" w:hAnsi="Times New Roman" w:eastAsia="Times New Roman" w:cs="Times New Roman"/>
                <w:b/>
                <w:i w:val="0"/>
                <w:color w:val="000000"/>
                <w:sz w:val="28"/>
              </w:rPr>
              <w:t>KT. GIÁM ĐỐC</w:t>
            </w:r>
          </w:p>
          <w:p>
            <w:pPr>
              <w:spacing w:before="0" w:after="0" w:line="240" w:lineRule="auto"/>
              <w:ind w:firstLine="0"/>
              <w:jc w:val="center"/>
            </w:pPr>
            <w:r>
              <w:rPr>
                <w:rFonts w:ascii="Times New Roman" w:hAnsi="Times New Roman" w:eastAsia="Times New Roman" w:cs="Times New Roman"/>
                <w:b/>
                <w:i w:val="0"/>
                <w:color w:val="000000"/>
                <w:sz w:val="28"/>
              </w:rPr>
              <w:t>PHÓ GIÁM ĐỐC</w:t>
            </w:r>
          </w:p>
          <w:p>
            <w:pPr>
              <w:spacing w:before="0" w:after="0" w:line="240" w:lineRule="auto"/>
              <w:ind w:firstLine="0"/>
              <w:jc w:val="center"/>
            </w:pPr>
          </w:p>
          <w:p>
            <w:pPr>
              <w:spacing w:before="0" w:after="0" w:line="240" w:lineRule="auto"/>
              <w:ind w:firstLine="0"/>
              <w:jc w:val="center"/>
            </w:pPr>
          </w:p>
          <w:p>
            <w:pPr>
              <w:spacing w:before="0" w:after="0" w:line="240" w:lineRule="auto"/>
              <w:ind w:firstLine="0"/>
              <w:jc w:val="center"/>
            </w:pPr>
          </w:p>
          <w:p>
            <w:pPr>
              <w:spacing w:before="0" w:after="0" w:line="240" w:lineRule="auto"/>
              <w:ind w:firstLine="0"/>
              <w:jc w:val="center"/>
            </w:pPr>
          </w:p>
          <w:p>
            <w:pPr>
              <w:spacing w:before="0" w:after="0" w:line="240" w:lineRule="auto"/>
              <w:ind w:firstLine="0"/>
              <w:jc w:val="center"/>
            </w:pPr>
            <w:r>
              <w:rPr>
                <w:rFonts w:ascii="Times New Roman" w:hAnsi="Times New Roman" w:eastAsia="Times New Roman" w:cs="Times New Roman"/>
                <w:b/>
                <w:i w:val="0"/>
                <w:color w:val="000000"/>
                <w:sz w:val="28"/>
              </w:rPr>
              <w:t>Trần Văn Minh</w:t>
            </w:r>
          </w:p>
        </w:tc>
      </w:tr>
    </w:tbl>
    <w:sectPr w:rsidR="00FC693F" w:rsidRPr="0006063C" w:rsidSect="00034616">
      <w:headerReference w:type="default" r:id="rId9"/>
      <w:pgSz w:w="11906" w:h="16838"/>
      <w:pgMar w:top="1134" w:right="1134" w:bottom="1134" w:left="170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cs="Times New Roman"/>
        <w:b w:val="0"/>
        <w:i w:val="0"/>
        <w:color w:val="000000"/>
        <w:sz w:val="26"/>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