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C4" w:rsidRPr="00B823C3" w:rsidRDefault="00C367C4" w:rsidP="00C367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APPENDIX C</w:t>
      </w:r>
      <w:bookmarkStart w:id="0" w:name="_GoBack"/>
      <w:bookmarkEnd w:id="0"/>
    </w:p>
    <w:p w:rsidR="00C367C4" w:rsidRPr="00B823C3" w:rsidRDefault="00C367C4" w:rsidP="00C36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 xml:space="preserve">ARM® Cortex™-A9 </w:t>
      </w:r>
      <w:proofErr w:type="spellStart"/>
      <w:r w:rsidRPr="00B823C3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Pr="00B823C3">
        <w:rPr>
          <w:rFonts w:ascii="Times New Roman" w:hAnsi="Times New Roman" w:cs="Times New Roman"/>
          <w:sz w:val="24"/>
          <w:szCs w:val="24"/>
        </w:rPr>
        <w:t>™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27720B" w:rsidTr="0027720B">
        <w:tc>
          <w:tcPr>
            <w:tcW w:w="7910" w:type="dxa"/>
          </w:tcPr>
          <w:p w:rsidR="0027720B" w:rsidRPr="00B823C3" w:rsidRDefault="0027720B" w:rsidP="0027720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800 MHz dual-core processor supporting symmetric and asymmetric multiprocessing</w:t>
            </w:r>
          </w:p>
          <w:p w:rsidR="0027720B" w:rsidRPr="00B823C3" w:rsidRDefault="0027720B" w:rsidP="0027720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Each processor includes the following: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High-efficiency, dual-issue superscalar pipeline (2.5 MIPS* per MHz)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NEONTM media processing engine for media and signal processing acceleration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Single- and double-precision floating-point unit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32 KB instruction and 32 KB data caches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Cache coherence for enhanced inter-processor communication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 xml:space="preserve">Memory Management Unit with </w:t>
            </w:r>
            <w:proofErr w:type="spellStart"/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TrustZone</w:t>
            </w:r>
            <w:proofErr w:type="spellEnd"/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® security technology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Thumb®-2 technology for enhanced code density, performance, and power efficiency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Jazelle</w:t>
            </w:r>
            <w:proofErr w:type="spellEnd"/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® architecture extensions for accelerating Java Virtual Machine</w:t>
            </w:r>
          </w:p>
          <w:p w:rsidR="0027720B" w:rsidRPr="00B823C3" w:rsidRDefault="0027720B" w:rsidP="0027720B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 xml:space="preserve">Program Trace </w:t>
            </w:r>
            <w:proofErr w:type="spellStart"/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Macrocell</w:t>
            </w:r>
            <w:proofErr w:type="spellEnd"/>
            <w:r w:rsidRPr="00B823C3">
              <w:rPr>
                <w:rFonts w:ascii="Times New Roman" w:hAnsi="Times New Roman" w:cs="Times New Roman"/>
                <w:sz w:val="24"/>
                <w:szCs w:val="24"/>
              </w:rPr>
              <w:t xml:space="preserve"> for full visibility of processor instruction flow</w:t>
            </w:r>
          </w:p>
          <w:p w:rsidR="0027720B" w:rsidRPr="00B823C3" w:rsidRDefault="0027720B" w:rsidP="0027720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Shared 512 KB, 8-way associative L2 cache, lockable by way, line, or master</w:t>
            </w:r>
          </w:p>
          <w:p w:rsidR="0027720B" w:rsidRPr="00B823C3" w:rsidRDefault="0027720B" w:rsidP="0027720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Acceleration coherency port that extends coherent memory access beyond the CPUs</w:t>
            </w:r>
          </w:p>
          <w:p w:rsidR="0027720B" w:rsidRPr="00B823C3" w:rsidRDefault="0027720B" w:rsidP="0027720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Generic interrupt controller</w:t>
            </w:r>
          </w:p>
          <w:p w:rsidR="0027720B" w:rsidRPr="00B823C3" w:rsidRDefault="0027720B" w:rsidP="0027720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32 bit general purpose timer</w:t>
            </w:r>
          </w:p>
          <w:p w:rsidR="0027720B" w:rsidRPr="00B823C3" w:rsidRDefault="0027720B" w:rsidP="0027720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Watchdog timer</w:t>
            </w:r>
          </w:p>
          <w:p w:rsidR="0027720B" w:rsidRDefault="0027720B" w:rsidP="0027720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3">
              <w:rPr>
                <w:rFonts w:ascii="Times New Roman" w:hAnsi="Times New Roman" w:cs="Times New Roman"/>
                <w:sz w:val="24"/>
                <w:szCs w:val="24"/>
              </w:rPr>
              <w:t xml:space="preserve">Available in Altera® </w:t>
            </w:r>
            <w:proofErr w:type="spellStart"/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Arria</w:t>
            </w:r>
            <w:proofErr w:type="spellEnd"/>
            <w:r w:rsidRPr="00B823C3">
              <w:rPr>
                <w:rFonts w:ascii="Times New Roman" w:hAnsi="Times New Roman" w:cs="Times New Roman"/>
                <w:sz w:val="24"/>
                <w:szCs w:val="24"/>
              </w:rPr>
              <w:t>® V SoCs and Cyclone® V SoCs</w:t>
            </w:r>
          </w:p>
          <w:p w:rsidR="0027720B" w:rsidRDefault="0027720B" w:rsidP="0027720B">
            <w:pPr>
              <w:spacing w:line="276" w:lineRule="auto"/>
            </w:pPr>
          </w:p>
        </w:tc>
      </w:tr>
    </w:tbl>
    <w:p w:rsidR="004B3CA5" w:rsidRDefault="004B3CA5" w:rsidP="0027720B">
      <w:pPr>
        <w:spacing w:line="276" w:lineRule="auto"/>
      </w:pPr>
    </w:p>
    <w:sectPr w:rsidR="004B3CA5" w:rsidSect="0027720B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B5361"/>
    <w:multiLevelType w:val="hybridMultilevel"/>
    <w:tmpl w:val="CFCC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C4"/>
    <w:rsid w:val="0027720B"/>
    <w:rsid w:val="004B3CA5"/>
    <w:rsid w:val="00561B37"/>
    <w:rsid w:val="00C367C4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407C1-296D-488C-8FFC-46383877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7C4"/>
    <w:pPr>
      <w:ind w:left="720"/>
      <w:contextualSpacing/>
    </w:pPr>
  </w:style>
  <w:style w:type="table" w:styleId="TableGrid">
    <w:name w:val="Table Grid"/>
    <w:basedOn w:val="TableNormal"/>
    <w:uiPriority w:val="39"/>
    <w:rsid w:val="00277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>Kinalibangon Digital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dcterms:created xsi:type="dcterms:W3CDTF">2014-03-13T21:39:00Z</dcterms:created>
  <dcterms:modified xsi:type="dcterms:W3CDTF">2014-03-21T18:31:00Z</dcterms:modified>
</cp:coreProperties>
</file>