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望京 SOHO 店 周度经营建议（2026-09-07 ~ 2026-09-13）</w:t>
      </w:r>
    </w:p>
    <w:p>
      <w:r>
        <w:rPr>
          <w:color w:val="707070"/>
          <w:sz w:val="20"/>
        </w:rPr>
        <w:t>本建议由 AI 生成，仅给出一个重点动作；执行前请门店负责人人工确认</w:t>
      </w:r>
    </w:p>
    <w:p>
      <w:pPr>
        <w:pStyle w:val="Heading1"/>
      </w:pPr>
      <w:r>
        <w:t>一、周度概览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上周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周环比</w:t>
            </w:r>
          </w:p>
        </w:tc>
      </w:tr>
      <w:tr>
        <w:tc>
          <w:tcPr>
            <w:tcW w:type="dxa" w:w="2160"/>
          </w:tcPr>
          <w:p>
            <w:r>
              <w:t>营收</w:t>
            </w:r>
          </w:p>
        </w:tc>
        <w:tc>
          <w:tcPr>
            <w:tcW w:type="dxa" w:w="2160"/>
          </w:tcPr>
          <w:p>
            <w:r>
              <w:t>¥66,268</w:t>
            </w:r>
          </w:p>
        </w:tc>
        <w:tc>
          <w:tcPr>
            <w:tcW w:type="dxa" w:w="2160"/>
          </w:tcPr>
          <w:p>
            <w:r>
              <w:t>¥78,920</w:t>
            </w:r>
          </w:p>
        </w:tc>
        <w:tc>
          <w:tcPr>
            <w:tcW w:type="dxa" w:w="2160"/>
          </w:tcPr>
          <w:p>
            <w:r>
              <w:t>-16.0%</w:t>
            </w:r>
          </w:p>
        </w:tc>
      </w:tr>
      <w:tr>
        <w:tc>
          <w:tcPr>
            <w:tcW w:type="dxa" w:w="2160"/>
          </w:tcPr>
          <w:p>
            <w:r>
              <w:t>订单</w:t>
            </w:r>
          </w:p>
        </w:tc>
        <w:tc>
          <w:tcPr>
            <w:tcW w:type="dxa" w:w="2160"/>
          </w:tcPr>
          <w:p>
            <w:r>
              <w:t>1,061 单</w:t>
            </w:r>
          </w:p>
        </w:tc>
        <w:tc>
          <w:tcPr>
            <w:tcW w:type="dxa" w:w="2160"/>
          </w:tcPr>
          <w:p>
            <w:r>
              <w:t>1,250 单</w:t>
            </w:r>
          </w:p>
        </w:tc>
        <w:tc>
          <w:tcPr>
            <w:tcW w:type="dxa" w:w="2160"/>
          </w:tcPr>
          <w:p>
            <w:r>
              <w:t>-15.1%</w:t>
            </w:r>
          </w:p>
        </w:tc>
      </w:tr>
      <w:tr>
        <w:tc>
          <w:tcPr>
            <w:tcW w:type="dxa" w:w="2160"/>
          </w:tcPr>
          <w:p>
            <w:r>
              <w:t>访客</w:t>
            </w:r>
          </w:p>
        </w:tc>
        <w:tc>
          <w:tcPr>
            <w:tcW w:type="dxa" w:w="2160"/>
          </w:tcPr>
          <w:p>
            <w:r>
              <w:t>52,107</w:t>
            </w:r>
          </w:p>
        </w:tc>
        <w:tc>
          <w:tcPr>
            <w:tcW w:type="dxa" w:w="2160"/>
          </w:tcPr>
          <w:p>
            <w:r>
              <w:t>41,500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</w:tr>
      <w:tr>
        <w:tc>
          <w:tcPr>
            <w:tcW w:type="dxa" w:w="2160"/>
          </w:tcPr>
          <w:p>
            <w:r>
              <w:t>退款额</w:t>
            </w:r>
          </w:p>
        </w:tc>
        <w:tc>
          <w:tcPr>
            <w:tcW w:type="dxa" w:w="2160"/>
          </w:tcPr>
          <w:p>
            <w:r>
              <w:t>¥2,028</w:t>
            </w:r>
          </w:p>
        </w:tc>
        <w:tc>
          <w:tcPr>
            <w:tcW w:type="dxa" w:w="2160"/>
          </w:tcPr>
          <w:p>
            <w:r>
              <w:t>¥1,960</w:t>
            </w:r>
          </w:p>
        </w:tc>
        <w:tc>
          <w:tcPr>
            <w:tcW w:type="dxa" w:w="2160"/>
          </w:tcPr>
          <w:p>
            <w:r>
              <w:t>+3.5%</w:t>
            </w:r>
          </w:p>
        </w:tc>
      </w:tr>
      <w:tr>
        <w:tc>
          <w:tcPr>
            <w:tcW w:type="dxa" w:w="2160"/>
          </w:tcPr>
          <w:p>
            <w:r>
              <w:t>客单价</w:t>
            </w:r>
          </w:p>
        </w:tc>
        <w:tc>
          <w:tcPr>
            <w:tcW w:type="dxa" w:w="2160"/>
          </w:tcPr>
          <w:p>
            <w:r>
              <w:t>¥62.46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转化率</w:t>
            </w:r>
          </w:p>
        </w:tc>
        <w:tc>
          <w:tcPr>
            <w:tcW w:type="dxa" w:w="2160"/>
          </w:tcPr>
          <w:p>
            <w:r>
              <w:t>2.04%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健康区间 2%~5%</w:t>
            </w:r>
          </w:p>
        </w:tc>
      </w:tr>
      <w:tr>
        <w:tc>
          <w:tcPr>
            <w:tcW w:type="dxa" w:w="2160"/>
          </w:tcPr>
          <w:p>
            <w:r>
              <w:t>退款率</w:t>
            </w:r>
          </w:p>
        </w:tc>
        <w:tc>
          <w:tcPr>
            <w:tcW w:type="dxa" w:w="2160"/>
          </w:tcPr>
          <w:p>
            <w:r>
              <w:t>3.06%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健康线 &lt; 3%</w:t>
            </w:r>
          </w:p>
        </w:tc>
      </w:tr>
    </w:tbl>
    <w:p>
      <w:pPr>
        <w:pStyle w:val="Heading1"/>
      </w:pPr>
      <w:r>
        <w:t>二、按星期几看结构（周末效应会造成 30%+ 正常波动，必须对齐星期）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星期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订单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日均营收</w:t>
            </w:r>
          </w:p>
        </w:tc>
      </w:tr>
      <w:tr>
        <w:tc>
          <w:tcPr>
            <w:tcW w:type="dxa" w:w="1728"/>
          </w:tcPr>
          <w:p>
            <w:r>
              <w:t>周一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¥8,929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¥8,929</w:t>
            </w:r>
          </w:p>
        </w:tc>
      </w:tr>
      <w:tr>
        <w:tc>
          <w:tcPr>
            <w:tcW w:type="dxa" w:w="1728"/>
          </w:tcPr>
          <w:p>
            <w:r>
              <w:t>周二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¥6,247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¥6,247</w:t>
            </w:r>
          </w:p>
        </w:tc>
      </w:tr>
      <w:tr>
        <w:tc>
          <w:tcPr>
            <w:tcW w:type="dxa" w:w="1728"/>
          </w:tcPr>
          <w:p>
            <w:r>
              <w:t>周三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¥9,184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¥9,184</w:t>
            </w:r>
          </w:p>
        </w:tc>
      </w:tr>
      <w:tr>
        <w:tc>
          <w:tcPr>
            <w:tcW w:type="dxa" w:w="1728"/>
          </w:tcPr>
          <w:p>
            <w:r>
              <w:t>周四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¥9,323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¥9,323</w:t>
            </w:r>
          </w:p>
        </w:tc>
      </w:tr>
      <w:tr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¥9,077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¥9,077</w:t>
            </w:r>
          </w:p>
        </w:tc>
      </w:tr>
      <w:tr>
        <w:tc>
          <w:tcPr>
            <w:tcW w:type="dxa" w:w="1728"/>
          </w:tcPr>
          <w:p>
            <w:r>
              <w:t>周六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¥11,490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¥11,490</w:t>
            </w:r>
          </w:p>
        </w:tc>
      </w:tr>
      <w:tr>
        <w:tc>
          <w:tcPr>
            <w:tcW w:type="dxa" w:w="1728"/>
          </w:tcPr>
          <w:p>
            <w:r>
              <w:t>周日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¥12,018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¥12,018</w:t>
            </w:r>
          </w:p>
        </w:tc>
      </w:tr>
    </w:tbl>
    <w:p>
      <w:pPr>
        <w:pStyle w:val="Heading1"/>
      </w:pPr>
      <w:r>
        <w:t>三、本周确认异常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实际值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1440"/>
          </w:tcPr>
          <w:p>
            <w:r>
              <w:t>2026-09-09</w:t>
            </w:r>
          </w:p>
        </w:tc>
        <w:tc>
          <w:tcPr>
            <w:tcW w:type="dxa" w:w="1440"/>
          </w:tcPr>
          <w:p>
            <w:r>
              <w:t>营收连续趋势</w:t>
            </w:r>
          </w:p>
        </w:tc>
        <w:tc>
          <w:tcPr>
            <w:tcW w:type="dxa" w:w="1440"/>
          </w:tcPr>
          <w:p>
            <w:r>
              <w:t>R3 连续趋势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连续 4 天下滑</w:t>
            </w:r>
          </w:p>
        </w:tc>
        <w:tc>
          <w:tcPr>
            <w:tcW w:type="dxa" w:w="1440"/>
          </w:tcPr>
          <w:p>
            <w:r>
              <w:t>2026-09-05 → 2026-09-09 累计 -23.1%</w:t>
            </w:r>
          </w:p>
        </w:tc>
      </w:tr>
      <w:tr>
        <w:tc>
          <w:tcPr>
            <w:tcW w:type="dxa" w:w="1440"/>
          </w:tcPr>
          <w:p>
            <w:r>
              <w:t>2026-09-12</w:t>
            </w:r>
          </w:p>
        </w:tc>
        <w:tc>
          <w:tcPr>
            <w:tcW w:type="dxa" w:w="1440"/>
          </w:tcPr>
          <w:p>
            <w:r>
              <w:t>转化率连续趋势</w:t>
            </w:r>
          </w:p>
        </w:tc>
        <w:tc>
          <w:tcPr>
            <w:tcW w:type="dxa" w:w="1440"/>
          </w:tcPr>
          <w:p>
            <w:r>
              <w:t>R3 连续趋势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连续 4 天下滑</w:t>
            </w:r>
          </w:p>
        </w:tc>
        <w:tc>
          <w:tcPr>
            <w:tcW w:type="dxa" w:w="1440"/>
          </w:tcPr>
          <w:p>
            <w:r>
              <w:t>2026-09-08 → 2026-09-12 累计 -30.7%</w:t>
            </w:r>
          </w:p>
        </w:tc>
      </w:tr>
      <w:tr>
        <w:tc>
          <w:tcPr>
            <w:tcW w:type="dxa" w:w="1440"/>
          </w:tcPr>
          <w:p>
            <w:r>
              <w:t>2026-09-08</w:t>
            </w:r>
          </w:p>
        </w:tc>
        <w:tc>
          <w:tcPr>
            <w:tcW w:type="dxa" w:w="1440"/>
          </w:tcPr>
          <w:p>
            <w:r>
              <w:t>营收同比</w:t>
            </w:r>
          </w:p>
        </w:tc>
        <w:tc>
          <w:tcPr>
            <w:tcW w:type="dxa" w:w="1440"/>
          </w:tcPr>
          <w:p>
            <w:r>
              <w:t>R4 季节性（同比优先）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-25.0%</w:t>
            </w:r>
          </w:p>
        </w:tc>
        <w:tc>
          <w:tcPr>
            <w:tcW w:type="dxa" w:w="1440"/>
          </w:tcPr>
          <w:p>
            <w:r>
              <w:t>去年同期 11922 元，本期 8942 元</w:t>
            </w:r>
          </w:p>
        </w:tc>
      </w:tr>
      <w:tr>
        <w:tc>
          <w:tcPr>
            <w:tcW w:type="dxa" w:w="1440"/>
          </w:tcPr>
          <w:p>
            <w:r>
              <w:t>2026-09-12</w:t>
            </w:r>
          </w:p>
        </w:tc>
        <w:tc>
          <w:tcPr>
            <w:tcW w:type="dxa" w:w="1440"/>
          </w:tcPr>
          <w:p>
            <w:r>
              <w:t>营收环比</w:t>
            </w:r>
          </w:p>
        </w:tc>
        <w:tc>
          <w:tcPr>
            <w:tcW w:type="dxa" w:w="1440"/>
          </w:tcPr>
          <w:p>
            <w:r>
              <w:t>R1 绝对阈值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-20.6%</w:t>
            </w:r>
          </w:p>
        </w:tc>
        <w:tc>
          <w:tcPr>
            <w:tcW w:type="dxa" w:w="1440"/>
          </w:tcPr>
          <w:p>
            <w:r>
              <w:t>营收 6895 元（前一日 8679 元）</w:t>
            </w:r>
          </w:p>
        </w:tc>
      </w:tr>
    </w:tbl>
    <w:p>
      <w:pPr>
        <w:pStyle w:val="Heading1"/>
      </w:pPr>
      <w:r>
        <w:t>四、下周一个重点动作</w:t>
      </w:r>
    </w:p>
    <w:p>
      <w:r>
        <w:t>选取理由：本周存在 2 条高等级确认异常，优先级最高｜责任人：店长 王敏｜预算上限：0</w:t>
      </w:r>
    </w:p>
    <w:p>
      <w:pPr>
        <w:pStyle w:val="ListBullet"/>
      </w:pPr>
      <w:r>
        <w:t>让店长 王敏把「2026-09-09 营收连续趋势（连续 4 天下滑）」当作下周第一件事：拉出该指标对应的原始单据逐条核对，先定性再动手。（零预算：不动用投放费用）</w:t>
      </w:r>
    </w:p>
    <w:p>
      <w:pPr>
        <w:pStyle w:val="Heading1"/>
      </w:pPr>
      <w:r>
        <w:t>五、周环比图</w:t>
      </w:r>
    </w:p>
    <w:p>
      <w:r>
        <w:drawing>
          <wp:inline xmlns:a="http://schemas.openxmlformats.org/drawingml/2006/main" xmlns:pic="http://schemas.openxmlformats.org/drawingml/2006/picture">
            <wp:extent cx="5394960" cy="2729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周对比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92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