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望京 SOHO 店 经营日报（2026-09-12）</w:t>
      </w:r>
    </w:p>
    <w:p>
      <w:r>
        <w:rPr>
          <w:color w:val="707070"/>
          <w:sz w:val="20"/>
        </w:rPr>
        <w:t>餐饮 · AI 生成内容 · 数值以脚本重算为准</w:t>
      </w:r>
    </w:p>
    <w:p>
      <w:pPr>
        <w:pStyle w:val="Heading1"/>
      </w:pPr>
      <w:r>
        <w:t>一、一句话结论</w:t>
      </w:r>
    </w:p>
    <w:p>
      <w:r>
        <w:t>今天掉了，营收 ¥6,895，比上周同星期少 38.9%，问题出在到店客流，不是订单质量。</w:t>
      </w:r>
    </w:p>
    <w:p>
      <w:pPr>
        <w:pStyle w:val="Heading1"/>
      </w:pPr>
      <w:r>
        <w:t>二、核心指标（关键数 ≤ 3，每个带参照物）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本期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t>营收</w:t>
            </w:r>
          </w:p>
        </w:tc>
        <w:tc>
          <w:tcPr>
            <w:tcW w:type="dxa" w:w="2160"/>
          </w:tcPr>
          <w:p>
            <w:r>
              <w:t>¥6,895</w:t>
            </w:r>
          </w:p>
        </w:tc>
        <w:tc>
          <w:tcPr>
            <w:tcW w:type="dxa" w:w="2160"/>
          </w:tcPr>
          <w:p>
            <w:r>
              <w:t>上周同星期（2026-09-05 周六） ¥11,276，-38.9%</w:t>
            </w:r>
          </w:p>
        </w:tc>
        <w:tc>
          <w:tcPr>
            <w:tcW w:type="dxa" w:w="2160"/>
          </w:tcPr>
          <w:p>
            <w:r>
              <w:t>超出 20% 波动带，需当天复盘</w:t>
            </w:r>
          </w:p>
        </w:tc>
      </w:tr>
      <w:tr>
        <w:tc>
          <w:tcPr>
            <w:tcW w:type="dxa" w:w="2160"/>
          </w:tcPr>
          <w:p>
            <w:r>
              <w:t>退款率</w:t>
            </w:r>
          </w:p>
        </w:tc>
        <w:tc>
          <w:tcPr>
            <w:tcW w:type="dxa" w:w="2160"/>
          </w:tcPr>
          <w:p>
            <w:r>
              <w:t>4.00%</w:t>
            </w:r>
          </w:p>
        </w:tc>
        <w:tc>
          <w:tcPr>
            <w:tcW w:type="dxa" w:w="2160"/>
          </w:tcPr>
          <w:p>
            <w:r>
              <w:t>健康线 &lt; 3%</w:t>
            </w:r>
          </w:p>
        </w:tc>
        <w:tc>
          <w:tcPr>
            <w:tcW w:type="dxa" w:w="2160"/>
          </w:tcPr>
          <w:p>
            <w:r>
              <w:t>需关注</w:t>
            </w:r>
          </w:p>
        </w:tc>
      </w:tr>
      <w:tr>
        <w:tc>
          <w:tcPr>
            <w:tcW w:type="dxa" w:w="2160"/>
          </w:tcPr>
          <w:p>
            <w:r>
              <w:t>订单数</w:t>
            </w:r>
          </w:p>
        </w:tc>
        <w:tc>
          <w:tcPr>
            <w:tcW w:type="dxa" w:w="2160"/>
          </w:tcPr>
          <w:p>
            <w:r>
              <w:t>124 单</w:t>
            </w:r>
          </w:p>
        </w:tc>
        <w:tc>
          <w:tcPr>
            <w:tcW w:type="dxa" w:w="2160"/>
          </w:tcPr>
          <w:p>
            <w:r>
              <w:t>上周同星期 174 单，-28.7%</w:t>
            </w:r>
          </w:p>
        </w:tc>
        <w:tc>
          <w:tcPr>
            <w:tcW w:type="dxa" w:w="2160"/>
          </w:tcPr>
          <w:p>
            <w:r>
              <w:t>与营收同向</w:t>
            </w:r>
          </w:p>
        </w:tc>
      </w:tr>
    </w:tbl>
    <w:p>
      <w:pPr>
        <w:pStyle w:val="Heading1"/>
      </w:pPr>
      <w:r>
        <w:t>三、异常点与排查方向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实际值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阈值/基线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排查方向</w:t>
            </w:r>
          </w:p>
        </w:tc>
      </w:tr>
      <w:tr>
        <w:tc>
          <w:tcPr>
            <w:tcW w:type="dxa" w:w="2160"/>
          </w:tcPr>
          <w:p>
            <w:r>
              <w:t>营收</w:t>
            </w:r>
          </w:p>
        </w:tc>
        <w:tc>
          <w:tcPr>
            <w:tcW w:type="dxa" w:w="2160"/>
          </w:tcPr>
          <w:p>
            <w:r>
              <w:t>¥6,895</w:t>
            </w:r>
          </w:p>
        </w:tc>
        <w:tc>
          <w:tcPr>
            <w:tcW w:type="dxa" w:w="2160"/>
          </w:tcPr>
          <w:p>
            <w:r>
              <w:t>环比 ≤ -20%</w:t>
            </w:r>
          </w:p>
        </w:tc>
        <w:tc>
          <w:tcPr>
            <w:tcW w:type="dxa" w:w="2160"/>
          </w:tcPr>
          <w:p>
            <w:r>
              <w:t>按小时拆分营收定位掉量时段，先看外卖曝光与进店客流哪个先掉，再决定调流量还是调活动</w:t>
            </w:r>
          </w:p>
        </w:tc>
      </w:tr>
      <w:tr>
        <w:tc>
          <w:tcPr>
            <w:tcW w:type="dxa" w:w="2160"/>
          </w:tcPr>
          <w:p>
            <w:r>
              <w:t>退款率</w:t>
            </w:r>
          </w:p>
        </w:tc>
        <w:tc>
          <w:tcPr>
            <w:tcW w:type="dxa" w:w="2160"/>
          </w:tcPr>
          <w:p>
            <w:r>
              <w:t>4.00%</w:t>
            </w:r>
          </w:p>
        </w:tc>
        <w:tc>
          <w:tcPr>
            <w:tcW w:type="dxa" w:w="2160"/>
          </w:tcPr>
          <w:p>
            <w:r>
              <w:t>健康线 &lt; 3%</w:t>
            </w:r>
          </w:p>
        </w:tc>
        <w:tc>
          <w:tcPr>
            <w:tcW w:type="dxa" w:w="2160"/>
          </w:tcPr>
          <w:p>
            <w:r>
              <w:t>逐单核对当日退款原因，按出餐慢 / 配送超时 / 质量问题分桶，占 60% 以上的桶先处理</w:t>
            </w:r>
          </w:p>
        </w:tc>
      </w:tr>
    </w:tbl>
    <w:p>
      <w:pPr>
        <w:pStyle w:val="Heading1"/>
      </w:pPr>
      <w:r>
        <w:t>四、明日建议（责任人 + 动作 + 范围）</w:t>
      </w:r>
    </w:p>
    <w:p>
      <w:pPr>
        <w:pStyle w:val="ListBullet"/>
      </w:pPr>
      <w:r>
        <w:t>让店长明天逐单看近 3 天的退款原因，先确认集中在出餐慢还是配送，锁定主要桶再处理</w:t>
      </w:r>
    </w:p>
    <w:p>
      <w:pPr>
        <w:pStyle w:val="ListBullet"/>
      </w:pPr>
      <w:r>
        <w:t>让店长复盘高峰时段（10:00—14:00）的外卖曝光与进店转化，先确认是流量没进来还是进来了没下单</w:t>
      </w:r>
    </w:p>
    <w:p>
      <w:pPr>
        <w:pStyle w:val="Heading1"/>
      </w:pPr>
      <w:r>
        <w:t>五、数据口径与人工确认</w:t>
      </w:r>
    </w:p>
    <w:p>
      <w:pPr>
        <w:pStyle w:val="ListBullet"/>
      </w:pPr>
      <w:r>
        <w:t>星期对齐：对比口径为「上周同星期（2026-09-05 周六）」，不做跨星期比较（周末效应 30%~50% 属正常波动）</w:t>
      </w:r>
    </w:p>
    <w:p>
      <w:pPr>
        <w:pStyle w:val="ListBullet"/>
      </w:pPr>
      <w:r>
        <w:t>小样本纪律：当日订单 124 单（≥ 20 单，判定有效）</w:t>
      </w:r>
    </w:p>
    <w:p>
      <w:pPr>
        <w:pStyle w:val="ListBullet"/>
      </w:pPr>
      <w:r>
        <w:t>特殊期检查：非特殊期，偏离按真实波动处理</w:t>
      </w:r>
    </w:p>
    <w:p>
      <w:pPr>
        <w:pStyle w:val="ListBullet"/>
      </w:pPr>
      <w:r>
        <w:t>本日报为 AI 生成内容，数据口径以门店台账为准，对外使用前请人工复核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