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山禾炊具旗舰店 评价周报复盘（2026-09-22 ~ 2026-09-28）</w:t>
      </w:r>
    </w:p>
    <w:p>
      <w:r>
        <w:rPr>
          <w:color w:val="707070"/>
          <w:sz w:val="20"/>
        </w:rPr>
        <w:t>京东 · AI 生成内容</w:t>
      </w:r>
    </w:p>
    <w:p>
      <w:pPr>
        <w:pStyle w:val="Heading1"/>
      </w:pPr>
      <w:r>
        <w:t>一、核心结论</w:t>
      </w:r>
    </w:p>
    <w:p>
      <w:r>
        <w:t>本周评分 4.66（上周 4.72），首要根因「期望差(主观)」占差评 40%；评分 4.66 &lt; 4.7 达标线；差评率 4.1% &gt; 3%，须专项治理；回复率 96% &lt; 100%，约 12 条漏回复；评分连续 3 天下滑（4.73→4.66），判趋势恶化非噪声。</w:t>
      </w:r>
    </w:p>
    <w:p>
      <w:pPr>
        <w:pStyle w:val="Heading1"/>
      </w:pPr>
      <w:r>
        <w:t>二、本周评分走势</w:t>
      </w:r>
    </w:p>
    <w:p>
      <w:r>
        <w:t>本周均值 4.66，达标线 4.7；连续 3 天同向变化才判趋势。</w:t>
      </w:r>
    </w:p>
    <w:p>
      <w:r>
        <w:drawing>
          <wp:inline xmlns:a="http://schemas.openxmlformats.org/drawingml/2006/main" xmlns:pic="http://schemas.openxmlformats.org/drawingml/2006/picture">
            <wp:extent cx="5394960" cy="26781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情感与根因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78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三、指标对照（本周 vs 上周）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本周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上周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基准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判定</w:t>
            </w:r>
          </w:p>
        </w:tc>
      </w:tr>
      <w:tr>
        <w:tc>
          <w:tcPr>
            <w:tcW w:type="dxa" w:w="1728"/>
          </w:tcPr>
          <w:p>
            <w:r>
              <w:t>店铺评分</w:t>
            </w:r>
          </w:p>
        </w:tc>
        <w:tc>
          <w:tcPr>
            <w:tcW w:type="dxa" w:w="1728"/>
          </w:tcPr>
          <w:p>
            <w:r>
              <w:t>4.66</w:t>
            </w:r>
          </w:p>
        </w:tc>
        <w:tc>
          <w:tcPr>
            <w:tcW w:type="dxa" w:w="1728"/>
          </w:tcPr>
          <w:p>
            <w:r>
              <w:t>4.72</w:t>
            </w:r>
          </w:p>
        </w:tc>
        <w:tc>
          <w:tcPr>
            <w:tcW w:type="dxa" w:w="1728"/>
          </w:tcPr>
          <w:p>
            <w:r>
              <w:t>4.7</w:t>
            </w:r>
          </w:p>
        </w:tc>
        <w:tc>
          <w:tcPr>
            <w:tcW w:type="dxa" w:w="1728"/>
          </w:tcPr>
          <w:p>
            <w:r>
              <w:t>未达标</w:t>
            </w:r>
          </w:p>
        </w:tc>
      </w:tr>
      <w:tr>
        <w:tc>
          <w:tcPr>
            <w:tcW w:type="dxa" w:w="1728"/>
          </w:tcPr>
          <w:p>
            <w:r>
              <w:t>好评率</w:t>
            </w:r>
          </w:p>
        </w:tc>
        <w:tc>
          <w:tcPr>
            <w:tcW w:type="dxa" w:w="1728"/>
          </w:tcPr>
          <w:p>
            <w:r>
              <w:t>94.4%</w:t>
            </w:r>
          </w:p>
        </w:tc>
        <w:tc>
          <w:tcPr>
            <w:tcW w:type="dxa" w:w="1728"/>
          </w:tcPr>
          <w:p>
            <w:r>
              <w:t>95.5%</w:t>
            </w:r>
          </w:p>
        </w:tc>
        <w:tc>
          <w:tcPr>
            <w:tcW w:type="dxa" w:w="1728"/>
          </w:tcPr>
          <w:p>
            <w:r>
              <w:t>0.95</w:t>
            </w:r>
          </w:p>
        </w:tc>
        <w:tc>
          <w:tcPr>
            <w:tcW w:type="dxa" w:w="1728"/>
          </w:tcPr>
          <w:p>
            <w:r>
              <w:t>未达标（噪声 ≤2pct）</w:t>
            </w:r>
          </w:p>
        </w:tc>
      </w:tr>
      <w:tr>
        <w:tc>
          <w:tcPr>
            <w:tcW w:type="dxa" w:w="1728"/>
          </w:tcPr>
          <w:p>
            <w:r>
              <w:t>差评率</w:t>
            </w:r>
          </w:p>
        </w:tc>
        <w:tc>
          <w:tcPr>
            <w:tcW w:type="dxa" w:w="1728"/>
          </w:tcPr>
          <w:p>
            <w:r>
              <w:t>4.1%</w:t>
            </w:r>
          </w:p>
        </w:tc>
        <w:tc>
          <w:tcPr>
            <w:tcW w:type="dxa" w:w="1728"/>
          </w:tcPr>
          <w:p>
            <w:r>
              <w:t>3.3%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未达标（噪声 ≤2pct）</w:t>
            </w:r>
          </w:p>
        </w:tc>
      </w:tr>
      <w:tr>
        <w:tc>
          <w:tcPr>
            <w:tcW w:type="dxa" w:w="1728"/>
          </w:tcPr>
          <w:p>
            <w:r>
              <w:t>回复率</w:t>
            </w:r>
          </w:p>
        </w:tc>
        <w:tc>
          <w:tcPr>
            <w:tcW w:type="dxa" w:w="1728"/>
          </w:tcPr>
          <w:p>
            <w:r>
              <w:t>96.0%</w:t>
            </w:r>
          </w:p>
        </w:tc>
        <w:tc>
          <w:tcPr>
            <w:tcW w:type="dxa" w:w="1728"/>
          </w:tcPr>
          <w:p>
            <w:r>
              <w:t>98.0%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未达标</w:t>
            </w:r>
          </w:p>
        </w:tc>
      </w:tr>
      <w:tr>
        <w:tc>
          <w:tcPr>
            <w:tcW w:type="dxa" w:w="1728"/>
          </w:tcPr>
          <w:p>
            <w:r>
              <w:t>差评响应(h)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2.4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未达标</w:t>
            </w:r>
          </w:p>
        </w:tc>
      </w:tr>
      <w:tr>
        <w:tc>
          <w:tcPr>
            <w:tcW w:type="dxa" w:w="1728"/>
          </w:tcPr>
          <w:p>
            <w:r>
              <w:t>一般响应(h)</w:t>
            </w:r>
          </w:p>
        </w:tc>
        <w:tc>
          <w:tcPr>
            <w:tcW w:type="dxa" w:w="1728"/>
          </w:tcPr>
          <w:p>
            <w:r>
              <w:t>19.0</w:t>
            </w:r>
          </w:p>
        </w:tc>
        <w:tc>
          <w:tcPr>
            <w:tcW w:type="dxa" w:w="1728"/>
          </w:tcPr>
          <w:p>
            <w:r>
              <w:t>17.0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达标</w:t>
            </w:r>
          </w:p>
        </w:tc>
      </w:tr>
    </w:tbl>
    <w:p>
      <w:pPr>
        <w:pStyle w:val="Heading1"/>
      </w:pPr>
      <w:r>
        <w:t>四、差评根因分布（追评×2 加权）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根因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加权条数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占比</w:t>
            </w:r>
          </w:p>
        </w:tc>
      </w:tr>
      <w:tr>
        <w:tc>
          <w:tcPr>
            <w:tcW w:type="dxa" w:w="2880"/>
          </w:tcPr>
          <w:p>
            <w:r>
              <w:t>期望差(主观)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40%</w:t>
            </w:r>
          </w:p>
        </w:tc>
      </w:tr>
      <w:tr>
        <w:tc>
          <w:tcPr>
            <w:tcW w:type="dxa" w:w="2880"/>
          </w:tcPr>
          <w:p>
            <w:r>
              <w:t>质量问题(工艺)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  <w:tr>
        <w:tc>
          <w:tcPr>
            <w:tcW w:type="dxa" w:w="2880"/>
          </w:tcPr>
          <w:p>
            <w:r>
              <w:t>性价比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  <w:tr>
        <w:tc>
          <w:tcPr>
            <w:tcW w:type="dxa" w:w="2880"/>
          </w:tcPr>
          <w:p>
            <w:r>
              <w:t>物流问题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  <w:tr>
        <w:tc>
          <w:tcPr>
            <w:tcW w:type="dxa" w:w="2880"/>
          </w:tcPr>
          <w:p>
            <w:r>
              <w:t>描述不符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</w:tbl>
    <w:p>
      <w:pPr>
        <w:pStyle w:val="Heading1"/>
      </w:pPr>
      <w:r>
        <w:t>五、回复情况</w:t>
      </w:r>
    </w:p>
    <w:p>
      <w:r>
        <w:t>回复率 0.96（目标 100%，每条 30-80 字个性化回复）；差评响应 3.0 小时（目标 ≤ 2 小时）。</w:t>
      </w:r>
    </w:p>
    <w:p>
      <w:pPr>
        <w:pStyle w:val="Heading1"/>
      </w:pPr>
      <w:r>
        <w:t>六、下周改进 3 项（周会定责任人）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根因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占比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动作与数字目标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责任人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完成时点</w:t>
            </w:r>
          </w:p>
        </w:tc>
      </w:tr>
      <w:tr>
        <w:tc>
          <w:tcPr>
            <w:tcW w:type="dxa" w:w="1440"/>
          </w:tcPr>
          <w:p>
            <w:r>
              <w:t>改进1</w:t>
            </w:r>
          </w:p>
        </w:tc>
        <w:tc>
          <w:tcPr>
            <w:tcW w:type="dxa" w:w="1440"/>
          </w:tcPr>
          <w:p>
            <w:r>
              <w:t>期望差(主观)</w:t>
            </w:r>
          </w:p>
        </w:tc>
        <w:tc>
          <w:tcPr>
            <w:tcW w:type="dxa" w:w="1440"/>
          </w:tcPr>
          <w:p>
            <w:r>
              <w:t>40%</w:t>
            </w:r>
          </w:p>
        </w:tc>
        <w:tc>
          <w:tcPr>
            <w:tcW w:type="dxa" w:w="1440"/>
          </w:tcPr>
          <w:p>
            <w:r>
              <w:t>详情页加预期说明，回复客观呈现口径</w:t>
            </w:r>
          </w:p>
        </w:tc>
        <w:tc>
          <w:tcPr>
            <w:tcW w:type="dxa" w:w="1440"/>
          </w:tcPr>
          <w:p>
            <w:r>
              <w:t>（周会指派）</w:t>
            </w:r>
          </w:p>
        </w:tc>
        <w:tc>
          <w:tcPr>
            <w:tcW w:type="dxa" w:w="1440"/>
          </w:tcPr>
          <w:p>
            <w:r>
              <w:t>下周五</w:t>
            </w:r>
          </w:p>
        </w:tc>
      </w:tr>
      <w:tr>
        <w:tc>
          <w:tcPr>
            <w:tcW w:type="dxa" w:w="1440"/>
          </w:tcPr>
          <w:p>
            <w:r>
              <w:t>改进2</w:t>
            </w:r>
          </w:p>
        </w:tc>
        <w:tc>
          <w:tcPr>
            <w:tcW w:type="dxa" w:w="1440"/>
          </w:tcPr>
          <w:p>
            <w:r>
              <w:t>质量问题(工艺)</w:t>
            </w:r>
          </w:p>
        </w:tc>
        <w:tc>
          <w:tcPr>
            <w:tcW w:type="dxa" w:w="1440"/>
          </w:tcPr>
          <w:p>
            <w:r>
              <w:t>20%</w:t>
            </w:r>
          </w:p>
        </w:tc>
        <w:tc>
          <w:tcPr>
            <w:tcW w:type="dxa" w:w="1440"/>
          </w:tcPr>
          <w:p>
            <w:r>
              <w:t>供应商整改单，破损率目标 &lt; 0.5%</w:t>
            </w:r>
          </w:p>
        </w:tc>
        <w:tc>
          <w:tcPr>
            <w:tcW w:type="dxa" w:w="1440"/>
          </w:tcPr>
          <w:p>
            <w:r>
              <w:t>（周会指派）</w:t>
            </w:r>
          </w:p>
        </w:tc>
        <w:tc>
          <w:tcPr>
            <w:tcW w:type="dxa" w:w="1440"/>
          </w:tcPr>
          <w:p>
            <w:r>
              <w:t>下周五</w:t>
            </w:r>
          </w:p>
        </w:tc>
      </w:tr>
      <w:tr>
        <w:tc>
          <w:tcPr>
            <w:tcW w:type="dxa" w:w="1440"/>
          </w:tcPr>
          <w:p>
            <w:r>
              <w:t>改进3</w:t>
            </w:r>
          </w:p>
        </w:tc>
        <w:tc>
          <w:tcPr>
            <w:tcW w:type="dxa" w:w="1440"/>
          </w:tcPr>
          <w:p>
            <w:r>
              <w:t>性价比</w:t>
            </w:r>
          </w:p>
        </w:tc>
        <w:tc>
          <w:tcPr>
            <w:tcW w:type="dxa" w:w="1440"/>
          </w:tcPr>
          <w:p>
            <w:r>
              <w:t>20%</w:t>
            </w:r>
          </w:p>
        </w:tc>
        <w:tc>
          <w:tcPr>
            <w:tcW w:type="dxa" w:w="1440"/>
          </w:tcPr>
          <w:p>
            <w:r>
              <w:t>赠品/规格分层替代降价</w:t>
            </w:r>
          </w:p>
        </w:tc>
        <w:tc>
          <w:tcPr>
            <w:tcW w:type="dxa" w:w="1440"/>
          </w:tcPr>
          <w:p>
            <w:r>
              <w:t>（周会指派）</w:t>
            </w:r>
          </w:p>
        </w:tc>
        <w:tc>
          <w:tcPr>
            <w:tcW w:type="dxa" w:w="1440"/>
          </w:tcPr>
          <w:p>
            <w:r>
              <w:t>下周五</w:t>
            </w:r>
          </w:p>
        </w:tc>
      </w:tr>
    </w:tbl>
    <w:p>
      <w:pPr>
        <w:pStyle w:val="Heading1"/>
      </w:pPr>
      <w:r>
        <w:t>七、人工确认事项</w:t>
      </w:r>
    </w:p>
    <w:p>
      <w:pPr>
        <w:pStyle w:val="ListBullet"/>
      </w:pPr>
      <w:r>
        <w:t>改进项责任人与时点周会确认；涉诉差评处置前人工复核</w:t>
      </w:r>
    </w:p>
    <w:p>
      <w:pPr>
        <w:pStyle w:val="ListBullet"/>
      </w:pPr>
      <w:r>
        <w:t>本报告为 AI 生成内容，数值以脚本统计为准，未经人工核对不对外引用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