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悦己家居旗舰店 评价周报（2026-09-22 ~ 2026-09-28）</w:t>
      </w:r>
    </w:p>
    <w:p>
      <w:r>
        <w:rPr>
          <w:color w:val="707070"/>
          <w:sz w:val="20"/>
        </w:rPr>
        <w:t>京东 · AI 生成内容 · 数值以脚本统计为准</w:t>
      </w:r>
    </w:p>
    <w:p>
      <w:pPr>
        <w:pStyle w:val="Heading1"/>
      </w:pPr>
      <w:r>
        <w:t>一、核心结论</w:t>
      </w:r>
    </w:p>
    <w:p>
      <w:r>
        <w:t>本周评分 4.62，低于 4.7 达标线，须专项治理。首要根因「物流问题」占差评 56%（数据以脚本统计为准），多项基准未达标，周会逐项定责任人与数字目标。</w:t>
      </w:r>
    </w:p>
    <w:p>
      <w:pPr>
        <w:pStyle w:val="Heading1"/>
      </w:pPr>
      <w:r>
        <w:t>二、本周评分走势</w:t>
      </w:r>
    </w:p>
    <w:p>
      <w:r>
        <w:t>评分走势见下图；本周均值 4.62，达标线 4.7。</w:t>
      </w:r>
    </w:p>
    <w:p>
      <w:r>
        <w:drawing>
          <wp:inline xmlns:a="http://schemas.openxmlformats.org/drawingml/2006/main" xmlns:pic="http://schemas.openxmlformats.org/drawingml/2006/picture">
            <wp:extent cx="5394960" cy="2678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评分走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8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三、指标对照（本周 vs 上周）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本周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上周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变化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基准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1440"/>
          </w:tcPr>
          <w:p>
            <w:r>
              <w:t>店铺评分</w:t>
            </w:r>
          </w:p>
        </w:tc>
        <w:tc>
          <w:tcPr>
            <w:tcW w:type="dxa" w:w="1440"/>
          </w:tcPr>
          <w:p>
            <w:r>
              <w:t>4.62</w:t>
            </w:r>
          </w:p>
        </w:tc>
        <w:tc>
          <w:tcPr>
            <w:tcW w:type="dxa" w:w="1440"/>
          </w:tcPr>
          <w:p>
            <w:r>
              <w:t>4.68</w:t>
            </w:r>
          </w:p>
        </w:tc>
        <w:tc>
          <w:tcPr>
            <w:tcW w:type="dxa" w:w="1440"/>
          </w:tcPr>
          <w:p>
            <w:r>
              <w:t>↓ -0.06</w:t>
            </w:r>
          </w:p>
        </w:tc>
        <w:tc>
          <w:tcPr>
            <w:tcW w:type="dxa" w:w="1440"/>
          </w:tcPr>
          <w:p>
            <w:r>
              <w:t>4.7</w:t>
            </w:r>
          </w:p>
        </w:tc>
        <w:tc>
          <w:tcPr>
            <w:tcW w:type="dxa" w:w="1440"/>
          </w:tcPr>
          <w:p>
            <w:r>
              <w:t>未达标</w:t>
            </w:r>
          </w:p>
        </w:tc>
      </w:tr>
      <w:tr>
        <w:tc>
          <w:tcPr>
            <w:tcW w:type="dxa" w:w="1440"/>
          </w:tcPr>
          <w:p>
            <w:r>
              <w:t>好评率</w:t>
            </w:r>
          </w:p>
        </w:tc>
        <w:tc>
          <w:tcPr>
            <w:tcW w:type="dxa" w:w="1440"/>
          </w:tcPr>
          <w:p>
            <w:r>
              <w:t>0.936%</w:t>
            </w:r>
          </w:p>
        </w:tc>
        <w:tc>
          <w:tcPr>
            <w:tcW w:type="dxa" w:w="1440"/>
          </w:tcPr>
          <w:p>
            <w:r>
              <w:t>0.951%</w:t>
            </w:r>
          </w:p>
        </w:tc>
        <w:tc>
          <w:tcPr>
            <w:tcW w:type="dxa" w:w="1440"/>
          </w:tcPr>
          <w:p>
            <w:r>
              <w:t>↓ -0.01</w:t>
            </w:r>
          </w:p>
        </w:tc>
        <w:tc>
          <w:tcPr>
            <w:tcW w:type="dxa" w:w="1440"/>
          </w:tcPr>
          <w:p>
            <w:r>
              <w:t>0.95</w:t>
            </w:r>
          </w:p>
        </w:tc>
        <w:tc>
          <w:tcPr>
            <w:tcW w:type="dxa" w:w="1440"/>
          </w:tcPr>
          <w:p>
            <w:r>
              <w:t>未达标</w:t>
            </w:r>
          </w:p>
        </w:tc>
      </w:tr>
      <w:tr>
        <w:tc>
          <w:tcPr>
            <w:tcW w:type="dxa" w:w="1440"/>
          </w:tcPr>
          <w:p>
            <w:r>
              <w:t>差评率</w:t>
            </w:r>
          </w:p>
        </w:tc>
        <w:tc>
          <w:tcPr>
            <w:tcW w:type="dxa" w:w="1440"/>
          </w:tcPr>
          <w:p>
            <w:r>
              <w:t>0.046%</w:t>
            </w:r>
          </w:p>
        </w:tc>
        <w:tc>
          <w:tcPr>
            <w:tcW w:type="dxa" w:w="1440"/>
          </w:tcPr>
          <w:p>
            <w:r>
              <w:t>0.037%</w:t>
            </w:r>
          </w:p>
        </w:tc>
        <w:tc>
          <w:tcPr>
            <w:tcW w:type="dxa" w:w="1440"/>
          </w:tcPr>
          <w:p>
            <w:r>
              <w:t>↑ +0.01</w:t>
            </w:r>
          </w:p>
        </w:tc>
        <w:tc>
          <w:tcPr>
            <w:tcW w:type="dxa" w:w="1440"/>
          </w:tcPr>
          <w:p>
            <w:r>
              <w:t>0.03</w:t>
            </w:r>
          </w:p>
        </w:tc>
        <w:tc>
          <w:tcPr>
            <w:tcW w:type="dxa" w:w="1440"/>
          </w:tcPr>
          <w:p>
            <w:r>
              <w:t>未达标</w:t>
            </w:r>
          </w:p>
        </w:tc>
      </w:tr>
      <w:tr>
        <w:tc>
          <w:tcPr>
            <w:tcW w:type="dxa" w:w="1440"/>
          </w:tcPr>
          <w:p>
            <w:r>
              <w:t>回复率</w:t>
            </w:r>
          </w:p>
        </w:tc>
        <w:tc>
          <w:tcPr>
            <w:tcW w:type="dxa" w:w="1440"/>
          </w:tcPr>
          <w:p>
            <w:r>
              <w:t>0.94%</w:t>
            </w:r>
          </w:p>
        </w:tc>
        <w:tc>
          <w:tcPr>
            <w:tcW w:type="dxa" w:w="1440"/>
          </w:tcPr>
          <w:p>
            <w:r>
              <w:t>0.97%</w:t>
            </w:r>
          </w:p>
        </w:tc>
        <w:tc>
          <w:tcPr>
            <w:tcW w:type="dxa" w:w="1440"/>
          </w:tcPr>
          <w:p>
            <w:r>
              <w:t>↓ -0.03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未达标</w:t>
            </w:r>
          </w:p>
        </w:tc>
      </w:tr>
      <w:tr>
        <w:tc>
          <w:tcPr>
            <w:tcW w:type="dxa" w:w="1440"/>
          </w:tcPr>
          <w:p>
            <w:r>
              <w:t>差评响应(小时)</w:t>
            </w:r>
          </w:p>
        </w:tc>
        <w:tc>
          <w:tcPr>
            <w:tcW w:type="dxa" w:w="1440"/>
          </w:tcPr>
          <w:p>
            <w:r>
              <w:t>3.5</w:t>
            </w:r>
          </w:p>
        </w:tc>
        <w:tc>
          <w:tcPr>
            <w:tcW w:type="dxa" w:w="1440"/>
          </w:tcPr>
          <w:p>
            <w:r>
              <w:t>2.8</w:t>
            </w:r>
          </w:p>
        </w:tc>
        <w:tc>
          <w:tcPr>
            <w:tcW w:type="dxa" w:w="1440"/>
          </w:tcPr>
          <w:p>
            <w:r>
              <w:t>↑ +0.70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未达标</w:t>
            </w:r>
          </w:p>
        </w:tc>
      </w:tr>
      <w:tr>
        <w:tc>
          <w:tcPr>
            <w:tcW w:type="dxa" w:w="1440"/>
          </w:tcPr>
          <w:p>
            <w:r>
              <w:t>一般评价响应(小时)</w:t>
            </w:r>
          </w:p>
        </w:tc>
        <w:tc>
          <w:tcPr>
            <w:tcW w:type="dxa" w:w="1440"/>
          </w:tcPr>
          <w:p>
            <w:r>
              <w:t>21.0</w:t>
            </w:r>
          </w:p>
        </w:tc>
        <w:tc>
          <w:tcPr>
            <w:tcW w:type="dxa" w:w="1440"/>
          </w:tcPr>
          <w:p>
            <w:r>
              <w:t>18.0</w:t>
            </w:r>
          </w:p>
        </w:tc>
        <w:tc>
          <w:tcPr>
            <w:tcW w:type="dxa" w:w="1440"/>
          </w:tcPr>
          <w:p>
            <w:r>
              <w:t>↑ +3.00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达标</w:t>
            </w:r>
          </w:p>
        </w:tc>
      </w:tr>
    </w:tbl>
    <w:p>
      <w:pPr>
        <w:pStyle w:val="Heading1"/>
      </w:pPr>
      <w:r>
        <w:t>四、差评根因分布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根因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条数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物流问题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56%</w:t>
            </w:r>
          </w:p>
        </w:tc>
      </w:tr>
      <w:tr>
        <w:tc>
          <w:tcPr>
            <w:tcW w:type="dxa" w:w="2880"/>
          </w:tcPr>
          <w:p>
            <w:r>
              <w:t>描述不符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质量问题(工艺)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  <w:tr>
        <w:tc>
          <w:tcPr>
            <w:tcW w:type="dxa" w:w="2880"/>
          </w:tcPr>
          <w:p>
            <w:r>
              <w:t>服务问题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6%</w:t>
            </w:r>
          </w:p>
        </w:tc>
      </w:tr>
    </w:tbl>
    <w:p>
      <w:pPr>
        <w:pStyle w:val="Heading1"/>
      </w:pPr>
      <w:r>
        <w:t>五、回复情况</w:t>
      </w:r>
    </w:p>
    <w:p>
      <w:r>
        <w:t>回复率 94%（目标 100%，每条 30-80 字个性化回复）；差评响应 3.5 小时（目标 ≤ 2 小时）；一般评价响应 21.0 小时（目标 ≤ 24 小时）。</w:t>
      </w:r>
    </w:p>
    <w:p>
      <w:pPr>
        <w:pStyle w:val="Heading1"/>
      </w:pPr>
      <w:r>
        <w:t>六、下周改进 3 项（周会定责任人）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根因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动作与数字目标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责任人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完成时点</w:t>
            </w:r>
          </w:p>
        </w:tc>
      </w:tr>
      <w:tr>
        <w:tc>
          <w:tcPr>
            <w:tcW w:type="dxa" w:w="1440"/>
          </w:tcPr>
          <w:p>
            <w:r>
              <w:t>改进1</w:t>
            </w:r>
          </w:p>
        </w:tc>
        <w:tc>
          <w:tcPr>
            <w:tcW w:type="dxa" w:w="1440"/>
          </w:tcPr>
          <w:p>
            <w:r>
              <w:t>物流问题</w:t>
            </w:r>
          </w:p>
        </w:tc>
        <w:tc>
          <w:tcPr>
            <w:tcW w:type="dxa" w:w="1440"/>
          </w:tcPr>
          <w:p>
            <w:r>
              <w:t>56%</w:t>
            </w:r>
          </w:p>
        </w:tc>
        <w:tc>
          <w:tcPr>
            <w:tcW w:type="dxa" w:w="1440"/>
          </w:tcPr>
          <w:p>
            <w:r>
              <w:t>发货 P90 压到 48 小时内；漏发率 &lt; 0.3%</w:t>
            </w:r>
          </w:p>
        </w:tc>
        <w:tc>
          <w:tcPr>
            <w:tcW w:type="dxa" w:w="1440"/>
          </w:tcPr>
          <w:p>
            <w:r>
              <w:t>（周会指派）</w:t>
            </w:r>
          </w:p>
        </w:tc>
        <w:tc>
          <w:tcPr>
            <w:tcW w:type="dxa" w:w="1440"/>
          </w:tcPr>
          <w:p>
            <w:r>
              <w:t>下周五</w:t>
            </w:r>
          </w:p>
        </w:tc>
      </w:tr>
      <w:tr>
        <w:tc>
          <w:tcPr>
            <w:tcW w:type="dxa" w:w="1440"/>
          </w:tcPr>
          <w:p>
            <w:r>
              <w:t>改进2</w:t>
            </w:r>
          </w:p>
        </w:tc>
        <w:tc>
          <w:tcPr>
            <w:tcW w:type="dxa" w:w="1440"/>
          </w:tcPr>
          <w:p>
            <w:r>
              <w:t>描述不符</w:t>
            </w:r>
          </w:p>
        </w:tc>
        <w:tc>
          <w:tcPr>
            <w:tcW w:type="dxa" w:w="1440"/>
          </w:tcPr>
          <w:p>
            <w:r>
              <w:t>25%</w:t>
            </w:r>
          </w:p>
        </w:tc>
        <w:tc>
          <w:tcPr>
            <w:tcW w:type="dxa" w:w="1440"/>
          </w:tcPr>
          <w:p>
            <w:r>
              <w:t>详情页逐项修正，色差类补实拍图</w:t>
            </w:r>
          </w:p>
        </w:tc>
        <w:tc>
          <w:tcPr>
            <w:tcW w:type="dxa" w:w="1440"/>
          </w:tcPr>
          <w:p>
            <w:r>
              <w:t>（周会指派）</w:t>
            </w:r>
          </w:p>
        </w:tc>
        <w:tc>
          <w:tcPr>
            <w:tcW w:type="dxa" w:w="1440"/>
          </w:tcPr>
          <w:p>
            <w:r>
              <w:t>下周五</w:t>
            </w:r>
          </w:p>
        </w:tc>
      </w:tr>
      <w:tr>
        <w:tc>
          <w:tcPr>
            <w:tcW w:type="dxa" w:w="1440"/>
          </w:tcPr>
          <w:p>
            <w:r>
              <w:t>改进3</w:t>
            </w:r>
          </w:p>
        </w:tc>
        <w:tc>
          <w:tcPr>
            <w:tcW w:type="dxa" w:w="1440"/>
          </w:tcPr>
          <w:p>
            <w:r>
              <w:t>质量问题(工艺)</w:t>
            </w:r>
          </w:p>
        </w:tc>
        <w:tc>
          <w:tcPr>
            <w:tcW w:type="dxa" w:w="1440"/>
          </w:tcPr>
          <w:p>
            <w:r>
              <w:t>12%</w:t>
            </w:r>
          </w:p>
        </w:tc>
        <w:tc>
          <w:tcPr>
            <w:tcW w:type="dxa" w:w="1440"/>
          </w:tcPr>
          <w:p>
            <w:r>
              <w:t>供应商整改单 + 破损率降至 0.5% 以下；包装加缓冲</w:t>
            </w:r>
          </w:p>
        </w:tc>
        <w:tc>
          <w:tcPr>
            <w:tcW w:type="dxa" w:w="1440"/>
          </w:tcPr>
          <w:p>
            <w:r>
              <w:t>（周会指派）</w:t>
            </w:r>
          </w:p>
        </w:tc>
        <w:tc>
          <w:tcPr>
            <w:tcW w:type="dxa" w:w="1440"/>
          </w:tcPr>
          <w:p>
            <w:r>
              <w:t>下周五</w:t>
            </w:r>
          </w:p>
        </w:tc>
      </w:tr>
    </w:tbl>
    <w:p>
      <w:pPr>
        <w:pStyle w:val="Heading1"/>
      </w:pPr>
      <w:r>
        <w:t>七、人工确认事项</w:t>
      </w:r>
    </w:p>
    <w:p>
      <w:pPr>
        <w:pStyle w:val="ListBullet"/>
      </w:pPr>
      <w:r>
        <w:t>改进项责任人与完成时点需周会确认；涉诉差评处置前人工复核</w:t>
      </w:r>
    </w:p>
    <w:p>
      <w:pPr>
        <w:pStyle w:val="ListBullet"/>
      </w:pPr>
      <w:r>
        <w:t>本报告为 AI 生成内容，数据来自平台导出，未经人工核对不得对外引用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