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0641" w14:textId="5868FBD7" w:rsidR="00AC1F3B" w:rsidRDefault="00000000" w:rsidP="00AC1F3B">
      <w:pPr>
        <w:spacing w:after="480"/>
        <w:jc w:val="center"/>
        <w:rPr>
          <w:rFonts w:eastAsia="Times New Roman"/>
          <w:b/>
          <w:bCs/>
        </w:rPr>
      </w:pPr>
      <w:r w:rsidRPr="00D96F75">
        <w:rPr>
          <w:rFonts w:eastAsia="Times New Roman"/>
          <w:b/>
          <w:bCs/>
        </w:rPr>
        <w:t>Supplementary Materials</w:t>
      </w:r>
    </w:p>
    <w:p w14:paraId="5B7F92C2" w14:textId="37831F53" w:rsidR="00AC1F3B" w:rsidRPr="00AC1F3B" w:rsidRDefault="00AC1F3B" w:rsidP="00AC1F3B">
      <w:pPr>
        <w:spacing w:after="200" w:line="48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S1. </w:t>
      </w:r>
      <w:r w:rsidRPr="00AC1F3B">
        <w:rPr>
          <w:b/>
          <w:bCs/>
          <w:sz w:val="22"/>
          <w:szCs w:val="22"/>
        </w:rPr>
        <w:t>Individual coupling strength (</w:t>
      </w:r>
      <w:r w:rsidRPr="00AC1F3B">
        <w:rPr>
          <w:b/>
          <w:bCs/>
          <w:i/>
          <w:iCs/>
          <w:sz w:val="22"/>
          <w:szCs w:val="22"/>
        </w:rPr>
        <w:t>z_M</w:t>
      </w:r>
      <w:r w:rsidRPr="00AC1F3B">
        <w:rPr>
          <w:b/>
          <w:bCs/>
          <w:sz w:val="22"/>
          <w:szCs w:val="22"/>
        </w:rPr>
        <w:t>)</w:t>
      </w:r>
    </w:p>
    <w:p w14:paraId="482DFBDC" w14:textId="77777777" w:rsidR="00AC1F3B" w:rsidRPr="00AC1F3B" w:rsidRDefault="00AC1F3B" w:rsidP="00AC1F3B">
      <w:pPr>
        <w:spacing w:after="200" w:line="480" w:lineRule="auto"/>
        <w:rPr>
          <w:sz w:val="22"/>
          <w:szCs w:val="22"/>
        </w:rPr>
      </w:pPr>
      <w:r w:rsidRPr="00AC1F3B">
        <w:rPr>
          <w:sz w:val="22"/>
          <w:szCs w:val="22"/>
        </w:rPr>
        <w:t xml:space="preserve">Each participant's observed </w:t>
      </w:r>
      <w:r w:rsidRPr="00AC1F3B">
        <w:rPr>
          <w:i/>
          <w:iCs/>
          <w:sz w:val="22"/>
          <w:szCs w:val="22"/>
        </w:rPr>
        <w:t>M</w:t>
      </w:r>
      <w:r w:rsidRPr="00AC1F3B">
        <w:rPr>
          <w:sz w:val="22"/>
          <w:szCs w:val="22"/>
        </w:rPr>
        <w:t xml:space="preserve"> statistic from the Hodges–Ajne test was standardized against a surrogate distribution generated from 1,000 circular-shift permutations:</w:t>
      </w:r>
    </w:p>
    <w:p w14:paraId="27240988" w14:textId="77777777" w:rsidR="00AC1F3B" w:rsidRPr="00AC1F3B" w:rsidRDefault="00AC1F3B" w:rsidP="00AC1F3B">
      <w:pPr>
        <w:spacing w:after="200" w:line="480" w:lineRule="auto"/>
        <w:rPr>
          <w:sz w:val="22"/>
          <w:szCs w:val="22"/>
        </w:rPr>
      </w:pPr>
      <w:r w:rsidRPr="00AC1F3B">
        <w:rPr>
          <w:i/>
          <w:iCs/>
          <w:sz w:val="22"/>
          <w:szCs w:val="22"/>
        </w:rPr>
        <w:t>z_M</w:t>
      </w:r>
      <w:r w:rsidRPr="00AC1F3B">
        <w:rPr>
          <w:sz w:val="22"/>
          <w:szCs w:val="22"/>
        </w:rPr>
        <w:t xml:space="preserve"> = (</w:t>
      </w:r>
      <w:r w:rsidRPr="00AC1F3B">
        <w:rPr>
          <w:i/>
          <w:iCs/>
          <w:sz w:val="22"/>
          <w:szCs w:val="22"/>
        </w:rPr>
        <w:t>M</w:t>
      </w:r>
      <w:r w:rsidRPr="00AC1F3B">
        <w:rPr>
          <w:sz w:val="22"/>
          <w:szCs w:val="22"/>
        </w:rPr>
        <w:t>_obs − mean(</w:t>
      </w:r>
      <w:r w:rsidRPr="00AC1F3B">
        <w:rPr>
          <w:i/>
          <w:iCs/>
          <w:sz w:val="22"/>
          <w:szCs w:val="22"/>
        </w:rPr>
        <w:t>M</w:t>
      </w:r>
      <w:r w:rsidRPr="00AC1F3B">
        <w:rPr>
          <w:sz w:val="22"/>
          <w:szCs w:val="22"/>
        </w:rPr>
        <w:t>_surr)) / SD(</w:t>
      </w:r>
      <w:r w:rsidRPr="00AC1F3B">
        <w:rPr>
          <w:i/>
          <w:iCs/>
          <w:sz w:val="22"/>
          <w:szCs w:val="22"/>
        </w:rPr>
        <w:t>M</w:t>
      </w:r>
      <w:r w:rsidRPr="00AC1F3B">
        <w:rPr>
          <w:sz w:val="22"/>
          <w:szCs w:val="22"/>
        </w:rPr>
        <w:t>_surr)</w:t>
      </w:r>
    </w:p>
    <w:p w14:paraId="6C0631BA" w14:textId="5E49EE0C" w:rsidR="00AC1F3B" w:rsidRPr="00AC1F3B" w:rsidRDefault="00AC1F3B" w:rsidP="00AC1F3B">
      <w:pPr>
        <w:spacing w:after="200" w:line="480" w:lineRule="auto"/>
        <w:rPr>
          <w:sz w:val="22"/>
          <w:szCs w:val="22"/>
        </w:rPr>
      </w:pPr>
      <w:r w:rsidRPr="00AC1F3B">
        <w:rPr>
          <w:sz w:val="22"/>
          <w:szCs w:val="22"/>
        </w:rPr>
        <w:t xml:space="preserve">More negative </w:t>
      </w:r>
      <w:r w:rsidRPr="00AC1F3B">
        <w:rPr>
          <w:i/>
          <w:iCs/>
          <w:sz w:val="22"/>
          <w:szCs w:val="22"/>
        </w:rPr>
        <w:t>z_M</w:t>
      </w:r>
      <w:r w:rsidRPr="00AC1F3B">
        <w:rPr>
          <w:sz w:val="22"/>
          <w:szCs w:val="22"/>
        </w:rPr>
        <w:t xml:space="preserve"> values indicate stronger coupling. To compare coupling strength between conditions, </w:t>
      </w:r>
      <w:r w:rsidRPr="00AC1F3B">
        <w:rPr>
          <w:i/>
          <w:iCs/>
          <w:sz w:val="22"/>
          <w:szCs w:val="22"/>
        </w:rPr>
        <w:t xml:space="preserve">z_M </w:t>
      </w:r>
      <w:r w:rsidRPr="00AC1F3B">
        <w:rPr>
          <w:sz w:val="22"/>
          <w:szCs w:val="22"/>
        </w:rPr>
        <w:t>values were submitted to a paired sign-flip permutation test (1,000 permutations).</w:t>
      </w:r>
    </w:p>
    <w:p w14:paraId="07C0D8DB" w14:textId="3503EC81" w:rsidR="00A323B0" w:rsidRPr="00D96F75" w:rsidRDefault="00000000">
      <w:pPr>
        <w:pStyle w:val="Heading1"/>
        <w:rPr>
          <w:sz w:val="22"/>
          <w:szCs w:val="22"/>
        </w:rPr>
      </w:pPr>
      <w:r w:rsidRPr="00D96F75">
        <w:rPr>
          <w:sz w:val="22"/>
          <w:szCs w:val="22"/>
        </w:rPr>
        <w:t>S</w:t>
      </w:r>
      <w:r w:rsidR="00AC1F3B">
        <w:rPr>
          <w:sz w:val="22"/>
          <w:szCs w:val="22"/>
        </w:rPr>
        <w:t>2</w:t>
      </w:r>
      <w:r w:rsidRPr="00D96F75">
        <w:rPr>
          <w:sz w:val="22"/>
          <w:szCs w:val="22"/>
        </w:rPr>
        <w:t>. Questionnaire Regression (H2)</w:t>
      </w:r>
    </w:p>
    <w:p w14:paraId="0C4C0282" w14:textId="55871D73" w:rsidR="00A323B0" w:rsidRDefault="00000000">
      <w:pPr>
        <w:spacing w:after="200" w:line="480" w:lineRule="auto"/>
        <w:rPr>
          <w:sz w:val="22"/>
          <w:szCs w:val="22"/>
        </w:rPr>
      </w:pPr>
      <w:r w:rsidRPr="00D96F75">
        <w:rPr>
          <w:sz w:val="22"/>
          <w:szCs w:val="22"/>
        </w:rPr>
        <w:t>To examine whether individual differences predicted respiration–action coupling strength, a multiple regression was conducted with baseline-corrected pairwise phase consistency (ΔPPC; see Shibata &amp; Ohira, 2026) in the Natural condition as the dependent variable. MAIA (mean score), BPQ-BA-VSF (sum score), and STAI-T (sum score) were entered as predictors. The model was not significant (</w:t>
      </w:r>
      <w:r w:rsidRPr="00D96F75">
        <w:rPr>
          <w:i/>
          <w:iCs/>
          <w:sz w:val="22"/>
          <w:szCs w:val="22"/>
        </w:rPr>
        <w:t>R</w:t>
      </w:r>
      <w:r w:rsidRPr="00D96F75">
        <w:rPr>
          <w:sz w:val="22"/>
          <w:szCs w:val="22"/>
          <w:vertAlign w:val="superscript"/>
        </w:rPr>
        <w:t>²</w:t>
      </w:r>
      <w:r w:rsidRPr="00D96F75">
        <w:rPr>
          <w:sz w:val="22"/>
          <w:szCs w:val="22"/>
        </w:rPr>
        <w:t xml:space="preserve"> = .098, </w:t>
      </w:r>
      <w:r w:rsidRPr="00D96F75">
        <w:rPr>
          <w:i/>
          <w:iCs/>
          <w:sz w:val="22"/>
          <w:szCs w:val="22"/>
        </w:rPr>
        <w:t>F</w:t>
      </w:r>
      <w:r w:rsidRPr="00D96F75">
        <w:rPr>
          <w:sz w:val="22"/>
          <w:szCs w:val="22"/>
        </w:rPr>
        <w:t xml:space="preserve">(3, 26) = 0.94, </w:t>
      </w:r>
      <w:r w:rsidRPr="00D96F75">
        <w:rPr>
          <w:i/>
          <w:iCs/>
          <w:sz w:val="22"/>
          <w:szCs w:val="22"/>
        </w:rPr>
        <w:t>p</w:t>
      </w:r>
      <w:r w:rsidRPr="00D96F75">
        <w:rPr>
          <w:sz w:val="22"/>
          <w:szCs w:val="22"/>
        </w:rPr>
        <w:t xml:space="preserve"> = .436). None of the individual predictors were significant: MAIA (</w:t>
      </w:r>
      <w:r w:rsidRPr="00D96F75">
        <w:rPr>
          <w:i/>
          <w:iCs/>
          <w:sz w:val="22"/>
          <w:szCs w:val="22"/>
        </w:rPr>
        <w:t>b</w:t>
      </w:r>
      <w:r w:rsidRPr="00D96F75">
        <w:rPr>
          <w:sz w:val="22"/>
          <w:szCs w:val="22"/>
        </w:rPr>
        <w:t xml:space="preserve"> = 0.008, 95% CI [−0.033, 0.049]), BPQ (</w:t>
      </w:r>
      <w:r w:rsidRPr="00D96F75">
        <w:rPr>
          <w:i/>
          <w:iCs/>
          <w:sz w:val="22"/>
          <w:szCs w:val="22"/>
        </w:rPr>
        <w:t>b</w:t>
      </w:r>
      <w:r w:rsidRPr="00D96F75">
        <w:rPr>
          <w:sz w:val="22"/>
          <w:szCs w:val="22"/>
        </w:rPr>
        <w:t xml:space="preserve"> = −0.002, 95% CI [−0.006, 0.001]), STAI-T (</w:t>
      </w:r>
      <w:r w:rsidRPr="00D96F75">
        <w:rPr>
          <w:i/>
          <w:iCs/>
          <w:sz w:val="22"/>
          <w:szCs w:val="22"/>
        </w:rPr>
        <w:t>b</w:t>
      </w:r>
      <w:r w:rsidRPr="00D96F75">
        <w:rPr>
          <w:sz w:val="22"/>
          <w:szCs w:val="22"/>
        </w:rPr>
        <w:t xml:space="preserve"> = −0.001, 95% CI [−0.006, 0.004]).</w:t>
      </w:r>
    </w:p>
    <w:p w14:paraId="5B08EA80" w14:textId="5408A390" w:rsidR="00A323B0" w:rsidRPr="00D96F75" w:rsidRDefault="00000000">
      <w:pPr>
        <w:pStyle w:val="Heading1"/>
        <w:rPr>
          <w:sz w:val="22"/>
          <w:szCs w:val="22"/>
        </w:rPr>
      </w:pPr>
      <w:r w:rsidRPr="00D96F75">
        <w:rPr>
          <w:sz w:val="22"/>
          <w:szCs w:val="22"/>
        </w:rPr>
        <w:t>S</w:t>
      </w:r>
      <w:r w:rsidR="00AC1F3B">
        <w:rPr>
          <w:sz w:val="22"/>
          <w:szCs w:val="22"/>
        </w:rPr>
        <w:t>3</w:t>
      </w:r>
      <w:r w:rsidRPr="00D96F75">
        <w:rPr>
          <w:sz w:val="22"/>
          <w:szCs w:val="22"/>
        </w:rPr>
        <w:t>. Ease Rating Correlation (H3)</w:t>
      </w:r>
    </w:p>
    <w:p w14:paraId="00190FF6" w14:textId="17EEA0D4" w:rsidR="00A323B0" w:rsidRPr="00D96F75" w:rsidRDefault="00000000">
      <w:pPr>
        <w:spacing w:after="200" w:line="480" w:lineRule="auto"/>
        <w:rPr>
          <w:sz w:val="22"/>
          <w:szCs w:val="22"/>
        </w:rPr>
      </w:pPr>
      <w:r w:rsidRPr="00D96F75">
        <w:rPr>
          <w:sz w:val="22"/>
          <w:szCs w:val="22"/>
        </w:rPr>
        <w:t>The Pearson correlation between subjective ease of pressing during exhalation (naturalness judgment task; see Shibata &amp; Ohira, 2026) and exhalation bias (chance-corrected exhalation ratio; see Shibata &amp; Ohira, 2026) in the Natural condition was not significant (</w:t>
      </w:r>
      <w:r w:rsidRPr="00D96F75">
        <w:rPr>
          <w:i/>
          <w:iCs/>
          <w:sz w:val="22"/>
          <w:szCs w:val="22"/>
        </w:rPr>
        <w:t>r</w:t>
      </w:r>
      <w:r w:rsidRPr="00D96F75">
        <w:rPr>
          <w:sz w:val="22"/>
          <w:szCs w:val="22"/>
        </w:rPr>
        <w:t xml:space="preserve"> = −.325, </w:t>
      </w:r>
      <w:r w:rsidRPr="00D96F75">
        <w:rPr>
          <w:i/>
          <w:iCs/>
          <w:sz w:val="22"/>
          <w:szCs w:val="22"/>
        </w:rPr>
        <w:t>p</w:t>
      </w:r>
      <w:r w:rsidRPr="00D96F75">
        <w:rPr>
          <w:sz w:val="22"/>
          <w:szCs w:val="22"/>
        </w:rPr>
        <w:t xml:space="preserve"> = .080). </w:t>
      </w:r>
    </w:p>
    <w:sectPr w:rsidR="00A323B0" w:rsidRPr="00D96F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626AB"/>
    <w:multiLevelType w:val="hybridMultilevel"/>
    <w:tmpl w:val="4B820814"/>
    <w:lvl w:ilvl="0" w:tplc="67D828BE">
      <w:start w:val="1"/>
      <w:numFmt w:val="bullet"/>
      <w:lvlText w:val="●"/>
      <w:lvlJc w:val="left"/>
      <w:pPr>
        <w:ind w:left="720" w:hanging="360"/>
      </w:pPr>
    </w:lvl>
    <w:lvl w:ilvl="1" w:tplc="5F443D62">
      <w:start w:val="1"/>
      <w:numFmt w:val="bullet"/>
      <w:lvlText w:val="○"/>
      <w:lvlJc w:val="left"/>
      <w:pPr>
        <w:ind w:left="1440" w:hanging="360"/>
      </w:pPr>
    </w:lvl>
    <w:lvl w:ilvl="2" w:tplc="60B0D1C2">
      <w:start w:val="1"/>
      <w:numFmt w:val="bullet"/>
      <w:lvlText w:val="■"/>
      <w:lvlJc w:val="left"/>
      <w:pPr>
        <w:ind w:left="2160" w:hanging="360"/>
      </w:pPr>
    </w:lvl>
    <w:lvl w:ilvl="3" w:tplc="91FE5144">
      <w:start w:val="1"/>
      <w:numFmt w:val="bullet"/>
      <w:lvlText w:val="●"/>
      <w:lvlJc w:val="left"/>
      <w:pPr>
        <w:ind w:left="2880" w:hanging="360"/>
      </w:pPr>
    </w:lvl>
    <w:lvl w:ilvl="4" w:tplc="09AA42B0">
      <w:start w:val="1"/>
      <w:numFmt w:val="bullet"/>
      <w:lvlText w:val="○"/>
      <w:lvlJc w:val="left"/>
      <w:pPr>
        <w:ind w:left="3600" w:hanging="360"/>
      </w:pPr>
    </w:lvl>
    <w:lvl w:ilvl="5" w:tplc="BE1601D0">
      <w:start w:val="1"/>
      <w:numFmt w:val="bullet"/>
      <w:lvlText w:val="■"/>
      <w:lvlJc w:val="left"/>
      <w:pPr>
        <w:ind w:left="4320" w:hanging="360"/>
      </w:pPr>
    </w:lvl>
    <w:lvl w:ilvl="6" w:tplc="DA266F40">
      <w:start w:val="1"/>
      <w:numFmt w:val="bullet"/>
      <w:lvlText w:val="●"/>
      <w:lvlJc w:val="left"/>
      <w:pPr>
        <w:ind w:left="5040" w:hanging="360"/>
      </w:pPr>
    </w:lvl>
    <w:lvl w:ilvl="7" w:tplc="64BC1420">
      <w:start w:val="1"/>
      <w:numFmt w:val="bullet"/>
      <w:lvlText w:val="●"/>
      <w:lvlJc w:val="left"/>
      <w:pPr>
        <w:ind w:left="5760" w:hanging="360"/>
      </w:pPr>
    </w:lvl>
    <w:lvl w:ilvl="8" w:tplc="75165BD2">
      <w:start w:val="1"/>
      <w:numFmt w:val="bullet"/>
      <w:lvlText w:val="●"/>
      <w:lvlJc w:val="left"/>
      <w:pPr>
        <w:ind w:left="6480" w:hanging="360"/>
      </w:pPr>
    </w:lvl>
  </w:abstractNum>
  <w:num w:numId="1" w16cid:durableId="1328241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3B0"/>
    <w:rsid w:val="00232F03"/>
    <w:rsid w:val="009678B9"/>
    <w:rsid w:val="00A323B0"/>
    <w:rsid w:val="00AC1F3B"/>
    <w:rsid w:val="00D9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901DC"/>
  <w15:docId w15:val="{585E96B1-0A94-CE42-86B7-B938F087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JP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1208</Characters>
  <Application>Microsoft Office Word</Application>
  <DocSecurity>0</DocSecurity>
  <Lines>21</Lines>
  <Paragraphs>8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SHIBATA Hiroshi</cp:lastModifiedBy>
  <cp:revision>3</cp:revision>
  <dcterms:created xsi:type="dcterms:W3CDTF">2026-02-15T03:11:00Z</dcterms:created>
  <dcterms:modified xsi:type="dcterms:W3CDTF">2026-02-16T00:36:00Z</dcterms:modified>
</cp:coreProperties>
</file>