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6858000" cy="38923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23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