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right"/>
      </w:pPr>
      <w:r>
        <w:rPr>
          <w:b/>
        </w:rPr>
        <w:t>Annex A. High level MI data and analysis_engine</w:t>
      </w:r>
    </w:p>
    <w:p>
      <w:r>
        <w:rPr>
          <w:b/>
          <w:u w:val="single"/>
        </w:rPr>
        <w:t>Costs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WLC: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£6752m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Spent: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£471m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RDEL Total: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£6281m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CDEL Total: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£6752m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Unprofiled: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Non-gov Total: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  <w:tc>
          <w:tcPr>
            <w:tcW w:type="dxa" w:w="2268"/>
          </w:tcPr>
          <w:p/>
        </w:tc>
        <w:tc>
          <w:tcPr>
            <w:tcW w:type="dxa" w:w="1701"/>
          </w:tcPr>
          <w:p/>
        </w:tc>
      </w:tr>
    </w:tbl>
    <w:p/>
    <w:p>
      <w:r>
        <w:rPr>
          <w:b/>
          <w:u w:val="single"/>
        </w:rPr>
        <w:t>Financial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Type of funding: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Public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Contingency: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£396m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Optimism Bias (OB):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Contingency in costs: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Yes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OB in costs: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Not reported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</w:r>
          </w:p>
        </w:tc>
        <w:tc>
          <w:tcPr>
            <w:tcW w:type="dxa" w:w="1701"/>
          </w:tcPr>
          <w:p>
            <w:r>
              <w:rPr>
                <w:sz w:val="20"/>
              </w:rPr>
            </w:r>
          </w:p>
        </w:tc>
      </w:tr>
    </w:tbl>
    <w:p/>
    <w:p>
      <w:r>
        <w:rPr>
          <w:b/>
          <w:u w:val="single"/>
        </w:rPr>
        <w:t>Stage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Business case stage: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OBC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Delivery stage: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Define</w:t>
            </w:r>
          </w:p>
        </w:tc>
      </w:tr>
    </w:tbl>
    <w:p/>
    <w:p>
      <w:r>
        <w:rPr>
          <w:b/>
          <w:u w:val="single"/>
        </w:rPr>
        <w:t>Schedule/Milestones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Start date:</w:t>
            </w:r>
          </w:p>
        </w:tc>
        <w:tc>
          <w:tcPr>
            <w:tcW w:type="dxa" w:w="1701"/>
          </w:tcPr>
          <w:p>
            <w:r>
              <w:rPr>
                <w:color w:val="FF0000"/>
                <w:sz w:val="20"/>
              </w:rPr>
              <w:t>Not reported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Start of operations:</w:t>
            </w:r>
          </w:p>
        </w:tc>
        <w:tc>
          <w:tcPr>
            <w:tcW w:type="dxa" w:w="1701"/>
          </w:tcPr>
          <w:p>
            <w:r>
              <w:rPr>
                <w:color w:val="FF0000"/>
                <w:sz w:val="20"/>
              </w:rPr>
              <w:t>Not reported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Start of construction:</w:t>
            </w:r>
          </w:p>
        </w:tc>
        <w:tc>
          <w:tcPr>
            <w:tcW w:type="dxa" w:w="1701"/>
          </w:tcPr>
          <w:p>
            <w:r>
              <w:rPr>
                <w:color w:val="FF0000"/>
                <w:sz w:val="20"/>
              </w:rPr>
              <w:t>Not reported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Full Operations:</w:t>
            </w:r>
          </w:p>
        </w:tc>
        <w:tc>
          <w:tcPr>
            <w:tcW w:type="dxa" w:w="1701"/>
          </w:tcPr>
          <w:p>
            <w:r>
              <w:rPr>
                <w:color w:val="FF0000"/>
                <w:sz w:val="20"/>
              </w:rPr>
              <w:t>Not reported</w:t>
            </w:r>
          </w:p>
        </w:tc>
      </w:tr>
    </w:tbl>
    <w:p/>
    <w:p>
      <w:r>
        <w:rPr>
          <w:b/>
          <w:u w:val="single"/>
        </w:rPr>
        <w:t>VfM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VfM category: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Medium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BCR: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1.46</w:t>
            </w:r>
          </w:p>
        </w:tc>
      </w:tr>
    </w:tbl>
    <w:p/>
    <w:p>
      <w:r>
        <w:rPr>
          <w:b/>
          <w:u w:val="single"/>
        </w:rPr>
        <w:t>Benefits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Total Benefits: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£4312m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Benefits delivered: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Benefits 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£-200m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Benefits unprofiled: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£4512m</w:t>
            </w:r>
          </w:p>
        </w:tc>
      </w:tr>
    </w:tbl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