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Delivery confidence</w:t>
            </w:r>
          </w:p>
        </w:tc>
        <w:tc>
          <w:tcPr>
            <w:tcW w:type="dxa" w:w="1728"/>
          </w:tcPr>
          <w:p>
            <w:r>
              <w:t>This quarter</w:t>
            </w:r>
          </w:p>
        </w:tc>
        <w:tc>
          <w:tcPr>
            <w:tcW w:type="dxa" w:w="1728"/>
          </w:tcPr>
          <w:p>
            <w:r>
              <w:t>Q1 98/99</w:t>
            </w:r>
          </w:p>
        </w:tc>
        <w:tc>
          <w:tcPr>
            <w:tcW w:type="dxa" w:w="1728"/>
          </w:tcPr>
          <w:p>
            <w:r>
              <w:t>Q1 97/98</w:t>
            </w:r>
          </w:p>
        </w:tc>
        <w:tc>
          <w:tcPr>
            <w:tcW w:type="dxa" w:w="1728"/>
          </w:tcPr>
          <w:p>
            <w:r>
              <w:t>Q1 96/97</w:t>
            </w:r>
          </w:p>
        </w:tc>
      </w:tr>
      <w:tr>
        <w:tc>
          <w:tcPr>
            <w:tcW w:type="dxa" w:w="1728"/>
          </w:tcPr>
          <w:p>
            <w:r>
              <w:t>Departmental DCA</w:t>
            </w:r>
          </w:p>
        </w:tc>
        <w:tc>
          <w:tcPr>
            <w:tcW w:type="dxa" w:w="1728"/>
            <w:shd w:fill="fce553"/>
          </w:tcPr>
          <w:p>
            <w:r>
              <w:t>A</w:t>
            </w:r>
          </w:p>
        </w:tc>
        <w:tc>
          <w:tcPr>
            <w:tcW w:type="dxa" w:w="1728"/>
            <w:shd w:fill="fce553"/>
          </w:tcPr>
          <w:p>
            <w:r>
              <w:t>A</w:t>
            </w:r>
          </w:p>
        </w:tc>
        <w:tc>
          <w:tcPr>
            <w:tcW w:type="dxa" w:w="1728"/>
            <w:shd w:fill="fce553"/>
          </w:tcPr>
          <w:p>
            <w:r>
              <w:t>A</w:t>
            </w:r>
          </w:p>
        </w:tc>
        <w:tc>
          <w:tcPr>
            <w:tcW w:type="dxa" w:w="1728"/>
            <w:shd w:fill="cb1f00"/>
          </w:tcPr>
          <w:p>
            <w:r>
              <w:t>R</w:t>
            </w:r>
          </w:p>
        </w:tc>
      </w:tr>
      <w:tr>
        <w:tc>
          <w:tcPr>
            <w:tcW w:type="dxa" w:w="1728"/>
          </w:tcPr>
          <w:p>
            <w:r>
              <w:t>SRO Finance confidence</w:t>
            </w:r>
          </w:p>
        </w:tc>
        <w:tc>
          <w:tcPr>
            <w:tcW w:type="dxa" w:w="1728"/>
            <w:shd w:fill="fce553"/>
          </w:tcPr>
          <w:p>
            <w:r>
              <w:t>A</w:t>
            </w:r>
          </w:p>
        </w:tc>
        <w:tc>
          <w:tcPr>
            <w:tcW w:type="dxa" w:w="1728"/>
            <w:shd w:fill="fce553"/>
          </w:tcPr>
          <w:p>
            <w:r>
              <w:t>A</w:t>
            </w:r>
          </w:p>
        </w:tc>
        <w:tc>
          <w:tcPr>
            <w:tcW w:type="dxa" w:w="1728"/>
            <w:shd w:fill="fce553"/>
          </w:tcPr>
          <w:p>
            <w:r>
              <w:t>A</w:t>
            </w:r>
          </w:p>
        </w:tc>
        <w:tc>
          <w:tcPr>
            <w:tcW w:type="dxa" w:w="1728"/>
            <w:shd w:fill="fce553"/>
          </w:tcPr>
          <w:p>
            <w:r>
              <w:t>A</w:t>
            </w:r>
          </w:p>
        </w:tc>
      </w:tr>
      <w:tr>
        <w:tc>
          <w:tcPr>
            <w:tcW w:type="dxa" w:w="1728"/>
          </w:tcPr>
          <w:p>
            <w:r>
              <w:t>SRO Benefits RAG</w:t>
            </w:r>
          </w:p>
        </w:tc>
        <w:tc>
          <w:tcPr>
            <w:tcW w:type="dxa" w:w="1728"/>
            <w:shd w:fill="fce553"/>
          </w:tcPr>
          <w:p>
            <w:r>
              <w:t>A</w:t>
            </w:r>
          </w:p>
        </w:tc>
        <w:tc>
          <w:tcPr>
            <w:tcW w:type="dxa" w:w="1728"/>
            <w:shd w:fill="fce553"/>
          </w:tcPr>
          <w:p>
            <w:r>
              <w:t>A</w:t>
            </w:r>
          </w:p>
        </w:tc>
        <w:tc>
          <w:tcPr>
            <w:tcW w:type="dxa" w:w="1728"/>
            <w:shd w:fill="fce553"/>
          </w:tcPr>
          <w:p>
            <w:r>
              <w:t>A</w:t>
            </w:r>
          </w:p>
        </w:tc>
        <w:tc>
          <w:tcPr>
            <w:tcW w:type="dxa" w:w="1728"/>
            <w:shd w:fill="fce553"/>
          </w:tcPr>
          <w:p>
            <w:r>
              <w:t>A</w:t>
            </w:r>
          </w:p>
        </w:tc>
      </w:tr>
      <w:tr>
        <w:tc>
          <w:tcPr>
            <w:tcW w:type="dxa" w:w="1728"/>
          </w:tcPr>
          <w:p>
            <w:r>
              <w:t>Overall Resource DCA - Now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  <w:shd w:fill="fce553"/>
          </w:tcPr>
          <w:p>
            <w:r>
              <w:t>A</w:t>
            </w:r>
          </w:p>
        </w:tc>
        <w:tc>
          <w:tcPr>
            <w:tcW w:type="dxa" w:w="1728"/>
            <w:shd w:fill="17960c"/>
          </w:tcPr>
          <w:p>
            <w:r>
              <w:t>G</w:t>
            </w:r>
          </w:p>
        </w:tc>
        <w:tc>
          <w:tcPr>
            <w:tcW w:type="dxa" w:w="1728"/>
            <w:shd w:fill="17960c"/>
          </w:tcPr>
          <w:p>
            <w:r>
              <w:t>G</w:t>
            </w:r>
          </w:p>
        </w:tc>
      </w:tr>
      <w:tr>
        <w:tc>
          <w:tcPr>
            <w:tcW w:type="dxa" w:w="1728"/>
          </w:tcPr>
          <w:p>
            <w:r>
              <w:t>SRO Schedule Confidence</w:t>
            </w:r>
          </w:p>
        </w:tc>
        <w:tc>
          <w:tcPr>
            <w:tcW w:type="dxa" w:w="1728"/>
            <w:shd w:fill="cb1f00"/>
          </w:tcPr>
          <w:p>
            <w:r>
              <w:t>R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</w:tbl>
    <w:sectPr w:rsidR="00DF7B63" w:rsidRPr="00D30EF9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