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AC1BFF" w:rsidRDefault="007E55C6" w:rsidP="007E55C6">
      <w:pPr>
        <w:ind w:left="2124"/>
        <w:rPr>
          <w:rFonts w:ascii="Calibri" w:hAnsi="Calibri"/>
          <w:color w:val="000000" w:themeColor="text1"/>
          <w:lang w:val="en-US"/>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AC1BFF">
        <w:rPr>
          <w:rFonts w:ascii="Calibri" w:hAnsi="Calibri"/>
          <w:color w:val="000000" w:themeColor="text1"/>
          <w:lang w:val="en-US"/>
        </w:rPr>
        <w:t>52074 Aachen</w:t>
      </w:r>
    </w:p>
    <w:p w14:paraId="3932B480" w14:textId="33A6EEB7" w:rsidR="007E55C6" w:rsidRPr="00AC1BFF" w:rsidRDefault="007E55C6" w:rsidP="007E55C6">
      <w:pPr>
        <w:ind w:left="2124"/>
        <w:rPr>
          <w:rFonts w:ascii="Calibri" w:hAnsi="Calibri"/>
          <w:color w:val="000000" w:themeColor="text1"/>
          <w:lang w:val="en-US"/>
        </w:rPr>
      </w:pPr>
      <w:r w:rsidRPr="00AC1BFF">
        <w:rPr>
          <w:rFonts w:ascii="Calibri" w:hAnsi="Calibri"/>
          <w:color w:val="000000" w:themeColor="text1"/>
          <w:lang w:val="en-US"/>
        </w:rPr>
        <w:t xml:space="preserve">    </w:t>
      </w:r>
      <w:r w:rsidR="00BF3A44" w:rsidRPr="00AC1BFF">
        <w:rPr>
          <w:rFonts w:ascii="Calibri" w:hAnsi="Calibri"/>
          <w:color w:val="000000" w:themeColor="text1"/>
          <w:lang w:val="en-US"/>
        </w:rPr>
        <w:t xml:space="preserve"> </w:t>
      </w:r>
      <w:r w:rsidRPr="00AC1BFF">
        <w:rPr>
          <w:rFonts w:ascii="Calibri" w:hAnsi="Calibri"/>
          <w:color w:val="000000" w:themeColor="text1"/>
          <w:lang w:val="en-US"/>
        </w:rPr>
        <w:t>GERMANY</w:t>
      </w:r>
    </w:p>
    <w:p w14:paraId="694353AF" w14:textId="77777777" w:rsidR="007E55C6" w:rsidRPr="00AC1BFF" w:rsidRDefault="007E55C6" w:rsidP="007E55C6">
      <w:pPr>
        <w:rPr>
          <w:rFonts w:ascii="Calibri" w:hAnsi="Calibri"/>
          <w:color w:val="000000" w:themeColor="text1"/>
          <w:lang w:val="en-US"/>
        </w:rPr>
      </w:pPr>
    </w:p>
    <w:p w14:paraId="69439021" w14:textId="77777777" w:rsidR="00500CCC" w:rsidRPr="00AC1BFF" w:rsidRDefault="00500CCC" w:rsidP="007E55C6">
      <w:pPr>
        <w:rPr>
          <w:rFonts w:ascii="Calibri" w:hAnsi="Calibri"/>
          <w:color w:val="000000" w:themeColor="text1"/>
          <w:lang w:val="en-US"/>
        </w:rPr>
      </w:pPr>
    </w:p>
    <w:p w14:paraId="1159FAB3" w14:textId="77777777" w:rsidR="00500CCC" w:rsidRPr="00AC1BFF" w:rsidRDefault="00500CCC" w:rsidP="007E55C6">
      <w:pPr>
        <w:rPr>
          <w:rFonts w:ascii="Calibri" w:hAnsi="Calibri"/>
          <w:color w:val="000000" w:themeColor="text1"/>
          <w:lang w:val="en-US"/>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FE1872">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5EC81DC6"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FE1872"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7407026D"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FE1872">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FE1872">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FE1872">
          <w:rPr>
            <w:rFonts w:ascii="Calibri" w:hAnsi="Calibri"/>
            <w:noProof/>
            <w:lang w:val="en-US"/>
          </w:rPr>
          <w:t>4</w:t>
        </w:r>
      </w:hyperlink>
      <w:r w:rsidR="0024261F">
        <w:rPr>
          <w:rFonts w:ascii="Calibri" w:hAnsi="Calibri"/>
          <w:noProof/>
          <w:lang w:val="en-US"/>
        </w:rPr>
        <w:t xml:space="preserve">, </w:t>
      </w:r>
      <w:hyperlink w:anchor="_ENREF_6" w:tooltip="Efron, 2016 #6362" w:history="1">
        <w:r w:rsidR="00FE1872">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FE1872">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FE1872">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370F96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FE1872">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FE1872">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FE1872">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FE1872">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FE1872">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FE1872">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FE1872">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FE1872">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84CBBCC"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FE1872"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59D9C4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FE1872"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FE1872"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FE1872"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FE1872"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FE1872"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55937B9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294890"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2E4ED9E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FE1872"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C4EA6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FE1872">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440D2AA4"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FE1872">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FE1872">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294890"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6F7B88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FE1872">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FE1872">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FE1872"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76000044"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FE1872">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FE1872">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lastRenderedPageBreak/>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FE1872">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CDA9B7F"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FE1872">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FE1872">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7AD7601"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w:instrText>
      </w:r>
      <w:r w:rsidR="00CA1C93">
        <w:rPr>
          <w:rFonts w:ascii="Calibri" w:hAnsi="Calibri"/>
          <w:color w:val="000000" w:themeColor="text1"/>
          <w:sz w:val="22"/>
          <w:szCs w:val="22"/>
          <w:lang w:val="en-US"/>
        </w:rPr>
        <w:instrText>ADDIN</w:instrText>
      </w:r>
      <w:r w:rsidR="0024261F">
        <w:rPr>
          <w:rFonts w:ascii="Calibri" w:hAnsi="Calibri"/>
          <w:color w:val="000000" w:themeColor="text1"/>
          <w:sz w:val="22"/>
          <w:szCs w:val="22"/>
          <w:lang w:val="en-US"/>
        </w:rPr>
        <w:instrText xml:space="preserve">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FE1872">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FE1872">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21AAF75F"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681FEEA2" w14:textId="77777777" w:rsidR="00567373" w:rsidRDefault="00567373" w:rsidP="00567373">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w:t>
      </w:r>
    </w:p>
    <w:p w14:paraId="36E0C630" w14:textId="77777777" w:rsidR="00567373" w:rsidRDefault="00567373" w:rsidP="00CB2DA0">
      <w:pPr>
        <w:spacing w:line="360" w:lineRule="auto"/>
        <w:contextualSpacing/>
        <w:jc w:val="both"/>
        <w:rPr>
          <w:rFonts w:ascii="Calibri" w:hAnsi="Calibri"/>
          <w:color w:val="000000" w:themeColor="text1"/>
          <w:sz w:val="22"/>
          <w:szCs w:val="22"/>
          <w:lang w:val="en-US"/>
        </w:rPr>
      </w:pP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57286288" w14:textId="77777777" w:rsidR="00E33861" w:rsidRDefault="00E33861" w:rsidP="00CB2DA0">
      <w:pPr>
        <w:spacing w:line="360" w:lineRule="auto"/>
        <w:contextualSpacing/>
        <w:jc w:val="both"/>
        <w:rPr>
          <w:rFonts w:ascii="Calibri" w:hAnsi="Calibri"/>
          <w:color w:val="000000" w:themeColor="text1"/>
          <w:sz w:val="22"/>
          <w:szCs w:val="22"/>
          <w:lang w:val="en-US"/>
        </w:rPr>
      </w:pPr>
    </w:p>
    <w:p w14:paraId="783CE0D6" w14:textId="0264FF81"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FE187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&lt;EndNote&gt;&lt;Cite&gt;&lt;Author&gt;White&lt;/Author&gt;&lt;Year&gt;1971&lt;/Year&gt;&lt;RecNum&gt;866&lt;/RecNum&gt;&lt;DisplayText&gt;(27)&lt;/DisplayText&gt;&lt;record&gt;&lt;rec-number&gt;866&lt;/rec-number&gt;&lt;foreign-keys&gt;&lt;key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FE1872">
        <w:rPr>
          <w:rFonts w:ascii="Calibri" w:eastAsia="Times New Roman" w:hAnsi="Calibri"/>
          <w:noProof/>
          <w:color w:val="14171A"/>
          <w:sz w:val="22"/>
          <w:szCs w:val="22"/>
          <w:shd w:val="clear" w:color="auto" w:fill="FFFFFF"/>
          <w:lang w:val="en-US"/>
        </w:rPr>
        <w:t>(</w:t>
      </w:r>
      <w:hyperlink w:anchor="_ENREF_27" w:tooltip="White, 1971 #866" w:history="1">
        <w:r w:rsidR="00FE1872">
          <w:rPr>
            <w:rFonts w:ascii="Calibri" w:eastAsia="Times New Roman" w:hAnsi="Calibri"/>
            <w:noProof/>
            <w:color w:val="14171A"/>
            <w:sz w:val="22"/>
            <w:szCs w:val="22"/>
            <w:shd w:val="clear" w:color="auto" w:fill="FFFFFF"/>
            <w:lang w:val="en-US"/>
          </w:rPr>
          <w:t>27</w:t>
        </w:r>
      </w:hyperlink>
      <w:r w:rsidR="00FE1872">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&lt;EndNote&gt;&lt;Cite&gt;&lt;Author&gt;James&lt;/Author&gt;&lt;Year&gt;2013&lt;/Year&gt;&lt;RecNum&gt;6370&lt;/RecNum&gt;&lt;DisplayText&gt;(28)&lt;/DisplayText&gt;&lt;record&gt;&lt;rec-number&gt;6370&lt;/rec-number&gt;&lt;foreign-keys&gt;&lt;key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8" w:tooltip="James, 2013 #6370" w:history="1">
        <w:r w:rsidR="00FE1872">
          <w:rPr>
            <w:rFonts w:ascii="Calibri" w:hAnsi="Calibri"/>
            <w:noProof/>
            <w:sz w:val="22"/>
            <w:szCs w:val="22"/>
            <w:lang w:val="en-US"/>
          </w:rPr>
          <w:t>28</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FE1872">
        <w:rPr>
          <w:rFonts w:ascii="Calibri" w:hAnsi="Calibri"/>
          <w:sz w:val="22"/>
          <w:szCs w:val="22"/>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FE1872">
        <w:rPr>
          <w:rFonts w:ascii="Calibri" w:hAnsi="Calibri"/>
          <w:noProof/>
          <w:sz w:val="22"/>
          <w:szCs w:val="22"/>
          <w:lang w:val="en-US"/>
        </w:rPr>
        <w:t>(</w:t>
      </w:r>
      <w:hyperlink w:anchor="_ENREF_2" w:tooltip="Breiman, 2001 #4148" w:history="1">
        <w:r w:rsidR="00FE1872">
          <w:rPr>
            <w:rFonts w:ascii="Calibri" w:hAnsi="Calibri"/>
            <w:noProof/>
            <w:sz w:val="22"/>
            <w:szCs w:val="22"/>
            <w:lang w:val="en-US"/>
          </w:rPr>
          <w:t>2</w:t>
        </w:r>
      </w:hyperlink>
      <w:r w:rsidR="00FE1872">
        <w:rPr>
          <w:rFonts w:ascii="Calibri" w:hAnsi="Calibri"/>
          <w:noProof/>
          <w:sz w:val="22"/>
          <w:szCs w:val="22"/>
          <w:lang w:val="en-US"/>
        </w:rPr>
        <w:t xml:space="preserve">, </w:t>
      </w:r>
      <w:hyperlink w:anchor="_ENREF_29" w:tooltip="Bzdok, 2017 #6436" w:history="1">
        <w:r w:rsidR="00FE1872">
          <w:rPr>
            <w:rFonts w:ascii="Calibri" w:hAnsi="Calibri"/>
            <w:noProof/>
            <w:sz w:val="22"/>
            <w:szCs w:val="22"/>
            <w:lang w:val="en-US"/>
          </w:rPr>
          <w:t>29</w:t>
        </w:r>
      </w:hyperlink>
      <w:r w:rsidR="00FE1872">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65978FF"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FE1872">
        <w:rPr>
          <w:rFonts w:ascii="Calibri" w:hAnsi="Calibri"/>
          <w:color w:val="000000" w:themeColor="text1"/>
          <w:sz w:val="22"/>
          <w:szCs w:val="22"/>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FE1872">
        <w:rPr>
          <w:rFonts w:ascii="Calibri" w:hAnsi="Calibri"/>
          <w:noProof/>
          <w:color w:val="000000" w:themeColor="text1"/>
          <w:sz w:val="22"/>
          <w:szCs w:val="22"/>
          <w:lang w:val="en-US"/>
        </w:rPr>
        <w:t>(</w:t>
      </w:r>
      <w:hyperlink w:anchor="_ENREF_29" w:tooltip="Bzdok, 2017 #6436" w:history="1">
        <w:r w:rsidR="00FE1872">
          <w:rPr>
            <w:rFonts w:ascii="Calibri" w:hAnsi="Calibri"/>
            <w:noProof/>
            <w:color w:val="000000" w:themeColor="text1"/>
            <w:sz w:val="22"/>
            <w:szCs w:val="22"/>
            <w:lang w:val="en-US"/>
          </w:rPr>
          <w:t>29</w:t>
        </w:r>
      </w:hyperlink>
      <w:r w:rsidR="00FE1872">
        <w:rPr>
          <w:rFonts w:ascii="Calibri" w:hAnsi="Calibri"/>
          <w:noProof/>
          <w:color w:val="000000" w:themeColor="text1"/>
          <w:sz w:val="22"/>
          <w:szCs w:val="22"/>
          <w:lang w:val="en-US"/>
        </w:rPr>
        <w:t xml:space="preserve">, </w:t>
      </w:r>
      <w:hyperlink w:anchor="_ENREF_30" w:tooltip="Shmueli, 2010 #5944" w:history="1">
        <w:r w:rsidR="00FE1872">
          <w:rPr>
            <w:rFonts w:ascii="Calibri" w:hAnsi="Calibri"/>
            <w:noProof/>
            <w:color w:val="000000" w:themeColor="text1"/>
            <w:sz w:val="22"/>
            <w:szCs w:val="22"/>
            <w:lang w:val="en-US"/>
          </w:rPr>
          <w:t>30</w:t>
        </w:r>
      </w:hyperlink>
      <w:r w:rsidR="00FE1872">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lastRenderedPageBreak/>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w:t>
      </w:r>
      <w:r w:rsidRPr="00D37126">
        <w:rPr>
          <w:rFonts w:cs="Arial"/>
          <w:color w:val="000000" w:themeColor="text1"/>
          <w:lang w:val="en-US"/>
        </w:rPr>
        <w:lastRenderedPageBreak/>
        <w:t xml:space="preserve">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w:t>
      </w:r>
      <w:proofErr w:type="spellStart"/>
      <w:r w:rsidRPr="00D37126">
        <w:rPr>
          <w:rFonts w:cs="Arial"/>
          <w:color w:val="000000" w:themeColor="text1"/>
          <w:lang w:val="en-US"/>
        </w:rPr>
        <w:t>Bzdok</w:t>
      </w:r>
      <w:proofErr w:type="spellEnd"/>
      <w:r w:rsidRPr="00D37126">
        <w:rPr>
          <w:rFonts w:cs="Arial"/>
          <w:color w:val="000000" w:themeColor="text1"/>
          <w:lang w:val="en-US"/>
        </w:rPr>
        <w:t xml:space="preserve"> et al., 2016b; </w:t>
      </w:r>
      <w:proofErr w:type="spellStart"/>
      <w:r w:rsidRPr="00D37126">
        <w:rPr>
          <w:rFonts w:cs="Arial"/>
          <w:color w:val="000000" w:themeColor="text1"/>
          <w:lang w:val="en-US"/>
        </w:rPr>
        <w:t>Arbabshirani</w:t>
      </w:r>
      <w:proofErr w:type="spellEnd"/>
      <w:r w:rsidRPr="00D37126">
        <w:rPr>
          <w:rFonts w:cs="Arial"/>
          <w:color w:val="000000" w:themeColor="text1"/>
          <w:lang w:val="en-US"/>
        </w:rPr>
        <w:t xml:space="preserve">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w:t>
      </w:r>
      <w:proofErr w:type="spellStart"/>
      <w:r w:rsidRPr="00D37126">
        <w:rPr>
          <w:rFonts w:cs="Times"/>
          <w:color w:val="000000" w:themeColor="text1"/>
          <w:lang w:val="en-US"/>
        </w:rPr>
        <w:t>Poldrack</w:t>
      </w:r>
      <w:proofErr w:type="spellEnd"/>
      <w:r w:rsidRPr="00D37126">
        <w:rPr>
          <w:rFonts w:cs="Times"/>
          <w:color w:val="000000" w:themeColor="text1"/>
          <w:lang w:val="en-US"/>
        </w:rPr>
        <w:t xml:space="preserve"> and </w:t>
      </w:r>
      <w:proofErr w:type="spellStart"/>
      <w:r w:rsidRPr="00D37126">
        <w:rPr>
          <w:rFonts w:cs="Times"/>
          <w:color w:val="000000" w:themeColor="text1"/>
          <w:lang w:val="en-US"/>
        </w:rPr>
        <w:t>Gorgolewski</w:t>
      </w:r>
      <w:proofErr w:type="spellEnd"/>
      <w:r w:rsidRPr="00D37126">
        <w:rPr>
          <w:rFonts w:cs="Times"/>
          <w:color w:val="000000" w:themeColor="text1"/>
          <w:lang w:val="en-US"/>
        </w:rPr>
        <w:t>,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62F8AF5C" w14:textId="77777777" w:rsidR="0053311E" w:rsidRPr="004075BD" w:rsidRDefault="0053311E" w:rsidP="0053311E">
      <w:pPr>
        <w:rPr>
          <w:rFonts w:ascii="Minion Pro" w:hAnsi="Minion Pro"/>
          <w:color w:val="1A1919"/>
          <w:sz w:val="14"/>
          <w:szCs w:val="14"/>
          <w:lang w:val="en-US"/>
        </w:rPr>
      </w:pPr>
      <w:r w:rsidRPr="004075BD">
        <w:rPr>
          <w:rFonts w:ascii="Minion Pro" w:hAnsi="Minion Pro"/>
          <w:color w:val="1A1919"/>
          <w:sz w:val="14"/>
          <w:szCs w:val="14"/>
          <w:lang w:val="en-US"/>
        </w:rPr>
        <w:t>“Change your statistical phil</w:t>
      </w:r>
      <w:r>
        <w:rPr>
          <w:rFonts w:ascii="Minion Pro" w:hAnsi="Minion Pro"/>
          <w:color w:val="1A1919"/>
          <w:sz w:val="14"/>
          <w:szCs w:val="14"/>
          <w:lang w:val="en-US"/>
        </w:rPr>
        <w:t xml:space="preserve">osophy and all of </w:t>
      </w:r>
      <w:proofErr w:type="gramStart"/>
      <w:r>
        <w:rPr>
          <w:rFonts w:ascii="Minion Pro" w:hAnsi="Minion Pro"/>
          <w:color w:val="1A1919"/>
          <w:sz w:val="14"/>
          <w:szCs w:val="14"/>
          <w:lang w:val="en-US"/>
        </w:rPr>
        <w:t>a sudden dif</w:t>
      </w:r>
      <w:r w:rsidRPr="004075BD">
        <w:rPr>
          <w:rFonts w:ascii="Minion Pro" w:hAnsi="Minion Pro"/>
          <w:color w:val="1A1919"/>
          <w:sz w:val="14"/>
          <w:szCs w:val="14"/>
          <w:lang w:val="en-US"/>
        </w:rPr>
        <w:t>ferent things</w:t>
      </w:r>
      <w:proofErr w:type="gramEnd"/>
      <w:r w:rsidRPr="004075BD">
        <w:rPr>
          <w:rFonts w:ascii="Minion Pro" w:hAnsi="Minion Pro"/>
          <w:color w:val="1A1919"/>
          <w:sz w:val="14"/>
          <w:szCs w:val="14"/>
          <w:lang w:val="en-US"/>
        </w:rPr>
        <w:t xml:space="preserve"> become important,” says Steven</w:t>
      </w:r>
      <w:r>
        <w:rPr>
          <w:rFonts w:ascii="Minion Pro" w:hAnsi="Minion Pro"/>
          <w:color w:val="1A1919"/>
          <w:sz w:val="14"/>
          <w:szCs w:val="14"/>
          <w:lang w:val="en-US"/>
        </w:rPr>
        <w:t xml:space="preserve"> Goodman (</w:t>
      </w:r>
      <w:proofErr w:type="spellStart"/>
      <w:r>
        <w:rPr>
          <w:rFonts w:ascii="Minion Pro" w:hAnsi="Minion Pro"/>
          <w:color w:val="1A1919"/>
          <w:sz w:val="14"/>
          <w:szCs w:val="14"/>
          <w:lang w:val="en-US"/>
        </w:rPr>
        <w:t>Nuzzo</w:t>
      </w:r>
      <w:proofErr w:type="spellEnd"/>
      <w:r>
        <w:rPr>
          <w:rFonts w:ascii="Minion Pro" w:hAnsi="Minion Pro"/>
          <w:color w:val="1A1919"/>
          <w:sz w:val="14"/>
          <w:szCs w:val="14"/>
          <w:lang w:val="en-US"/>
        </w:rPr>
        <w:t>)</w:t>
      </w:r>
    </w:p>
    <w:p w14:paraId="0FDDFF5B" w14:textId="77777777" w:rsidR="00C51656" w:rsidRDefault="00C51656" w:rsidP="004420AB">
      <w:pPr>
        <w:rPr>
          <w:rFonts w:ascii="Arial" w:eastAsia="Times New Roman" w:hAnsi="Arial" w:cs="Arial"/>
          <w:color w:val="222222"/>
          <w:shd w:val="clear" w:color="auto" w:fill="FFFFFF"/>
          <w:lang w:val="en-US"/>
        </w:rPr>
      </w:pPr>
    </w:p>
    <w:p w14:paraId="529A079F" w14:textId="00A899DF" w:rsidR="00C51656" w:rsidRDefault="00C51656" w:rsidP="00C51656">
      <w:pPr>
        <w:pStyle w:val="p1"/>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Efron2005: “</w:t>
      </w:r>
      <w:r w:rsidRPr="00C51656">
        <w:rPr>
          <w:rFonts w:ascii="Times" w:hAnsi="Times"/>
          <w:color w:val="000000"/>
          <w:lang w:val="en-US"/>
        </w:rPr>
        <w:t xml:space="preserve">our </w:t>
      </w:r>
      <w:proofErr w:type="gramStart"/>
      <w:r w:rsidRPr="00C51656">
        <w:rPr>
          <w:rFonts w:ascii="Times" w:hAnsi="Times"/>
          <w:color w:val="000000"/>
          <w:lang w:val="en-US"/>
        </w:rPr>
        <w:t>250 year old</w:t>
      </w:r>
      <w:proofErr w:type="gramEnd"/>
      <w:r w:rsidRPr="00C51656">
        <w:rPr>
          <w:rFonts w:ascii="Times" w:hAnsi="Times"/>
          <w:color w:val="000000"/>
          <w:lang w:val="en-US"/>
        </w:rPr>
        <w:t xml:space="preserve"> Bayesian-frequentist argument. </w:t>
      </w:r>
      <w:proofErr w:type="gramStart"/>
      <w:r w:rsidRPr="00C51656">
        <w:rPr>
          <w:rFonts w:ascii="Times" w:hAnsi="Times"/>
          <w:color w:val="000000"/>
          <w:lang w:val="en-US"/>
        </w:rPr>
        <w:t>Basically</w:t>
      </w:r>
      <w:proofErr w:type="gramEnd"/>
      <w:r w:rsidRPr="00C51656">
        <w:rPr>
          <w:rFonts w:ascii="Times" w:hAnsi="Times"/>
          <w:color w:val="000000"/>
          <w:lang w:val="en-US"/>
        </w:rPr>
        <w:t xml:space="preserve"> there’s only one way of doing physics but there seems to be at least two ways to do statistics, and they don’t always give the same answers. This says something about the special nature of our field. </w:t>
      </w:r>
      <w:r w:rsidR="00E8100B">
        <w:rPr>
          <w:rFonts w:ascii="Times" w:hAnsi="Times"/>
          <w:color w:val="000000"/>
          <w:lang w:val="en-US"/>
        </w:rPr>
        <w:t xml:space="preserve">... </w:t>
      </w:r>
      <w:r w:rsidR="00E8100B" w:rsidRPr="00E8100B">
        <w:rPr>
          <w:rFonts w:ascii="Times" w:hAnsi="Times"/>
          <w:color w:val="000000"/>
          <w:lang w:val="en-US"/>
        </w:rPr>
        <w:t>The Bayesian-Frequentist debate reflects two different attitudes to the process of doing science, both quite legitimate.</w:t>
      </w:r>
      <w:r>
        <w:rPr>
          <w:rFonts w:ascii="Arial" w:eastAsia="Times New Roman" w:hAnsi="Arial" w:cs="Arial"/>
          <w:color w:val="222222"/>
          <w:shd w:val="clear" w:color="auto" w:fill="FFFFFF"/>
          <w:lang w:val="en-US"/>
        </w:rPr>
        <w:t>”</w:t>
      </w:r>
    </w:p>
    <w:p w14:paraId="30B4913F" w14:textId="77777777" w:rsidR="00B97E25" w:rsidRDefault="00B97E25" w:rsidP="00C51656">
      <w:pPr>
        <w:pStyle w:val="p1"/>
        <w:rPr>
          <w:rFonts w:ascii="Arial" w:eastAsia="Times New Roman" w:hAnsi="Arial" w:cs="Arial"/>
          <w:color w:val="222222"/>
          <w:shd w:val="clear" w:color="auto" w:fill="FFFFFF"/>
          <w:lang w:val="en-US"/>
        </w:rPr>
      </w:pPr>
    </w:p>
    <w:p w14:paraId="1A34EDD6" w14:textId="0D28A8A1" w:rsidR="00B97E25" w:rsidRPr="00C51656" w:rsidRDefault="00B97E25" w:rsidP="00C51656">
      <w:pPr>
        <w:pStyle w:val="p1"/>
        <w:rPr>
          <w:rFonts w:ascii="Times" w:hAnsi="Times"/>
          <w:color w:val="000000"/>
          <w:lang w:val="en-US"/>
        </w:rPr>
      </w:pPr>
      <w:r>
        <w:rPr>
          <w:rFonts w:ascii="Arial" w:eastAsia="Times New Roman" w:hAnsi="Arial" w:cs="Arial"/>
          <w:color w:val="222222"/>
          <w:shd w:val="clear" w:color="auto" w:fill="FFFFFF"/>
          <w:lang w:val="en-US"/>
        </w:rPr>
        <w:t>Friedman2001: the field should be defined in a set of problems (</w:t>
      </w:r>
      <w:proofErr w:type="spellStart"/>
      <w:r>
        <w:rPr>
          <w:rFonts w:ascii="Arial" w:eastAsia="Times New Roman" w:hAnsi="Arial" w:cs="Arial"/>
          <w:color w:val="222222"/>
          <w:shd w:val="clear" w:color="auto" w:fill="FFFFFF"/>
          <w:lang w:val="en-US"/>
        </w:rPr>
        <w:t>inf</w:t>
      </w:r>
      <w:proofErr w:type="spellEnd"/>
      <w:r>
        <w:rPr>
          <w:rFonts w:ascii="Arial" w:eastAsia="Times New Roman" w:hAnsi="Arial" w:cs="Arial"/>
          <w:color w:val="222222"/>
          <w:shd w:val="clear" w:color="auto" w:fill="FFFFFF"/>
          <w:lang w:val="en-US"/>
        </w:rPr>
        <w:t xml:space="preserve"> / </w:t>
      </w:r>
      <w:proofErr w:type="spellStart"/>
      <w:r>
        <w:rPr>
          <w:rFonts w:ascii="Arial" w:eastAsia="Times New Roman" w:hAnsi="Arial" w:cs="Arial"/>
          <w:color w:val="222222"/>
          <w:shd w:val="clear" w:color="auto" w:fill="FFFFFF"/>
          <w:lang w:val="en-US"/>
        </w:rPr>
        <w:t>pred</w:t>
      </w:r>
      <w:proofErr w:type="spellEnd"/>
      <w:r>
        <w:rPr>
          <w:rFonts w:ascii="Arial" w:eastAsia="Times New Roman" w:hAnsi="Arial" w:cs="Arial"/>
          <w:color w:val="222222"/>
          <w:shd w:val="clear" w:color="auto" w:fill="FFFFFF"/>
          <w:lang w:val="en-US"/>
        </w:rPr>
        <w:t xml:space="preserve">) </w:t>
      </w:r>
      <w:proofErr w:type="spellStart"/>
      <w:r>
        <w:rPr>
          <w:rFonts w:ascii="Arial" w:eastAsia="Times New Roman" w:hAnsi="Arial" w:cs="Arial"/>
          <w:color w:val="222222"/>
          <w:shd w:val="clear" w:color="auto" w:fill="FFFFFF"/>
          <w:lang w:val="en-US"/>
        </w:rPr>
        <w:t>rahter</w:t>
      </w:r>
      <w:proofErr w:type="spellEnd"/>
      <w:r>
        <w:rPr>
          <w:rFonts w:ascii="Arial" w:eastAsia="Times New Roman" w:hAnsi="Arial" w:cs="Arial"/>
          <w:color w:val="222222"/>
          <w:shd w:val="clear" w:color="auto" w:fill="FFFFFF"/>
          <w:lang w:val="en-US"/>
        </w:rPr>
        <w:t xml:space="preserve"> than a list of </w:t>
      </w:r>
      <w:r w:rsidR="00C753C2">
        <w:rPr>
          <w:rFonts w:ascii="Arial" w:eastAsia="Times New Roman" w:hAnsi="Arial" w:cs="Arial"/>
          <w:color w:val="222222"/>
          <w:shd w:val="clear" w:color="auto" w:fill="FFFFFF"/>
          <w:lang w:val="en-US"/>
        </w:rPr>
        <w:t xml:space="preserve">(preferred) </w:t>
      </w:r>
      <w:r>
        <w:rPr>
          <w:rFonts w:ascii="Arial" w:eastAsia="Times New Roman" w:hAnsi="Arial" w:cs="Arial"/>
          <w:color w:val="222222"/>
          <w:shd w:val="clear" w:color="auto" w:fill="FFFFFF"/>
          <w:lang w:val="en-US"/>
        </w:rPr>
        <w:t>methods</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for patient-tailored monitoring, risk assessment, and therapeutic intervention.</w:t>
      </w:r>
    </w:p>
    <w:p w14:paraId="4252BF8D" w14:textId="77777777" w:rsidR="00E33861" w:rsidRDefault="00E33861" w:rsidP="00E33861">
      <w:pPr>
        <w:spacing w:line="360" w:lineRule="auto"/>
        <w:contextualSpacing/>
        <w:jc w:val="both"/>
        <w:rPr>
          <w:rFonts w:ascii="Calibri" w:hAnsi="Calibri"/>
          <w:color w:val="000000" w:themeColor="text1"/>
          <w:sz w:val="22"/>
          <w:szCs w:val="22"/>
          <w:lang w:val="en-US"/>
        </w:rPr>
      </w:pPr>
      <w:r>
        <w:rPr>
          <w:rFonts w:ascii="Calibri" w:hAnsi="Calibri"/>
          <w:color w:val="000000" w:themeColor="text1"/>
          <w:sz w:val="22"/>
          <w:szCs w:val="22"/>
          <w:lang w:val="en-US"/>
        </w:rPr>
        <w:t>Statistical literacy may become increasingly important on the way to personalizing medical care to single individuals</w:t>
      </w:r>
    </w:p>
    <w:p w14:paraId="246C9B48" w14:textId="77777777" w:rsidR="00555C61" w:rsidRDefault="00555C61" w:rsidP="00E33861">
      <w:pPr>
        <w:spacing w:line="360" w:lineRule="auto"/>
        <w:contextualSpacing/>
        <w:jc w:val="both"/>
        <w:rPr>
          <w:rFonts w:ascii="Calibri" w:hAnsi="Calibri"/>
          <w:color w:val="000000" w:themeColor="text1"/>
          <w:sz w:val="22"/>
          <w:szCs w:val="22"/>
          <w:lang w:val="en-US"/>
        </w:rPr>
      </w:pPr>
    </w:p>
    <w:p w14:paraId="78DBDA2B" w14:textId="77777777" w:rsidR="00555C61" w:rsidRPr="00555C61" w:rsidRDefault="00555C61" w:rsidP="00555C61">
      <w:pPr>
        <w:spacing w:line="360" w:lineRule="auto"/>
        <w:contextualSpacing/>
        <w:jc w:val="both"/>
        <w:rPr>
          <w:rFonts w:ascii="Calibri" w:hAnsi="Calibri"/>
          <w:color w:val="000000" w:themeColor="text1"/>
          <w:sz w:val="22"/>
          <w:szCs w:val="22"/>
          <w:lang w:val="en-US"/>
        </w:rPr>
      </w:pPr>
      <w:r w:rsidRPr="00555C61">
        <w:rPr>
          <w:rFonts w:ascii="Calibri" w:hAnsi="Calibri"/>
          <w:color w:val="000000" w:themeColor="text1"/>
          <w:sz w:val="22"/>
          <w:szCs w:val="22"/>
          <w:lang w:val="en-US"/>
        </w:rPr>
        <w:t xml:space="preserve">excellent final phrase for the conclusion: Claude Bernard (father of experimental research in medicine) / </w:t>
      </w:r>
      <w:proofErr w:type="spellStart"/>
      <w:r w:rsidRPr="00555C61">
        <w:rPr>
          <w:rFonts w:ascii="Calibri" w:hAnsi="Calibri"/>
          <w:color w:val="000000" w:themeColor="text1"/>
          <w:sz w:val="22"/>
          <w:szCs w:val="22"/>
          <w:lang w:val="en-US"/>
        </w:rPr>
        <w:t>traité</w:t>
      </w:r>
      <w:proofErr w:type="spellEnd"/>
      <w:r w:rsidRPr="00555C61">
        <w:rPr>
          <w:rFonts w:ascii="Calibri" w:hAnsi="Calibri"/>
          <w:color w:val="000000" w:themeColor="text1"/>
          <w:sz w:val="22"/>
          <w:szCs w:val="22"/>
          <w:lang w:val="en-US"/>
        </w:rPr>
        <w:t xml:space="preserve"> de la medicine </w:t>
      </w:r>
      <w:proofErr w:type="spellStart"/>
      <w:r w:rsidRPr="00555C61">
        <w:rPr>
          <w:rFonts w:ascii="Calibri" w:hAnsi="Calibri"/>
          <w:color w:val="000000" w:themeColor="text1"/>
          <w:sz w:val="22"/>
          <w:szCs w:val="22"/>
          <w:lang w:val="en-US"/>
        </w:rPr>
        <w:t>experimentale</w:t>
      </w:r>
      <w:proofErr w:type="spellEnd"/>
      <w:r w:rsidRPr="00555C61">
        <w:rPr>
          <w:rFonts w:ascii="Calibri" w:hAnsi="Calibri"/>
          <w:color w:val="000000" w:themeColor="text1"/>
          <w:sz w:val="22"/>
          <w:szCs w:val="22"/>
          <w:lang w:val="en-US"/>
        </w:rPr>
        <w:t xml:space="preserve">; ~1865: "medicine </w:t>
      </w:r>
      <w:proofErr w:type="spellStart"/>
      <w:r w:rsidRPr="00555C61">
        <w:rPr>
          <w:rFonts w:ascii="Calibri" w:hAnsi="Calibri"/>
          <w:color w:val="000000" w:themeColor="text1"/>
          <w:sz w:val="22"/>
          <w:szCs w:val="22"/>
          <w:lang w:val="en-US"/>
        </w:rPr>
        <w:t>professionelle</w:t>
      </w:r>
      <w:proofErr w:type="spellEnd"/>
      <w:r w:rsidRPr="00555C61">
        <w:rPr>
          <w:rFonts w:ascii="Calibri" w:hAnsi="Calibri"/>
          <w:color w:val="000000" w:themeColor="text1"/>
          <w:sz w:val="22"/>
          <w:szCs w:val="22"/>
          <w:lang w:val="en-US"/>
        </w:rPr>
        <w:t>" (no theory, practically oriented) &lt;=&gt; "</w:t>
      </w:r>
      <w:proofErr w:type="spellStart"/>
      <w:r w:rsidRPr="00555C61">
        <w:rPr>
          <w:rFonts w:ascii="Calibri" w:hAnsi="Calibri"/>
          <w:color w:val="000000" w:themeColor="text1"/>
          <w:sz w:val="22"/>
          <w:szCs w:val="22"/>
          <w:lang w:val="en-US"/>
        </w:rPr>
        <w:t>medcin</w:t>
      </w:r>
      <w:proofErr w:type="spellEnd"/>
      <w:r w:rsidRPr="00555C61">
        <w:rPr>
          <w:rFonts w:ascii="Calibri" w:hAnsi="Calibri"/>
          <w:color w:val="000000" w:themeColor="text1"/>
          <w:sz w:val="22"/>
          <w:szCs w:val="22"/>
          <w:lang w:val="en-US"/>
        </w:rPr>
        <w:t xml:space="preserve"> scientific" (principle, determinism </w:t>
      </w:r>
      <w:proofErr w:type="spellStart"/>
      <w:r w:rsidRPr="00555C61">
        <w:rPr>
          <w:rFonts w:ascii="Calibri" w:hAnsi="Calibri"/>
          <w:color w:val="000000" w:themeColor="text1"/>
          <w:sz w:val="22"/>
          <w:szCs w:val="22"/>
          <w:lang w:val="en-US"/>
        </w:rPr>
        <w:t>absolu</w:t>
      </w:r>
      <w:proofErr w:type="spellEnd"/>
      <w:r w:rsidRPr="00555C61">
        <w:rPr>
          <w:rFonts w:ascii="Calibri" w:hAnsi="Calibri"/>
          <w:color w:val="000000" w:themeColor="text1"/>
          <w:sz w:val="22"/>
          <w:szCs w:val="22"/>
          <w:lang w:val="en-US"/>
        </w:rPr>
        <w:t>) =&gt; Is considered to be the founder of experimental/scientific medicine</w:t>
      </w:r>
    </w:p>
    <w:p w14:paraId="758DDB8A" w14:textId="254DA34D" w:rsidR="00555C61" w:rsidRDefault="00555C61" w:rsidP="00555C61">
      <w:pPr>
        <w:spacing w:line="360" w:lineRule="auto"/>
        <w:contextualSpacing/>
        <w:jc w:val="both"/>
        <w:rPr>
          <w:rFonts w:ascii="Calibri" w:hAnsi="Calibri"/>
          <w:color w:val="000000" w:themeColor="text1"/>
          <w:sz w:val="22"/>
          <w:szCs w:val="22"/>
          <w:lang w:val="en-US"/>
        </w:rPr>
      </w:pPr>
      <w:r w:rsidRPr="00555C61">
        <w:rPr>
          <w:rFonts w:ascii="Calibri" w:hAnsi="Calibri"/>
          <w:color w:val="000000" w:themeColor="text1"/>
          <w:sz w:val="22"/>
          <w:szCs w:val="22"/>
          <w:lang w:val="en-US"/>
        </w:rPr>
        <w:t>- CAVE Why are certain variables with a high absolute coefficient but kicked out before</w:t>
      </w:r>
      <w:bookmarkStart w:id="0" w:name="_GoBack"/>
      <w:bookmarkEnd w:id="0"/>
    </w:p>
    <w:p w14:paraId="4358D791" w14:textId="77777777" w:rsidR="00E33861" w:rsidRDefault="00E33861" w:rsidP="00367C21">
      <w:pPr>
        <w:contextualSpacing/>
        <w:jc w:val="both"/>
        <w:rPr>
          <w:rFonts w:ascii="Calibri" w:hAnsi="Calibri"/>
          <w:b/>
          <w:color w:val="000000" w:themeColor="text1"/>
          <w:lang w:val="en-US"/>
        </w:rPr>
      </w:pPr>
    </w:p>
    <w:p w14:paraId="79249201" w14:textId="442875F2" w:rsidR="00367C21" w:rsidRDefault="00232914" w:rsidP="00EE4BBC">
      <w:pPr>
        <w:rPr>
          <w:rFonts w:eastAsia="Times New Roman"/>
          <w:lang w:val="en-US"/>
        </w:rPr>
      </w:pPr>
      <w:r>
        <w:rPr>
          <w:rFonts w:eastAsia="Times New Roman"/>
          <w:lang w:val="en-US"/>
        </w:rPr>
        <w:t>Awareness can help avoid missing important information</w:t>
      </w:r>
    </w:p>
    <w:p w14:paraId="20324908" w14:textId="77777777" w:rsidR="00232914" w:rsidRDefault="00232914"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671470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w:instrText>
      </w:r>
      <w:r w:rsidR="00CA1C93">
        <w:rPr>
          <w:rFonts w:eastAsia="Times New Roman"/>
          <w:lang w:val="en-US"/>
        </w:rPr>
        <w:instrText>ADDIN</w:instrText>
      </w:r>
      <w:r w:rsidR="0024261F">
        <w:rPr>
          <w:rFonts w:eastAsia="Times New Roman"/>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FE1872">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64368D08" w14:textId="77777777" w:rsidR="00FE1872" w:rsidRPr="00FE1872" w:rsidRDefault="004C6FB4" w:rsidP="00FE1872">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FE1872" w:rsidRPr="00FE1872">
        <w:rPr>
          <w:noProof/>
        </w:rPr>
        <w:t>1.</w:t>
      </w:r>
      <w:r w:rsidR="00FE1872" w:rsidRPr="00FE1872">
        <w:rPr>
          <w:noProof/>
        </w:rPr>
        <w:tab/>
        <w:t>Bzdok D, Altman N, Krzywinski M. Statistics versus machine learning. Nature Methods. 2018;15:233–4.</w:t>
      </w:r>
      <w:bookmarkEnd w:id="1"/>
    </w:p>
    <w:p w14:paraId="2FB122C3" w14:textId="77777777" w:rsidR="00FE1872" w:rsidRPr="00FE1872" w:rsidRDefault="00FE1872" w:rsidP="00FE1872">
      <w:pPr>
        <w:pStyle w:val="EndNoteBibliography"/>
        <w:spacing w:after="240"/>
        <w:rPr>
          <w:noProof/>
        </w:rPr>
      </w:pPr>
      <w:bookmarkStart w:id="2" w:name="_ENREF_2"/>
      <w:r w:rsidRPr="00FE1872">
        <w:rPr>
          <w:noProof/>
        </w:rPr>
        <w:t>2.</w:t>
      </w:r>
      <w:r w:rsidRPr="00FE1872">
        <w:rPr>
          <w:noProof/>
        </w:rPr>
        <w:tab/>
        <w:t>Breiman L. Statistical Modeling: The Two Cultures. Statistical Science. 2001;16(3):199-231.</w:t>
      </w:r>
      <w:bookmarkEnd w:id="2"/>
    </w:p>
    <w:p w14:paraId="2D65AFEE" w14:textId="77777777" w:rsidR="00FE1872" w:rsidRPr="00FE1872" w:rsidRDefault="00FE1872" w:rsidP="00FE1872">
      <w:pPr>
        <w:pStyle w:val="EndNoteBibliography"/>
        <w:spacing w:after="240"/>
        <w:rPr>
          <w:noProof/>
        </w:rPr>
      </w:pPr>
      <w:bookmarkStart w:id="3" w:name="_ENREF_3"/>
      <w:r w:rsidRPr="00FE1872">
        <w:rPr>
          <w:noProof/>
        </w:rPr>
        <w:t>3.</w:t>
      </w:r>
      <w:r w:rsidRPr="00FE1872">
        <w:rPr>
          <w:noProof/>
        </w:rPr>
        <w:tab/>
        <w:t>White AR. Inference. The Philosophical Quarterly (1950-). 1971;21(85):289-302.</w:t>
      </w:r>
      <w:bookmarkEnd w:id="3"/>
    </w:p>
    <w:p w14:paraId="7562AD46" w14:textId="77777777" w:rsidR="00FE1872" w:rsidRPr="00FE1872" w:rsidRDefault="00FE1872" w:rsidP="00FE1872">
      <w:pPr>
        <w:pStyle w:val="EndNoteBibliography"/>
        <w:spacing w:after="240"/>
        <w:rPr>
          <w:noProof/>
        </w:rPr>
      </w:pPr>
      <w:bookmarkStart w:id="4" w:name="_ENREF_4"/>
      <w:r w:rsidRPr="00FE1872">
        <w:rPr>
          <w:noProof/>
        </w:rPr>
        <w:t>4.</w:t>
      </w:r>
      <w:r w:rsidRPr="00FE1872">
        <w:rPr>
          <w:noProof/>
        </w:rPr>
        <w:tab/>
        <w:t>Gigerenzer G. The superego, the ego, and the id in statistical reasoning. A handbook for data analysis in the behavioral sciences: Methodological issues. 1993:311-39.</w:t>
      </w:r>
      <w:bookmarkEnd w:id="4"/>
    </w:p>
    <w:p w14:paraId="5E04D5BA" w14:textId="77777777" w:rsidR="00FE1872" w:rsidRPr="00FE1872" w:rsidRDefault="00FE1872" w:rsidP="00FE1872">
      <w:pPr>
        <w:pStyle w:val="EndNoteBibliography"/>
        <w:spacing w:after="240"/>
        <w:rPr>
          <w:noProof/>
        </w:rPr>
      </w:pPr>
      <w:bookmarkStart w:id="5" w:name="_ENREF_5"/>
      <w:r w:rsidRPr="00FE1872">
        <w:rPr>
          <w:noProof/>
        </w:rPr>
        <w:t>5.</w:t>
      </w:r>
      <w:r w:rsidRPr="00FE1872">
        <w:rPr>
          <w:noProof/>
        </w:rPr>
        <w:tab/>
        <w:t>Efron B, Tibshirani RJ. Statistical data analysis in the computer age. Science. 1991;253(5018):390-5.</w:t>
      </w:r>
      <w:bookmarkEnd w:id="5"/>
    </w:p>
    <w:p w14:paraId="54D12424" w14:textId="77777777" w:rsidR="00FE1872" w:rsidRPr="00FE1872" w:rsidRDefault="00FE1872" w:rsidP="00FE1872">
      <w:pPr>
        <w:pStyle w:val="EndNoteBibliography"/>
        <w:spacing w:after="240"/>
        <w:rPr>
          <w:noProof/>
        </w:rPr>
      </w:pPr>
      <w:bookmarkStart w:id="6" w:name="_ENREF_6"/>
      <w:r w:rsidRPr="00FE1872">
        <w:rPr>
          <w:noProof/>
        </w:rPr>
        <w:t>6.</w:t>
      </w:r>
      <w:r w:rsidRPr="00FE1872">
        <w:rPr>
          <w:noProof/>
        </w:rPr>
        <w:tab/>
        <w:t>Efron B, Hastie T. Computer-Age Statistical Inference: Cambridge University Press; 2016.</w:t>
      </w:r>
      <w:bookmarkEnd w:id="6"/>
    </w:p>
    <w:p w14:paraId="50262689" w14:textId="77777777" w:rsidR="00FE1872" w:rsidRPr="00FE1872" w:rsidRDefault="00FE1872" w:rsidP="00FE1872">
      <w:pPr>
        <w:pStyle w:val="EndNoteBibliography"/>
        <w:spacing w:after="240"/>
        <w:rPr>
          <w:noProof/>
        </w:rPr>
      </w:pPr>
      <w:bookmarkStart w:id="7" w:name="_ENREF_7"/>
      <w:r w:rsidRPr="00FE1872">
        <w:rPr>
          <w:noProof/>
        </w:rPr>
        <w:t>7.</w:t>
      </w:r>
      <w:r w:rsidRPr="00FE1872">
        <w:rPr>
          <w:noProof/>
        </w:rPr>
        <w:tab/>
        <w:t>Efron B. Large-scale inference: empirical Bayes methods for estimation, testing, and prediction: Cambridge University Press; 2012.</w:t>
      </w:r>
      <w:bookmarkEnd w:id="7"/>
    </w:p>
    <w:p w14:paraId="5D057856" w14:textId="77777777" w:rsidR="00FE1872" w:rsidRPr="00FE1872" w:rsidRDefault="00FE1872" w:rsidP="00FE1872">
      <w:pPr>
        <w:pStyle w:val="EndNoteBibliography"/>
        <w:spacing w:after="240"/>
        <w:rPr>
          <w:noProof/>
        </w:rPr>
      </w:pPr>
      <w:bookmarkStart w:id="8" w:name="_ENREF_8"/>
      <w:r w:rsidRPr="00FE1872">
        <w:rPr>
          <w:noProof/>
        </w:rPr>
        <w:t>8.</w:t>
      </w:r>
      <w:r w:rsidRPr="00FE1872">
        <w:rPr>
          <w:noProof/>
        </w:rPr>
        <w:tab/>
        <w:t>Ioannidis JP. The Proposal to Lower P Value Thresholds to. 005. JAMA : the journal of the American Medical Association. 2018.</w:t>
      </w:r>
      <w:bookmarkEnd w:id="8"/>
    </w:p>
    <w:p w14:paraId="239233BF" w14:textId="77777777" w:rsidR="00FE1872" w:rsidRPr="00FE1872" w:rsidRDefault="00FE1872" w:rsidP="00FE1872">
      <w:pPr>
        <w:pStyle w:val="EndNoteBibliography"/>
        <w:spacing w:after="240"/>
        <w:rPr>
          <w:noProof/>
        </w:rPr>
      </w:pPr>
      <w:bookmarkStart w:id="9" w:name="_ENREF_9"/>
      <w:r w:rsidRPr="00FE1872">
        <w:rPr>
          <w:noProof/>
        </w:rPr>
        <w:t>9.</w:t>
      </w:r>
      <w:r w:rsidRPr="00FE1872">
        <w:rPr>
          <w:noProof/>
        </w:rPr>
        <w:tab/>
        <w:t>Manyika J, Chui M, Brown B, Bughin J, Dobbs R, Roxburgh C, et al. Big data: The next frontier for innovation, competition, and productivity. Technical report, McKinsey Global Institute. 2011.</w:t>
      </w:r>
      <w:bookmarkEnd w:id="9"/>
    </w:p>
    <w:p w14:paraId="0A70EF8D" w14:textId="77777777" w:rsidR="00FE1872" w:rsidRPr="00FE1872" w:rsidRDefault="00FE1872" w:rsidP="00FE1872">
      <w:pPr>
        <w:pStyle w:val="EndNoteBibliography"/>
        <w:spacing w:after="240"/>
        <w:rPr>
          <w:noProof/>
        </w:rPr>
      </w:pPr>
      <w:bookmarkStart w:id="10" w:name="_ENREF_10"/>
      <w:r w:rsidRPr="00FE1872">
        <w:rPr>
          <w:noProof/>
        </w:rPr>
        <w:t>10.</w:t>
      </w:r>
      <w:r w:rsidRPr="00FE1872">
        <w:rPr>
          <w:noProof/>
        </w:rPr>
        <w:tab/>
        <w:t>Goodfellow IJ, Bengio Y, Courville A. Deep learning. USA: MIT Press; 2016.</w:t>
      </w:r>
      <w:bookmarkEnd w:id="10"/>
    </w:p>
    <w:p w14:paraId="16D08A86" w14:textId="77777777" w:rsidR="00FE1872" w:rsidRPr="00FE1872" w:rsidRDefault="00FE1872" w:rsidP="00FE1872">
      <w:pPr>
        <w:pStyle w:val="EndNoteBibliography"/>
        <w:spacing w:after="240"/>
        <w:rPr>
          <w:noProof/>
        </w:rPr>
      </w:pPr>
      <w:bookmarkStart w:id="11" w:name="_ENREF_11"/>
      <w:r w:rsidRPr="00FE1872">
        <w:rPr>
          <w:noProof/>
        </w:rPr>
        <w:t>11.</w:t>
      </w:r>
      <w:r w:rsidRPr="00FE1872">
        <w:rPr>
          <w:noProof/>
        </w:rPr>
        <w:tab/>
        <w:t>Hinton GE, Salakhutdinov RR. Reducing the dimensionality of data with neural networks. Science. 2006;313(5786):504-7.</w:t>
      </w:r>
      <w:bookmarkEnd w:id="11"/>
    </w:p>
    <w:p w14:paraId="2835DE9F" w14:textId="77777777" w:rsidR="00FE1872" w:rsidRPr="00FE1872" w:rsidRDefault="00FE1872" w:rsidP="00FE1872">
      <w:pPr>
        <w:pStyle w:val="EndNoteBibliography"/>
        <w:spacing w:after="240"/>
        <w:rPr>
          <w:noProof/>
        </w:rPr>
      </w:pPr>
      <w:bookmarkStart w:id="12" w:name="_ENREF_12"/>
      <w:r w:rsidRPr="00FE1872">
        <w:rPr>
          <w:noProof/>
        </w:rPr>
        <w:t>12.</w:t>
      </w:r>
      <w:r w:rsidRPr="00FE1872">
        <w:rPr>
          <w:noProof/>
        </w:rPr>
        <w:tab/>
        <w:t>Poplin R, Varadarajan AV, Blumer K, Liu Y, McConnell MV, Corrado GS, et al. Prediction of cardiovascular risk factors from retinal fundus photographs via deep learning. Nature Biomedical Engineering. 2018;2(3):158.</w:t>
      </w:r>
      <w:bookmarkEnd w:id="12"/>
    </w:p>
    <w:p w14:paraId="63B6CDEE" w14:textId="77777777" w:rsidR="00FE1872" w:rsidRPr="00FE1872" w:rsidRDefault="00FE1872" w:rsidP="00FE1872">
      <w:pPr>
        <w:pStyle w:val="EndNoteBibliography"/>
        <w:spacing w:after="240"/>
        <w:rPr>
          <w:noProof/>
        </w:rPr>
      </w:pPr>
      <w:bookmarkStart w:id="13" w:name="_ENREF_13"/>
      <w:r w:rsidRPr="00FE1872">
        <w:rPr>
          <w:noProof/>
        </w:rPr>
        <w:t>13.</w:t>
      </w:r>
      <w:r w:rsidRPr="00FE1872">
        <w:rPr>
          <w:noProof/>
        </w:rPr>
        <w:tab/>
        <w:t>Rajpurkar P, Hannun AY, Haghpanahi M, Bourn C, Ng AY. Cardiologist-level arrhythmia detection with convolutional neural networks. arXiv preprint arXiv:170701836. 2017.</w:t>
      </w:r>
      <w:bookmarkEnd w:id="13"/>
    </w:p>
    <w:p w14:paraId="4F1AE225" w14:textId="77777777" w:rsidR="00FE1872" w:rsidRPr="00FE1872" w:rsidRDefault="00FE1872" w:rsidP="00FE1872">
      <w:pPr>
        <w:pStyle w:val="EndNoteBibliography"/>
        <w:spacing w:after="240"/>
        <w:rPr>
          <w:noProof/>
        </w:rPr>
      </w:pPr>
      <w:bookmarkStart w:id="14" w:name="_ENREF_14"/>
      <w:r w:rsidRPr="00FE1872">
        <w:rPr>
          <w:noProof/>
        </w:rPr>
        <w:t>14.</w:t>
      </w:r>
      <w:r w:rsidRPr="00FE1872">
        <w:rPr>
          <w:noProof/>
        </w:rPr>
        <w:tab/>
        <w:t>Esteva A, Kuprel B, Novoa RA, Ko J, Swetter SM, Blau HM, et al. Dermatologist-level classification of skin cancer with deep neural networks. Nature. 2017;542(7639):115-8.</w:t>
      </w:r>
      <w:bookmarkEnd w:id="14"/>
    </w:p>
    <w:p w14:paraId="3E102675" w14:textId="77777777" w:rsidR="00FE1872" w:rsidRPr="00FE1872" w:rsidRDefault="00FE1872" w:rsidP="00FE1872">
      <w:pPr>
        <w:pStyle w:val="EndNoteBibliography"/>
        <w:spacing w:after="240"/>
        <w:rPr>
          <w:noProof/>
        </w:rPr>
      </w:pPr>
      <w:bookmarkStart w:id="15" w:name="_ENREF_15"/>
      <w:r w:rsidRPr="00FE1872">
        <w:rPr>
          <w:noProof/>
        </w:rPr>
        <w:t>15.</w:t>
      </w:r>
      <w:r w:rsidRPr="00FE1872">
        <w:rPr>
          <w:noProof/>
        </w:rPr>
        <w:tab/>
        <w:t>Casella G, Berger RL. Statistical inference: Duxbury Pacific Grove, CA; 2002.</w:t>
      </w:r>
      <w:bookmarkEnd w:id="15"/>
    </w:p>
    <w:p w14:paraId="3CE28DB5" w14:textId="77777777" w:rsidR="00FE1872" w:rsidRPr="00FE1872" w:rsidRDefault="00FE1872" w:rsidP="00FE1872">
      <w:pPr>
        <w:pStyle w:val="EndNoteBibliography"/>
        <w:spacing w:after="240"/>
        <w:rPr>
          <w:noProof/>
        </w:rPr>
      </w:pPr>
      <w:bookmarkStart w:id="16" w:name="_ENREF_16"/>
      <w:r w:rsidRPr="00FE1872">
        <w:rPr>
          <w:noProof/>
        </w:rPr>
        <w:t>16.</w:t>
      </w:r>
      <w:r w:rsidRPr="00FE1872">
        <w:rPr>
          <w:noProof/>
        </w:rPr>
        <w:tab/>
        <w:t>Hastie T, Tibshirani R, Friedman J. The Elements of Statistical Learning. Heidelberg, Germany: Springer Series in Statistics; 2001.</w:t>
      </w:r>
      <w:bookmarkEnd w:id="16"/>
    </w:p>
    <w:p w14:paraId="2C7BAD2A" w14:textId="77777777" w:rsidR="00FE1872" w:rsidRPr="00FE1872" w:rsidRDefault="00FE1872" w:rsidP="00FE1872">
      <w:pPr>
        <w:pStyle w:val="EndNoteBibliography"/>
        <w:spacing w:after="240"/>
        <w:rPr>
          <w:noProof/>
        </w:rPr>
      </w:pPr>
      <w:bookmarkStart w:id="17" w:name="_ENREF_17"/>
      <w:r w:rsidRPr="00FE1872">
        <w:rPr>
          <w:noProof/>
        </w:rPr>
        <w:t>17.</w:t>
      </w:r>
      <w:r w:rsidRPr="00FE1872">
        <w:rPr>
          <w:noProof/>
        </w:rPr>
        <w:tab/>
        <w:t>Jordan MI, Mitchell TM. Machine learning: Trends, perspectives, and prospects. Science. 2015;349(6245):255-60.</w:t>
      </w:r>
      <w:bookmarkEnd w:id="17"/>
    </w:p>
    <w:p w14:paraId="0D391AC9" w14:textId="77777777" w:rsidR="00FE1872" w:rsidRPr="00FE1872" w:rsidRDefault="00FE1872" w:rsidP="00FE1872">
      <w:pPr>
        <w:pStyle w:val="EndNoteBibliography"/>
        <w:spacing w:after="240"/>
        <w:rPr>
          <w:noProof/>
        </w:rPr>
      </w:pPr>
      <w:bookmarkStart w:id="18" w:name="_ENREF_18"/>
      <w:r w:rsidRPr="00FE1872">
        <w:rPr>
          <w:noProof/>
        </w:rPr>
        <w:t>18.</w:t>
      </w:r>
      <w:r w:rsidRPr="00FE1872">
        <w:rPr>
          <w:noProof/>
        </w:rPr>
        <w:tab/>
        <w:t>Bzdok D, Karrer T. Single-Subject Prediction: A Statistical Paradigm for Precision Psychiatry.  Brain Network Dysfunction in Neuropsychiatric Illness: Methods, Applications and Implications. New York: Springer; 2018.</w:t>
      </w:r>
      <w:bookmarkEnd w:id="18"/>
    </w:p>
    <w:p w14:paraId="46F9B6F5" w14:textId="77777777" w:rsidR="00FE1872" w:rsidRPr="00FE1872" w:rsidRDefault="00FE1872" w:rsidP="00FE1872">
      <w:pPr>
        <w:pStyle w:val="EndNoteBibliography"/>
        <w:spacing w:after="240"/>
        <w:rPr>
          <w:noProof/>
        </w:rPr>
      </w:pPr>
      <w:bookmarkStart w:id="19" w:name="_ENREF_19"/>
      <w:r w:rsidRPr="00FE1872">
        <w:rPr>
          <w:noProof/>
        </w:rPr>
        <w:t>19.</w:t>
      </w:r>
      <w:r w:rsidRPr="00FE1872">
        <w:rPr>
          <w:noProof/>
        </w:rPr>
        <w:tab/>
        <w:t>Henke N, Bughin J, Chui M, Manyika J, Saleh T, Wiseman B, et al. The age of analytics: Competing in a data-driven world. Technical report, McKinsey Global Institute. 2016.</w:t>
      </w:r>
      <w:bookmarkEnd w:id="19"/>
    </w:p>
    <w:p w14:paraId="355E78C4" w14:textId="77777777" w:rsidR="00FE1872" w:rsidRPr="00FE1872" w:rsidRDefault="00FE1872" w:rsidP="00FE1872">
      <w:pPr>
        <w:pStyle w:val="EndNoteBibliography"/>
        <w:spacing w:after="240"/>
        <w:rPr>
          <w:noProof/>
        </w:rPr>
      </w:pPr>
      <w:bookmarkStart w:id="20" w:name="_ENREF_20"/>
      <w:r w:rsidRPr="00FE1872">
        <w:rPr>
          <w:noProof/>
        </w:rPr>
        <w:t>20.</w:t>
      </w:r>
      <w:r w:rsidRPr="00FE1872">
        <w:rPr>
          <w:noProof/>
        </w:rPr>
        <w:tab/>
        <w:t>Gelman A, Hill J. Data analysis using regression and multilevelhierarchical models: Cambridge University Press New York, NY, USA; 2007.</w:t>
      </w:r>
      <w:bookmarkEnd w:id="20"/>
    </w:p>
    <w:p w14:paraId="78FBA3AF" w14:textId="77777777" w:rsidR="00FE1872" w:rsidRPr="00FE1872" w:rsidRDefault="00FE1872" w:rsidP="00FE1872">
      <w:pPr>
        <w:pStyle w:val="EndNoteBibliography"/>
        <w:spacing w:after="240"/>
        <w:rPr>
          <w:noProof/>
        </w:rPr>
      </w:pPr>
      <w:bookmarkStart w:id="21" w:name="_ENREF_21"/>
      <w:r w:rsidRPr="00FE1872">
        <w:rPr>
          <w:noProof/>
        </w:rPr>
        <w:lastRenderedPageBreak/>
        <w:t>21.</w:t>
      </w:r>
      <w:r w:rsidRPr="00FE1872">
        <w:rPr>
          <w:noProof/>
        </w:rPr>
        <w:tab/>
        <w:t>Tibshirani R. Regression shrinkage and selection via the lasso. Journal of the Royal Statistical Society Series B (Methodological). 1996:267-88.</w:t>
      </w:r>
      <w:bookmarkEnd w:id="21"/>
    </w:p>
    <w:p w14:paraId="2CCD33D6" w14:textId="77777777" w:rsidR="00FE1872" w:rsidRPr="00FE1872" w:rsidRDefault="00FE1872" w:rsidP="00FE1872">
      <w:pPr>
        <w:pStyle w:val="EndNoteBibliography"/>
        <w:spacing w:after="240"/>
        <w:rPr>
          <w:noProof/>
        </w:rPr>
      </w:pPr>
      <w:bookmarkStart w:id="22" w:name="_ENREF_22"/>
      <w:r w:rsidRPr="00FE1872">
        <w:rPr>
          <w:noProof/>
        </w:rPr>
        <w:t>22.</w:t>
      </w:r>
      <w:r w:rsidRPr="00FE1872">
        <w:rPr>
          <w:noProof/>
        </w:rPr>
        <w:tab/>
        <w:t>Hastie T, Tibshirani R, Wainwright M. Statistical Learning with Sparsity: The Lasso and Generalizations: CRC Press; 2015.</w:t>
      </w:r>
      <w:bookmarkEnd w:id="22"/>
    </w:p>
    <w:p w14:paraId="75444987" w14:textId="77777777" w:rsidR="00FE1872" w:rsidRPr="00FE1872" w:rsidRDefault="00FE1872" w:rsidP="00FE1872">
      <w:pPr>
        <w:pStyle w:val="EndNoteBibliography"/>
        <w:spacing w:after="240"/>
        <w:rPr>
          <w:noProof/>
        </w:rPr>
      </w:pPr>
      <w:bookmarkStart w:id="23" w:name="_ENREF_23"/>
      <w:r w:rsidRPr="00FE1872">
        <w:rPr>
          <w:noProof/>
        </w:rPr>
        <w:t>23.</w:t>
      </w:r>
      <w:r w:rsidRPr="00FE1872">
        <w:rPr>
          <w:noProof/>
        </w:rPr>
        <w:tab/>
        <w:t>Shalev-Shwartz S, Ben-David S. Understanding machine learning: From theory to algorithms: Cambridge University Press; 2014.</w:t>
      </w:r>
      <w:bookmarkEnd w:id="23"/>
    </w:p>
    <w:p w14:paraId="4F586386" w14:textId="77777777" w:rsidR="00FE1872" w:rsidRPr="00FE1872" w:rsidRDefault="00FE1872" w:rsidP="00FE1872">
      <w:pPr>
        <w:pStyle w:val="EndNoteBibliography"/>
        <w:spacing w:after="240"/>
        <w:rPr>
          <w:noProof/>
        </w:rPr>
      </w:pPr>
      <w:bookmarkStart w:id="24" w:name="_ENREF_24"/>
      <w:r w:rsidRPr="00FE1872">
        <w:rPr>
          <w:noProof/>
        </w:rPr>
        <w:t>24.</w:t>
      </w:r>
      <w:r w:rsidRPr="00FE1872">
        <w:rPr>
          <w:noProof/>
        </w:rPr>
        <w:tab/>
        <w:t>Taylor J, Tibshirani RJ. Statistical learning and selective inference. Proceedings of the National Academy of Sciences of the United States of America. 2015;112(25):7629-34.</w:t>
      </w:r>
      <w:bookmarkEnd w:id="24"/>
    </w:p>
    <w:p w14:paraId="4477AA86" w14:textId="77777777" w:rsidR="00FE1872" w:rsidRPr="00FE1872" w:rsidRDefault="00FE1872" w:rsidP="00FE1872">
      <w:pPr>
        <w:pStyle w:val="EndNoteBibliography"/>
        <w:spacing w:after="240"/>
        <w:rPr>
          <w:noProof/>
        </w:rPr>
      </w:pPr>
      <w:bookmarkStart w:id="25" w:name="_ENREF_25"/>
      <w:r w:rsidRPr="00FE1872">
        <w:rPr>
          <w:noProof/>
        </w:rPr>
        <w:t>25.</w:t>
      </w:r>
      <w:r w:rsidRPr="00FE1872">
        <w:rPr>
          <w:noProof/>
        </w:rPr>
        <w:tab/>
        <w:t>Loftus JR. Selective inference after cross-validation. arXiv preprint arXiv:151108866. 2015.</w:t>
      </w:r>
      <w:bookmarkEnd w:id="25"/>
    </w:p>
    <w:p w14:paraId="47AE4956" w14:textId="77777777" w:rsidR="00FE1872" w:rsidRPr="00FE1872" w:rsidRDefault="00FE1872" w:rsidP="00FE1872">
      <w:pPr>
        <w:pStyle w:val="EndNoteBibliography"/>
        <w:spacing w:after="240"/>
        <w:rPr>
          <w:noProof/>
        </w:rPr>
      </w:pPr>
      <w:bookmarkStart w:id="26" w:name="_ENREF_26"/>
      <w:r w:rsidRPr="00FE1872">
        <w:rPr>
          <w:noProof/>
        </w:rPr>
        <w:t>26.</w:t>
      </w:r>
      <w:r w:rsidRPr="00FE1872">
        <w:rPr>
          <w:noProof/>
        </w:rPr>
        <w:tab/>
        <w:t>Berk R, Brown L, Buja A, Zhang K, Zhao L. Valid post-selection inference. The Annals of Statistics. 2013;41(2):802-37.</w:t>
      </w:r>
      <w:bookmarkEnd w:id="26"/>
    </w:p>
    <w:p w14:paraId="4DCA09F5" w14:textId="77777777" w:rsidR="00FE1872" w:rsidRPr="00FE1872" w:rsidRDefault="00FE1872" w:rsidP="00FE1872">
      <w:pPr>
        <w:pStyle w:val="EndNoteBibliography"/>
        <w:spacing w:after="240"/>
        <w:rPr>
          <w:noProof/>
        </w:rPr>
      </w:pPr>
      <w:bookmarkStart w:id="27" w:name="_ENREF_27"/>
      <w:r w:rsidRPr="00FE1872">
        <w:rPr>
          <w:noProof/>
        </w:rPr>
        <w:t>27.</w:t>
      </w:r>
      <w:r w:rsidRPr="00FE1872">
        <w:rPr>
          <w:noProof/>
        </w:rPr>
        <w:tab/>
        <w:t>White AR. Inference. The Philosophical Quarterly. 1971;21:289-302.</w:t>
      </w:r>
      <w:bookmarkEnd w:id="27"/>
    </w:p>
    <w:p w14:paraId="4A5336F6" w14:textId="77777777" w:rsidR="00FE1872" w:rsidRPr="00FE1872" w:rsidRDefault="00FE1872" w:rsidP="00FE1872">
      <w:pPr>
        <w:pStyle w:val="EndNoteBibliography"/>
        <w:spacing w:after="240"/>
        <w:rPr>
          <w:noProof/>
        </w:rPr>
      </w:pPr>
      <w:bookmarkStart w:id="28" w:name="_ENREF_28"/>
      <w:r w:rsidRPr="00FE1872">
        <w:rPr>
          <w:noProof/>
        </w:rPr>
        <w:t>28.</w:t>
      </w:r>
      <w:r w:rsidRPr="00FE1872">
        <w:rPr>
          <w:noProof/>
        </w:rPr>
        <w:tab/>
        <w:t>James G, Witten D, Hastie T, Tibshirani R. An introduction to statistical learning: Springer; 2013.</w:t>
      </w:r>
      <w:bookmarkEnd w:id="28"/>
    </w:p>
    <w:p w14:paraId="6272F083" w14:textId="77777777" w:rsidR="00FE1872" w:rsidRPr="00FE1872" w:rsidRDefault="00FE1872" w:rsidP="00FE1872">
      <w:pPr>
        <w:pStyle w:val="EndNoteBibliography"/>
        <w:spacing w:after="240"/>
        <w:rPr>
          <w:noProof/>
        </w:rPr>
      </w:pPr>
      <w:bookmarkStart w:id="29" w:name="_ENREF_29"/>
      <w:r w:rsidRPr="00FE1872">
        <w:rPr>
          <w:noProof/>
        </w:rPr>
        <w:t>29.</w:t>
      </w:r>
      <w:r w:rsidRPr="00FE1872">
        <w:rPr>
          <w:noProof/>
        </w:rPr>
        <w:tab/>
        <w:t>Bzdok D. Classical Statistics and Statistical Learning in Imaging Neuroscience. Frontiers in neuroscience. 2017.</w:t>
      </w:r>
      <w:bookmarkEnd w:id="29"/>
    </w:p>
    <w:p w14:paraId="7F8EED26" w14:textId="77777777" w:rsidR="00FE1872" w:rsidRPr="00FE1872" w:rsidRDefault="00FE1872" w:rsidP="00FE1872">
      <w:pPr>
        <w:pStyle w:val="EndNoteBibliography"/>
        <w:rPr>
          <w:noProof/>
        </w:rPr>
      </w:pPr>
      <w:bookmarkStart w:id="30" w:name="_ENREF_30"/>
      <w:r w:rsidRPr="00FE1872">
        <w:rPr>
          <w:noProof/>
        </w:rPr>
        <w:t>30.</w:t>
      </w:r>
      <w:r w:rsidRPr="00FE1872">
        <w:rPr>
          <w:noProof/>
        </w:rPr>
        <w:tab/>
        <w:t>Shmueli G. To explain or to predict? Statistical science. 2010:289-310.</w:t>
      </w:r>
      <w:bookmarkEnd w:id="30"/>
    </w:p>
    <w:p w14:paraId="4FD7C1DC" w14:textId="6E81AB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ACD46" w14:textId="77777777" w:rsidR="00294890" w:rsidRDefault="00294890" w:rsidP="00B65FF7">
      <w:r>
        <w:separator/>
      </w:r>
    </w:p>
  </w:endnote>
  <w:endnote w:type="continuationSeparator" w:id="0">
    <w:p w14:paraId="1E19FF27" w14:textId="77777777" w:rsidR="00294890" w:rsidRDefault="00294890" w:rsidP="00B65FF7">
      <w:r>
        <w:continuationSeparator/>
      </w:r>
    </w:p>
  </w:endnote>
  <w:endnote w:type="continuationNotice" w:id="1">
    <w:p w14:paraId="459228BA" w14:textId="77777777" w:rsidR="00294890" w:rsidRDefault="00294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232914" w:rsidRDefault="00232914"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555C61">
          <w:rPr>
            <w:noProof/>
          </w:rPr>
          <w:t>13</w:t>
        </w:r>
        <w:r>
          <w:rPr>
            <w:noProof/>
          </w:rPr>
          <w:fldChar w:fldCharType="end"/>
        </w:r>
      </w:p>
    </w:sdtContent>
  </w:sdt>
  <w:p w14:paraId="0FA0E38E" w14:textId="77777777" w:rsidR="00232914" w:rsidRDefault="002329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F0042" w14:textId="77777777" w:rsidR="00294890" w:rsidRDefault="00294890" w:rsidP="00B65FF7">
      <w:r>
        <w:separator/>
      </w:r>
    </w:p>
  </w:footnote>
  <w:footnote w:type="continuationSeparator" w:id="0">
    <w:p w14:paraId="669B0360" w14:textId="77777777" w:rsidR="00294890" w:rsidRDefault="00294890" w:rsidP="00B65FF7">
      <w:r>
        <w:continuationSeparator/>
      </w:r>
    </w:p>
  </w:footnote>
  <w:footnote w:type="continuationNotice" w:id="1">
    <w:p w14:paraId="3D4600A0" w14:textId="77777777" w:rsidR="00294890" w:rsidRDefault="0029489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6EE9"/>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1270-9306-D94B-83C8-B52CF9F52485}">
  <ds:schemaRefs>
    <ds:schemaRef ds:uri="http://schemas.openxmlformats.org/officeDocument/2006/bibliography"/>
  </ds:schemaRefs>
</ds:datastoreItem>
</file>

<file path=customXml/itemProps2.xml><?xml version="1.0" encoding="utf-8"?>
<ds:datastoreItem xmlns:ds="http://schemas.openxmlformats.org/officeDocument/2006/customXml" ds:itemID="{5BA21763-E73F-C84F-952D-378F88067456}">
  <ds:schemaRefs>
    <ds:schemaRef ds:uri="http://schemas.openxmlformats.org/officeDocument/2006/bibliography"/>
  </ds:schemaRefs>
</ds:datastoreItem>
</file>

<file path=customXml/itemProps3.xml><?xml version="1.0" encoding="utf-8"?>
<ds:datastoreItem xmlns:ds="http://schemas.openxmlformats.org/officeDocument/2006/customXml" ds:itemID="{F13A9F3E-8F36-BE42-82F2-0B8394807521}">
  <ds:schemaRefs>
    <ds:schemaRef ds:uri="http://schemas.openxmlformats.org/officeDocument/2006/bibliography"/>
  </ds:schemaRefs>
</ds:datastoreItem>
</file>

<file path=customXml/itemProps4.xml><?xml version="1.0" encoding="utf-8"?>
<ds:datastoreItem xmlns:ds="http://schemas.openxmlformats.org/officeDocument/2006/customXml" ds:itemID="{1BFADA87-8E85-124B-915B-BC2B1764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9507</Words>
  <Characters>59896</Characters>
  <Application>Microsoft Macintosh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33</cp:revision>
  <cp:lastPrinted>2018-02-15T09:05:00Z</cp:lastPrinted>
  <dcterms:created xsi:type="dcterms:W3CDTF">2018-03-02T14:01:00Z</dcterms:created>
  <dcterms:modified xsi:type="dcterms:W3CDTF">2018-04-12T17:35:00Z</dcterms:modified>
</cp:coreProperties>
</file>