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SME Credit Memo</w:t>
      </w:r>
    </w:p>
    <w:p>
      <w:pPr>
        <w:spacing w:before="80" w:after="40"/>
      </w:pPr>
      <w:r>
        <w:rPr>
          <w:rFonts w:ascii="Arial" w:hAnsi="Arial"/>
          <w:color w:val="555555"/>
          <w:sz w:val="20"/>
        </w:rPr>
        <w:t>Generated: 08 June 2026    |    Borrower: Record_7</w:t>
      </w:r>
    </w:p>
    <w:p>
      <w:pPr>
        <w:pStyle w:val="Heading1"/>
      </w:pPr>
      <w:r>
        <w:rPr>
          <w:rFonts w:ascii="Arial" w:hAnsi="Arial"/>
          <w:color w:val="1A5276"/>
        </w:rPr>
        <w:t>1. Business Overview</w:t>
      </w:r>
    </w:p>
    <w:p>
      <w:r>
        <w:rPr>
          <w:rFonts w:ascii="Arial" w:hAnsi="Arial"/>
          <w:sz w:val="22"/>
        </w:rPr>
        <w:t>Ls Hospitatlity Inc is a Florida corporation operating employment placement services from North Miami Beach. The employment placement agency industry (NAICS 561311) serves as an intermediary between job seekers and employers, typically earning fees from successful placements. This sector is cyclical and sensitive to economic conditions, with revenue closely tied to broader employment trends and business hiring activity.</w:t>
      </w:r>
    </w:p>
    <w:p>
      <w:pPr>
        <w:pStyle w:val="Heading1"/>
      </w:pPr>
      <w:r>
        <w:rPr>
          <w:rFonts w:ascii="Arial" w:hAnsi="Arial"/>
          <w:color w:val="1A5276"/>
        </w:rPr>
        <w:t>2. Loan Structure</w:t>
      </w:r>
    </w:p>
    <w:p>
      <w:r>
        <w:rPr>
          <w:rFonts w:ascii="Arial" w:hAnsi="Arial"/>
          <w:sz w:val="22"/>
        </w:rPr>
        <w:t>SBA Express loan for $5,000 with $2,500 (50%) SBA guarantee, structured over 66 months through Wells Fargo Bank National Association. The loan was approved December 5, 2020, during the COVID-19 pandemic period when SBA Express lending was expanded.</w:t>
      </w:r>
    </w:p>
    <w:p>
      <w:pPr>
        <w:pStyle w:val="Heading1"/>
      </w:pPr>
      <w:r>
        <w:rPr>
          <w:rFonts w:ascii="Arial" w:hAnsi="Arial"/>
          <w:color w:val="1A5276"/>
        </w:rPr>
        <w:t>3. Credit Analysis</w:t>
      </w:r>
    </w:p>
    <w:p>
      <w:r>
        <w:rPr>
          <w:rFonts w:ascii="Arial" w:hAnsi="Arial"/>
          <w:sz w:val="22"/>
        </w:rPr>
        <w:t>Monthly debt service obligation of $76 represents a manageable payment for the 66-month term. The 50% SBA guarantee coverage provides moderate risk mitigation for the lender. The loan falls within the medium-term band with medium industry risk tier classification. Overall risk band is assessed as low, with no current repayment flags indicated.</w:t>
      </w:r>
    </w:p>
    <w:p>
      <w:pPr>
        <w:pStyle w:val="Heading1"/>
      </w:pPr>
      <w:r>
        <w:rPr>
          <w:rFonts w:ascii="Arial" w:hAnsi="Arial"/>
          <w:color w:val="1A5276"/>
        </w:rPr>
        <w:t>4. Repayment Capacity</w:t>
      </w:r>
    </w:p>
    <w:p>
      <w:r>
        <w:rPr>
          <w:rFonts w:ascii="Arial" w:hAnsi="Arial"/>
          <w:sz w:val="22"/>
        </w:rPr>
        <w:t>The small loan amount and modest monthly payment suggest this was likely working capital financing for a micro-business operation. Without available financial statements or revenue data, repayment capacity assessment is limited to the loan structure and industry context. The employment placement industry's fee-based model can provide steady cash flow when business conditions are favorable, though income volatility is common.</w:t>
      </w:r>
    </w:p>
    <w:p>
      <w:pPr>
        <w:pStyle w:val="Heading1"/>
      </w:pPr>
      <w:r>
        <w:rPr>
          <w:rFonts w:ascii="Arial" w:hAnsi="Arial"/>
          <w:color w:val="1A5276"/>
        </w:rPr>
        <w:t>5. Risk Factors</w:t>
      </w:r>
    </w:p>
    <w:p>
      <w:r>
        <w:rPr>
          <w:rFonts w:ascii="Arial" w:hAnsi="Arial"/>
          <w:sz w:val="22"/>
        </w:rPr>
        <w:t>The loan has already charged off, indicating actual payment default occurred despite the initially favorable risk metrics. The employment placement industry faced significant disruption during 2020-2021 due to reduced hiring activity and economic uncertainty. Small loan size may indicate limited business scale or financial resources, potentially constraining the borrower's ability to weather economic downturns.</w:t>
      </w:r>
    </w:p>
    <w:p>
      <w:pPr>
        <w:pStyle w:val="Heading1"/>
      </w:pPr>
      <w:r>
        <w:rPr>
          <w:rFonts w:ascii="Arial" w:hAnsi="Arial"/>
          <w:color w:val="1A5276"/>
        </w:rPr>
        <w:t>6. Mitigants</w:t>
      </w:r>
    </w:p>
    <w:p>
      <w:r>
        <w:rPr>
          <w:rFonts w:ascii="Arial" w:hAnsi="Arial"/>
          <w:sz w:val="22"/>
        </w:rPr>
        <w:t>The 50% SBA guarantee reduces lender loss exposure to $2,500. The small absolute dollar amount limits overall portfolio impact. The medium-term structure provided reasonable time for business recovery during the post-pandemic economic environment.</w:t>
      </w:r>
    </w:p>
    <w:p>
      <w:pPr>
        <w:pStyle w:val="Heading1"/>
      </w:pPr>
      <w:r>
        <w:rPr>
          <w:rFonts w:ascii="Arial" w:hAnsi="Arial"/>
          <w:color w:val="1A5276"/>
        </w:rPr>
        <w:t>7. Recommendation</w:t>
      </w:r>
    </w:p>
    <w:tbl>
      <w:tblPr>
        <w:tblStyle w:val="TableGrid"/>
        <w:tblW w:type="auto" w:w="0"/>
        <w:tblLook w:firstColumn="1" w:firstRow="1" w:lastColumn="0" w:lastRow="0" w:noHBand="0" w:noVBand="1" w:val="04A0"/>
      </w:tblPr>
      <w:tblGrid>
        <w:gridCol w:w="8640"/>
      </w:tblGrid>
      <w:tr>
        <w:tc>
          <w:tcPr>
            <w:tcW w:type="dxa" w:w="8640"/>
          </w:tcPr>
          <w:p>
            <w:r/>
            <w:r>
              <w:rPr>
                <w:b/>
                <w:color w:val="1A5276"/>
                <w:sz w:val="24"/>
              </w:rPr>
              <w:t>⚖ Recommendation</w:t>
            </w:r>
          </w:p>
          <w:p>
            <w:r>
              <w:t>Decline. Despite initially favorable risk metrics, this loan has already charged off, demonstrating the limitations of standard underwriting criteria during economic disruption periods. The employment placement industry's sensitivity to economic cycles, combined with the borrower's apparent inability to service even modest debt obligations during the 2020-2022 period, indicates fundamental business viability concerns that override the favorable loan structure and guarantee coverage. This recommendation requires human review and sign-off before any lending decision is made.</w:t>
            </w:r>
          </w:p>
          <w:p>
            <w:r>
              <w:rPr>
                <w:i/>
                <w:sz w:val="18"/>
              </w:rPr>
              <w:t>⚠ This recommendation is for decision-support purposes only. Human review and sign-off is required before any lending decision is made.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