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SME Credit Memo</w:t>
      </w:r>
    </w:p>
    <w:p>
      <w:pPr>
        <w:spacing w:before="80" w:after="40"/>
      </w:pPr>
      <w:r>
        <w:rPr>
          <w:rFonts w:ascii="Arial" w:hAnsi="Arial"/>
          <w:color w:val="555555"/>
          <w:sz w:val="20"/>
        </w:rPr>
        <w:t>Generated: 08 June 2026    |    Borrower: Record_5</w:t>
      </w:r>
    </w:p>
    <w:p>
      <w:pPr>
        <w:pStyle w:val="Heading1"/>
      </w:pPr>
      <w:r>
        <w:rPr>
          <w:rFonts w:ascii="Arial" w:hAnsi="Arial"/>
          <w:color w:val="1A5276"/>
        </w:rPr>
        <w:t>1. Business Overview</w:t>
      </w:r>
    </w:p>
    <w:p>
      <w:r>
        <w:rPr>
          <w:rFonts w:ascii="Arial" w:hAnsi="Arial"/>
          <w:sz w:val="22"/>
        </w:rPr>
        <w:t>Hyde &amp; Associates LLC is a certified public accounting firm located in Chester, New Jersey, operating as a corporation. The CPA industry (NAICS 541211) represents a stable, professional services sector with predictable revenue streams tied to regulatory compliance requirements and tax cycles. CPA firms typically demonstrate resilient cash flows due to recurring client relationships and essential business services, though they may experience seasonal variations aligned with tax filing periods.</w:t>
      </w:r>
    </w:p>
    <w:p>
      <w:pPr>
        <w:pStyle w:val="Heading1"/>
      </w:pPr>
      <w:r>
        <w:rPr>
          <w:rFonts w:ascii="Arial" w:hAnsi="Arial"/>
          <w:color w:val="1A5276"/>
        </w:rPr>
        <w:t>2. Loan Structure</w:t>
      </w:r>
    </w:p>
    <w:p>
      <w:r>
        <w:rPr>
          <w:rFonts w:ascii="Arial" w:hAnsi="Arial"/>
          <w:sz w:val="22"/>
        </w:rPr>
        <w:t>The SBA 7(a) loan totals $1,035,000 with $776,250 guaranteed by the SBA, approved in December 2020 through TD Bank's Preferred Lenders Program. The 119-month term falls within the medium-term category, providing reasonable amortization for a professional services business of this scale.</w:t>
      </w:r>
    </w:p>
    <w:p>
      <w:pPr>
        <w:pStyle w:val="Heading1"/>
      </w:pPr>
      <w:r>
        <w:rPr>
          <w:rFonts w:ascii="Arial" w:hAnsi="Arial"/>
          <w:color w:val="1A5276"/>
        </w:rPr>
        <w:t>3. Credit Analysis</w:t>
      </w:r>
    </w:p>
    <w:p>
      <w:r>
        <w:rPr>
          <w:rFonts w:ascii="Arial" w:hAnsi="Arial"/>
          <w:sz w:val="22"/>
        </w:rPr>
        <w:t>The loan generates a monthly debt service obligation of $8,697 with 75% SBA guarantee coverage. The borrower falls within the low industry risk tier, reflecting the stable nature of CPA services. The overall risk assessment classifies this as a low-risk credit with no repayment flags indicated. The medium-term structure aligns appropriately with the business type and loan amount.</w:t>
      </w:r>
    </w:p>
    <w:p>
      <w:pPr>
        <w:pStyle w:val="Heading1"/>
      </w:pPr>
      <w:r>
        <w:rPr>
          <w:rFonts w:ascii="Arial" w:hAnsi="Arial"/>
          <w:color w:val="1A5276"/>
        </w:rPr>
        <w:t>4. Repayment Capacity</w:t>
      </w:r>
    </w:p>
    <w:p>
      <w:r>
        <w:rPr>
          <w:rFonts w:ascii="Arial" w:hAnsi="Arial"/>
          <w:sz w:val="22"/>
        </w:rPr>
        <w:t>With monthly payments of $8,697, the borrower requires approximately $104,364 in annual debt service. For a CPA firm of sufficient scale to secure a $1M+ facility, this debt burden appears manageable assuming typical professional services margins. However, specific financial performance data is not available to definitively assess cash flow coverage ratios. The recurring nature of CPA services and established client relationships typical in this industry support repayment capacity, though seasonal cash flow patterns must be considered.</w:t>
      </w:r>
    </w:p>
    <w:p>
      <w:pPr>
        <w:pStyle w:val="Heading1"/>
      </w:pPr>
      <w:r>
        <w:rPr>
          <w:rFonts w:ascii="Arial" w:hAnsi="Arial"/>
          <w:color w:val="1A5276"/>
        </w:rPr>
        <w:t>5. Risk Factors</w:t>
      </w:r>
    </w:p>
    <w:p>
      <w:r>
        <w:rPr>
          <w:rFonts w:ascii="Arial" w:hAnsi="Arial"/>
          <w:sz w:val="22"/>
        </w:rPr>
        <w:t>Primary risks include potential seasonal cash flow variations inherent to tax preparation and accounting cycles, which could create temporary liquidity constraints. The substantial loan amount relative to typical small CPA practices may indicate growth ambitions or acquisition financing that could strain operational cash flows if not properly managed. Economic downturns affecting small business clients could impact fee-based revenue, though this risk is partially offset by the essential nature of accounting services.</w:t>
      </w:r>
    </w:p>
    <w:p>
      <w:pPr>
        <w:pStyle w:val="Heading1"/>
      </w:pPr>
      <w:r>
        <w:rPr>
          <w:rFonts w:ascii="Arial" w:hAnsi="Arial"/>
          <w:color w:val="1A5276"/>
        </w:rPr>
        <w:t>6. Mitigants</w:t>
      </w:r>
    </w:p>
    <w:p>
      <w:r>
        <w:rPr>
          <w:rFonts w:ascii="Arial" w:hAnsi="Arial"/>
          <w:sz w:val="22"/>
        </w:rPr>
        <w:t>The 75% SBA guarantee provides substantial loss protection, reducing lender exposure to $258,750. The low industry risk classification reflects the stable, recession-resistant nature of professional accounting services. The medium-term structure allows for manageable amortization while the current loan status indicates satisfactory payment performance to date.</w:t>
      </w:r>
    </w:p>
    <w:p>
      <w:pPr>
        <w:pStyle w:val="Heading1"/>
      </w:pPr>
      <w:r>
        <w:rPr>
          <w:rFonts w:ascii="Arial" w:hAnsi="Arial"/>
          <w:color w:val="1A5276"/>
        </w:rPr>
        <w:t>7. Recommendation</w:t>
      </w:r>
    </w:p>
    <w:tbl>
      <w:tblPr>
        <w:tblStyle w:val="TableGrid"/>
        <w:tblW w:type="auto" w:w="0"/>
        <w:tblLook w:firstColumn="1" w:firstRow="1" w:lastColumn="0" w:lastRow="0" w:noHBand="0" w:noVBand="1" w:val="04A0"/>
      </w:tblPr>
      <w:tblGrid>
        <w:gridCol w:w="8640"/>
      </w:tblGrid>
      <w:tr>
        <w:tc>
          <w:tcPr>
            <w:tcW w:type="dxa" w:w="8640"/>
          </w:tcPr>
          <w:p>
            <w:r/>
            <w:r>
              <w:rPr>
                <w:b/>
                <w:color w:val="1A5276"/>
                <w:sz w:val="24"/>
              </w:rPr>
              <w:t>⚖ Recommendation</w:t>
            </w:r>
          </w:p>
          <w:p>
            <w:r>
              <w:t>Approve. The combination of low industry risk, substantial SBA guarantee coverage, and stable professional services sector fundamentals supports approval despite the significant loan amount. The borrower operates in a recession-resistant industry with predictable cash flows, and the 75% guarantee coverage provides adequate lender protection. While seasonal variations and the loan size present manageable risks, the overall credit profile demonstrates acceptable risk-return characteristics for SBA lending standards. This recommendation requires human review and sign-off before any lending decision is made.</w:t>
            </w:r>
          </w:p>
          <w:p>
            <w:r>
              <w:rPr>
                <w:i/>
                <w:sz w:val="18"/>
              </w:rPr>
              <w:t>⚠ This recommendation is for decision-support purposes only. Human review and sign-off is required before any lending decision is made.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