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CAC Monthly Report — First Draft</w:t>
      </w:r>
    </w:p>
    <w:p>
      <w:r>
        <w:rPr>
          <w:b/>
        </w:rPr>
        <w:t xml:space="preserve">To: </w:t>
      </w:r>
      <w:r>
        <w:t xml:space="preserve">Supane, CFO      </w:t>
      </w:r>
      <w:r>
        <w:rPr>
          <w:b/>
        </w:rPr>
        <w:t xml:space="preserve">From: </w:t>
      </w:r>
      <w:r>
        <w:t>Capital Allocation &amp; ALCO Committee (CAC)</w:t>
      </w:r>
    </w:p>
    <w:p>
      <w:r>
        <w:rPr>
          <w:b/>
        </w:rPr>
        <w:t xml:space="preserve">Period: </w:t>
      </w:r>
      <w:r>
        <w:t xml:space="preserve">{{month}}      </w:t>
      </w:r>
      <w:r>
        <w:rPr>
          <w:b/>
        </w:rPr>
        <w:t xml:space="preserve">Prepared: </w:t>
      </w:r>
      <w:r>
        <w:t xml:space="preserve">{{prepared_date}}      </w:t>
      </w:r>
      <w:r>
        <w:rPr>
          <w:b/>
        </w:rPr>
        <w:t xml:space="preserve">Status: </w:t>
      </w:r>
      <w:r>
        <w:rPr>
          <w:i/>
          <w:color w:val="C00000"/>
        </w:rPr>
        <w:t>{{status_line}}</w:t>
      </w:r>
    </w:p>
    <w:p>
      <w:r>
        <w:rPr>
          <w:i/>
        </w:rPr>
        <w:t>Auto-generated from the CAC Monthly Data Pack. Figures are exactly as entered by Treasury; limit checks are against Board-approved thresholds (Khao Yai §2.8). No figures are fabricated.</w:t>
      </w:r>
    </w:p>
    <w:p>
      <w:r>
        <w:t>Mandate: manage the Group's balance sheet, liquidity, funding structure, capital allocation priorities, and asset-liability risk exposures in accordance with Board-approved strategy, risk appetite, and treasury policies.</w:t>
      </w:r>
    </w:p>
    <w:p>
      <w:pPr>
        <w:pStyle w:val="Heading1"/>
      </w:pPr>
      <w:r>
        <w:t>1. Executive Summary</w:t>
      </w:r>
    </w:p>
    <w:p>
      <w:r>
        <w:t>Total assets {{total_assets}} against liabilities {{total_liabilities}}, for a Net Worth of {{net_worth}}. Leverage at D/E {{de_ratio}} vs &lt;0.5x; liquidity runway {{runway_months}} months vs a 6-month floor.</w:t>
      </w:r>
    </w:p>
    <w:p>
      <w:r>
        <w:t>{{num_breaches}} hard limit breach(es) and {{num_watch_items}} watch item(s) this month — see section 7 for the full table.</w:t>
      </w:r>
    </w:p>
    <w:p>
      <w:pPr>
        <w:pStyle w:val="Heading1"/>
      </w:pPr>
      <w:r>
        <w:t>2. Balance Sheet</w:t>
      </w:r>
    </w:p>
    <w:p>
      <w:r>
        <w:rPr>
          <w:b/>
        </w:rPr>
        <w:t xml:space="preserve">Total assets: </w:t>
      </w:r>
      <w:r>
        <w:t>{{total_assets}}</w:t>
      </w:r>
    </w:p>
    <w:p>
      <w:r>
        <w:rPr>
          <w:b/>
        </w:rPr>
        <w:t xml:space="preserve">Total liabilities: </w:t>
      </w:r>
      <w:r>
        <w:t>{{total_liabilities}}</w:t>
      </w:r>
    </w:p>
    <w:p>
      <w:r>
        <w:rPr>
          <w:b/>
        </w:rPr>
        <w:t xml:space="preserve">Bank debt drawn: </w:t>
      </w:r>
      <w:r>
        <w:t>{{bank_debt}}</w:t>
      </w:r>
    </w:p>
    <w:p>
      <w:r>
        <w:rPr>
          <w:b/>
        </w:rPr>
        <w:t xml:space="preserve">Net Worth: </w:t>
      </w:r>
      <w:r>
        <w:t>{{net_worth}}</w:t>
      </w:r>
    </w:p>
    <w:p>
      <w:r>
        <w:rPr>
          <w:b/>
        </w:rPr>
        <w:t xml:space="preserve">Debt-to-Equity (target &lt; 0.5x): </w:t>
      </w:r>
      <w:r>
        <w:t>{{de_ratio}}</w:t>
      </w:r>
    </w:p>
    <w:p>
      <w:r>
        <w:rPr>
          <w:b/>
        </w:rPr>
        <w:t xml:space="preserve">Investment / Total Assets (ceiling 40% by 30 Jun 2026): </w:t>
      </w:r>
      <w:r>
        <w:t>{{inv_ratio}}</w:t>
      </w:r>
    </w:p>
    <w:p>
      <w:pPr>
        <w:pStyle w:val="Heading1"/>
      </w:pPr>
      <w:r>
        <w:t>Engine performance — May 2026</w:t>
      </w:r>
    </w:p>
    <w:p>
      <w:r>
        <w:t>Three-Engine Strategy allocation snapshot (figures from the CAC Monthly Data Pack).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Allocation</w:t>
            </w:r>
          </w:p>
        </w:tc>
      </w:tr>
      <w:tr>
        <w:tc>
          <w:tcPr>
            <w:tcW w:type="dxa" w:w="4320"/>
          </w:tcPr>
          <w:p>
            <w:r>
              <w:t>{{engine_1_vcc_label}}</w:t>
            </w:r>
          </w:p>
        </w:tc>
        <w:tc>
          <w:tcPr>
            <w:tcW w:type="dxa" w:w="4320"/>
          </w:tcPr>
          <w:p>
            <w:r>
              <w:t>{{engine_1_vcc_value}}</w:t>
            </w:r>
          </w:p>
        </w:tc>
      </w:tr>
      <w:tr>
        <w:tc>
          <w:tcPr>
            <w:tcW w:type="dxa" w:w="4320"/>
          </w:tcPr>
          <w:p>
            <w:r>
              <w:t>{{engine_2_listed_label}}</w:t>
            </w:r>
          </w:p>
        </w:tc>
        <w:tc>
          <w:tcPr>
            <w:tcW w:type="dxa" w:w="4320"/>
          </w:tcPr>
          <w:p>
            <w:r>
              <w:t>{{engine_2_listed_value}}</w:t>
            </w:r>
          </w:p>
        </w:tc>
      </w:tr>
      <w:tr>
        <w:tc>
          <w:tcPr>
            <w:tcW w:type="dxa" w:w="4320"/>
          </w:tcPr>
          <w:p>
            <w:r>
              <w:t>{{engine_3_dat_label}}</w:t>
            </w:r>
          </w:p>
        </w:tc>
        <w:tc>
          <w:tcPr>
            <w:tcW w:type="dxa" w:w="4320"/>
          </w:tcPr>
          <w:p>
            <w:r>
              <w:t>{{engine_3_dat_value}}</w:t>
            </w:r>
          </w:p>
        </w:tc>
      </w:tr>
      <w:tr>
        <w:tc>
          <w:tcPr>
            <w:tcW w:type="dxa" w:w="4320"/>
          </w:tcPr>
          <w:p>
            <w:r>
              <w:t>{{engine_total_label}}</w:t>
            </w:r>
          </w:p>
        </w:tc>
        <w:tc>
          <w:tcPr>
            <w:tcW w:type="dxa" w:w="4320"/>
          </w:tcPr>
          <w:p>
            <w:r>
              <w:t>{{engine_total_value}}</w:t>
            </w:r>
          </w:p>
        </w:tc>
      </w:tr>
    </w:tbl>
    <w:p>
      <w:pPr>
        <w:pStyle w:val="Heading1"/>
      </w:pPr>
      <w:r>
        <w:t>3. Liquidity — "Stay Liquid"</w:t>
      </w:r>
    </w:p>
    <w:p>
      <w:r>
        <w:rPr>
          <w:b/>
        </w:rPr>
        <w:t xml:space="preserve">Operating cash: </w:t>
      </w:r>
      <w:r>
        <w:t>{{operating_cash}}</w:t>
      </w:r>
    </w:p>
    <w:p>
      <w:r>
        <w:rPr>
          <w:b/>
        </w:rPr>
        <w:t xml:space="preserve">Near-cash / liquid securities: </w:t>
      </w:r>
      <w:r>
        <w:t>{{near_cash}}</w:t>
      </w:r>
    </w:p>
    <w:p>
      <w:r>
        <w:rPr>
          <w:b/>
        </w:rPr>
        <w:t xml:space="preserve">Monthly operating burn (budget ~THB 8M): </w:t>
      </w:r>
      <w:r>
        <w:t>{{monthly_burn}}</w:t>
      </w:r>
    </w:p>
    <w:p>
      <w:r>
        <w:rPr>
          <w:b/>
        </w:rPr>
        <w:t xml:space="preserve">Runway (min 6 months): </w:t>
      </w:r>
      <w:r>
        <w:t>{{runway_months}} months</w:t>
      </w:r>
    </w:p>
    <w:p>
      <w:r>
        <w:rPr>
          <w:b/>
        </w:rPr>
        <w:t xml:space="preserve">Sovereignty Buffer (floor 100 BTC): </w:t>
      </w:r>
      <w:r>
        <w:t>{{sovereignty_buffer_btc}} BTC</w:t>
      </w:r>
    </w:p>
    <w:p>
      <w:r>
        <w:rPr>
          <w:b/>
        </w:rPr>
        <w:t xml:space="preserve">Contingency Funding Plan: </w:t>
      </w:r>
      <w:r>
        <w:t>{{contingency_funding_plan}}</w:t>
      </w:r>
    </w:p>
    <w:p>
      <w:pPr>
        <w:pStyle w:val="Heading1"/>
      </w:pPr>
      <w:r>
        <w:t>4. Funding &amp; Covenants</w:t>
      </w:r>
    </w:p>
    <w:p>
      <w:r>
        <w:rPr>
          <w:b/>
        </w:rPr>
        <w:t xml:space="preserve">Total drawn: </w:t>
      </w:r>
      <w:r>
        <w:t>{{facility_drawn}}</w:t>
      </w:r>
    </w:p>
    <w:p>
      <w:r>
        <w:rPr>
          <w:b/>
        </w:rPr>
        <w:t xml:space="preserve">Total available: </w:t>
      </w:r>
      <w:r>
        <w:t>{{facility_available}}</w:t>
      </w:r>
    </w:p>
    <w:p>
      <w:r>
        <w:rPr>
          <w:b/>
        </w:rPr>
        <w:t xml:space="preserve">Utilisation: </w:t>
      </w:r>
      <w:r>
        <w:t>{{facility_util}}</w:t>
      </w:r>
    </w:p>
    <w:p>
      <w:r>
        <w:rPr>
          <w:b/>
        </w:rPr>
        <w:t xml:space="preserve">Cost of funds (target &lt; 3-4%): </w:t>
      </w:r>
      <w:r>
        <w:t>{{cost_of_funds}}</w:t>
      </w:r>
    </w:p>
    <w:p>
      <w:pPr>
        <w:pStyle w:val="Heading1"/>
      </w:pPr>
      <w:r>
        <w:t>5. Asset-Liability Risk</w:t>
      </w:r>
    </w:p>
    <w:p>
      <w:r>
        <w:rPr>
          <w:b/>
        </w:rPr>
        <w:t xml:space="preserve">Duration gap (target &lt; 2.0 yr): </w:t>
      </w:r>
      <w:r>
        <w:t>{{duration_gap_yr}} yr</w:t>
      </w:r>
    </w:p>
    <w:p>
      <w:r>
        <w:rPr>
          <w:b/>
        </w:rPr>
        <w:t xml:space="preserve">Refinancing due next 12m: </w:t>
      </w:r>
      <w:r>
        <w:t>{{refinancing_due_12m}}</w:t>
      </w:r>
    </w:p>
    <w:p>
      <w:r>
        <w:rPr>
          <w:b/>
        </w:rPr>
        <w:t xml:space="preserve">Collateral sufficiency: </w:t>
      </w:r>
      <w:r>
        <w:t>{{collateral_sufficiency}}</w:t>
      </w:r>
    </w:p>
    <w:p>
      <w:r>
        <w:rPr>
          <w:b/>
        </w:rPr>
        <w:t xml:space="preserve">FX exposure: </w:t>
      </w:r>
      <w:r>
        <w:t>{{fx_exposure}}</w:t>
      </w:r>
    </w:p>
    <w:p>
      <w:pPr>
        <w:pStyle w:val="Heading1"/>
      </w:pPr>
      <w:r>
        <w:t>6. On-Chain Treasury</w:t>
      </w:r>
    </w:p>
    <w:p>
      <w:r>
        <w:rPr>
          <w:b/>
        </w:rPr>
        <w:t xml:space="preserve">Aggregate on-chain DTV (cap &lt;= 25%): </w:t>
      </w:r>
      <w:r>
        <w:t>{{on_chain_dtv}}</w:t>
      </w:r>
    </w:p>
    <w:p>
      <w:r>
        <w:rPr>
          <w:b/>
        </w:rPr>
        <w:t xml:space="preserve">Treasury native yield (target &gt;= 10%): </w:t>
      </w:r>
      <w:r>
        <w:t>{{treasury_native_yield}}</w:t>
      </w:r>
    </w:p>
    <w:p>
      <w:pPr>
        <w:pStyle w:val="Heading1"/>
      </w:pPr>
      <w:r>
        <w:t>7. Limit Breaches &amp; Escalations</w:t>
      </w:r>
    </w:p>
    <w:p>
      <w:r>
        <w:t>{{breach_list}}</w:t>
      </w:r>
    </w:p>
    <w:p>
      <w:pPr>
        <w:pStyle w:val="Heading1"/>
      </w:pPr>
      <w:r>
        <w:t>8. Recommendations</w:t>
      </w:r>
    </w:p>
    <w:p>
      <w:r>
        <w:t>(Edit this section in Word to add the standing recommendations — the agent preserves anything you write here outside of the curly-brace placeholders.)</w:t>
      </w:r>
    </w:p>
    <w:p>
      <w:r>
        <w:rPr>
          <w:i/>
        </w:rPr>
        <w:t>Source figures: this month's CAC Monthly Data Pack (Excel). Questions: #cac-committee or the CAC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