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CAC Monthly Report</w:t>
      </w:r>
    </w:p>
    <w:p>
      <w:r>
        <w:rPr>
          <w:b/>
        </w:rPr>
        <w:t xml:space="preserve">To: </w:t>
      </w:r>
      <w:r>
        <w:t xml:space="preserve">Supane, CFO     </w:t>
      </w:r>
      <w:r>
        <w:rPr>
          <w:b/>
        </w:rPr>
        <w:t xml:space="preserve">From: </w:t>
      </w:r>
      <w:r>
        <w:t>Capital Allocation &amp; ALCO Committee (CAC)</w:t>
      </w:r>
    </w:p>
    <w:p>
      <w:r>
        <w:rPr>
          <w:b/>
        </w:rPr>
        <w:t xml:space="preserve">Period: </w:t>
      </w:r>
      <w:r>
        <w:t xml:space="preserve">__________     </w:t>
      </w:r>
      <w:r>
        <w:rPr>
          <w:b/>
        </w:rPr>
        <w:t xml:space="preserve">Prepared: </w:t>
      </w:r>
      <w:r>
        <w:t>__________</w:t>
      </w:r>
    </w:p>
    <w:p>
      <w:r>
        <w:t>Mandate: manage the Group's balance sheet, liquidity, funding structure, capital allocation priorities, and asset-liability risk exposures in accordance with Board-approved strategy, risk appetite, and treasury policies.</w:t>
      </w:r>
    </w:p>
    <w:p>
      <w:pPr>
        <w:pStyle w:val="Heading1"/>
      </w:pPr>
      <w:r>
        <w:t>1. Executive Summary</w:t>
      </w:r>
    </w:p>
    <w:p>
      <w:r>
        <w:t>[3-5 sentences: overall balance-sheet health, the single biggest change this month, and any limit breaches/approaches needing CFO or Board attention.]</w:t>
      </w:r>
    </w:p>
    <w:p>
      <w:pPr>
        <w:pStyle w:val="Heading1"/>
      </w:pPr>
      <w:r>
        <w:t>2. Balance Sheet</w:t>
      </w:r>
    </w:p>
    <w:p>
      <w:r>
        <w:t>Total assets: THB ___M | Total liabilities: THB ___M | Net Worth: THB ___M</w:t>
      </w:r>
    </w:p>
    <w:p>
      <w:r>
        <w:t>Debt-to-Equity: ___x (target &lt;0.5x) - [status]</w:t>
      </w:r>
    </w:p>
    <w:p>
      <w:r>
        <w:t>MoM movement &amp; drivers: [____]</w:t>
      </w:r>
    </w:p>
    <w:p>
      <w:pPr>
        <w:pStyle w:val="Heading1"/>
      </w:pPr>
      <w:r>
        <w:t>3. Capital Allocation</w:t>
      </w:r>
    </w:p>
    <w:p>
      <w:r>
        <w:t>Investment-to-total-assets ratio: ___% (ceiling 40% by 30 Jun 2026; OKR &lt;38%).</w:t>
      </w:r>
    </w:p>
    <w:p>
      <w:r>
        <w:t>Allocation vs Three-Engine targets: [one line per engine].</w:t>
      </w:r>
    </w:p>
    <w:p>
      <w:r>
        <w:t>Material drift from target: [____]</w:t>
      </w:r>
    </w:p>
    <w:p>
      <w:pPr>
        <w:pStyle w:val="Heading1"/>
      </w:pPr>
      <w:r>
        <w:t>4. Liquidity - 'Stay Liquid'</w:t>
      </w:r>
    </w:p>
    <w:p>
      <w:r>
        <w:t>Runway: ___ months (min 6) | Sovereignty Buffer: ___ BTC (floor 100).</w:t>
      </w:r>
    </w:p>
    <w:p>
      <w:r>
        <w:t>Stress-test outcome: [pass/fail]. Contingency Funding Plan: [status].</w:t>
      </w:r>
    </w:p>
    <w:p>
      <w:pPr>
        <w:pStyle w:val="Heading1"/>
      </w:pPr>
      <w:r>
        <w:t>5. Funding &amp; Covenants</w:t>
      </w:r>
    </w:p>
    <w:p>
      <w:r>
        <w:t>Total drawn / available: THB ___ / ___M (util ___%).</w:t>
      </w:r>
    </w:p>
    <w:p>
      <w:r>
        <w:t>Leverage: D/E ___x vs &lt;0.5x; cost of funds ___% vs &lt;3-4%. Maturities &lt;90 days / renewal: [____].</w:t>
      </w:r>
    </w:p>
    <w:p>
      <w:r>
        <w:t>Bank relationship notes (SCB/BBL): [____].</w:t>
      </w:r>
    </w:p>
    <w:p>
      <w:pPr>
        <w:pStyle w:val="Heading1"/>
      </w:pPr>
      <w:r>
        <w:t>6. Asset-Liability Risk</w:t>
      </w:r>
    </w:p>
    <w:p>
      <w:r>
        <w:t>Duration gap: ___ yr (target &lt;2.0). Refinancing due next 12m: THB ___M.</w:t>
      </w:r>
    </w:p>
    <w:p>
      <w:r>
        <w:t>Collateral coverage: ___%. On-chain aggregate DTV: ___% (Board review &gt;25%).</w:t>
      </w:r>
    </w:p>
    <w:p>
      <w:pPr>
        <w:pStyle w:val="Heading1"/>
      </w:pPr>
      <w:r>
        <w:t>7. Limit Breaches &amp; Escalations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(If none: 'No limits breached this month.')</w:t>
      </w:r>
    </w:p>
    <w:p>
      <w:pPr>
        <w:pStyle w:val="Heading1"/>
      </w:pPr>
      <w:r>
        <w:t>8. Policy Compliance</w:t>
      </w:r>
    </w:p>
    <w:p>
      <w:r>
        <w:t>Confirm compliant (Y/N) with: Board strategy (Three-Engine/North Star); Stay Liquid doctrine; melt-up/sell-down 40% glide path; Decision Rights Matrix (R-05).</w:t>
      </w:r>
    </w:p>
    <w:p>
      <w:pPr>
        <w:pStyle w:val="Heading1"/>
      </w:pPr>
      <w:r>
        <w:t>9. Recommendations to CFO / IC / 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Required approval (R-05)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Detail &amp; source figures: see this month's CAC Monthly Data Pack (Excel). Questions: #cac-committee or the CAC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