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01C6E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Parte I – Contesto e problema</w:t>
      </w:r>
    </w:p>
    <w:p w14:paraId="0F6F9AAE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1. Introduzione e background essenziale</w:t>
      </w:r>
    </w:p>
    <w:p w14:paraId="478DBC48" w14:textId="5CD3B1AA" w:rsidR="00383C3E" w:rsidRDefault="00383C3E" w:rsidP="00383C3E">
      <w:pPr>
        <w:rPr>
          <w:b/>
          <w:bCs/>
        </w:rPr>
      </w:pPr>
      <w:r w:rsidRPr="00383C3E">
        <w:rPr>
          <w:b/>
          <w:bCs/>
        </w:rPr>
        <w:t>1.1 Contesto</w:t>
      </w:r>
      <w:r w:rsidR="000264A1">
        <w:rPr>
          <w:b/>
          <w:bCs/>
        </w:rPr>
        <w:t xml:space="preserve">, </w:t>
      </w:r>
      <w:r w:rsidRPr="00383C3E">
        <w:rPr>
          <w:b/>
          <w:bCs/>
        </w:rPr>
        <w:t>Obiettivi e requisiti</w:t>
      </w:r>
      <w:r w:rsidR="005A61D0">
        <w:rPr>
          <w:b/>
          <w:bCs/>
        </w:rPr>
        <w:t xml:space="preserve"> prog</w:t>
      </w:r>
      <w:r w:rsidR="002E2FDD">
        <w:rPr>
          <w:b/>
          <w:bCs/>
        </w:rPr>
        <w:t>ettuali</w:t>
      </w:r>
      <w:r w:rsidRPr="00383C3E">
        <w:rPr>
          <w:b/>
          <w:bCs/>
        </w:rPr>
        <w:br/>
        <w:t>1.</w:t>
      </w:r>
      <w:r w:rsidR="004A651B">
        <w:rPr>
          <w:b/>
          <w:bCs/>
        </w:rPr>
        <w:t>2</w:t>
      </w:r>
      <w:r w:rsidRPr="00383C3E">
        <w:rPr>
          <w:b/>
          <w:bCs/>
        </w:rPr>
        <w:t xml:space="preserve"> Cenni di background </w:t>
      </w:r>
      <w:r w:rsidR="004A651B">
        <w:rPr>
          <w:b/>
          <w:bCs/>
        </w:rPr>
        <w:t>(contesto</w:t>
      </w:r>
      <w:r w:rsidR="001444BB">
        <w:rPr>
          <w:b/>
          <w:bCs/>
        </w:rPr>
        <w:t xml:space="preserve"> di gioco, modelli transformer</w:t>
      </w:r>
      <w:r w:rsidR="00414DE8">
        <w:rPr>
          <w:b/>
          <w:bCs/>
        </w:rPr>
        <w:t>, unione delle cose)</w:t>
      </w:r>
      <w:r w:rsidRPr="00383C3E">
        <w:rPr>
          <w:b/>
          <w:bCs/>
        </w:rPr>
        <w:br/>
        <w:t>1.</w:t>
      </w:r>
      <w:r w:rsidR="004A651B">
        <w:rPr>
          <w:b/>
          <w:bCs/>
        </w:rPr>
        <w:t>3</w:t>
      </w:r>
      <w:r w:rsidRPr="00383C3E">
        <w:rPr>
          <w:b/>
          <w:bCs/>
        </w:rPr>
        <w:t xml:space="preserve"> Struttura del report</w:t>
      </w:r>
      <w:r w:rsidR="00414DE8">
        <w:rPr>
          <w:b/>
          <w:bCs/>
        </w:rPr>
        <w:t xml:space="preserve">, struttura del codice </w:t>
      </w:r>
      <w:r w:rsidR="00060E18">
        <w:rPr>
          <w:b/>
          <w:bCs/>
        </w:rPr>
        <w:t>con obbiettivi per file</w:t>
      </w:r>
    </w:p>
    <w:p w14:paraId="4609BF92" w14:textId="77777777" w:rsidR="00367A81" w:rsidRPr="00383C3E" w:rsidRDefault="00367A81" w:rsidP="00383C3E">
      <w:pPr>
        <w:rPr>
          <w:b/>
          <w:bCs/>
        </w:rPr>
      </w:pPr>
    </w:p>
    <w:p w14:paraId="237D0367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2. Formulazione del problema e visione d’insieme</w:t>
      </w:r>
    </w:p>
    <w:p w14:paraId="0DF859D1" w14:textId="10F8F7A4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2.1</w:t>
      </w:r>
      <w:r w:rsidR="004A651B">
        <w:rPr>
          <w:b/>
          <w:bCs/>
        </w:rPr>
        <w:t xml:space="preserve"> </w:t>
      </w:r>
      <w:r w:rsidRPr="00383C3E">
        <w:rPr>
          <w:b/>
          <w:bCs/>
        </w:rPr>
        <w:t>Problema: generazione di un set MTG tematico MHA</w:t>
      </w:r>
      <w:r w:rsidRPr="00383C3E">
        <w:rPr>
          <w:b/>
          <w:bCs/>
        </w:rPr>
        <w:br/>
        <w:t>2.2 Vincoli progettuali e scelte di alto livello</w:t>
      </w:r>
      <w:r w:rsidRPr="00383C3E">
        <w:rPr>
          <w:b/>
          <w:bCs/>
        </w:rPr>
        <w:br/>
        <w:t>2.3 Pipeline end-to-end del progetto</w:t>
      </w:r>
      <w:r w:rsidRPr="00383C3E">
        <w:rPr>
          <w:b/>
          <w:bCs/>
        </w:rPr>
        <w:br/>
        <w:t>2.4 Ruolo del mapping tematico e della generazione condizionata</w:t>
      </w:r>
    </w:p>
    <w:p w14:paraId="0B9A60C6" w14:textId="77777777" w:rsidR="00383C3E" w:rsidRPr="00383C3E" w:rsidRDefault="00000000" w:rsidP="00383C3E">
      <w:pPr>
        <w:rPr>
          <w:b/>
          <w:bCs/>
        </w:rPr>
      </w:pPr>
      <w:r>
        <w:rPr>
          <w:b/>
          <w:bCs/>
        </w:rPr>
        <w:pict w14:anchorId="23EDD7D1">
          <v:rect id="_x0000_i1025" style="width:0;height:1.5pt" o:hralign="center" o:hrstd="t" o:hr="t" fillcolor="#a0a0a0" stroked="f"/>
        </w:pict>
      </w:r>
    </w:p>
    <w:p w14:paraId="3C7F4819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Parte II – Dati, rappresentazione e mapping</w:t>
      </w:r>
    </w:p>
    <w:p w14:paraId="79FDBB73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3. Dati e preprocessing</w:t>
      </w:r>
    </w:p>
    <w:p w14:paraId="47164108" w14:textId="771A067F" w:rsidR="00EA07E8" w:rsidRDefault="00383C3E" w:rsidP="00383C3E">
      <w:pPr>
        <w:rPr>
          <w:b/>
          <w:bCs/>
        </w:rPr>
      </w:pPr>
      <w:r w:rsidRPr="00383C3E">
        <w:rPr>
          <w:b/>
          <w:bCs/>
        </w:rPr>
        <w:t>3.1 Dataset Scryfall e criteri di selezione</w:t>
      </w:r>
      <w:r w:rsidRPr="00383C3E">
        <w:rPr>
          <w:b/>
          <w:bCs/>
        </w:rPr>
        <w:br/>
        <w:t>3.2 Formato testuale e special tokens</w:t>
      </w:r>
      <w:r w:rsidRPr="00383C3E">
        <w:rPr>
          <w:b/>
          <w:bCs/>
        </w:rPr>
        <w:br/>
        <w:t>3.3 Split train/validation/test e contratto di formato</w:t>
      </w:r>
      <w:r w:rsidRPr="00383C3E">
        <w:rPr>
          <w:b/>
          <w:bCs/>
        </w:rPr>
        <w:br/>
        <w:t xml:space="preserve">3.4 Statistiche descrittive </w:t>
      </w:r>
      <w:r w:rsidR="00EA07E8">
        <w:rPr>
          <w:b/>
          <w:bCs/>
        </w:rPr>
        <w:t>generali</w:t>
      </w:r>
    </w:p>
    <w:p w14:paraId="0F7F103B" w14:textId="3BDA770F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4. Mapping tematico MTG × MHA</w:t>
      </w:r>
    </w:p>
    <w:p w14:paraId="189E6148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4.1 Obiettivo del mapping e vincoli</w:t>
      </w:r>
      <w:r w:rsidRPr="00383C3E">
        <w:rPr>
          <w:b/>
          <w:bCs/>
        </w:rPr>
        <w:br/>
        <w:t>4.2 Struttura di mapping_seed.csv e keywords.json</w:t>
      </w:r>
      <w:r w:rsidRPr="00383C3E">
        <w:rPr>
          <w:b/>
          <w:bCs/>
        </w:rPr>
        <w:br/>
        <w:t>4.3 Integrazione del mapping nella costruzione dei prompt di generazione</w:t>
      </w:r>
    </w:p>
    <w:p w14:paraId="0F06C354" w14:textId="77777777" w:rsidR="00383C3E" w:rsidRPr="00383C3E" w:rsidRDefault="00000000" w:rsidP="00383C3E">
      <w:pPr>
        <w:rPr>
          <w:b/>
          <w:bCs/>
        </w:rPr>
      </w:pPr>
      <w:r>
        <w:rPr>
          <w:b/>
          <w:bCs/>
        </w:rPr>
        <w:pict w14:anchorId="767D34B4">
          <v:rect id="_x0000_i1026" style="width:0;height:1.5pt" o:hralign="center" o:hrstd="t" o:hr="t" fillcolor="#a0a0a0" stroked="f"/>
        </w:pict>
      </w:r>
    </w:p>
    <w:p w14:paraId="11801B86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Parte III – Modelli, training e generazione</w:t>
      </w:r>
    </w:p>
    <w:p w14:paraId="7AACAB62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5. Modelli e setup sperimentale</w:t>
      </w:r>
    </w:p>
    <w:p w14:paraId="4D37C849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5.1 Modelli utilizzati (GPT-2 baseline, Mistral 7B QLoRA)</w:t>
      </w:r>
      <w:r w:rsidRPr="00383C3E">
        <w:rPr>
          <w:b/>
          <w:bCs/>
        </w:rPr>
        <w:br/>
        <w:t>5.2 Tokenizer, special tokens e hyper-parameter chiave</w:t>
      </w:r>
      <w:r w:rsidRPr="00383C3E">
        <w:rPr>
          <w:b/>
          <w:bCs/>
        </w:rPr>
        <w:br/>
        <w:t>5.3 Infrastruttura computazionale e strumenti di logging</w:t>
      </w:r>
    </w:p>
    <w:p w14:paraId="700B71C2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6. Pipeline di training e generazione</w:t>
      </w:r>
    </w:p>
    <w:p w14:paraId="02180622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6.1 Preparazione dei dataset per il training</w:t>
      </w:r>
      <w:r w:rsidRPr="00383C3E">
        <w:rPr>
          <w:b/>
          <w:bCs/>
        </w:rPr>
        <w:br/>
        <w:t>6.2 Training dei modelli</w:t>
      </w:r>
      <w:r w:rsidRPr="00383C3E">
        <w:rPr>
          <w:b/>
          <w:bCs/>
        </w:rPr>
        <w:br/>
        <w:t>   6.2.1 GPT-2 Large come baseline</w:t>
      </w:r>
      <w:r w:rsidRPr="00383C3E">
        <w:rPr>
          <w:b/>
          <w:bCs/>
        </w:rPr>
        <w:br/>
        <w:t>   6.2.2 Mistral 7B con QLoRA</w:t>
      </w:r>
      <w:r w:rsidRPr="00383C3E">
        <w:rPr>
          <w:b/>
          <w:bCs/>
        </w:rPr>
        <w:br/>
        <w:t>6.3 Generazione condizionata delle carte</w:t>
      </w:r>
      <w:r w:rsidRPr="00383C3E">
        <w:rPr>
          <w:b/>
          <w:bCs/>
        </w:rPr>
        <w:br/>
      </w:r>
      <w:r w:rsidRPr="00383C3E">
        <w:rPr>
          <w:b/>
          <w:bCs/>
        </w:rPr>
        <w:lastRenderedPageBreak/>
        <w:t>   6.3.1 Formato del prompt e condizioni (theme, character, color, type, rarity)</w:t>
      </w:r>
      <w:r w:rsidRPr="00383C3E">
        <w:rPr>
          <w:b/>
          <w:bCs/>
        </w:rPr>
        <w:br/>
        <w:t>   6.3.2 Parametri di decoding e strategie di generazione</w:t>
      </w:r>
    </w:p>
    <w:p w14:paraId="6EAFF421" w14:textId="77777777" w:rsidR="00383C3E" w:rsidRPr="00383C3E" w:rsidRDefault="00000000" w:rsidP="00383C3E">
      <w:pPr>
        <w:rPr>
          <w:b/>
          <w:bCs/>
        </w:rPr>
      </w:pPr>
      <w:r>
        <w:rPr>
          <w:b/>
          <w:bCs/>
        </w:rPr>
        <w:pict w14:anchorId="3C5BDE0B">
          <v:rect id="_x0000_i1027" style="width:0;height:1.5pt" o:hralign="center" o:hrstd="t" o:hr="t" fillcolor="#a0a0a0" stroked="f"/>
        </w:pict>
      </w:r>
    </w:p>
    <w:p w14:paraId="6F359584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Parte IV – Validazione, set finale e valutazione</w:t>
      </w:r>
    </w:p>
    <w:p w14:paraId="75B5DFB6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7. Validazione, scoring e curation</w:t>
      </w:r>
    </w:p>
    <w:p w14:paraId="5D544592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7.1 Validator sintattico e di coerenza minima</w:t>
      </w:r>
      <w:r w:rsidRPr="00383C3E">
        <w:rPr>
          <w:b/>
          <w:bCs/>
        </w:rPr>
        <w:br/>
        <w:t>7.2 Scoring, deduplicazione e ranking delle carte</w:t>
      </w:r>
      <w:r w:rsidRPr="00383C3E">
        <w:rPr>
          <w:b/>
          <w:bCs/>
        </w:rPr>
        <w:br/>
        <w:t>7.3 Costruzione del set finale e bilanciamento (colori, tipi, rarità)</w:t>
      </w:r>
    </w:p>
    <w:p w14:paraId="04FDE702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8. Valutazione e discussione dei risultati</w:t>
      </w:r>
    </w:p>
    <w:p w14:paraId="1B93D999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8.1 Valutazione quantitativa (Perplexity globale e per cluster)</w:t>
      </w:r>
      <w:r w:rsidRPr="00383C3E">
        <w:rPr>
          <w:b/>
          <w:bCs/>
        </w:rPr>
        <w:br/>
        <w:t>8.2 Valutazione qualitativa (schema di rating e risultati medi)</w:t>
      </w:r>
      <w:r w:rsidRPr="00383C3E">
        <w:rPr>
          <w:b/>
          <w:bCs/>
        </w:rPr>
        <w:br/>
        <w:t>8.3 Analisi di esempi rappresentativi e failure modes</w:t>
      </w:r>
      <w:r w:rsidRPr="00383C3E">
        <w:rPr>
          <w:b/>
          <w:bCs/>
        </w:rPr>
        <w:br/>
        <w:t>8.4 Sintesi critica dei risultati ottenuti</w:t>
      </w:r>
    </w:p>
    <w:p w14:paraId="120F79F5" w14:textId="77777777" w:rsidR="00383C3E" w:rsidRPr="00383C3E" w:rsidRDefault="00000000" w:rsidP="00383C3E">
      <w:pPr>
        <w:rPr>
          <w:b/>
          <w:bCs/>
        </w:rPr>
      </w:pPr>
      <w:r>
        <w:rPr>
          <w:b/>
          <w:bCs/>
        </w:rPr>
        <w:pict w14:anchorId="2B622131">
          <v:rect id="_x0000_i1028" style="width:0;height:1.5pt" o:hralign="center" o:hrstd="t" o:hr="t" fillcolor="#a0a0a0" stroked="f"/>
        </w:pict>
      </w:r>
    </w:p>
    <w:p w14:paraId="76C66865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Parte V – Conclusioni</w:t>
      </w:r>
    </w:p>
    <w:p w14:paraId="349FD3F7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9. Conclusioni e sviluppi futuri</w:t>
      </w:r>
    </w:p>
    <w:p w14:paraId="72938C82" w14:textId="77777777" w:rsidR="00383C3E" w:rsidRPr="00383C3E" w:rsidRDefault="00383C3E" w:rsidP="00383C3E">
      <w:pPr>
        <w:rPr>
          <w:b/>
          <w:bCs/>
        </w:rPr>
      </w:pPr>
      <w:r w:rsidRPr="00383C3E">
        <w:rPr>
          <w:b/>
          <w:bCs/>
        </w:rPr>
        <w:t>9.1 Principali lesson learned</w:t>
      </w:r>
      <w:r w:rsidRPr="00383C3E">
        <w:rPr>
          <w:b/>
          <w:bCs/>
        </w:rPr>
        <w:br/>
        <w:t>9.2 Limiti dell’approccio</w:t>
      </w:r>
      <w:r w:rsidRPr="00383C3E">
        <w:rPr>
          <w:b/>
          <w:bCs/>
        </w:rPr>
        <w:br/>
        <w:t>9.3 Possibili miglioramenti e sviluppi futuri</w:t>
      </w:r>
    </w:p>
    <w:p w14:paraId="414D16D7" w14:textId="45BD72DC" w:rsidR="00077B61" w:rsidRPr="00383C3E" w:rsidRDefault="00077B61" w:rsidP="00383C3E"/>
    <w:sectPr w:rsidR="00077B61" w:rsidRPr="00383C3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51E"/>
    <w:rsid w:val="00007DC2"/>
    <w:rsid w:val="00024114"/>
    <w:rsid w:val="000264A1"/>
    <w:rsid w:val="00060E18"/>
    <w:rsid w:val="00077B61"/>
    <w:rsid w:val="0008250A"/>
    <w:rsid w:val="00087D91"/>
    <w:rsid w:val="000910E4"/>
    <w:rsid w:val="000C5806"/>
    <w:rsid w:val="00124EEE"/>
    <w:rsid w:val="001444BB"/>
    <w:rsid w:val="00180137"/>
    <w:rsid w:val="0019698C"/>
    <w:rsid w:val="001C159F"/>
    <w:rsid w:val="001F09E6"/>
    <w:rsid w:val="00217D9E"/>
    <w:rsid w:val="002342A5"/>
    <w:rsid w:val="00262EE7"/>
    <w:rsid w:val="002E2FDD"/>
    <w:rsid w:val="002F4FAB"/>
    <w:rsid w:val="0032426B"/>
    <w:rsid w:val="003652ED"/>
    <w:rsid w:val="00367A81"/>
    <w:rsid w:val="00383C3E"/>
    <w:rsid w:val="003A330E"/>
    <w:rsid w:val="00411719"/>
    <w:rsid w:val="00414DE8"/>
    <w:rsid w:val="00453B28"/>
    <w:rsid w:val="00460D53"/>
    <w:rsid w:val="004A651B"/>
    <w:rsid w:val="004B64AA"/>
    <w:rsid w:val="0056097A"/>
    <w:rsid w:val="005735F3"/>
    <w:rsid w:val="005A61D0"/>
    <w:rsid w:val="00632C3B"/>
    <w:rsid w:val="00667BAE"/>
    <w:rsid w:val="006D5950"/>
    <w:rsid w:val="007D38C5"/>
    <w:rsid w:val="00840FDB"/>
    <w:rsid w:val="00873F85"/>
    <w:rsid w:val="008C36FA"/>
    <w:rsid w:val="00927FC4"/>
    <w:rsid w:val="00963E9F"/>
    <w:rsid w:val="00964926"/>
    <w:rsid w:val="00972CDA"/>
    <w:rsid w:val="009A0AB8"/>
    <w:rsid w:val="009E1DAA"/>
    <w:rsid w:val="009F4F1E"/>
    <w:rsid w:val="00AB351E"/>
    <w:rsid w:val="00AF5283"/>
    <w:rsid w:val="00B143F0"/>
    <w:rsid w:val="00B43F8D"/>
    <w:rsid w:val="00BD2CDA"/>
    <w:rsid w:val="00C26039"/>
    <w:rsid w:val="00CB5294"/>
    <w:rsid w:val="00D01028"/>
    <w:rsid w:val="00D462BA"/>
    <w:rsid w:val="00E114D3"/>
    <w:rsid w:val="00E25403"/>
    <w:rsid w:val="00E713F0"/>
    <w:rsid w:val="00EA07E8"/>
    <w:rsid w:val="00EE5CDA"/>
    <w:rsid w:val="00F045D8"/>
    <w:rsid w:val="00F25D71"/>
    <w:rsid w:val="00F36AF2"/>
    <w:rsid w:val="00F40B2B"/>
    <w:rsid w:val="00FC1BEF"/>
    <w:rsid w:val="00FE20E1"/>
    <w:rsid w:val="00FE3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2BA10"/>
  <w15:chartTrackingRefBased/>
  <w15:docId w15:val="{E92597FA-B4E9-423A-A337-E79136CB1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B3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B3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B3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B3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B3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B3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B3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B3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B3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B3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B3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B3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B351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B351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B351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B351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B351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B351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B3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B3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B3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B3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B3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B351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B351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B351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B3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B351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B3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28975-420D-4006-99F0-A4663B931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MILELLA ANGELO</dc:creator>
  <cp:keywords/>
  <dc:description/>
  <cp:lastModifiedBy>MILELLA ANGELO</cp:lastModifiedBy>
  <cp:revision>61</cp:revision>
  <dcterms:created xsi:type="dcterms:W3CDTF">2025-11-18T14:19:00Z</dcterms:created>
  <dcterms:modified xsi:type="dcterms:W3CDTF">2025-11-19T14:40:00Z</dcterms:modified>
</cp:coreProperties>
</file>