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172A"/>
          <w:sz w:val="40"/>
          <w:szCs w:val="40"/>
        </w:rPr>
        <w:t xml:space="preserve">ACH Reconciliation</w:t>
      </w:r>
    </w:p>
    <w:p>
      <w:pPr>
        <w:spacing w:after="20"/>
      </w:pPr>
      <w:r>
        <w:rPr>
          <w:rFonts w:ascii="Arial" w:cs="Arial" w:eastAsia="Arial" w:hAnsi="Arial"/>
          <w:color w:val="0D9488"/>
          <w:sz w:val="28"/>
          <w:szCs w:val="28"/>
        </w:rPr>
        <w:t xml:space="preserve">FinOps Dashboard Integration Requirements</w:t>
      </w:r>
    </w:p>
    <w:p>
      <w:pPr>
        <w:pBdr>
          <w:bottom w:val="single" w:color="0D9488" w:sz="6" w:space="6"/>
        </w:pBdr>
        <w:spacing w:after="200"/>
      </w:pPr>
      <w:r>
        <w:rPr>
          <w:rFonts w:ascii="Arial" w:cs="Arial" w:eastAsia="Arial" w:hAnsi="Arial"/>
          <w:color w:val="64748B"/>
          <w:sz w:val="18"/>
          <w:szCs w:val="18"/>
        </w:rPr>
        <w:t xml:space="preserve">Date: April 2026  |  Status: Draft  |  Owner: FinOps Engineering</w:t>
      </w:r>
    </w:p>
    <w:p>
      <w:pPr>
        <w:pStyle w:val="Heading1"/>
        <w:spacing w:after="100" w:before="300"/>
      </w:pPr>
      <w:r>
        <w:rPr>
          <w:rFonts w:ascii="Arial" w:cs="Arial" w:eastAsia="Arial" w:hAnsi="Arial"/>
          <w:b/>
          <w:bCs/>
          <w:color w:val="0F172A"/>
          <w:sz w:val="28"/>
          <w:szCs w:val="28"/>
        </w:rPr>
        <w:t xml:space="preserve">1. Overview</w:t>
      </w:r>
    </w:p>
    <w:p>
      <w:pPr>
        <w:spacing w:after="120"/>
      </w:pPr>
      <w:r>
        <w:rPr>
          <w:rFonts w:ascii="Arial" w:cs="Arial" w:eastAsia="Arial" w:hAnsi="Arial"/>
          <w:b w:val="false"/>
          <w:bCs w:val="false"/>
          <w:i w:val="false"/>
          <w:iCs w:val="false"/>
          <w:color w:val="333333"/>
          <w:sz w:val="20"/>
          <w:szCs w:val="20"/>
        </w:rPr>
        <w:t xml:space="preserve">The VP of Finance currently uses a standalone Flask/Databricks application for daily ACH three-way reconciliation (FIRD vs. ACH Files vs. Core). This document specifies the requirements to integrate that functionality into the FinOps Dashboard’s existing Recon tab, eliminating the standalone app and consolidating all FinOps workflows into a single operational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8"/>
              <w:bottom w:val="single" w:color="0D9488" w:sz="2"/>
              <w:right w:val="single" w:color="0D9488" w:sz="2"/>
            </w:tcBorders>
            <w:shd w:fill="F0FDFA" w:val="clear"/>
            <w:tcMar>
              <w:top w:type="dxa" w:w="100"/>
              <w:left w:type="dxa" w:w="160"/>
              <w:bottom w:type="dxa" w:w="100"/>
              <w:right w:type="dxa" w:w="160"/>
            </w:tcMar>
          </w:tcPr>
          <w:p>
            <w:pPr>
              <w:spacing w:after="120"/>
            </w:pPr>
            <w:r>
              <w:rPr>
                <w:rFonts w:ascii="Arial" w:cs="Arial" w:eastAsia="Arial" w:hAnsi="Arial"/>
                <w:b/>
                <w:bCs/>
                <w:color w:val="0D9488"/>
                <w:sz w:val="20"/>
                <w:szCs w:val="20"/>
              </w:rPr>
              <w:t xml:space="preserve">Goal: </w:t>
            </w:r>
            <w:r>
              <w:rPr>
                <w:rFonts w:ascii="Arial" w:cs="Arial" w:eastAsia="Arial" w:hAnsi="Arial"/>
                <w:color w:val="333333"/>
                <w:sz w:val="20"/>
                <w:szCs w:val="20"/>
              </w:rPr>
              <w:t xml:space="preserve">Replace the standalone ACH Recon App with equivalent functionality inside the FinOps Dashboard Recon tab. The dashboard already has the correct UI structure (Daily Summary, RDFI, ODFI, Core, Pending tabs) running on mock data. This effort wires it to live Databricks queries and adds the missing operational features.</w:t>
            </w:r>
          </w:p>
        </w:tc>
      </w:tr>
    </w:tbl>
    <w:p>
      <w:pPr>
        <w:spacing w:after="120"/>
      </w:pPr>
    </w:p>
    <w:p>
      <w:pPr>
        <w:pStyle w:val="Heading1"/>
        <w:spacing w:after="100" w:before="300"/>
      </w:pPr>
      <w:r>
        <w:rPr>
          <w:rFonts w:ascii="Arial" w:cs="Arial" w:eastAsia="Arial" w:hAnsi="Arial"/>
          <w:b/>
          <w:bCs/>
          <w:color w:val="0F172A"/>
          <w:sz w:val="28"/>
          <w:szCs w:val="28"/>
        </w:rPr>
        <w:t xml:space="preserve">2. What the Prototype Does Today</w:t>
      </w:r>
    </w:p>
    <w:p>
      <w:pPr>
        <w:spacing w:after="120"/>
      </w:pPr>
      <w:r>
        <w:rPr>
          <w:rFonts w:ascii="Arial" w:cs="Arial" w:eastAsia="Arial" w:hAnsi="Arial"/>
          <w:b w:val="false"/>
          <w:bCs w:val="false"/>
          <w:i w:val="false"/>
          <w:iCs w:val="false"/>
          <w:color w:val="333333"/>
          <w:sz w:val="20"/>
          <w:szCs w:val="20"/>
        </w:rPr>
        <w:t xml:space="preserve">The standalone app performs a three-way daily reconciliation across three data domains:</w:t>
      </w:r>
    </w:p>
    <w:p>
      <w:pPr>
        <w:pStyle w:val="ListParagraph"/>
        <w:numPr>
          <w:ilvl w:val="0"/>
          <w:numId w:val="2"/>
        </w:numPr>
        <w:spacing w:after="60"/>
      </w:pPr>
      <w:r>
        <w:rPr>
          <w:rFonts w:ascii="Arial" w:cs="Arial" w:eastAsia="Arial" w:hAnsi="Arial"/>
          <w:b/>
          <w:bCs/>
          <w:color w:val="333333"/>
          <w:sz w:val="20"/>
          <w:szCs w:val="20"/>
        </w:rPr>
        <w:t xml:space="preserve">FIRD (Fed)</w:t>
      </w:r>
      <w:r>
        <w:rPr>
          <w:rFonts w:ascii="Arial" w:cs="Arial" w:eastAsia="Arial" w:hAnsi="Arial"/>
          <w:color w:val="333333"/>
          <w:sz w:val="20"/>
          <w:szCs w:val="20"/>
        </w:rPr>
        <w:t xml:space="preserve"> — FedACH Information Return &amp; Delivery settlement totals from </w:t>
      </w:r>
      <w:r>
        <w:rPr>
          <w:rFonts w:ascii="Arial" w:cs="Arial" w:eastAsia="Arial" w:hAnsi="Arial"/>
          <w:b/>
          <w:bCs/>
          <w:i/>
          <w:iCs/>
          <w:color w:val="333333"/>
          <w:sz w:val="20"/>
          <w:szCs w:val="20"/>
        </w:rPr>
        <w:t xml:space="preserve">bank_reconciliation_report</w:t>
      </w:r>
    </w:p>
    <w:p>
      <w:pPr>
        <w:pStyle w:val="ListParagraph"/>
        <w:numPr>
          <w:ilvl w:val="0"/>
          <w:numId w:val="2"/>
        </w:numPr>
        <w:spacing w:after="60"/>
      </w:pPr>
      <w:r>
        <w:rPr>
          <w:rFonts w:ascii="Arial" w:cs="Arial" w:eastAsia="Arial" w:hAnsi="Arial"/>
          <w:b/>
          <w:bCs/>
          <w:color w:val="333333"/>
          <w:sz w:val="20"/>
          <w:szCs w:val="20"/>
        </w:rPr>
        <w:t xml:space="preserve">ACH Files (RDFI + ODFI)</w:t>
      </w:r>
      <w:r>
        <w:rPr>
          <w:rFonts w:ascii="Arial" w:cs="Arial" w:eastAsia="Arial" w:hAnsi="Arial"/>
          <w:color w:val="333333"/>
          <w:sz w:val="20"/>
          <w:szCs w:val="20"/>
        </w:rPr>
        <w:t xml:space="preserve"> — Parsed ACH entry detail from </w:t>
      </w:r>
      <w:r>
        <w:rPr>
          <w:rFonts w:ascii="Arial" w:cs="Arial" w:eastAsia="Arial" w:hAnsi="Arial"/>
          <w:b/>
          <w:bCs/>
          <w:i/>
          <w:iCs/>
          <w:color w:val="333333"/>
          <w:sz w:val="20"/>
          <w:szCs w:val="20"/>
        </w:rPr>
        <w:t xml:space="preserve">ach_rdfi_file_entry_detail</w:t>
      </w:r>
      <w:r>
        <w:rPr>
          <w:rFonts w:ascii="Arial" w:cs="Arial" w:eastAsia="Arial" w:hAnsi="Arial"/>
          <w:color w:val="333333"/>
          <w:sz w:val="20"/>
          <w:szCs w:val="20"/>
        </w:rPr>
        <w:t xml:space="preserve"> and </w:t>
      </w:r>
      <w:r>
        <w:rPr>
          <w:rFonts w:ascii="Arial" w:cs="Arial" w:eastAsia="Arial" w:hAnsi="Arial"/>
          <w:b/>
          <w:bCs/>
          <w:i/>
          <w:iCs/>
          <w:color w:val="333333"/>
          <w:sz w:val="20"/>
          <w:szCs w:val="20"/>
        </w:rPr>
        <w:t xml:space="preserve">ach_odfi_file_entry_detail</w:t>
      </w:r>
    </w:p>
    <w:p>
      <w:pPr>
        <w:pStyle w:val="ListParagraph"/>
        <w:numPr>
          <w:ilvl w:val="0"/>
          <w:numId w:val="2"/>
        </w:numPr>
        <w:spacing w:after="60"/>
      </w:pPr>
      <w:r>
        <w:rPr>
          <w:rFonts w:ascii="Arial" w:cs="Arial" w:eastAsia="Arial" w:hAnsi="Arial"/>
          <w:b/>
          <w:bCs/>
          <w:color w:val="333333"/>
          <w:sz w:val="20"/>
          <w:szCs w:val="20"/>
        </w:rPr>
        <w:t xml:space="preserve">Core</w:t>
      </w:r>
      <w:r>
        <w:rPr>
          <w:rFonts w:ascii="Arial" w:cs="Arial" w:eastAsia="Arial" w:hAnsi="Arial"/>
          <w:color w:val="333333"/>
          <w:sz w:val="20"/>
          <w:szCs w:val="20"/>
        </w:rPr>
        <w:t xml:space="preserve"> — Settled transactions from </w:t>
      </w:r>
      <w:r>
        <w:rPr>
          <w:rFonts w:ascii="Arial" w:cs="Arial" w:eastAsia="Arial" w:hAnsi="Arial"/>
          <w:b/>
          <w:bCs/>
          <w:i/>
          <w:iCs/>
          <w:color w:val="333333"/>
          <w:sz w:val="20"/>
          <w:szCs w:val="20"/>
        </w:rPr>
        <w:t xml:space="preserve">transaction</w:t>
      </w:r>
      <w:r>
        <w:rPr>
          <w:rFonts w:ascii="Arial" w:cs="Arial" w:eastAsia="Arial" w:hAnsi="Arial"/>
          <w:color w:val="333333"/>
          <w:sz w:val="20"/>
          <w:szCs w:val="20"/>
        </w:rPr>
        <w:t xml:space="preserve"> table (network=ACH)</w:t>
      </w:r>
    </w:p>
    <w:p>
      <w:pPr>
        <w:pStyle w:val="Heading3"/>
        <w:spacing w:after="100" w:before="200"/>
      </w:pPr>
      <w:r>
        <w:rPr>
          <w:rFonts w:ascii="Arial" w:cs="Arial" w:eastAsia="Arial" w:hAnsi="Arial"/>
          <w:b/>
          <w:bCs/>
          <w:color w:val="0F172A"/>
          <w:sz w:val="20"/>
          <w:szCs w:val="20"/>
        </w:rPr>
        <w:t xml:space="preserve">Reconciliation Logic</w:t>
      </w:r>
    </w:p>
    <w:p>
      <w:pPr>
        <w:pStyle w:val="ListParagraph"/>
        <w:numPr>
          <w:ilvl w:val="0"/>
          <w:numId w:val="2"/>
        </w:numPr>
        <w:spacing w:after="60"/>
      </w:pPr>
      <w:r>
        <w:rPr>
          <w:rFonts w:ascii="Arial" w:cs="Arial" w:eastAsia="Arial" w:hAnsi="Arial"/>
          <w:color w:val="333333"/>
          <w:sz w:val="20"/>
          <w:szCs w:val="20"/>
        </w:rPr>
        <w:t xml:space="preserve">Two reconciliation legs per day:</w:t>
      </w:r>
    </w:p>
    <w:p>
      <w:pPr>
        <w:pStyle w:val="ListParagraph"/>
        <w:numPr>
          <w:ilvl w:val="1"/>
          <w:numId w:val="2"/>
        </w:numPr>
        <w:spacing w:after="40"/>
      </w:pPr>
      <w:r>
        <w:rPr>
          <w:rFonts w:ascii="Arial" w:cs="Arial" w:eastAsia="Arial" w:hAnsi="Arial"/>
          <w:b/>
          <w:bCs/>
          <w:color w:val="555555"/>
          <w:sz w:val="18"/>
          <w:szCs w:val="18"/>
        </w:rPr>
        <w:t xml:space="preserve">Leg 1 — FIRD ↔ Files: </w:t>
      </w:r>
      <w:r>
        <w:rPr>
          <w:rFonts w:ascii="Arial" w:cs="Arial" w:eastAsia="Arial" w:hAnsi="Arial"/>
          <w:color w:val="555555"/>
          <w:sz w:val="18"/>
          <w:szCs w:val="18"/>
        </w:rPr>
        <w:t xml:space="preserve">FIRD totals vs. combined RDFI + ODFI file totals</w:t>
      </w:r>
    </w:p>
    <w:p>
      <w:pPr>
        <w:pStyle w:val="ListParagraph"/>
        <w:numPr>
          <w:ilvl w:val="1"/>
          <w:numId w:val="2"/>
        </w:numPr>
        <w:spacing w:after="40"/>
      </w:pPr>
      <w:r>
        <w:rPr>
          <w:rFonts w:ascii="Arial" w:cs="Arial" w:eastAsia="Arial" w:hAnsi="Arial"/>
          <w:b/>
          <w:bCs/>
          <w:color w:val="555555"/>
          <w:sz w:val="18"/>
          <w:szCs w:val="18"/>
        </w:rPr>
        <w:t xml:space="preserve">Leg 2 — Files ↔ Core: </w:t>
      </w:r>
      <w:r>
        <w:rPr>
          <w:rFonts w:ascii="Arial" w:cs="Arial" w:eastAsia="Arial" w:hAnsi="Arial"/>
          <w:color w:val="555555"/>
          <w:sz w:val="18"/>
          <w:szCs w:val="18"/>
        </w:rPr>
        <w:t xml:space="preserve">File totals vs. Core transaction totals</w:t>
      </w:r>
    </w:p>
    <w:p>
      <w:pPr>
        <w:pStyle w:val="ListParagraph"/>
        <w:numPr>
          <w:ilvl w:val="0"/>
          <w:numId w:val="2"/>
        </w:numPr>
        <w:spacing w:after="60"/>
      </w:pPr>
      <w:r>
        <w:rPr>
          <w:rFonts w:ascii="Arial" w:cs="Arial" w:eastAsia="Arial" w:hAnsi="Arial"/>
          <w:color w:val="333333"/>
          <w:sz w:val="20"/>
          <w:szCs w:val="20"/>
        </w:rPr>
        <w:t xml:space="preserve">NACHA transaction code direction mapping (codes ending 2–5 = credit, 7–9 = debit)</w:t>
      </w:r>
    </w:p>
    <w:p>
      <w:pPr>
        <w:pStyle w:val="ListParagraph"/>
        <w:numPr>
          <w:ilvl w:val="0"/>
          <w:numId w:val="2"/>
        </w:numPr>
        <w:spacing w:after="60"/>
      </w:pPr>
      <w:r>
        <w:rPr>
          <w:rFonts w:ascii="Arial" w:cs="Arial" w:eastAsia="Arial" w:hAnsi="Arial"/>
          <w:color w:val="333333"/>
          <w:sz w:val="20"/>
          <w:szCs w:val="20"/>
        </w:rPr>
        <w:t xml:space="preserve">ODFI direction inverted vs. RDFI when mapping to FIRD (originating a credit = FIRD debit)</w:t>
      </w:r>
    </w:p>
    <w:p>
      <w:pPr>
        <w:pStyle w:val="ListParagraph"/>
        <w:numPr>
          <w:ilvl w:val="0"/>
          <w:numId w:val="2"/>
        </w:numPr>
        <w:spacing w:after="60"/>
      </w:pPr>
      <w:r>
        <w:rPr>
          <w:rFonts w:ascii="Arial" w:cs="Arial" w:eastAsia="Arial" w:hAnsi="Arial"/>
          <w:color w:val="333333"/>
          <w:sz w:val="20"/>
          <w:szCs w:val="20"/>
        </w:rPr>
        <w:t xml:space="preserve">Match tolerance: $0.02 (floating-point tolerance)</w:t>
      </w:r>
    </w:p>
    <w:p>
      <w:pPr>
        <w:pStyle w:val="ListParagraph"/>
        <w:numPr>
          <w:ilvl w:val="0"/>
          <w:numId w:val="2"/>
        </w:numPr>
        <w:spacing w:after="60"/>
      </w:pPr>
      <w:r>
        <w:rPr>
          <w:rFonts w:ascii="Arial" w:cs="Arial" w:eastAsia="Arial" w:hAnsi="Arial"/>
          <w:color w:val="333333"/>
          <w:sz w:val="20"/>
          <w:szCs w:val="20"/>
        </w:rPr>
        <w:t xml:space="preserve">FIRD manual overrides for known exclusions (e.g., $410.55 Fed fee on 2026-02-17)</w:t>
      </w:r>
    </w:p>
    <w:p>
      <w:pPr>
        <w:pStyle w:val="ListParagraph"/>
        <w:numPr>
          <w:ilvl w:val="0"/>
          <w:numId w:val="2"/>
        </w:numPr>
        <w:spacing w:after="60"/>
      </w:pPr>
      <w:r>
        <w:rPr>
          <w:rFonts w:ascii="Arial" w:cs="Arial" w:eastAsia="Arial" w:hAnsi="Arial"/>
          <w:color w:val="333333"/>
          <w:sz w:val="20"/>
          <w:szCs w:val="20"/>
        </w:rPr>
        <w:t xml:space="preserve">Amounts stored in cents in Databricks; divided by 100 for display</w:t>
      </w:r>
    </w:p>
    <w:p>
      <w:pPr>
        <w:pStyle w:val="ListParagraph"/>
        <w:numPr>
          <w:ilvl w:val="0"/>
          <w:numId w:val="2"/>
        </w:numPr>
        <w:spacing w:after="60"/>
      </w:pPr>
      <w:r>
        <w:rPr>
          <w:rFonts w:ascii="Arial" w:cs="Arial" w:eastAsia="Arial" w:hAnsi="Arial"/>
          <w:color w:val="333333"/>
          <w:sz w:val="20"/>
          <w:szCs w:val="20"/>
        </w:rPr>
        <w:t xml:space="preserve">Routing number filter: 074920912 (Jaris sub-account under master 074014187)</w:t>
      </w:r>
    </w:p>
    <w:p>
      <w:pPr>
        <w:pStyle w:val="Heading3"/>
        <w:spacing w:after="100" w:before="200"/>
      </w:pPr>
      <w:r>
        <w:rPr>
          <w:rFonts w:ascii="Arial" w:cs="Arial" w:eastAsia="Arial" w:hAnsi="Arial"/>
          <w:b/>
          <w:bCs/>
          <w:color w:val="0F172A"/>
          <w:sz w:val="20"/>
          <w:szCs w:val="20"/>
        </w:rPr>
        <w:t xml:space="preserve">Status Classification</w:t>
      </w:r>
    </w:p>
    <w:p>
      <w:pPr>
        <w:pStyle w:val="ListParagraph"/>
        <w:numPr>
          <w:ilvl w:val="0"/>
          <w:numId w:val="2"/>
        </w:numPr>
        <w:spacing w:after="60"/>
      </w:pPr>
      <w:r>
        <w:rPr>
          <w:rFonts w:ascii="Arial" w:cs="Arial" w:eastAsia="Arial" w:hAnsi="Arial"/>
          <w:b/>
          <w:bCs/>
          <w:color w:val="333333"/>
          <w:sz w:val="20"/>
          <w:szCs w:val="20"/>
        </w:rPr>
        <w:t xml:space="preserve">Matched</w:t>
      </w:r>
      <w:r>
        <w:rPr>
          <w:rFonts w:ascii="Arial" w:cs="Arial" w:eastAsia="Arial" w:hAnsi="Arial"/>
          <w:color w:val="333333"/>
          <w:sz w:val="20"/>
          <w:szCs w:val="20"/>
        </w:rPr>
        <w:t xml:space="preserve"> — Both legs within $0.02 tolerance</w:t>
      </w:r>
    </w:p>
    <w:p>
      <w:pPr>
        <w:pStyle w:val="ListParagraph"/>
        <w:numPr>
          <w:ilvl w:val="0"/>
          <w:numId w:val="2"/>
        </w:numPr>
        <w:spacing w:after="60"/>
      </w:pPr>
      <w:r>
        <w:rPr>
          <w:rFonts w:ascii="Arial" w:cs="Arial" w:eastAsia="Arial" w:hAnsi="Arial"/>
          <w:b/>
          <w:bCs/>
          <w:color w:val="333333"/>
          <w:sz w:val="20"/>
          <w:szCs w:val="20"/>
        </w:rPr>
        <w:t xml:space="preserve">FIRD Variance</w:t>
      </w:r>
      <w:r>
        <w:rPr>
          <w:rFonts w:ascii="Arial" w:cs="Arial" w:eastAsia="Arial" w:hAnsi="Arial"/>
          <w:color w:val="333333"/>
          <w:sz w:val="20"/>
          <w:szCs w:val="20"/>
        </w:rPr>
        <w:t xml:space="preserve"> — Leg 1 out of tolerance, Leg 2 OK</w:t>
      </w:r>
    </w:p>
    <w:p>
      <w:pPr>
        <w:pStyle w:val="ListParagraph"/>
        <w:numPr>
          <w:ilvl w:val="0"/>
          <w:numId w:val="2"/>
        </w:numPr>
        <w:spacing w:after="60"/>
      </w:pPr>
      <w:r>
        <w:rPr>
          <w:rFonts w:ascii="Arial" w:cs="Arial" w:eastAsia="Arial" w:hAnsi="Arial"/>
          <w:b/>
          <w:bCs/>
          <w:color w:val="333333"/>
          <w:sz w:val="20"/>
          <w:szCs w:val="20"/>
        </w:rPr>
        <w:t xml:space="preserve">Core Variance</w:t>
      </w:r>
      <w:r>
        <w:rPr>
          <w:rFonts w:ascii="Arial" w:cs="Arial" w:eastAsia="Arial" w:hAnsi="Arial"/>
          <w:color w:val="333333"/>
          <w:sz w:val="20"/>
          <w:szCs w:val="20"/>
        </w:rPr>
        <w:t xml:space="preserve"> — Leg 1 OK, Leg 2 out of tolerance</w:t>
      </w:r>
    </w:p>
    <w:p>
      <w:pPr>
        <w:pStyle w:val="ListParagraph"/>
        <w:numPr>
          <w:ilvl w:val="0"/>
          <w:numId w:val="2"/>
        </w:numPr>
        <w:spacing w:after="60"/>
      </w:pPr>
      <w:r>
        <w:rPr>
          <w:rFonts w:ascii="Arial" w:cs="Arial" w:eastAsia="Arial" w:hAnsi="Arial"/>
          <w:b/>
          <w:bCs/>
          <w:color w:val="333333"/>
          <w:sz w:val="20"/>
          <w:szCs w:val="20"/>
        </w:rPr>
        <w:t xml:space="preserve">Both Variance</w:t>
      </w:r>
      <w:r>
        <w:rPr>
          <w:rFonts w:ascii="Arial" w:cs="Arial" w:eastAsia="Arial" w:hAnsi="Arial"/>
          <w:color w:val="333333"/>
          <w:sz w:val="20"/>
          <w:szCs w:val="20"/>
        </w:rPr>
        <w:t xml:space="preserve"> — Both legs out of tolerance</w:t>
      </w:r>
    </w:p>
    <w:p>
      <w:pPr>
        <w:pStyle w:val="ListParagraph"/>
        <w:numPr>
          <w:ilvl w:val="0"/>
          <w:numId w:val="2"/>
        </w:numPr>
        <w:spacing w:after="60"/>
      </w:pPr>
      <w:r>
        <w:rPr>
          <w:rFonts w:ascii="Arial" w:cs="Arial" w:eastAsia="Arial" w:hAnsi="Arial"/>
          <w:b/>
          <w:bCs/>
          <w:color w:val="333333"/>
          <w:sz w:val="20"/>
          <w:szCs w:val="20"/>
        </w:rPr>
        <w:t xml:space="preserve">Pending</w:t>
      </w:r>
      <w:r>
        <w:rPr>
          <w:rFonts w:ascii="Arial" w:cs="Arial" w:eastAsia="Arial" w:hAnsi="Arial"/>
          <w:color w:val="333333"/>
          <w:sz w:val="20"/>
          <w:szCs w:val="20"/>
        </w:rPr>
        <w:t xml:space="preserve"> — FIRD data not yet available (date beyond latest FIRD entry)</w:t>
      </w:r>
    </w:p>
    <w:p>
      <w:pPr>
        <w:pStyle w:val="Heading3"/>
        <w:spacing w:after="100" w:before="200"/>
      </w:pPr>
      <w:r>
        <w:rPr>
          <w:rFonts w:ascii="Arial" w:cs="Arial" w:eastAsia="Arial" w:hAnsi="Arial"/>
          <w:b/>
          <w:bCs/>
          <w:color w:val="0F172A"/>
          <w:sz w:val="20"/>
          <w:szCs w:val="20"/>
        </w:rPr>
        <w:t xml:space="preserve">Views &amp; Interactions</w:t>
      </w:r>
    </w:p>
    <w:p>
      <w:pPr>
        <w:pStyle w:val="ListParagraph"/>
        <w:numPr>
          <w:ilvl w:val="0"/>
          <w:numId w:val="2"/>
        </w:numPr>
        <w:spacing w:after="60"/>
      </w:pPr>
      <w:r>
        <w:rPr>
          <w:rFonts w:ascii="Arial" w:cs="Arial" w:eastAsia="Arial" w:hAnsi="Arial"/>
          <w:b/>
          <w:bCs/>
          <w:color w:val="333333"/>
          <w:sz w:val="20"/>
          <w:szCs w:val="20"/>
        </w:rPr>
        <w:t xml:space="preserve">Daily Summary</w:t>
      </w:r>
      <w:r>
        <w:rPr>
          <w:rFonts w:ascii="Arial" w:cs="Arial" w:eastAsia="Arial" w:hAnsi="Arial"/>
          <w:color w:val="333333"/>
          <w:sz w:val="20"/>
          <w:szCs w:val="20"/>
        </w:rPr>
        <w:t xml:space="preserve"> — Table with FIRD, Files, Core amounts + variance columns + status badges</w:t>
      </w:r>
    </w:p>
    <w:p>
      <w:pPr>
        <w:pStyle w:val="ListParagraph"/>
        <w:numPr>
          <w:ilvl w:val="0"/>
          <w:numId w:val="2"/>
        </w:numPr>
        <w:spacing w:after="60"/>
      </w:pPr>
      <w:r>
        <w:rPr>
          <w:rFonts w:ascii="Arial" w:cs="Arial" w:eastAsia="Arial" w:hAnsi="Arial"/>
          <w:b/>
          <w:bCs/>
          <w:color w:val="333333"/>
          <w:sz w:val="20"/>
          <w:szCs w:val="20"/>
        </w:rPr>
        <w:t xml:space="preserve">RDFI / ODFI / Core drill-downs</w:t>
      </w:r>
      <w:r>
        <w:rPr>
          <w:rFonts w:ascii="Arial" w:cs="Arial" w:eastAsia="Arial" w:hAnsi="Arial"/>
          <w:color w:val="333333"/>
          <w:sz w:val="20"/>
          <w:szCs w:val="20"/>
        </w:rPr>
        <w:t xml:space="preserve"> — Transaction-level detail with date range and amount filters</w:t>
      </w:r>
    </w:p>
    <w:p>
      <w:pPr>
        <w:pStyle w:val="ListParagraph"/>
        <w:numPr>
          <w:ilvl w:val="0"/>
          <w:numId w:val="2"/>
        </w:numPr>
        <w:spacing w:after="60"/>
      </w:pPr>
      <w:r>
        <w:rPr>
          <w:rFonts w:ascii="Arial" w:cs="Arial" w:eastAsia="Arial" w:hAnsi="Arial"/>
          <w:b/>
          <w:bCs/>
          <w:color w:val="333333"/>
          <w:sz w:val="20"/>
          <w:szCs w:val="20"/>
        </w:rPr>
        <w:t xml:space="preserve">Cumulative variance stats bar</w:t>
      </w:r>
      <w:r>
        <w:rPr>
          <w:rFonts w:ascii="Arial" w:cs="Arial" w:eastAsia="Arial" w:hAnsi="Arial"/>
          <w:color w:val="333333"/>
          <w:sz w:val="20"/>
          <w:szCs w:val="20"/>
        </w:rPr>
        <w:t xml:space="preserve"> — 4 cards showing net FIRD↔File and File↔Core variances</w:t>
      </w:r>
    </w:p>
    <w:p>
      <w:pPr>
        <w:pStyle w:val="ListParagraph"/>
        <w:numPr>
          <w:ilvl w:val="0"/>
          <w:numId w:val="2"/>
        </w:numPr>
        <w:spacing w:after="60"/>
      </w:pPr>
      <w:r>
        <w:rPr>
          <w:rFonts w:ascii="Arial" w:cs="Arial" w:eastAsia="Arial" w:hAnsi="Arial"/>
          <w:b/>
          <w:bCs/>
          <w:color w:val="333333"/>
          <w:sz w:val="20"/>
          <w:szCs w:val="20"/>
        </w:rPr>
        <w:t xml:space="preserve">Resolved checkbox + Notes field</w:t>
      </w:r>
      <w:r>
        <w:rPr>
          <w:rFonts w:ascii="Arial" w:cs="Arial" w:eastAsia="Arial" w:hAnsi="Arial"/>
          <w:color w:val="333333"/>
          <w:sz w:val="20"/>
          <w:szCs w:val="20"/>
        </w:rPr>
        <w:t xml:space="preserve"> — Per-day operational tracking (currently persisted to localStorage)</w:t>
      </w:r>
    </w:p>
    <w:p>
      <w:pPr>
        <w:pStyle w:val="ListParagraph"/>
        <w:numPr>
          <w:ilvl w:val="0"/>
          <w:numId w:val="2"/>
        </w:numPr>
        <w:spacing w:after="60"/>
      </w:pPr>
      <w:r>
        <w:rPr>
          <w:rFonts w:ascii="Arial" w:cs="Arial" w:eastAsia="Arial" w:hAnsi="Arial"/>
          <w:b/>
          <w:bCs/>
          <w:color w:val="333333"/>
          <w:sz w:val="20"/>
          <w:szCs w:val="20"/>
        </w:rPr>
        <w:t xml:space="preserve">Status filter pills</w:t>
      </w:r>
      <w:r>
        <w:rPr>
          <w:rFonts w:ascii="Arial" w:cs="Arial" w:eastAsia="Arial" w:hAnsi="Arial"/>
          <w:color w:val="333333"/>
          <w:sz w:val="20"/>
          <w:szCs w:val="20"/>
        </w:rPr>
        <w:t xml:space="preserve"> — Multi-select toggle for Matched, FIRD Variance, Core Variance, etc.</w:t>
      </w:r>
    </w:p>
    <w:p>
      <w:pPr>
        <w:pStyle w:val="ListParagraph"/>
        <w:numPr>
          <w:ilvl w:val="0"/>
          <w:numId w:val="2"/>
        </w:numPr>
        <w:spacing w:after="60"/>
      </w:pPr>
      <w:r>
        <w:rPr>
          <w:rFonts w:ascii="Arial" w:cs="Arial" w:eastAsia="Arial" w:hAnsi="Arial"/>
          <w:b/>
          <w:bCs/>
          <w:color w:val="333333"/>
          <w:sz w:val="20"/>
          <w:szCs w:val="20"/>
        </w:rPr>
        <w:t xml:space="preserve">Drill-from-summary</w:t>
      </w:r>
      <w:r>
        <w:rPr>
          <w:rFonts w:ascii="Arial" w:cs="Arial" w:eastAsia="Arial" w:hAnsi="Arial"/>
          <w:color w:val="333333"/>
          <w:sz w:val="20"/>
          <w:szCs w:val="20"/>
        </w:rPr>
        <w:t xml:space="preserve"> — Click a summary row to open detail panel, then jump to RDFI/ODFI/Core tab for that date</w:t>
      </w:r>
    </w:p>
    <w:p>
      <w:pPr>
        <w:pStyle w:val="ListParagraph"/>
        <w:numPr>
          <w:ilvl w:val="0"/>
          <w:numId w:val="2"/>
        </w:numPr>
        <w:spacing w:after="60"/>
      </w:pPr>
      <w:r>
        <w:rPr>
          <w:rFonts w:ascii="Arial" w:cs="Arial" w:eastAsia="Arial" w:hAnsi="Arial"/>
          <w:b/>
          <w:bCs/>
          <w:color w:val="333333"/>
          <w:sz w:val="20"/>
          <w:szCs w:val="20"/>
        </w:rPr>
        <w:t xml:space="preserve">FIRD date range indicator</w:t>
      </w:r>
      <w:r>
        <w:rPr>
          <w:rFonts w:ascii="Arial" w:cs="Arial" w:eastAsia="Arial" w:hAnsi="Arial"/>
          <w:color w:val="333333"/>
          <w:sz w:val="20"/>
          <w:szCs w:val="20"/>
        </w:rPr>
        <w:t xml:space="preserve"> — Header pill showing earliest→latest FIRD coverage</w:t>
      </w:r>
    </w:p>
    <w:p>
      <w:pPr>
        <w:pStyle w:val="Heading1"/>
        <w:spacing w:after="100" w:before="300"/>
      </w:pPr>
      <w:r>
        <w:rPr>
          <w:rFonts w:ascii="Arial" w:cs="Arial" w:eastAsia="Arial" w:hAnsi="Arial"/>
          <w:b/>
          <w:bCs/>
          <w:color w:val="0F172A"/>
          <w:sz w:val="28"/>
          <w:szCs w:val="28"/>
        </w:rPr>
        <w:t xml:space="preserve">3. Gap Analysis: Prototype vs.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Standalone Prototype</w:t>
            </w:r>
          </w:p>
        </w:tc>
        <w:tc>
          <w:tcPr>
            <w:tcW w:type="dxa" w:w="30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Dashboard Recon Tab</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Live Databricks queries</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direct SQL via databricks-sql-connector</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Mock data only (random generation)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Resolved / Notes tracking</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per-day checkbox + notes (localStorage)</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FIRD manual overrides</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hardcoded Python dict</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NACHA direction mapping</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transaction_code % 10 logic</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Not implemented (mock randomizes)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Pending transactions view</w:t>
            </w:r>
          </w:p>
        </w:tc>
        <w:tc>
          <w:tcPr>
            <w:tcW w:type="dxa" w:w="308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preserve">Yes — future-dated beyond last FIRD</w:t>
            </w:r>
          </w:p>
        </w:tc>
        <w:tc>
          <w:tcPr>
            <w:tcW w:type="dxa" w:w="308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tcPr>
          <w:p>
            <w:r>
              <w:rPr>
                <w:rFonts w:ascii="Arial" w:cs="Arial" w:eastAsia="Arial" w:hAnsi="Arial"/>
                <w:sz w:val="18"/>
                <w:szCs w:val="18"/>
              </w:rPr>
              <w:t xml:space="preserve">Tab exists but no real data source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Cumulative variance stats</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4-card stats bar</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FIRD range header pill</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Yes — shows FIRD date coverage</w:t>
            </w:r>
          </w:p>
        </w:tc>
        <w:tc>
          <w:tcPr>
            <w:tcW w:type="dxa" w:w="308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tcPr>
          <w:p>
            <w:r>
              <w:rPr>
                <w:rFonts w:ascii="Arial" w:cs="Arial" w:eastAsia="Arial" w:hAnsi="Arial"/>
                <w:sz w:val="18"/>
                <w:szCs w:val="18"/>
              </w:rPr>
              <w:t xml:space="preserve">Not implemented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Daily summary table shape</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Date, FIRD, Files, Core, Variance, Status</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Identical shape + columns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Navigation tabs</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Summary, RDFI, ODFI, Core</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Summary, RDFI, ODFI, Core, Pending</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Status taxonomy</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Matched, FIRD/Core/Both Variance, Pending</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Identical statuses + badges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Filter patterns</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Date range, amount range, status pills</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Same filter UI patterns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sz w:val="18"/>
                <w:szCs w:val="18"/>
              </w:rPr>
              <w:t xml:space="preserve">Detail panel + drill-down</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Slide-out panel with FIRD/File/Core breakdown</w:t>
            </w:r>
          </w:p>
        </w:tc>
        <w:tc>
          <w:tcPr>
            <w:tcW w:type="dxa" w:w="3080"/>
            <w:tcBorders>
              <w:top w:val="single" w:color="D1D5DB" w:sz="1"/>
              <w:left w:val="single" w:color="D1D5DB" w:sz="1"/>
              <w:bottom w:val="single" w:color="D1D5DB" w:sz="1"/>
              <w:right w:val="single" w:color="D1D5DB" w:sz="1"/>
            </w:tcBorders>
            <w:shd w:fill="DCFCE7" w:val="clear"/>
            <w:tcMar>
              <w:top w:type="dxa" w:w="60"/>
              <w:left w:type="dxa" w:w="100"/>
              <w:bottom w:type="dxa" w:w="60"/>
              <w:right w:type="dxa" w:w="100"/>
            </w:tcMar>
          </w:tcPr>
          <w:p>
            <w:r>
              <w:rPr>
                <w:rFonts w:ascii="Arial" w:cs="Arial" w:eastAsia="Arial" w:hAnsi="Arial"/>
                <w:sz w:val="18"/>
                <w:szCs w:val="18"/>
              </w:rPr>
              <w:t xml:space="preserve">Same panel pattern</w:t>
            </w:r>
          </w:p>
        </w:tc>
      </w:tr>
    </w:tbl>
    <w:p>
      <w:pPr>
        <w:spacing w:after="120"/>
      </w:pPr>
    </w:p>
    <w:p>
      <w:pPr>
        <w:pStyle w:val="Heading1"/>
        <w:spacing w:after="100" w:before="300"/>
      </w:pPr>
      <w:r>
        <w:rPr>
          <w:rFonts w:ascii="Arial" w:cs="Arial" w:eastAsia="Arial" w:hAnsi="Arial"/>
          <w:b/>
          <w:bCs/>
          <w:color w:val="0F172A"/>
          <w:sz w:val="28"/>
          <w:szCs w:val="28"/>
        </w:rPr>
        <w:t xml:space="preserve">4. Backend Requirements</w:t>
      </w:r>
    </w:p>
    <w:p>
      <w:pPr>
        <w:pStyle w:val="Heading2"/>
        <w:spacing w:after="100" w:before="200"/>
      </w:pPr>
      <w:r>
        <w:rPr>
          <w:rFonts w:ascii="Arial" w:cs="Arial" w:eastAsia="Arial" w:hAnsi="Arial"/>
          <w:b/>
          <w:bCs/>
          <w:color w:val="0F172A"/>
          <w:sz w:val="24"/>
          <w:szCs w:val="24"/>
        </w:rPr>
        <w:t xml:space="preserve">API Endpoints</w:t>
      </w:r>
    </w:p>
    <w:p>
      <w:pPr>
        <w:spacing w:after="120"/>
      </w:pPr>
      <w:r>
        <w:rPr>
          <w:rFonts w:ascii="Arial" w:cs="Arial" w:eastAsia="Arial" w:hAnsi="Arial"/>
          <w:b w:val="false"/>
          <w:bCs w:val="false"/>
          <w:i w:val="false"/>
          <w:iCs w:val="false"/>
          <w:color w:val="333333"/>
          <w:sz w:val="20"/>
          <w:szCs w:val="20"/>
        </w:rPr>
        <w:t xml:space="preserve">Port or proxy the 4 Flask endpoints into the FinOps Dashboard’s Node.js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33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Parameters</w:t>
            </w:r>
          </w:p>
        </w:tc>
        <w:tc>
          <w:tcPr>
            <w:tcW w:type="dxa" w:w="4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Returns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GET /api/recon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Daily summary rows + stats (matched count, variance counts, cumulative totals)</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GET /api/transactions</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type (rdfi|odfi|core), date_from, date_to</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Transaction-level detail rows for the selected source and date range</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GET /api/pending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Transactions with settlement dates beyond latest FIRD entry</w:t>
            </w:r>
          </w:p>
        </w:tc>
      </w:tr>
      <w:tr>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GET /api/fird</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FIRD totals by date (from bank_reconciliation_report)</w:t>
            </w:r>
          </w:p>
        </w:tc>
      </w:tr>
    </w:tbl>
    <w:p>
      <w:pPr>
        <w:spacing w:after="100"/>
      </w:pPr>
    </w:p>
    <w:p>
      <w:pPr>
        <w:pStyle w:val="Heading2"/>
        <w:spacing w:after="100" w:before="200"/>
      </w:pPr>
      <w:r>
        <w:rPr>
          <w:rFonts w:ascii="Arial" w:cs="Arial" w:eastAsia="Arial" w:hAnsi="Arial"/>
          <w:b/>
          <w:bCs/>
          <w:color w:val="0F172A"/>
          <w:sz w:val="24"/>
          <w:szCs w:val="24"/>
        </w:rPr>
        <w:t xml:space="preserve">Reconciliation Engine</w:t>
      </w:r>
    </w:p>
    <w:p>
      <w:pPr>
        <w:pStyle w:val="ListParagraph"/>
        <w:numPr>
          <w:ilvl w:val="0"/>
          <w:numId w:val="2"/>
        </w:numPr>
        <w:spacing w:after="60"/>
      </w:pPr>
      <w:r>
        <w:rPr>
          <w:rFonts w:ascii="Arial" w:cs="Arial" w:eastAsia="Arial" w:hAnsi="Arial"/>
          <w:i/>
          <w:iCs/>
          <w:color w:val="333333"/>
          <w:sz w:val="20"/>
          <w:szCs w:val="20"/>
        </w:rPr>
        <w:t xml:space="preserve">Port reconciliation logic from Python (app.py </w:t>
      </w:r>
      <w:r>
        <w:rPr>
          <w:rFonts w:ascii="Arial" w:cs="Arial" w:eastAsia="Arial" w:hAnsi="Arial"/>
          <w:b/>
          <w:bCs/>
          <w:i/>
          <w:iCs/>
          <w:color w:val="333333"/>
          <w:sz w:val="20"/>
          <w:szCs w:val="20"/>
        </w:rPr>
        <w:t xml:space="preserve">reconcile()</w:t>
      </w:r>
      <w:r>
        <w:rPr>
          <w:rFonts w:ascii="Arial" w:cs="Arial" w:eastAsia="Arial" w:hAnsi="Arial"/>
          <w:i w:val="false"/>
          <w:iCs w:val="false"/>
          <w:color w:val="333333"/>
          <w:sz w:val="20"/>
          <w:szCs w:val="20"/>
        </w:rPr>
        <w:t xml:space="preserve"> function) to Node.js, or implement as a Databricks SQL view / stored procedure</w:t>
      </w:r>
    </w:p>
    <w:p>
      <w:pPr>
        <w:pStyle w:val="ListParagraph"/>
        <w:numPr>
          <w:ilvl w:val="0"/>
          <w:numId w:val="2"/>
        </w:numPr>
        <w:spacing w:after="60"/>
      </w:pPr>
      <w:r>
        <w:rPr>
          <w:rFonts w:ascii="Arial" w:cs="Arial" w:eastAsia="Arial" w:hAnsi="Arial"/>
          <w:color w:val="333333"/>
          <w:sz w:val="20"/>
          <w:szCs w:val="20"/>
        </w:rPr>
        <w:t xml:space="preserve">Must preserve: two-leg matching, NACHA direction mapping, $0.02 tolerance, FIRD override support</w:t>
      </w:r>
    </w:p>
    <w:p>
      <w:pPr>
        <w:pStyle w:val="ListParagraph"/>
        <w:numPr>
          <w:ilvl w:val="0"/>
          <w:numId w:val="2"/>
        </w:numPr>
        <w:spacing w:after="60"/>
      </w:pPr>
      <w:r>
        <w:rPr>
          <w:rFonts w:ascii="Arial" w:cs="Arial" w:eastAsia="Arial" w:hAnsi="Arial"/>
          <w:color w:val="333333"/>
          <w:sz w:val="20"/>
          <w:szCs w:val="20"/>
        </w:rPr>
        <w:t xml:space="preserve">Status classification logic must produce identical results to the prototype for the same input data</w:t>
      </w:r>
    </w:p>
    <w:p>
      <w:pPr>
        <w:pStyle w:val="Heading2"/>
        <w:spacing w:after="100" w:before="200"/>
      </w:pPr>
      <w:r>
        <w:rPr>
          <w:rFonts w:ascii="Arial" w:cs="Arial" w:eastAsia="Arial" w:hAnsi="Arial"/>
          <w:b/>
          <w:bCs/>
          <w:color w:val="0F172A"/>
          <w:sz w:val="24"/>
          <w:szCs w:val="24"/>
        </w:rPr>
        <w:t xml:space="preserve">Server-Side Persistence</w:t>
      </w:r>
    </w:p>
    <w:p>
      <w:pPr>
        <w:pStyle w:val="ListParagraph"/>
        <w:numPr>
          <w:ilvl w:val="0"/>
          <w:numId w:val="2"/>
        </w:numPr>
        <w:spacing w:after="60"/>
      </w:pPr>
      <w:r>
        <w:rPr>
          <w:rFonts w:ascii="Arial" w:cs="Arial" w:eastAsia="Arial" w:hAnsi="Arial"/>
          <w:b/>
          <w:bCs/>
          <w:color w:val="333333"/>
          <w:sz w:val="20"/>
          <w:szCs w:val="20"/>
        </w:rPr>
        <w:t xml:space="preserve">Resolved/Notes state</w:t>
      </w:r>
      <w:r>
        <w:rPr>
          <w:rFonts w:ascii="Arial" w:cs="Arial" w:eastAsia="Arial" w:hAnsi="Arial"/>
          <w:color w:val="333333"/>
          <w:sz w:val="20"/>
          <w:szCs w:val="20"/>
        </w:rPr>
        <w:t xml:space="preserve"> — Must persist server-side (database or key-value store), not localStorage</w:t>
      </w:r>
    </w:p>
    <w:p>
      <w:pPr>
        <w:pStyle w:val="ListParagraph"/>
        <w:numPr>
          <w:ilvl w:val="0"/>
          <w:numId w:val="2"/>
        </w:numPr>
        <w:spacing w:after="60"/>
      </w:pPr>
      <w:r>
        <w:rPr>
          <w:rFonts w:ascii="Arial" w:cs="Arial" w:eastAsia="Arial" w:hAnsi="Arial"/>
          <w:b/>
          <w:bCs/>
          <w:color w:val="333333"/>
          <w:sz w:val="20"/>
          <w:szCs w:val="20"/>
        </w:rPr>
        <w:t xml:space="preserve">FIRD overrides</w:t>
      </w:r>
      <w:r>
        <w:rPr>
          <w:rFonts w:ascii="Arial" w:cs="Arial" w:eastAsia="Arial" w:hAnsi="Arial"/>
          <w:color w:val="333333"/>
          <w:sz w:val="20"/>
          <w:szCs w:val="20"/>
        </w:rPr>
        <w:t xml:space="preserve"> — Admin-configurable (database table or config service), not hardcoded</w:t>
      </w:r>
    </w:p>
    <w:p>
      <w:pPr>
        <w:pStyle w:val="Heading1"/>
        <w:spacing w:after="100" w:before="300"/>
      </w:pPr>
      <w:r>
        <w:rPr>
          <w:rFonts w:ascii="Arial" w:cs="Arial" w:eastAsia="Arial" w:hAnsi="Arial"/>
          <w:b/>
          <w:bCs/>
          <w:color w:val="0F172A"/>
          <w:sz w:val="28"/>
          <w:szCs w:val="28"/>
        </w:rPr>
        <w:t xml:space="preserve">5. Data Sources &amp; Configuration</w:t>
      </w:r>
    </w:p>
    <w:p>
      <w:pPr>
        <w:pStyle w:val="Heading2"/>
        <w:spacing w:after="100" w:before="200"/>
      </w:pPr>
      <w:r>
        <w:rPr>
          <w:rFonts w:ascii="Arial" w:cs="Arial" w:eastAsia="Arial" w:hAnsi="Arial"/>
          <w:b/>
          <w:bCs/>
          <w:color w:val="0F172A"/>
          <w:sz w:val="24"/>
          <w:szCs w:val="24"/>
        </w:rPr>
        <w:t xml:space="preserve">Source Tables (Databricks)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Alias</w:t>
            </w:r>
          </w:p>
        </w:tc>
        <w:tc>
          <w:tcPr>
            <w:tcW w:type="dxa" w:w="42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3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Key Columns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RDFI</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silver_prod.finxact.ach_rdfi_file_entry_detail</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settlement_date, transaction_code, amount, trace_number, rdfi_routing_number</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ODFI</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silver_prod.finxact.ach_odfi_file_entry_detail</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effective_entry_date, transaction_code, amount, trace_number, odfi_routing_number</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Core</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silver_prod.finxact.transaction</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settled_at, direction, amount, network, code, status</w:t>
            </w:r>
          </w:p>
        </w:tc>
      </w:tr>
      <w:tr>
        <w:tc>
          <w:tcPr>
            <w:tcW w:type="dxa" w:w="1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FIRD</w:t>
            </w:r>
          </w:p>
        </w:tc>
        <w:tc>
          <w:tcPr>
            <w:tcW w:type="dxa" w:w="4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silver_prod.finxact.bank_reconciliation_report</w:t>
            </w:r>
          </w:p>
        </w:tc>
        <w:tc>
          <w:tcPr>
            <w:tcW w:type="dxa" w:w="3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date, total_debits, total_credits, network (filter: ACH)</w:t>
            </w:r>
          </w:p>
        </w:tc>
      </w:tr>
    </w:tbl>
    <w:p>
      <w:pPr>
        <w:spacing w:after="100"/>
      </w:pPr>
    </w:p>
    <w:p>
      <w:pPr>
        <w:pStyle w:val="Heading2"/>
        <w:spacing w:after="100" w:before="200"/>
      </w:pPr>
      <w:r>
        <w:rPr>
          <w:rFonts w:ascii="Arial" w:cs="Arial" w:eastAsia="Arial" w:hAnsi="Arial"/>
          <w:b/>
          <w:bCs/>
          <w:color w:val="0F172A"/>
          <w:sz w:val="24"/>
          <w:szCs w:val="24"/>
        </w:rPr>
        <w:t xml:space="preserve">Configuration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Setting</w:t>
            </w:r>
          </w:p>
        </w:tc>
        <w:tc>
          <w:tcPr>
            <w:tcW w:type="dxa" w:w="34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Prototype (Current)</w:t>
            </w:r>
          </w:p>
        </w:tc>
        <w:tc>
          <w:tcPr>
            <w:tcW w:type="dxa" w:w="348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Databricks Host</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~/.databrickscfg [DEFAULT] host</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Environment variable (DATABRICKS_HOST)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Databricks Token</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~/.databrickscfg [DEFAULT] token</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Secrets manager (AWS SM, Vault, etc.)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SQL Warehouse Path</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Hardcoded: /sql/1.0/warehouses/3d2cc6b2a32c1b72</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Environment variable (DATABRICKS_HTTP_PATH)</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Routing Number</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Hardcoded: 74920912</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Environment variable or config service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Amount Divisor</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Hardcoded: 100 (cents to dollars)</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Config constant (unlikely to change)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FIRD Overrides</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Hardcoded Python dict in app.py</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Admin-managed database table with CRUD API</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Match Tolerance</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Hardcoded: $0.02</w:t>
            </w:r>
          </w:p>
        </w:tc>
        <w:tc>
          <w:tcPr>
            <w:tcW w:type="dxa" w:w="34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Config constant (low change frequency)</w:t>
            </w:r>
          </w:p>
        </w:tc>
      </w:tr>
    </w:tbl>
    <w:p>
      <w:pPr>
        <w:spacing w:after="120"/>
      </w:pPr>
    </w:p>
    <w:p>
      <w:pPr>
        <w:pStyle w:val="Heading1"/>
        <w:spacing w:after="100" w:before="300"/>
      </w:pPr>
      <w:r>
        <w:rPr>
          <w:rFonts w:ascii="Arial" w:cs="Arial" w:eastAsia="Arial" w:hAnsi="Arial"/>
          <w:b/>
          <w:bCs/>
          <w:color w:val="0F172A"/>
          <w:sz w:val="28"/>
          <w:szCs w:val="28"/>
        </w:rPr>
        <w:t xml:space="preserve">6. Frontend Requirements</w:t>
      </w:r>
    </w:p>
    <w:p>
      <w:pPr>
        <w:spacing w:after="120"/>
      </w:pPr>
      <w:r>
        <w:rPr>
          <w:rFonts w:ascii="Arial" w:cs="Arial" w:eastAsia="Arial" w:hAnsi="Arial"/>
          <w:b w:val="false"/>
          <w:bCs w:val="false"/>
          <w:i w:val="false"/>
          <w:iCs w:val="false"/>
          <w:color w:val="333333"/>
          <w:sz w:val="20"/>
          <w:szCs w:val="20"/>
        </w:rPr>
        <w:t xml:space="preserve">The FinOps Dashboard’s Recon tab already has the correct component structure. These changes wire it to real data and add missing features:</w:t>
      </w:r>
    </w:p>
    <w:p>
      <w:pPr>
        <w:pStyle w:val="Heading2"/>
        <w:spacing w:after="100" w:before="200"/>
      </w:pPr>
      <w:r>
        <w:rPr>
          <w:rFonts w:ascii="Arial" w:cs="Arial" w:eastAsia="Arial" w:hAnsi="Arial"/>
          <w:b/>
          <w:bCs/>
          <w:color w:val="0F172A"/>
          <w:sz w:val="24"/>
          <w:szCs w:val="24"/>
        </w:rPr>
        <w:t xml:space="preserve">Service Layer Changes</w:t>
      </w:r>
    </w:p>
    <w:p>
      <w:pPr>
        <w:pStyle w:val="ListParagraph"/>
        <w:numPr>
          <w:ilvl w:val="0"/>
          <w:numId w:val="2"/>
        </w:numPr>
        <w:spacing w:after="60"/>
      </w:pPr>
      <w:r>
        <w:rPr>
          <w:rFonts w:ascii="Arial" w:cs="Arial" w:eastAsia="Arial" w:hAnsi="Arial"/>
          <w:b w:val="false"/>
          <w:bCs w:val="false"/>
          <w:color w:val="333333"/>
          <w:sz w:val="20"/>
          <w:szCs w:val="20"/>
        </w:rPr>
        <w:t xml:space="preserve">Add a </w:t>
      </w:r>
      <w:r>
        <w:rPr>
          <w:rFonts w:ascii="Arial" w:cs="Arial" w:eastAsia="Arial" w:hAnsi="Arial"/>
          <w:b/>
          <w:bCs/>
          <w:color w:val="333333"/>
          <w:sz w:val="20"/>
          <w:szCs w:val="20"/>
        </w:rPr>
        <w:t xml:space="preserve">reconService.js</w:t>
      </w:r>
      <w:r>
        <w:rPr>
          <w:rFonts w:ascii="Arial" w:cs="Arial" w:eastAsia="Arial" w:hAnsi="Arial"/>
          <w:color w:val="333333"/>
          <w:sz w:val="20"/>
          <w:szCs w:val="20"/>
        </w:rPr>
        <w:t xml:space="preserve"> real API provider (alongside the existing mock provider)</w:t>
      </w:r>
    </w:p>
    <w:p>
      <w:pPr>
        <w:pStyle w:val="ListParagraph"/>
        <w:numPr>
          <w:ilvl w:val="0"/>
          <w:numId w:val="2"/>
        </w:numPr>
        <w:spacing w:after="60"/>
      </w:pPr>
      <w:r>
        <w:rPr>
          <w:rFonts w:ascii="Arial" w:cs="Arial" w:eastAsia="Arial" w:hAnsi="Arial"/>
          <w:b w:val="false"/>
          <w:bCs w:val="false"/>
          <w:color w:val="333333"/>
          <w:sz w:val="20"/>
          <w:szCs w:val="20"/>
        </w:rPr>
        <w:t xml:space="preserve">Wire into </w:t>
      </w:r>
      <w:r>
        <w:rPr>
          <w:rFonts w:ascii="Arial" w:cs="Arial" w:eastAsia="Arial" w:hAnsi="Arial"/>
          <w:b/>
          <w:bCs/>
          <w:color w:val="333333"/>
          <w:sz w:val="20"/>
          <w:szCs w:val="20"/>
        </w:rPr>
        <w:t xml:space="preserve">serviceFactory.js</w:t>
      </w:r>
      <w:r>
        <w:rPr>
          <w:rFonts w:ascii="Arial" w:cs="Arial" w:eastAsia="Arial" w:hAnsi="Arial"/>
          <w:color w:val="333333"/>
          <w:sz w:val="20"/>
          <w:szCs w:val="20"/>
        </w:rPr>
        <w:t xml:space="preserve"> so the mock/real toggle in the header switches recon data sources</w:t>
      </w:r>
    </w:p>
    <w:p>
      <w:pPr>
        <w:pStyle w:val="ListParagraph"/>
        <w:numPr>
          <w:ilvl w:val="0"/>
          <w:numId w:val="2"/>
        </w:numPr>
        <w:spacing w:after="60"/>
      </w:pPr>
      <w:r>
        <w:rPr>
          <w:rFonts w:ascii="Arial" w:cs="Arial" w:eastAsia="Arial" w:hAnsi="Arial"/>
          <w:b w:val="false"/>
          <w:bCs w:val="false"/>
          <w:color w:val="333333"/>
          <w:sz w:val="20"/>
          <w:szCs w:val="20"/>
        </w:rPr>
        <w:t xml:space="preserve">Endpoints: </w:t>
      </w:r>
      <w:r>
        <w:rPr>
          <w:rFonts w:ascii="Arial" w:cs="Arial" w:eastAsia="Arial" w:hAnsi="Arial"/>
          <w:b/>
          <w:bCs/>
          <w:color w:val="333333"/>
          <w:sz w:val="20"/>
          <w:szCs w:val="20"/>
        </w:rPr>
        <w:t xml:space="preserve">/api/recon</w:t>
      </w:r>
      <w:r>
        <w:rPr>
          <w:rFonts w:ascii="Arial" w:cs="Arial" w:eastAsia="Arial" w:hAnsi="Arial"/>
          <w:color w:val="333333"/>
          <w:sz w:val="20"/>
          <w:szCs w:val="20"/>
        </w:rPr>
        <w:t xml:space="preserve">, </w:t>
      </w:r>
      <w:r>
        <w:rPr>
          <w:rFonts w:ascii="Arial" w:cs="Arial" w:eastAsia="Arial" w:hAnsi="Arial"/>
          <w:b/>
          <w:bCs/>
          <w:color w:val="333333"/>
          <w:sz w:val="20"/>
          <w:szCs w:val="20"/>
        </w:rPr>
        <w:t xml:space="preserve">/api/transactions?type=rdfi|odfi|core&amp;date_from&amp;date_to</w:t>
      </w:r>
      <w:r>
        <w:rPr>
          <w:rFonts w:ascii="Arial" w:cs="Arial" w:eastAsia="Arial" w:hAnsi="Arial"/>
          <w:color w:val="333333"/>
          <w:sz w:val="20"/>
          <w:szCs w:val="20"/>
        </w:rPr>
        <w:t xml:space="preserve">, </w:t>
      </w:r>
      <w:r>
        <w:rPr>
          <w:rFonts w:ascii="Arial" w:cs="Arial" w:eastAsia="Arial" w:hAnsi="Arial"/>
          <w:b/>
          <w:bCs/>
          <w:color w:val="333333"/>
          <w:sz w:val="20"/>
          <w:szCs w:val="20"/>
        </w:rPr>
        <w:t xml:space="preserve">/api/pending</w:t>
      </w:r>
      <w:r>
        <w:rPr>
          <w:rFonts w:ascii="Arial" w:cs="Arial" w:eastAsia="Arial" w:hAnsi="Arial"/>
          <w:color w:val="333333"/>
          <w:sz w:val="20"/>
          <w:szCs w:val="20"/>
        </w:rPr>
        <w:t xml:space="preserve">, </w:t>
      </w:r>
      <w:r>
        <w:rPr>
          <w:rFonts w:ascii="Arial" w:cs="Arial" w:eastAsia="Arial" w:hAnsi="Arial"/>
          <w:b/>
          <w:bCs/>
          <w:color w:val="333333"/>
          <w:sz w:val="20"/>
          <w:szCs w:val="20"/>
        </w:rPr>
        <w:t xml:space="preserve">/api/fird</w:t>
      </w:r>
    </w:p>
    <w:p>
      <w:pPr>
        <w:pStyle w:val="Heading2"/>
        <w:spacing w:after="100" w:before="200"/>
      </w:pPr>
      <w:r>
        <w:rPr>
          <w:rFonts w:ascii="Arial" w:cs="Arial" w:eastAsia="Arial" w:hAnsi="Arial"/>
          <w:b/>
          <w:bCs/>
          <w:color w:val="0F172A"/>
          <w:sz w:val="24"/>
          <w:szCs w:val="24"/>
        </w:rPr>
        <w:t xml:space="preserve">UI Additions</w:t>
      </w:r>
    </w:p>
    <w:p>
      <w:pPr>
        <w:pStyle w:val="ListParagraph"/>
        <w:numPr>
          <w:ilvl w:val="0"/>
          <w:numId w:val="2"/>
        </w:numPr>
        <w:spacing w:after="60"/>
      </w:pPr>
      <w:r>
        <w:rPr>
          <w:rFonts w:ascii="Arial" w:cs="Arial" w:eastAsia="Arial" w:hAnsi="Arial"/>
          <w:b/>
          <w:bCs/>
          <w:color w:val="333333"/>
          <w:sz w:val="20"/>
          <w:szCs w:val="20"/>
        </w:rPr>
        <w:t xml:space="preserve">Cumulative variance stats bar</w:t>
      </w:r>
      <w:r>
        <w:rPr>
          <w:rFonts w:ascii="Arial" w:cs="Arial" w:eastAsia="Arial" w:hAnsi="Arial"/>
          <w:color w:val="333333"/>
          <w:sz w:val="20"/>
          <w:szCs w:val="20"/>
        </w:rPr>
        <w:t xml:space="preserve"> — 4 stat cards above the summary table (FIRD↔File CR/DR Var, File↔Core CR/DR Var)</w:t>
      </w:r>
    </w:p>
    <w:p>
      <w:pPr>
        <w:pStyle w:val="ListParagraph"/>
        <w:numPr>
          <w:ilvl w:val="0"/>
          <w:numId w:val="2"/>
        </w:numPr>
        <w:spacing w:after="60"/>
      </w:pPr>
      <w:r>
        <w:rPr>
          <w:rFonts w:ascii="Arial" w:cs="Arial" w:eastAsia="Arial" w:hAnsi="Arial"/>
          <w:b/>
          <w:bCs/>
          <w:color w:val="333333"/>
          <w:sz w:val="20"/>
          <w:szCs w:val="20"/>
        </w:rPr>
        <w:t xml:space="preserve">Resolved checkbox column</w:t>
      </w:r>
      <w:r>
        <w:rPr>
          <w:rFonts w:ascii="Arial" w:cs="Arial" w:eastAsia="Arial" w:hAnsi="Arial"/>
          <w:color w:val="333333"/>
          <w:sz w:val="20"/>
          <w:szCs w:val="20"/>
        </w:rPr>
        <w:t xml:space="preserve"> — Per-row checkbox; overrides displayed status to “Resolved” when checked; saves to server</w:t>
      </w:r>
    </w:p>
    <w:p>
      <w:pPr>
        <w:pStyle w:val="ListParagraph"/>
        <w:numPr>
          <w:ilvl w:val="0"/>
          <w:numId w:val="2"/>
        </w:numPr>
        <w:spacing w:after="60"/>
      </w:pPr>
      <w:r>
        <w:rPr>
          <w:rFonts w:ascii="Arial" w:cs="Arial" w:eastAsia="Arial" w:hAnsi="Arial"/>
          <w:b/>
          <w:bCs/>
          <w:color w:val="333333"/>
          <w:sz w:val="20"/>
          <w:szCs w:val="20"/>
        </w:rPr>
        <w:t xml:space="preserve">Notes column</w:t>
      </w:r>
      <w:r>
        <w:rPr>
          <w:rFonts w:ascii="Arial" w:cs="Arial" w:eastAsia="Arial" w:hAnsi="Arial"/>
          <w:color w:val="333333"/>
          <w:sz w:val="20"/>
          <w:szCs w:val="20"/>
        </w:rPr>
        <w:t xml:space="preserve"> — Inline text input per row; auto-saves on change; persists server-side</w:t>
      </w:r>
    </w:p>
    <w:p>
      <w:pPr>
        <w:pStyle w:val="ListParagraph"/>
        <w:numPr>
          <w:ilvl w:val="0"/>
          <w:numId w:val="2"/>
        </w:numPr>
        <w:spacing w:after="60"/>
      </w:pPr>
      <w:r>
        <w:rPr>
          <w:rFonts w:ascii="Arial" w:cs="Arial" w:eastAsia="Arial" w:hAnsi="Arial"/>
          <w:b/>
          <w:bCs/>
          <w:color w:val="333333"/>
          <w:sz w:val="20"/>
          <w:szCs w:val="20"/>
        </w:rPr>
        <w:t xml:space="preserve">FIRD range pill</w:t>
      </w:r>
      <w:r>
        <w:rPr>
          <w:rFonts w:ascii="Arial" w:cs="Arial" w:eastAsia="Arial" w:hAnsi="Arial"/>
          <w:color w:val="333333"/>
          <w:sz w:val="20"/>
          <w:szCs w:val="20"/>
        </w:rPr>
        <w:t xml:space="preserve"> — Display in header or Recon tab header showing FIRD date coverage (e.g., “FIRD: Jan 02 → Mar 18”)</w:t>
      </w:r>
    </w:p>
    <w:p>
      <w:pPr>
        <w:pStyle w:val="ListParagraph"/>
        <w:numPr>
          <w:ilvl w:val="0"/>
          <w:numId w:val="2"/>
        </w:numPr>
        <w:spacing w:after="60"/>
      </w:pPr>
      <w:r>
        <w:rPr>
          <w:rFonts w:ascii="Arial" w:cs="Arial" w:eastAsia="Arial" w:hAnsi="Arial"/>
          <w:b/>
          <w:bCs/>
          <w:color w:val="333333"/>
          <w:sz w:val="20"/>
          <w:szCs w:val="20"/>
        </w:rPr>
        <w:t xml:space="preserve">“Resolved” status filter pill</w:t>
      </w:r>
      <w:r>
        <w:rPr>
          <w:rFonts w:ascii="Arial" w:cs="Arial" w:eastAsia="Arial" w:hAnsi="Arial"/>
          <w:color w:val="333333"/>
          <w:sz w:val="20"/>
          <w:szCs w:val="20"/>
        </w:rPr>
        <w:t xml:space="preserve"> — Add to the existing status filter pill set</w:t>
      </w:r>
    </w:p>
    <w:p>
      <w:pPr>
        <w:pStyle w:val="Heading2"/>
        <w:spacing w:after="100" w:before="200"/>
      </w:pPr>
      <w:r>
        <w:rPr>
          <w:rFonts w:ascii="Arial" w:cs="Arial" w:eastAsia="Arial" w:hAnsi="Arial"/>
          <w:b/>
          <w:bCs/>
          <w:color w:val="0F172A"/>
          <w:sz w:val="24"/>
          <w:szCs w:val="24"/>
        </w:rPr>
        <w:t xml:space="preserve">Preserved Behavior</w:t>
      </w:r>
    </w:p>
    <w:p>
      <w:pPr>
        <w:pStyle w:val="ListParagraph"/>
        <w:numPr>
          <w:ilvl w:val="0"/>
          <w:numId w:val="2"/>
        </w:numPr>
        <w:spacing w:after="60"/>
      </w:pPr>
      <w:r>
        <w:rPr>
          <w:rFonts w:ascii="Arial" w:cs="Arial" w:eastAsia="Arial" w:hAnsi="Arial"/>
          <w:color w:val="333333"/>
          <w:sz w:val="20"/>
          <w:szCs w:val="20"/>
        </w:rPr>
        <w:t xml:space="preserve">Maintain mock mode for dev/demo (existing mock data provider continues to work)</w:t>
      </w:r>
    </w:p>
    <w:p>
      <w:pPr>
        <w:pStyle w:val="ListParagraph"/>
        <w:numPr>
          <w:ilvl w:val="0"/>
          <w:numId w:val="2"/>
        </w:numPr>
        <w:spacing w:after="60"/>
      </w:pPr>
      <w:r>
        <w:rPr>
          <w:rFonts w:ascii="Arial" w:cs="Arial" w:eastAsia="Arial" w:hAnsi="Arial"/>
          <w:color w:val="333333"/>
          <w:sz w:val="20"/>
          <w:szCs w:val="20"/>
        </w:rPr>
        <w:t xml:space="preserve">Same table columns, same badge styles, same detail panel drill-down</w:t>
      </w:r>
    </w:p>
    <w:p>
      <w:pPr>
        <w:pStyle w:val="ListParagraph"/>
        <w:numPr>
          <w:ilvl w:val="0"/>
          <w:numId w:val="2"/>
        </w:numPr>
        <w:spacing w:after="60"/>
      </w:pPr>
      <w:r>
        <w:rPr>
          <w:rFonts w:ascii="Arial" w:cs="Arial" w:eastAsia="Arial" w:hAnsi="Arial"/>
          <w:color w:val="333333"/>
          <w:sz w:val="20"/>
          <w:szCs w:val="20"/>
        </w:rPr>
        <w:t xml:space="preserve">Same date range and amount filters on transaction tabs</w:t>
      </w:r>
    </w:p>
    <w:p>
      <w:pPr>
        <w:pStyle w:val="Heading1"/>
        <w:spacing w:after="100" w:before="300"/>
      </w:pPr>
      <w:r>
        <w:rPr>
          <w:rFonts w:ascii="Arial" w:cs="Arial" w:eastAsia="Arial" w:hAnsi="Arial"/>
          <w:b/>
          <w:bCs/>
          <w:color w:val="0F172A"/>
          <w:sz w:val="28"/>
          <w:szCs w:val="28"/>
        </w:rPr>
        <w:t xml:space="preserve">7.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576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Criterion</w:t>
            </w:r>
          </w:p>
        </w:tc>
        <w:tc>
          <w:tcPr>
            <w:tcW w:type="dxa" w:w="3000"/>
            <w:tcBorders>
              <w:top w:val="single" w:color="D1D5DB" w:sz="1"/>
              <w:left w:val="single" w:color="D1D5DB" w:sz="1"/>
              <w:bottom w:val="single" w:color="D1D5DB" w:sz="1"/>
              <w:right w:val="single" w:color="D1D5DB" w:sz="1"/>
            </w:tcBorders>
            <w:shd w:fill="0F172A" w:val="clear"/>
            <w:tcMar>
              <w:top w:type="dxa" w:w="60"/>
              <w:left w:type="dxa" w:w="100"/>
              <w:bottom w:type="dxa" w:w="60"/>
              <w:right w:type="dxa" w:w="100"/>
            </w:tcMar>
          </w:tcPr>
          <w:p>
            <w:r>
              <w:rPr>
                <w:rFonts w:ascii="Arial" w:cs="Arial" w:eastAsia="Arial" w:hAnsi="Arial"/>
                <w:b/>
                <w:bCs/>
                <w:color w:val="FFFFFF"/>
                <w:sz w:val="18"/>
                <w:szCs w:val="18"/>
              </w:rPr>
              <w:t xml:space="preserve">Verification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AC-1</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Daily summary output matches standalone app for the same date range and source data</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Side-by-side comparison for 5 business days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AC-2</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Transaction drill-downs (RDFI, ODFI, Core) return identical row sets for a given date range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Query parity test against prototype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AC-3</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Variance calculations match within $0.02 tolerance for all reconciliation legs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Automated regression test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AC-4</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Status classification (Matched, FIRD/Core/Both Variance, Pending) matches prototype logic</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Unit tests covering all 5 status paths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AC-5</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Resolved/Notes state persists across sessions (server-side, not localStorage)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Close and reopen browser; verify state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AC-6</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FIRD manual overrides can be added/modified without code deployment</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Admin adds override; verify recon adjusts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AC-7</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Mock mode continues to work for development and demo purposes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Toggle to mock; verify UI loads with sample data</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AC-8</w:t>
            </w:r>
          </w:p>
        </w:tc>
        <w:tc>
          <w:tcPr>
            <w:tcW w:type="dxa" w:w="57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Databricks connection uses env vars / secrets manager (no file-based config)</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sz w:val="18"/>
                <w:szCs w:val="18"/>
              </w:rPr>
              <w:t xml:space="preserve">Deploy review; no ~/.databrickscfg dependency</w:t>
            </w:r>
          </w:p>
        </w:tc>
      </w:tr>
    </w:tbl>
    <w:p>
      <w:pPr>
        <w:spacing w:after="200"/>
      </w:pPr>
    </w:p>
    <w:p>
      <w:pPr>
        <w:pStyle w:val="Heading1"/>
        <w:spacing w:after="100" w:before="300"/>
      </w:pPr>
      <w:r>
        <w:rPr>
          <w:rFonts w:ascii="Arial" w:cs="Arial" w:eastAsia="Arial" w:hAnsi="Arial"/>
          <w:b/>
          <w:bCs/>
          <w:color w:val="0F172A"/>
          <w:sz w:val="28"/>
          <w:szCs w:val="28"/>
        </w:rPr>
        <w:t xml:space="preserve">Appendix: Key Source Files</w:t>
      </w:r>
    </w:p>
    <w:p>
      <w:pPr>
        <w:pStyle w:val="Heading3"/>
        <w:spacing w:after="100" w:before="200"/>
      </w:pPr>
      <w:r>
        <w:rPr>
          <w:rFonts w:ascii="Arial" w:cs="Arial" w:eastAsia="Arial" w:hAnsi="Arial"/>
          <w:b/>
          <w:bCs/>
          <w:color w:val="0F172A"/>
          <w:sz w:val="20"/>
          <w:szCs w:val="20"/>
        </w:rPr>
        <w:t xml:space="preserve">Standalone Prototype</w:t>
      </w:r>
    </w:p>
    <w:p>
      <w:pPr>
        <w:pStyle w:val="ListParagraph"/>
        <w:numPr>
          <w:ilvl w:val="0"/>
          <w:numId w:val="2"/>
        </w:numPr>
        <w:spacing w:after="60"/>
      </w:pPr>
      <w:r>
        <w:rPr>
          <w:rFonts w:ascii="Arial" w:cs="Arial" w:eastAsia="Arial" w:hAnsi="Arial"/>
          <w:b/>
          <w:bCs/>
          <w:color w:val="333333"/>
          <w:sz w:val="20"/>
          <w:szCs w:val="20"/>
        </w:rPr>
        <w:t xml:space="preserve">app.py</w:t>
      </w:r>
      <w:r>
        <w:rPr>
          <w:rFonts w:ascii="Arial" w:cs="Arial" w:eastAsia="Arial" w:hAnsi="Arial"/>
          <w:color w:val="333333"/>
          <w:sz w:val="20"/>
          <w:szCs w:val="20"/>
        </w:rPr>
        <w:t xml:space="preserve"> — Flask server, SQL queries, reconciliation engine, all 4 API endpoints</w:t>
      </w:r>
    </w:p>
    <w:p>
      <w:pPr>
        <w:pStyle w:val="ListParagraph"/>
        <w:numPr>
          <w:ilvl w:val="0"/>
          <w:numId w:val="2"/>
        </w:numPr>
        <w:spacing w:after="60"/>
      </w:pPr>
      <w:r>
        <w:rPr>
          <w:rFonts w:ascii="Arial" w:cs="Arial" w:eastAsia="Arial" w:hAnsi="Arial"/>
          <w:b/>
          <w:bCs/>
          <w:color w:val="333333"/>
          <w:sz w:val="20"/>
          <w:szCs w:val="20"/>
        </w:rPr>
        <w:t xml:space="preserve">static/index.html</w:t>
      </w:r>
      <w:r>
        <w:rPr>
          <w:rFonts w:ascii="Arial" w:cs="Arial" w:eastAsia="Arial" w:hAnsi="Arial"/>
          <w:color w:val="333333"/>
          <w:sz w:val="20"/>
          <w:szCs w:val="20"/>
        </w:rPr>
        <w:t xml:space="preserve"> — Single-file frontend (HTML + CSS + JS)</w:t>
      </w:r>
    </w:p>
    <w:p>
      <w:pPr>
        <w:pStyle w:val="Heading3"/>
        <w:spacing w:after="100" w:before="200"/>
      </w:pPr>
      <w:r>
        <w:rPr>
          <w:rFonts w:ascii="Arial" w:cs="Arial" w:eastAsia="Arial" w:hAnsi="Arial"/>
          <w:b/>
          <w:bCs/>
          <w:color w:val="0F172A"/>
          <w:sz w:val="20"/>
          <w:szCs w:val="20"/>
        </w:rPr>
        <w:t xml:space="preserve">FinOps Dashboard (Target)</w:t>
      </w:r>
    </w:p>
    <w:p>
      <w:pPr>
        <w:pStyle w:val="ListParagraph"/>
        <w:numPr>
          <w:ilvl w:val="0"/>
          <w:numId w:val="2"/>
        </w:numPr>
        <w:spacing w:after="60"/>
      </w:pPr>
      <w:r>
        <w:rPr>
          <w:rFonts w:ascii="Arial" w:cs="Arial" w:eastAsia="Arial" w:hAnsi="Arial"/>
          <w:b/>
          <w:bCs/>
          <w:color w:val="333333"/>
          <w:sz w:val="20"/>
          <w:szCs w:val="20"/>
        </w:rPr>
        <w:t xml:space="preserve">src/components/ACHReconciliation.jsx</w:t>
      </w:r>
      <w:r>
        <w:rPr>
          <w:rFonts w:ascii="Arial" w:cs="Arial" w:eastAsia="Arial" w:hAnsi="Arial"/>
          <w:color w:val="333333"/>
          <w:sz w:val="20"/>
          <w:szCs w:val="20"/>
        </w:rPr>
        <w:t xml:space="preserve"> — Main Recon tab component (already has correct structure)</w:t>
      </w:r>
    </w:p>
    <w:p>
      <w:pPr>
        <w:pStyle w:val="ListParagraph"/>
        <w:numPr>
          <w:ilvl w:val="0"/>
          <w:numId w:val="2"/>
        </w:numPr>
        <w:spacing w:after="60"/>
      </w:pPr>
      <w:r>
        <w:rPr>
          <w:rFonts w:ascii="Arial" w:cs="Arial" w:eastAsia="Arial" w:hAnsi="Arial"/>
          <w:b/>
          <w:bCs/>
          <w:color w:val="333333"/>
          <w:sz w:val="20"/>
          <w:szCs w:val="20"/>
        </w:rPr>
        <w:t xml:space="preserve">src/data/reconMockData.js</w:t>
      </w:r>
      <w:r>
        <w:rPr>
          <w:rFonts w:ascii="Arial" w:cs="Arial" w:eastAsia="Arial" w:hAnsi="Arial"/>
          <w:color w:val="333333"/>
          <w:sz w:val="20"/>
          <w:szCs w:val="20"/>
        </w:rPr>
        <w:t xml:space="preserve"> — Mock data provider (to be supplemented with real provider)</w:t>
      </w:r>
    </w:p>
    <w:p>
      <w:pPr>
        <w:pStyle w:val="ListParagraph"/>
        <w:numPr>
          <w:ilvl w:val="0"/>
          <w:numId w:val="2"/>
        </w:numPr>
        <w:spacing w:after="60"/>
      </w:pPr>
      <w:r>
        <w:rPr>
          <w:rFonts w:ascii="Arial" w:cs="Arial" w:eastAsia="Arial" w:hAnsi="Arial"/>
          <w:b/>
          <w:bCs/>
          <w:color w:val="333333"/>
          <w:sz w:val="20"/>
          <w:szCs w:val="20"/>
        </w:rPr>
        <w:t xml:space="preserve">src/services/serviceFactory.js</w:t>
      </w:r>
      <w:r>
        <w:rPr>
          <w:rFonts w:ascii="Arial" w:cs="Arial" w:eastAsia="Arial" w:hAnsi="Arial"/>
          <w:color w:val="333333"/>
          <w:sz w:val="20"/>
          <w:szCs w:val="20"/>
        </w:rPr>
        <w:t xml:space="preserve"> — Mock/real service toggle (wire new recon service here)</w:t>
      </w:r>
    </w:p>
    <w:p>
      <w:pPr>
        <w:pStyle w:val="ListParagraph"/>
        <w:numPr>
          <w:ilvl w:val="0"/>
          <w:numId w:val="2"/>
        </w:numPr>
        <w:spacing w:after="60"/>
      </w:pPr>
      <w:r>
        <w:rPr>
          <w:rFonts w:ascii="Arial" w:cs="Arial" w:eastAsia="Arial" w:hAnsi="Arial"/>
          <w:b/>
          <w:bCs/>
          <w:color w:val="333333"/>
          <w:sz w:val="20"/>
          <w:szCs w:val="20"/>
        </w:rPr>
        <w:t xml:space="preserve">src/context/DashboardContext.jsx</w:t>
      </w:r>
      <w:r>
        <w:rPr>
          <w:rFonts w:ascii="Arial" w:cs="Arial" w:eastAsia="Arial" w:hAnsi="Arial"/>
          <w:color w:val="333333"/>
          <w:sz w:val="20"/>
          <w:szCs w:val="20"/>
        </w:rPr>
        <w:t xml:space="preserve"> — Global state including API mode toggle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94A3B8"/>
        <w:sz w:val="16"/>
        <w:szCs w:val="16"/>
      </w:rPr>
      <w:t xml:space="preserve">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after="0"/>
    </w:pPr>
    <w:r>
      <w:rPr>
        <w:rFonts w:ascii="Arial" w:cs="Arial" w:eastAsia="Arial" w:hAnsi="Arial"/>
        <w:b/>
        <w:bCs/>
        <w:color w:val="0F172A"/>
        <w:sz w:val="18"/>
        <w:szCs w:val="18"/>
      </w:rPr>
      <w:t xml:space="preserve">Jaris</w:t>
    </w:r>
    <w:r>
      <w:rPr>
        <w:rFonts w:ascii="Arial" w:cs="Arial" w:eastAsia="Arial" w:hAnsi="Arial"/>
        <w:color w:val="94A3B8"/>
        <w:sz w:val="18"/>
        <w:szCs w:val="18"/>
      </w:rPr>
      <w:t xml:space="preserve">  |  </w:t>
    </w:r>
    <w:r>
      <w:rPr>
        <w:rFonts w:ascii="Arial" w:cs="Arial" w:eastAsia="Arial" w:hAnsi="Arial"/>
        <w:color w:val="64748B"/>
        <w:sz w:val="18"/>
        <w:szCs w:val="18"/>
      </w:rPr>
      <w:t xml:space="preserve">FinOps Engineering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0F172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F172A"/>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F17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2026-04-06T17:23:25.888Z</dcterms:created>
  <dcterms:modified xsi:type="dcterms:W3CDTF">2026-04-06T17:23:25.894Z</dcterms:modified>
</cp:coreProperties>
</file>

<file path=docProps/custom.xml><?xml version="1.0" encoding="utf-8"?>
<Properties xmlns="http://schemas.openxmlformats.org/officeDocument/2006/custom-properties" xmlns:vt="http://schemas.openxmlformats.org/officeDocument/2006/docPropsVTypes"/>
</file>