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77BD6">
      <w:pPr>
        <w:rPr>
          <w:rFonts w:ascii="Segoe UI Emoji" w:hAnsi="Segoe UI Emoji" w:eastAsia="Segoe UI Emoji" w:cs="Segoe UI Emoji"/>
          <w:i w:val="0"/>
          <w:iCs w:val="0"/>
          <w:caps w:val="0"/>
          <w:color w:val="000000"/>
          <w:spacing w:val="0"/>
          <w:sz w:val="24"/>
          <w:szCs w:val="24"/>
        </w:rPr>
      </w:pPr>
      <w:r>
        <w:rPr>
          <w:rFonts w:hint="eastAsia" w:ascii="Segoe UI Emoji" w:hAnsi="Segoe UI Emoji" w:eastAsia="宋体" w:cs="Segoe UI Emoji"/>
          <w:i w:val="0"/>
          <w:iCs w:val="0"/>
          <w:caps w:val="0"/>
          <w:color w:val="000000"/>
          <w:spacing w:val="0"/>
          <w:sz w:val="24"/>
          <w:szCs w:val="24"/>
          <w:lang w:val="en-US" w:eastAsia="zh-CN"/>
        </w:rPr>
        <w:t>1.</w:t>
      </w:r>
      <w:r>
        <w:rPr>
          <w:rFonts w:ascii="Segoe UI Emoji" w:hAnsi="Segoe UI Emoji" w:eastAsia="Segoe UI Emoji" w:cs="Segoe UI Emoji"/>
          <w:i w:val="0"/>
          <w:iCs w:val="0"/>
          <w:caps w:val="0"/>
          <w:color w:val="000000"/>
          <w:spacing w:val="0"/>
          <w:sz w:val="24"/>
          <w:szCs w:val="24"/>
        </w:rPr>
        <w:t>Global landscape of national immunization policies for health workers, 2020</w:t>
      </w:r>
    </w:p>
    <w:p w14:paraId="384D742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DOI: 10.1016/j.vaccine.2023.04.083</w:t>
      </w:r>
    </w:p>
    <w:p w14:paraId="4FFB4B9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摘要：Background: Immunization is essential for safeguarding health workers from vaccine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preventable diseases (VPDs) that they may encounter at work; however, information about the prevalence and scope of national policies that protect health workers through vaccination is limited. Understanding the global landscape of health worker immunization programmes can help direct resources, assist decision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making and foster partnerships as nations consider strategies for increasing vaccination uptake among health workers.</w:t>
      </w:r>
    </w:p>
    <w:p w14:paraId="22D57F2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Methods: A one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time supplementary survey was distributed to World Health Organization (WHO) Member States using the WHO/United Nations Children's Fund (UNICEF) Joint Reporting Form on Immunization (JRF). Respondents described their 2020 national vaccination policies for health workers - detailing VPD policies and characterising technical and funding support, monitoring and evaluation activities and provisions for vaccinating health workers in emergencies.</w:t>
      </w:r>
    </w:p>
    <w:p w14:paraId="504B984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Results: A total of 53 % (103/194) Member States responded and described health worker policies: 51 had a national policy for vaccinating health workers; 10 reported plans to introduce a national policy within 5 years; 20 had subnational/institutional policies; 22 had no policy for vaccinating health workers. Most national policies were integrated with occupational health and safety policies (67 %) and included public and private providers (82 %). Hepatitis B, seasonal influenza and measles were most frequently included in policies. Countries both with and without national vaccination policies reported monitoring and reporting vaccine uptake (43 countries), promoting vaccination (53 countries) and assessing vaccine demand, uptake or reasons for undervaccination (25 countries) among health workers. Mechanisms for introducing a vaccine for health workers in an emergency existed in 62 countries.</w:t>
      </w:r>
    </w:p>
    <w:p w14:paraId="067391A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Conclusion: National policies for vaccinating health workers were complex and context specific with regional and income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level variations. Opportunities exist f</w:t>
      </w:r>
    </w:p>
    <w:p w14:paraId="23F0F524">
      <w:pPr>
        <w:rPr>
          <w:rFonts w:ascii="Segoe UI Emoji" w:hAnsi="Segoe UI Emoji" w:eastAsia="Segoe UI Emoji" w:cs="Segoe UI Emoji"/>
          <w:i w:val="0"/>
          <w:iCs w:val="0"/>
          <w:caps w:val="0"/>
          <w:color w:val="000000"/>
          <w:spacing w:val="0"/>
          <w:sz w:val="24"/>
          <w:szCs w:val="24"/>
        </w:rPr>
      </w:pPr>
    </w:p>
    <w:p w14:paraId="773368EA">
      <w:pPr>
        <w:rPr>
          <w:rFonts w:ascii="Segoe UI Emoji" w:hAnsi="Segoe UI Emoji" w:eastAsia="Segoe UI Emoji" w:cs="Segoe UI Emoji"/>
          <w:i w:val="0"/>
          <w:iCs w:val="0"/>
          <w:caps w:val="0"/>
          <w:color w:val="000000"/>
          <w:spacing w:val="0"/>
          <w:sz w:val="24"/>
          <w:szCs w:val="24"/>
        </w:rPr>
      </w:pPr>
    </w:p>
    <w:p w14:paraId="3AC3FDB2">
      <w:pPr>
        <w:rPr>
          <w:rFonts w:ascii="Segoe UI Emoji" w:hAnsi="Segoe UI Emoji" w:eastAsia="Segoe UI Emoji" w:cs="Segoe UI Emoji"/>
          <w:i w:val="0"/>
          <w:iCs w:val="0"/>
          <w:caps w:val="0"/>
          <w:color w:val="000000"/>
          <w:spacing w:val="0"/>
          <w:sz w:val="24"/>
          <w:szCs w:val="24"/>
        </w:rPr>
      </w:pPr>
    </w:p>
    <w:p w14:paraId="68FDC4FE">
      <w:pPr>
        <w:rPr>
          <w:rFonts w:ascii="Segoe UI Emoji" w:hAnsi="Segoe UI Emoji" w:eastAsia="Segoe UI Emoji" w:cs="Segoe UI Emoji"/>
          <w:i w:val="0"/>
          <w:iCs w:val="0"/>
          <w:caps w:val="0"/>
          <w:color w:val="000000"/>
          <w:spacing w:val="0"/>
          <w:sz w:val="24"/>
          <w:szCs w:val="24"/>
        </w:rPr>
      </w:pPr>
    </w:p>
    <w:p w14:paraId="6F89EB03">
      <w:pPr>
        <w:rPr>
          <w:rFonts w:ascii="Segoe UI Emoji" w:hAnsi="Segoe UI Emoji" w:eastAsia="Segoe UI Emoji" w:cs="Segoe UI Emoji"/>
          <w:i w:val="0"/>
          <w:iCs w:val="0"/>
          <w:caps w:val="0"/>
          <w:color w:val="000000"/>
          <w:spacing w:val="0"/>
          <w:sz w:val="24"/>
          <w:szCs w:val="24"/>
        </w:rPr>
      </w:pPr>
    </w:p>
    <w:p w14:paraId="29B2064D">
      <w:pPr>
        <w:rPr>
          <w:rFonts w:ascii="Segoe UI Emoji" w:hAnsi="Segoe UI Emoji" w:eastAsia="Segoe UI Emoji" w:cs="Segoe UI Emoji"/>
          <w:i w:val="0"/>
          <w:iCs w:val="0"/>
          <w:caps w:val="0"/>
          <w:color w:val="000000"/>
          <w:spacing w:val="0"/>
          <w:sz w:val="24"/>
          <w:szCs w:val="24"/>
        </w:rPr>
      </w:pPr>
    </w:p>
    <w:p w14:paraId="0B68E64D">
      <w:pPr>
        <w:rPr>
          <w:rFonts w:ascii="Segoe UI Emoji" w:hAnsi="Segoe UI Emoji" w:eastAsia="Segoe UI Emoji" w:cs="Segoe UI Emoji"/>
          <w:i w:val="0"/>
          <w:iCs w:val="0"/>
          <w:caps w:val="0"/>
          <w:color w:val="000000"/>
          <w:spacing w:val="0"/>
          <w:sz w:val="24"/>
          <w:szCs w:val="24"/>
        </w:rPr>
      </w:pPr>
    </w:p>
    <w:p w14:paraId="6634D8F9">
      <w:pPr>
        <w:rPr>
          <w:rFonts w:ascii="Segoe UI Emoji" w:hAnsi="Segoe UI Emoji" w:eastAsia="Segoe UI Emoji" w:cs="Segoe UI Emoji"/>
          <w:i w:val="0"/>
          <w:iCs w:val="0"/>
          <w:caps w:val="0"/>
          <w:color w:val="000000"/>
          <w:spacing w:val="0"/>
          <w:sz w:val="24"/>
          <w:szCs w:val="24"/>
        </w:rPr>
      </w:pPr>
    </w:p>
    <w:p w14:paraId="03A5715D">
      <w:pPr>
        <w:rPr>
          <w:rFonts w:ascii="Segoe UI Emoji" w:hAnsi="Segoe UI Emoji" w:eastAsia="Segoe UI Emoji" w:cs="Segoe UI Emoji"/>
          <w:i w:val="0"/>
          <w:iCs w:val="0"/>
          <w:caps w:val="0"/>
          <w:color w:val="000000"/>
          <w:spacing w:val="0"/>
          <w:sz w:val="24"/>
          <w:szCs w:val="24"/>
        </w:rPr>
      </w:pPr>
    </w:p>
    <w:p w14:paraId="1D1BB6B1">
      <w:pPr>
        <w:rPr>
          <w:rFonts w:ascii="Segoe UI Emoji" w:hAnsi="Segoe UI Emoji" w:eastAsia="Segoe UI Emoji" w:cs="Segoe UI Emoji"/>
          <w:i w:val="0"/>
          <w:iCs w:val="0"/>
          <w:caps w:val="0"/>
          <w:color w:val="000000"/>
          <w:spacing w:val="0"/>
          <w:sz w:val="24"/>
          <w:szCs w:val="24"/>
        </w:rPr>
      </w:pPr>
    </w:p>
    <w:p w14:paraId="0FDA2D9C">
      <w:pPr>
        <w:rPr>
          <w:rFonts w:ascii="Segoe UI Emoji" w:hAnsi="Segoe UI Emoji" w:eastAsia="Segoe UI Emoji" w:cs="Segoe UI Emoji"/>
          <w:i w:val="0"/>
          <w:iCs w:val="0"/>
          <w:caps w:val="0"/>
          <w:color w:val="000000"/>
          <w:spacing w:val="0"/>
          <w:sz w:val="24"/>
          <w:szCs w:val="24"/>
        </w:rPr>
      </w:pPr>
    </w:p>
    <w:p w14:paraId="412D5B63">
      <w:pPr>
        <w:rPr>
          <w:rFonts w:ascii="Segoe UI Emoji" w:hAnsi="Segoe UI Emoji" w:eastAsia="Segoe UI Emoji" w:cs="Segoe UI Emoji"/>
          <w:i w:val="0"/>
          <w:iCs w:val="0"/>
          <w:caps w:val="0"/>
          <w:color w:val="000000"/>
          <w:spacing w:val="0"/>
          <w:sz w:val="24"/>
          <w:szCs w:val="24"/>
        </w:rPr>
      </w:pPr>
    </w:p>
    <w:p w14:paraId="7CCC8F92">
      <w:pPr>
        <w:rPr>
          <w:rFonts w:ascii="Segoe UI Emoji" w:hAnsi="Segoe UI Emoji" w:eastAsia="Segoe UI Emoji" w:cs="Segoe UI Emoji"/>
          <w:i w:val="0"/>
          <w:iCs w:val="0"/>
          <w:caps w:val="0"/>
          <w:color w:val="000000"/>
          <w:spacing w:val="0"/>
          <w:sz w:val="24"/>
          <w:szCs w:val="24"/>
        </w:rPr>
      </w:pPr>
      <w:r>
        <w:rPr>
          <w:rFonts w:hint="eastAsia" w:ascii="Segoe UI Emoji" w:hAnsi="Segoe UI Emoji" w:eastAsia="宋体" w:cs="Segoe UI Emoji"/>
          <w:i w:val="0"/>
          <w:iCs w:val="0"/>
          <w:caps w:val="0"/>
          <w:color w:val="000000"/>
          <w:spacing w:val="0"/>
          <w:sz w:val="24"/>
          <w:szCs w:val="24"/>
          <w:lang w:val="en-US" w:eastAsia="zh-CN"/>
        </w:rPr>
        <w:t>2.</w:t>
      </w:r>
      <w:r>
        <w:rPr>
          <w:rFonts w:ascii="Segoe UI Emoji" w:hAnsi="Segoe UI Emoji" w:eastAsia="Segoe UI Emoji" w:cs="Segoe UI Emoji"/>
          <w:i w:val="0"/>
          <w:iCs w:val="0"/>
          <w:caps w:val="0"/>
          <w:color w:val="000000"/>
          <w:spacing w:val="0"/>
          <w:sz w:val="24"/>
          <w:szCs w:val="24"/>
        </w:rPr>
        <w:t>Vaccine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related events in China, 2005</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2021: Causes, impacts, and policy responses</w:t>
      </w:r>
    </w:p>
    <w:p w14:paraId="6970DB0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 10.1016/j.vaccine.2022.03.035</w:t>
      </w:r>
    </w:p>
    <w:p w14:paraId="15C4D60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摘要：Introduction: Several vaccine events causing public concern have occurred in China that were investigated and responded to by the central government. We describe causes, influences, and policy or practice changes associated with vaccine events that occurred between 2005 and 2021. We make recommendations to foster resilience in China's Expanded Program of Immunization (EPI) system and vaccination enterprises and to sustain vaccine and program confidence.</w:t>
      </w:r>
    </w:p>
    <w:p w14:paraId="553B231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Methods: Our study included all vaccine events since 2005 that were investigated and responded to by the central government of China. We verified mainstream and social media visibility of the events through Internet search. We extracted event times, causes, investigation processes, results, actions, and policy or practice regulation changes from official reports of government meetings and from official websites with media briefings.</w:t>
      </w:r>
    </w:p>
    <w:p w14:paraId="2C95B11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Results: Seven vaccine events were identified, each of which caused more than 100,000 mainstream or social media reports nationally or nationally and internationally. The events ranged in magnitude from 145 children receiving out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of</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date oral poliovirus vaccine to a measles supplementary immunization activity involving 103 million children. Few, if any, children were directly harmed by vaccines in the events. Government responded to each event with program or policy changes, and in one case, with legislation. Responses affected the conduct of campaigns and supplementary immunization activities, use of schools as vaccination venues, financial incentives for vaccinating with non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program vaccines, vaccine procurement and distribution, and program policy making. The most fundamental response was enacting the country's first vaccine law, the 2019 Vaccine Administration Law, which guides virtually all aspects of vaccination work, from vaccine development through regulation, program implementation, and safety and impact monitoring.</w:t>
      </w:r>
    </w:p>
    <w:p w14:paraId="2D0970C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Conclusions: All seven events generated substantial national and international mainstream and social me</w:t>
      </w:r>
    </w:p>
    <w:p w14:paraId="63589B7D">
      <w:pPr>
        <w:rPr>
          <w:rFonts w:ascii="Segoe UI Emoji" w:hAnsi="Segoe UI Emoji" w:eastAsia="Segoe UI Emoji" w:cs="Segoe UI Emoji"/>
          <w:i w:val="0"/>
          <w:iCs w:val="0"/>
          <w:caps w:val="0"/>
          <w:color w:val="000000"/>
          <w:spacing w:val="0"/>
          <w:sz w:val="24"/>
          <w:szCs w:val="24"/>
        </w:rPr>
      </w:pPr>
    </w:p>
    <w:p w14:paraId="1279FEAF">
      <w:pPr>
        <w:rPr>
          <w:rFonts w:ascii="Segoe UI Emoji" w:hAnsi="Segoe UI Emoji" w:eastAsia="Segoe UI Emoji" w:cs="Segoe UI Emoji"/>
          <w:i w:val="0"/>
          <w:iCs w:val="0"/>
          <w:caps w:val="0"/>
          <w:color w:val="000000"/>
          <w:spacing w:val="0"/>
          <w:sz w:val="24"/>
          <w:szCs w:val="24"/>
        </w:rPr>
      </w:pPr>
    </w:p>
    <w:p w14:paraId="415FBA0D">
      <w:pPr>
        <w:rPr>
          <w:rFonts w:ascii="Segoe UI Emoji" w:hAnsi="Segoe UI Emoji" w:eastAsia="Segoe UI Emoji" w:cs="Segoe UI Emoji"/>
          <w:i w:val="0"/>
          <w:iCs w:val="0"/>
          <w:caps w:val="0"/>
          <w:color w:val="000000"/>
          <w:spacing w:val="0"/>
          <w:sz w:val="24"/>
          <w:szCs w:val="24"/>
        </w:rPr>
      </w:pPr>
    </w:p>
    <w:p w14:paraId="50553E5D">
      <w:pPr>
        <w:rPr>
          <w:rFonts w:ascii="Segoe UI Emoji" w:hAnsi="Segoe UI Emoji" w:eastAsia="Segoe UI Emoji" w:cs="Segoe UI Emoji"/>
          <w:i w:val="0"/>
          <w:iCs w:val="0"/>
          <w:caps w:val="0"/>
          <w:color w:val="000000"/>
          <w:spacing w:val="0"/>
          <w:sz w:val="24"/>
          <w:szCs w:val="24"/>
        </w:rPr>
      </w:pPr>
    </w:p>
    <w:p w14:paraId="54F033B2">
      <w:pPr>
        <w:rPr>
          <w:rFonts w:ascii="Segoe UI Emoji" w:hAnsi="Segoe UI Emoji" w:eastAsia="Segoe UI Emoji" w:cs="Segoe UI Emoji"/>
          <w:i w:val="0"/>
          <w:iCs w:val="0"/>
          <w:caps w:val="0"/>
          <w:color w:val="000000"/>
          <w:spacing w:val="0"/>
          <w:sz w:val="24"/>
          <w:szCs w:val="24"/>
        </w:rPr>
      </w:pPr>
    </w:p>
    <w:p w14:paraId="768AEBA9">
      <w:pPr>
        <w:rPr>
          <w:rFonts w:ascii="Segoe UI Emoji" w:hAnsi="Segoe UI Emoji" w:eastAsia="Segoe UI Emoji" w:cs="Segoe UI Emoji"/>
          <w:i w:val="0"/>
          <w:iCs w:val="0"/>
          <w:caps w:val="0"/>
          <w:color w:val="000000"/>
          <w:spacing w:val="0"/>
          <w:sz w:val="24"/>
          <w:szCs w:val="24"/>
        </w:rPr>
      </w:pPr>
    </w:p>
    <w:p w14:paraId="630C0F2B">
      <w:pPr>
        <w:rPr>
          <w:rFonts w:ascii="Segoe UI Emoji" w:hAnsi="Segoe UI Emoji" w:eastAsia="Segoe UI Emoji" w:cs="Segoe UI Emoji"/>
          <w:i w:val="0"/>
          <w:iCs w:val="0"/>
          <w:caps w:val="0"/>
          <w:color w:val="000000"/>
          <w:spacing w:val="0"/>
          <w:sz w:val="24"/>
          <w:szCs w:val="24"/>
        </w:rPr>
      </w:pPr>
    </w:p>
    <w:p w14:paraId="6508B9CA">
      <w:pPr>
        <w:rPr>
          <w:rFonts w:ascii="Segoe UI Emoji" w:hAnsi="Segoe UI Emoji" w:eastAsia="Segoe UI Emoji" w:cs="Segoe UI Emoji"/>
          <w:i w:val="0"/>
          <w:iCs w:val="0"/>
          <w:caps w:val="0"/>
          <w:color w:val="000000"/>
          <w:spacing w:val="0"/>
          <w:sz w:val="24"/>
          <w:szCs w:val="24"/>
        </w:rPr>
      </w:pPr>
    </w:p>
    <w:p w14:paraId="096F7DCB">
      <w:pPr>
        <w:rPr>
          <w:rFonts w:ascii="Segoe UI Emoji" w:hAnsi="Segoe UI Emoji" w:eastAsia="Segoe UI Emoji" w:cs="Segoe UI Emoji"/>
          <w:i w:val="0"/>
          <w:iCs w:val="0"/>
          <w:caps w:val="0"/>
          <w:color w:val="000000"/>
          <w:spacing w:val="0"/>
          <w:sz w:val="24"/>
          <w:szCs w:val="24"/>
        </w:rPr>
      </w:pPr>
    </w:p>
    <w:p w14:paraId="34306F5F">
      <w:pPr>
        <w:rPr>
          <w:rFonts w:ascii="Segoe UI Emoji" w:hAnsi="Segoe UI Emoji" w:eastAsia="Segoe UI Emoji" w:cs="Segoe UI Emoji"/>
          <w:i w:val="0"/>
          <w:iCs w:val="0"/>
          <w:caps w:val="0"/>
          <w:color w:val="000000"/>
          <w:spacing w:val="0"/>
          <w:sz w:val="24"/>
          <w:szCs w:val="24"/>
        </w:rPr>
      </w:pPr>
    </w:p>
    <w:p w14:paraId="0A07550A">
      <w:pPr>
        <w:rPr>
          <w:rFonts w:ascii="Segoe UI Emoji" w:hAnsi="Segoe UI Emoji" w:eastAsia="Segoe UI Emoji" w:cs="Segoe UI Emoji"/>
          <w:i w:val="0"/>
          <w:iCs w:val="0"/>
          <w:caps w:val="0"/>
          <w:color w:val="000000"/>
          <w:spacing w:val="0"/>
          <w:sz w:val="24"/>
          <w:szCs w:val="24"/>
        </w:rPr>
      </w:pPr>
    </w:p>
    <w:p w14:paraId="487E8F08">
      <w:pPr>
        <w:rPr>
          <w:rFonts w:ascii="Segoe UI Emoji" w:hAnsi="Segoe UI Emoji" w:eastAsia="Segoe UI Emoji" w:cs="Segoe UI Emoji"/>
          <w:i w:val="0"/>
          <w:iCs w:val="0"/>
          <w:caps w:val="0"/>
          <w:color w:val="000000"/>
          <w:spacing w:val="0"/>
          <w:sz w:val="24"/>
          <w:szCs w:val="24"/>
        </w:rPr>
      </w:pPr>
    </w:p>
    <w:p w14:paraId="3E901E1F">
      <w:pPr>
        <w:rPr>
          <w:rFonts w:ascii="Segoe UI Emoji" w:hAnsi="Segoe UI Emoji" w:eastAsia="Segoe UI Emoji" w:cs="Segoe UI Emoji"/>
          <w:i w:val="0"/>
          <w:iCs w:val="0"/>
          <w:caps w:val="0"/>
          <w:color w:val="000000"/>
          <w:spacing w:val="0"/>
          <w:sz w:val="24"/>
          <w:szCs w:val="24"/>
        </w:rPr>
      </w:pPr>
      <w:r>
        <w:rPr>
          <w:rFonts w:hint="eastAsia" w:ascii="Segoe UI Emoji" w:hAnsi="Segoe UI Emoji" w:eastAsia="宋体" w:cs="Segoe UI Emoji"/>
          <w:i w:val="0"/>
          <w:iCs w:val="0"/>
          <w:caps w:val="0"/>
          <w:color w:val="000000"/>
          <w:spacing w:val="0"/>
          <w:sz w:val="24"/>
          <w:szCs w:val="24"/>
          <w:lang w:val="en-US" w:eastAsia="zh-CN"/>
        </w:rPr>
        <w:t>3.</w:t>
      </w:r>
      <w:bookmarkStart w:id="0" w:name="_GoBack"/>
      <w:bookmarkEnd w:id="0"/>
      <w:r>
        <w:rPr>
          <w:rFonts w:ascii="Segoe UI Emoji" w:hAnsi="Segoe UI Emoji" w:eastAsia="Segoe UI Emoji" w:cs="Segoe UI Emoji"/>
          <w:i w:val="0"/>
          <w:iCs w:val="0"/>
          <w:caps w:val="0"/>
          <w:color w:val="000000"/>
          <w:spacing w:val="0"/>
          <w:sz w:val="24"/>
          <w:szCs w:val="24"/>
        </w:rPr>
        <w:t>Economic evaluation of dengue vaccines: A systematic review</w:t>
      </w:r>
    </w:p>
    <w:p w14:paraId="74D4530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DOI: 10.1016/j.vaccine.2019.03.026</w:t>
      </w:r>
    </w:p>
    <w:p w14:paraId="42E0953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摘要：Objectives: To review the literature on economic evaluation of dengue vaccination to produce evidence to support a local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effectiveness study and to subsidize the decision to introduce a dengue vaccine in the Brazilian National Immunization Program.</w:t>
      </w:r>
    </w:p>
    <w:p w14:paraId="23A7A66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Methods: We systematically searched multiple databases (MEDLINE (via PubMed), EMBASE, SCOPUS, NHS Economic Evaluation Database (NHS EED), HTA Database (via Centre for Reviews and Dissemination - CRD) and LILACS), selecting full HEEs of dengue vaccine. Two independent reviewers screened articles for relevance and extracted the data. The methodology for the quality reporting was assessed using CHEERS checklist. We performed a qualitative narrative synthesis.</w:t>
      </w:r>
    </w:p>
    <w:p w14:paraId="37FAADE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Results: Thirteen studies conducted in Asian and Latin America countries were reviewed. All studies were favorable to the incorporation of the vaccine. However, the assumptions and values assumed for vaccine efficacy, safety and duration of protection, as well as the choice of the study population and the type of model used in the analyses, associated to an insufficient reporting of the methodological steps, affect the validity of the studies' results. The quality reporting appraisal showed that the majority (8/13) of the studies reported less than 55% of the CHEERS checklists' items.</w:t>
      </w:r>
    </w:p>
    <w:p w14:paraId="672FA21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Conclusions: This systematic review shows that the economic evaluation of dengue vaccination did not adhere to key recommended general methods for economic evaluation. The presented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effectiveness results should not be transferred to other countries. It is recommended to conduct studies with local epidemiological and cost data, as well as assumptions about vaccination that reflect the results observed in clinical trials.</w:t>
      </w:r>
    </w:p>
    <w:p w14:paraId="7894CE86">
      <w:pPr>
        <w:rPr>
          <w:rFonts w:ascii="Segoe UI Emoji" w:hAnsi="Segoe UI Emoji" w:eastAsia="Segoe UI Emoji" w:cs="Segoe UI Emoji"/>
          <w:i w:val="0"/>
          <w:iCs w:val="0"/>
          <w:caps w:val="0"/>
          <w:color w:val="000000"/>
          <w:spacing w:val="0"/>
          <w:sz w:val="24"/>
          <w:szCs w:val="24"/>
        </w:rPr>
      </w:pPr>
    </w:p>
    <w:p w14:paraId="7446E531">
      <w:pPr>
        <w:rPr>
          <w:rFonts w:ascii="Segoe UI Emoji" w:hAnsi="Segoe UI Emoji" w:eastAsia="Segoe UI Emoji" w:cs="Segoe UI Emoji"/>
          <w:i w:val="0"/>
          <w:iCs w:val="0"/>
          <w:caps w:val="0"/>
          <w:color w:val="000000"/>
          <w:spacing w:val="0"/>
          <w:sz w:val="24"/>
          <w:szCs w:val="24"/>
        </w:rPr>
      </w:pPr>
    </w:p>
    <w:p w14:paraId="69BE6F91">
      <w:pPr>
        <w:rPr>
          <w:rFonts w:ascii="Segoe UI Emoji" w:hAnsi="Segoe UI Emoji" w:eastAsia="Segoe UI Emoji" w:cs="Segoe UI Emoji"/>
          <w:i w:val="0"/>
          <w:iCs w:val="0"/>
          <w:caps w:val="0"/>
          <w:color w:val="000000"/>
          <w:spacing w:val="0"/>
          <w:sz w:val="24"/>
          <w:szCs w:val="24"/>
        </w:rPr>
      </w:pPr>
    </w:p>
    <w:p w14:paraId="72B51EBD">
      <w:pPr>
        <w:rPr>
          <w:rFonts w:ascii="Segoe UI Emoji" w:hAnsi="Segoe UI Emoji" w:eastAsia="Segoe UI Emoji" w:cs="Segoe UI Emoji"/>
          <w:i w:val="0"/>
          <w:iCs w:val="0"/>
          <w:caps w:val="0"/>
          <w:color w:val="000000"/>
          <w:spacing w:val="0"/>
          <w:sz w:val="24"/>
          <w:szCs w:val="24"/>
        </w:rPr>
      </w:pPr>
    </w:p>
    <w:p w14:paraId="316F2E1E">
      <w:pPr>
        <w:rPr>
          <w:rFonts w:ascii="Segoe UI Emoji" w:hAnsi="Segoe UI Emoji" w:eastAsia="Segoe UI Emoji" w:cs="Segoe UI Emoji"/>
          <w:i w:val="0"/>
          <w:iCs w:val="0"/>
          <w:caps w:val="0"/>
          <w:color w:val="000000"/>
          <w:spacing w:val="0"/>
          <w:sz w:val="24"/>
          <w:szCs w:val="24"/>
        </w:rPr>
      </w:pPr>
    </w:p>
    <w:p w14:paraId="1907219C">
      <w:pPr>
        <w:rPr>
          <w:rFonts w:ascii="Segoe UI Emoji" w:hAnsi="Segoe UI Emoji" w:eastAsia="Segoe UI Emoji" w:cs="Segoe UI Emoji"/>
          <w:i w:val="0"/>
          <w:iCs w:val="0"/>
          <w:caps w:val="0"/>
          <w:color w:val="000000"/>
          <w:spacing w:val="0"/>
          <w:sz w:val="24"/>
          <w:szCs w:val="24"/>
        </w:rPr>
      </w:pPr>
    </w:p>
    <w:p w14:paraId="7BEE70D2">
      <w:pPr>
        <w:rPr>
          <w:rFonts w:ascii="Segoe UI Emoji" w:hAnsi="Segoe UI Emoji" w:eastAsia="Segoe UI Emoji" w:cs="Segoe UI Emoji"/>
          <w:i w:val="0"/>
          <w:iCs w:val="0"/>
          <w:caps w:val="0"/>
          <w:color w:val="000000"/>
          <w:spacing w:val="0"/>
          <w:sz w:val="24"/>
          <w:szCs w:val="24"/>
        </w:rPr>
      </w:pPr>
    </w:p>
    <w:p w14:paraId="08CF06CA">
      <w:pPr>
        <w:rPr>
          <w:rFonts w:ascii="Segoe UI Emoji" w:hAnsi="Segoe UI Emoji" w:eastAsia="Segoe UI Emoji" w:cs="Segoe UI Emoji"/>
          <w:i w:val="0"/>
          <w:iCs w:val="0"/>
          <w:caps w:val="0"/>
          <w:color w:val="000000"/>
          <w:spacing w:val="0"/>
          <w:sz w:val="24"/>
          <w:szCs w:val="24"/>
        </w:rPr>
      </w:pPr>
    </w:p>
    <w:p w14:paraId="06CBDF42">
      <w:pPr>
        <w:rPr>
          <w:rFonts w:ascii="Segoe UI Emoji" w:hAnsi="Segoe UI Emoji" w:eastAsia="Segoe UI Emoji" w:cs="Segoe UI Emoji"/>
          <w:i w:val="0"/>
          <w:iCs w:val="0"/>
          <w:caps w:val="0"/>
          <w:color w:val="000000"/>
          <w:spacing w:val="0"/>
          <w:sz w:val="24"/>
          <w:szCs w:val="24"/>
        </w:rPr>
      </w:pPr>
    </w:p>
    <w:p w14:paraId="257F2F5C">
      <w:pPr>
        <w:rPr>
          <w:rFonts w:ascii="Segoe UI Emoji" w:hAnsi="Segoe UI Emoji" w:eastAsia="Segoe UI Emoji" w:cs="Segoe UI Emoji"/>
          <w:i w:val="0"/>
          <w:iCs w:val="0"/>
          <w:caps w:val="0"/>
          <w:color w:val="000000"/>
          <w:spacing w:val="0"/>
          <w:sz w:val="24"/>
          <w:szCs w:val="24"/>
        </w:rPr>
      </w:pPr>
    </w:p>
    <w:p w14:paraId="1E8B95DA">
      <w:pPr>
        <w:rPr>
          <w:rFonts w:ascii="Segoe UI Emoji" w:hAnsi="Segoe UI Emoji" w:eastAsia="Segoe UI Emoji" w:cs="Segoe UI Emoji"/>
          <w:i w:val="0"/>
          <w:iCs w:val="0"/>
          <w:caps w:val="0"/>
          <w:color w:val="000000"/>
          <w:spacing w:val="0"/>
          <w:sz w:val="24"/>
          <w:szCs w:val="24"/>
        </w:rPr>
      </w:pPr>
    </w:p>
    <w:p w14:paraId="38344B96">
      <w:pPr>
        <w:rPr>
          <w:rFonts w:ascii="Segoe UI Emoji" w:hAnsi="Segoe UI Emoji" w:eastAsia="Segoe UI Emoji" w:cs="Segoe UI Emoji"/>
          <w:i w:val="0"/>
          <w:iCs w:val="0"/>
          <w:caps w:val="0"/>
          <w:color w:val="000000"/>
          <w:spacing w:val="0"/>
          <w:sz w:val="24"/>
          <w:szCs w:val="24"/>
        </w:rPr>
      </w:pPr>
    </w:p>
    <w:p w14:paraId="51848642">
      <w:pPr>
        <w:rPr>
          <w:rFonts w:ascii="Segoe UI Emoji" w:hAnsi="Segoe UI Emoji" w:eastAsia="Segoe UI Emoji" w:cs="Segoe UI Emoji"/>
          <w:i w:val="0"/>
          <w:iCs w:val="0"/>
          <w:caps w:val="0"/>
          <w:color w:val="000000"/>
          <w:spacing w:val="0"/>
          <w:sz w:val="24"/>
          <w:szCs w:val="24"/>
        </w:rPr>
      </w:pPr>
    </w:p>
    <w:p w14:paraId="5C6048C6">
      <w:pPr>
        <w:rPr>
          <w:rFonts w:ascii="Segoe UI Emoji" w:hAnsi="Segoe UI Emoji" w:eastAsia="Segoe UI Emoji" w:cs="Segoe UI Emoji"/>
          <w:i w:val="0"/>
          <w:iCs w:val="0"/>
          <w:caps w:val="0"/>
          <w:color w:val="000000"/>
          <w:spacing w:val="0"/>
          <w:sz w:val="24"/>
          <w:szCs w:val="24"/>
        </w:rPr>
      </w:pPr>
    </w:p>
    <w:p w14:paraId="780EE416">
      <w:pPr>
        <w:rPr>
          <w:rFonts w:ascii="Segoe UI Emoji" w:hAnsi="Segoe UI Emoji" w:eastAsia="Segoe UI Emoji" w:cs="Segoe UI Emoji"/>
          <w:i w:val="0"/>
          <w:iCs w:val="0"/>
          <w:caps w:val="0"/>
          <w:color w:val="000000"/>
          <w:spacing w:val="0"/>
          <w:sz w:val="24"/>
          <w:szCs w:val="24"/>
        </w:rPr>
      </w:pPr>
    </w:p>
    <w:p w14:paraId="3DF6C824">
      <w:pPr>
        <w:rPr>
          <w:rFonts w:ascii="Segoe UI Emoji" w:hAnsi="Segoe UI Emoji" w:eastAsia="Segoe UI Emoji" w:cs="Segoe UI Emoji"/>
          <w:i w:val="0"/>
          <w:iCs w:val="0"/>
          <w:caps w:val="0"/>
          <w:color w:val="000000"/>
          <w:spacing w:val="0"/>
          <w:sz w:val="24"/>
          <w:szCs w:val="24"/>
        </w:rPr>
      </w:pPr>
    </w:p>
    <w:p w14:paraId="0705169C">
      <w:pPr>
        <w:rPr>
          <w:rFonts w:ascii="Segoe UI Emoji" w:hAnsi="Segoe UI Emoji" w:eastAsia="Segoe UI Emoji" w:cs="Segoe UI Emoji"/>
          <w:i w:val="0"/>
          <w:iCs w:val="0"/>
          <w:caps w:val="0"/>
          <w:color w:val="000000"/>
          <w:spacing w:val="0"/>
          <w:sz w:val="24"/>
          <w:szCs w:val="24"/>
        </w:rPr>
      </w:pPr>
    </w:p>
    <w:p w14:paraId="353EF45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Economic evaluation of BCG vaccination: a review</w:t>
      </w:r>
    </w:p>
    <w:p w14:paraId="1E07F03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DOI: 10.1080/14760584.2019.1651650</w:t>
      </w:r>
    </w:p>
    <w:p w14:paraId="3E08E95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摘要：Introduction: Bacillus Calmette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Guérin (BCG) is the only licensed vaccine for tuberculosis, but its effectiveness is limited and varies by age. New candidate vaccines are currently being investigated. In response to the declining incidence of TB, practices relating to BCG vaccination have changed in various countries in recent years. A valid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effectiveness study is therefore needed in order to assist decision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makers in the implementation of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effective strategies for BCG vaccination. Areas covered: Studies involving economic evaluations of BCG vaccination were reviewed in order to present current findings concerning a range of BCG vaccination strategies in a variety of regions, target populations, and vaccine types. The Quality of Health Economic Studies (QHES) instrument was used to assess the quality of the studies included in the analysis. Expert opinion: Most of the studies showed a favorable economic profile of BCG vaccination. Selective strategies seem the most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effective option for low</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incidence areas. Varying results on revaccination strategies did not lead to any conclusive finding on the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 xml:space="preserve">effectiveness of the strategies. A novel vaccine </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 xml:space="preserve"> either a BCG replacement or booster vaccine that provides better protection, especially in adults </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 xml:space="preserve"> has the potential to enhance the cost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effectiveness of vaccinating against tuberculosis.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16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2026-08-15T08:47:17Z</dcterms:created>
  <dc:creator>gu</dc:creator>
  <cp:lastModifiedBy>G.</cp:lastModifiedBy>
  <dcterms:modified xsi:type="dcterms:W3CDTF">2026-08-15T08:51:31Z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eyJoZGlkIjoiZTFhZmJlNWJhMTU4ZTIwNmZhNGJjZTdhYzQ2M2MzN2IiLCJ1c2VySWQiOiIxNjQ0NjA4Mzg3In0=</vt:lpwstr>
  </property>
  <property fmtid="{D5CDD505-2E9C-101B-9397-08002B2CF9AE}" pid="4" name="ICV">
    <vt:lpwstr>B59E02AEED1645DCB5E952F1E0C07700_12</vt:lpwstr>
  </property>
</Properties>
</file>