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0D0C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Addressing Parental Vaccine Hesitancy in Clinical Practice</w:t>
      </w:r>
    </w:p>
    <w:p w14:paraId="7F2D743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DOI: 10.1056/NEJMcp2516616</w:t>
      </w:r>
    </w:p>
    <w:p w14:paraId="6ED99C2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摘要：Vaccine hesitancy exists along a spectrum; most parents with hesitancy are motivated to protect their children but are often concerned about safety. Routine childhood vaccines recommended by the American Academy of Pediatrics have substantially reduced the incidence of disease and maintain a strong safety record. Clinicians are the most trusted source of vaccine information, and clear, confident recommendations are closely linked to higher uptake. Presumptive communication approaches are more effective than open</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ended approaches, especially when paired with respectful dialogue. Empathy</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driven, patient</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centered strategies, including motivational interviewing, help address concerns, counter misinformation, and build trust while preserving relationships that may encourage future vaccination decisions.</w:t>
      </w:r>
    </w:p>
    <w:p w14:paraId="32F845AE">
      <w:pPr>
        <w:rPr>
          <w:rFonts w:ascii="Segoe UI Emoji" w:hAnsi="Segoe UI Emoji" w:eastAsia="Segoe UI Emoji" w:cs="Segoe UI Emoji"/>
          <w:i w:val="0"/>
          <w:iCs w:val="0"/>
          <w:caps w:val="0"/>
          <w:color w:val="000000"/>
          <w:spacing w:val="0"/>
          <w:sz w:val="24"/>
          <w:szCs w:val="24"/>
        </w:rPr>
      </w:pPr>
    </w:p>
    <w:p w14:paraId="0D37BC60">
      <w:pPr>
        <w:rPr>
          <w:rFonts w:ascii="Segoe UI Emoji" w:hAnsi="Segoe UI Emoji" w:eastAsia="Segoe UI Emoji" w:cs="Segoe UI Emoji"/>
          <w:i w:val="0"/>
          <w:iCs w:val="0"/>
          <w:caps w:val="0"/>
          <w:color w:val="000000"/>
          <w:spacing w:val="0"/>
          <w:sz w:val="24"/>
          <w:szCs w:val="24"/>
        </w:rPr>
      </w:pPr>
    </w:p>
    <w:p w14:paraId="22BAABDE">
      <w:pPr>
        <w:rPr>
          <w:rFonts w:ascii="Segoe UI Emoji" w:hAnsi="Segoe UI Emoji" w:eastAsia="Segoe UI Emoji" w:cs="Segoe UI Emoji"/>
          <w:i w:val="0"/>
          <w:iCs w:val="0"/>
          <w:caps w:val="0"/>
          <w:color w:val="000000"/>
          <w:spacing w:val="0"/>
          <w:sz w:val="24"/>
          <w:szCs w:val="24"/>
        </w:rPr>
      </w:pPr>
    </w:p>
    <w:p w14:paraId="116EA2A8">
      <w:pPr>
        <w:rPr>
          <w:rFonts w:ascii="Segoe UI Emoji" w:hAnsi="Segoe UI Emoji" w:eastAsia="Segoe UI Emoji" w:cs="Segoe UI Emoji"/>
          <w:i w:val="0"/>
          <w:iCs w:val="0"/>
          <w:caps w:val="0"/>
          <w:color w:val="000000"/>
          <w:spacing w:val="0"/>
          <w:sz w:val="24"/>
          <w:szCs w:val="24"/>
        </w:rPr>
      </w:pPr>
    </w:p>
    <w:p w14:paraId="790783A8">
      <w:pPr>
        <w:rPr>
          <w:rFonts w:ascii="Segoe UI Emoji" w:hAnsi="Segoe UI Emoji" w:eastAsia="Segoe UI Emoji" w:cs="Segoe UI Emoji"/>
          <w:i w:val="0"/>
          <w:iCs w:val="0"/>
          <w:caps w:val="0"/>
          <w:color w:val="000000"/>
          <w:spacing w:val="0"/>
          <w:sz w:val="24"/>
          <w:szCs w:val="24"/>
        </w:rPr>
      </w:pPr>
    </w:p>
    <w:p w14:paraId="3F0C36FC">
      <w:pPr>
        <w:rPr>
          <w:rFonts w:ascii="Segoe UI Emoji" w:hAnsi="Segoe UI Emoji" w:eastAsia="Segoe UI Emoji" w:cs="Segoe UI Emoji"/>
          <w:i w:val="0"/>
          <w:iCs w:val="0"/>
          <w:caps w:val="0"/>
          <w:color w:val="000000"/>
          <w:spacing w:val="0"/>
          <w:sz w:val="24"/>
          <w:szCs w:val="24"/>
        </w:rPr>
      </w:pPr>
    </w:p>
    <w:p w14:paraId="2C6A47BC">
      <w:pPr>
        <w:rPr>
          <w:rFonts w:ascii="Segoe UI Emoji" w:hAnsi="Segoe UI Emoji" w:eastAsia="Segoe UI Emoji" w:cs="Segoe UI Emoji"/>
          <w:i w:val="0"/>
          <w:iCs w:val="0"/>
          <w:caps w:val="0"/>
          <w:color w:val="000000"/>
          <w:spacing w:val="0"/>
          <w:sz w:val="24"/>
          <w:szCs w:val="24"/>
        </w:rPr>
      </w:pPr>
    </w:p>
    <w:p w14:paraId="7450ED9A">
      <w:pPr>
        <w:rPr>
          <w:rFonts w:ascii="Segoe UI Emoji" w:hAnsi="Segoe UI Emoji" w:eastAsia="Segoe UI Emoji" w:cs="Segoe UI Emoji"/>
          <w:i w:val="0"/>
          <w:iCs w:val="0"/>
          <w:caps w:val="0"/>
          <w:color w:val="000000"/>
          <w:spacing w:val="0"/>
          <w:sz w:val="24"/>
          <w:szCs w:val="24"/>
        </w:rPr>
      </w:pPr>
    </w:p>
    <w:p w14:paraId="48EEB8E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Prevalence and determinants of influenza vaccine hesitancy among community</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dwelling elderly in China</w:t>
      </w:r>
    </w:p>
    <w:p w14:paraId="57D42B6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DOI: 10.1016/j.vaccine.2022.06.063</w:t>
      </w:r>
    </w:p>
    <w:p w14:paraId="288C67D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摘要：Background: The Chinese elderly face a significant threat from seasonal influenza, owing to the consistently low vaccination coverage. This study investigated the prevalence and determinants of influenza vaccination hesitancy among the Chinese elderly.</w:t>
      </w:r>
    </w:p>
    <w:p w14:paraId="40AE536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&gt; Methods: In 2019, 3849 elderly individuals from 10 provinces in China were recruited in a cross</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sectional survey. Multinomial logistic regression was applied to investigate the determinants of influenza vaccination hesitancy.</w:t>
      </w:r>
    </w:p>
    <w:p w14:paraId="7185605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&gt; Results: Among the elderly respondents, 37.18% expressed some degree of hesitancy towards influenza vaccination: 19.28% were hesitant, and 17.90% refused influenza vaccination, including 19.28% acceptors with doubts and 17.90% refusers. Only 39.10% of the respondents considered themselves as the priority group for influenza vaccination, and 13.93% reported receiving a recommendation for vaccination from healthcare workers. Respondents with higher education levels and from urban areas had significantly higher odds of vaccine hesitancy than their counterparts. Confidence in the safety of vaccines was negatively associated with vaccine hesitancy, but confidence in vaccine efficacy had no such association. Respondents who perceived themselves as highly susceptible to influenza (AOR = 0.85; 95 %CI = 0.77</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0.93) and those aware of the elderly as a priority group for influenza vaccination (AOR = 0.51; 95 %CI = 0.41</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0.64) had a significantly lower odds of being refusers.</w:t>
      </w:r>
    </w:p>
    <w:p w14:paraId="6A76B5D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&gt; Conclusion: This study found a high prevalence of hesitancy towards influenza vaccination among the Chinese elderly, especially well</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educated and urban</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dwelling respondents. The government should address vaccine hesitancy through culturally appropriate communication, subsidies for vaccination, and actively promoting vaccines through primary care professionals.</w:t>
      </w:r>
    </w:p>
    <w:p w14:paraId="365033A5">
      <w:pPr>
        <w:rPr>
          <w:rFonts w:ascii="Segoe UI Emoji" w:hAnsi="Segoe UI Emoji" w:eastAsia="Segoe UI Emoji" w:cs="Segoe UI Emoji"/>
          <w:i w:val="0"/>
          <w:iCs w:val="0"/>
          <w:caps w:val="0"/>
          <w:color w:val="000000"/>
          <w:spacing w:val="0"/>
          <w:sz w:val="24"/>
          <w:szCs w:val="24"/>
        </w:rPr>
      </w:pPr>
    </w:p>
    <w:p w14:paraId="77C0A1B6">
      <w:pPr>
        <w:rPr>
          <w:rFonts w:ascii="Segoe UI Emoji" w:hAnsi="Segoe UI Emoji" w:eastAsia="Segoe UI Emoji" w:cs="Segoe UI Emoji"/>
          <w:i w:val="0"/>
          <w:iCs w:val="0"/>
          <w:caps w:val="0"/>
          <w:color w:val="000000"/>
          <w:spacing w:val="0"/>
          <w:sz w:val="24"/>
          <w:szCs w:val="24"/>
        </w:rPr>
      </w:pPr>
    </w:p>
    <w:p w14:paraId="126D3FB4">
      <w:pPr>
        <w:rPr>
          <w:rFonts w:ascii="Segoe UI Emoji" w:hAnsi="Segoe UI Emoji" w:eastAsia="Segoe UI Emoji" w:cs="Segoe UI Emoji"/>
          <w:i w:val="0"/>
          <w:iCs w:val="0"/>
          <w:caps w:val="0"/>
          <w:color w:val="000000"/>
          <w:spacing w:val="0"/>
          <w:sz w:val="24"/>
          <w:szCs w:val="24"/>
        </w:rPr>
      </w:pPr>
    </w:p>
    <w:p w14:paraId="60AF2F8B">
      <w:pPr>
        <w:rPr>
          <w:rFonts w:ascii="Segoe UI Emoji" w:hAnsi="Segoe UI Emoji" w:eastAsia="Segoe UI Emoji" w:cs="Segoe UI Emoji"/>
          <w:i w:val="0"/>
          <w:iCs w:val="0"/>
          <w:caps w:val="0"/>
          <w:color w:val="000000"/>
          <w:spacing w:val="0"/>
          <w:sz w:val="24"/>
          <w:szCs w:val="24"/>
        </w:rPr>
      </w:pPr>
    </w:p>
    <w:p w14:paraId="0E570D1D">
      <w:pPr>
        <w:rPr>
          <w:rFonts w:ascii="Segoe UI Emoji" w:hAnsi="Segoe UI Emoji" w:eastAsia="Segoe UI Emoji" w:cs="Segoe UI Emoji"/>
          <w:i w:val="0"/>
          <w:iCs w:val="0"/>
          <w:caps w:val="0"/>
          <w:color w:val="000000"/>
          <w:spacing w:val="0"/>
          <w:sz w:val="24"/>
          <w:szCs w:val="24"/>
        </w:rPr>
      </w:pPr>
    </w:p>
    <w:p w14:paraId="33F0693D">
      <w:pPr>
        <w:rPr>
          <w:rFonts w:ascii="Segoe UI Emoji" w:hAnsi="Segoe UI Emoji" w:eastAsia="Segoe UI Emoji" w:cs="Segoe UI Emoji"/>
          <w:i w:val="0"/>
          <w:iCs w:val="0"/>
          <w:caps w:val="0"/>
          <w:color w:val="000000"/>
          <w:spacing w:val="0"/>
          <w:sz w:val="24"/>
          <w:szCs w:val="24"/>
        </w:rPr>
      </w:pPr>
    </w:p>
    <w:p w14:paraId="4256DB7E">
      <w:pPr>
        <w:rPr>
          <w:rFonts w:ascii="Segoe UI Emoji" w:hAnsi="Segoe UI Emoji" w:eastAsia="Segoe UI Emoji" w:cs="Segoe UI Emoji"/>
          <w:i w:val="0"/>
          <w:iCs w:val="0"/>
          <w:caps w:val="0"/>
          <w:color w:val="000000"/>
          <w:spacing w:val="0"/>
          <w:sz w:val="24"/>
          <w:szCs w:val="24"/>
        </w:rPr>
      </w:pPr>
    </w:p>
    <w:p w14:paraId="4F4A6651">
      <w:pPr>
        <w:rPr>
          <w:rFonts w:ascii="Segoe UI Emoji" w:hAnsi="Segoe UI Emoji" w:eastAsia="Segoe UI Emoji" w:cs="Segoe UI Emoji"/>
          <w:i w:val="0"/>
          <w:iCs w:val="0"/>
          <w:caps w:val="0"/>
          <w:color w:val="000000"/>
          <w:spacing w:val="0"/>
          <w:sz w:val="24"/>
          <w:szCs w:val="24"/>
        </w:rPr>
      </w:pPr>
    </w:p>
    <w:p w14:paraId="7C605C7A">
      <w:pPr>
        <w:rPr>
          <w:rFonts w:ascii="Segoe UI Emoji" w:hAnsi="Segoe UI Emoji" w:eastAsia="Segoe UI Emoji" w:cs="Segoe UI Emoji"/>
          <w:i w:val="0"/>
          <w:iCs w:val="0"/>
          <w:caps w:val="0"/>
          <w:color w:val="000000"/>
          <w:spacing w:val="0"/>
          <w:sz w:val="24"/>
          <w:szCs w:val="24"/>
        </w:rPr>
      </w:pPr>
    </w:p>
    <w:p w14:paraId="482E8892">
      <w:pPr>
        <w:rPr>
          <w:rFonts w:ascii="Segoe UI Emoji" w:hAnsi="Segoe UI Emoji" w:eastAsia="Segoe UI Emoji" w:cs="Segoe UI Emoji"/>
          <w:i w:val="0"/>
          <w:iCs w:val="0"/>
          <w:caps w:val="0"/>
          <w:color w:val="000000"/>
          <w:spacing w:val="0"/>
          <w:sz w:val="24"/>
          <w:szCs w:val="24"/>
        </w:rPr>
      </w:pPr>
    </w:p>
    <w:p w14:paraId="12309389">
      <w:pPr>
        <w:rPr>
          <w:rFonts w:ascii="Segoe UI Emoji" w:hAnsi="Segoe UI Emoji" w:eastAsia="Segoe UI Emoji" w:cs="Segoe UI Emoji"/>
          <w:i w:val="0"/>
          <w:iCs w:val="0"/>
          <w:caps w:val="0"/>
          <w:color w:val="000000"/>
          <w:spacing w:val="0"/>
          <w:sz w:val="24"/>
          <w:szCs w:val="24"/>
        </w:rPr>
      </w:pPr>
    </w:p>
    <w:p w14:paraId="50E9FF16">
      <w:pPr>
        <w:rPr>
          <w:rFonts w:ascii="Segoe UI Emoji" w:hAnsi="Segoe UI Emoji" w:eastAsia="Segoe UI Emoji" w:cs="Segoe UI Emoji"/>
          <w:i w:val="0"/>
          <w:iCs w:val="0"/>
          <w:caps w:val="0"/>
          <w:color w:val="000000"/>
          <w:spacing w:val="0"/>
          <w:sz w:val="24"/>
          <w:szCs w:val="24"/>
        </w:rPr>
      </w:pPr>
    </w:p>
    <w:p w14:paraId="43FDBE47">
      <w:pPr>
        <w:rPr>
          <w:rFonts w:ascii="Segoe UI Emoji" w:hAnsi="Segoe UI Emoji" w:eastAsia="Segoe UI Emoji" w:cs="Segoe UI Emoji"/>
          <w:i w:val="0"/>
          <w:iCs w:val="0"/>
          <w:caps w:val="0"/>
          <w:color w:val="000000"/>
          <w:spacing w:val="0"/>
          <w:sz w:val="24"/>
          <w:szCs w:val="24"/>
        </w:rPr>
      </w:pPr>
    </w:p>
    <w:p w14:paraId="2DE8EEB4">
      <w:pPr>
        <w:rPr>
          <w:rFonts w:ascii="Segoe UI Emoji" w:hAnsi="Segoe UI Emoji" w:eastAsia="Segoe UI Emoji" w:cs="Segoe UI Emoji"/>
          <w:i w:val="0"/>
          <w:iCs w:val="0"/>
          <w:caps w:val="0"/>
          <w:color w:val="000000"/>
          <w:spacing w:val="0"/>
          <w:sz w:val="24"/>
          <w:szCs w:val="24"/>
        </w:rPr>
      </w:pPr>
    </w:p>
    <w:p w14:paraId="6E4F9A04">
      <w:pPr>
        <w:rPr>
          <w:rFonts w:ascii="Segoe UI Emoji" w:hAnsi="Segoe UI Emoji" w:eastAsia="Segoe UI Emoji" w:cs="Segoe UI Emoji"/>
          <w:i w:val="0"/>
          <w:iCs w:val="0"/>
          <w:caps w:val="0"/>
          <w:color w:val="000000"/>
          <w:spacing w:val="0"/>
          <w:sz w:val="24"/>
          <w:szCs w:val="24"/>
        </w:rPr>
      </w:pPr>
    </w:p>
    <w:p w14:paraId="1D3C8F9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Vaccine Hesitancy in Pediatric Care: Causes and Clinical Approaches</w:t>
      </w:r>
    </w:p>
    <w:p w14:paraId="5F32D85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DOI: 10.3928/19382359</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20251219</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03</w:t>
      </w:r>
    </w:p>
    <w:p w14:paraId="548B9040">
      <w:pPr>
        <w:rPr>
          <w:rFonts w:ascii="Segoe UI Emoji" w:hAnsi="Segoe UI Emoji" w:eastAsia="Segoe UI Emoji" w:cs="Segoe UI Emoji"/>
          <w:i w:val="0"/>
          <w:iCs w:val="0"/>
          <w:caps w:val="0"/>
          <w:color w:val="000000"/>
          <w:spacing w:val="0"/>
          <w:sz w:val="24"/>
          <w:szCs w:val="24"/>
        </w:rPr>
      </w:pPr>
      <w:bookmarkStart w:id="0" w:name="_GoBack"/>
      <w:bookmarkEnd w:id="0"/>
      <w:r>
        <w:rPr>
          <w:rFonts w:ascii="Segoe UI Emoji" w:hAnsi="Segoe UI Emoji" w:eastAsia="Segoe UI Emoji" w:cs="Segoe UI Emoji"/>
          <w:i w:val="0"/>
          <w:iCs w:val="0"/>
          <w:caps w:val="0"/>
          <w:color w:val="000000"/>
          <w:spacing w:val="0"/>
          <w:sz w:val="24"/>
          <w:szCs w:val="24"/>
        </w:rPr>
        <w:t>摘要：Vaccine hesitancy has increased in recent years, driven by misinformation, shifting public discourse, and declining trust in traditional medical guidance. Pediatric clinicians are increasingly tasked with addressing parental concerns related to vaccine safety, ingredients, adverse effects, and perceived necessity. Common contributors to hesitancy include persistent myths linking vaccines to autism, misunderstandings about vaccine ingredients, policy</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related confusion, and religious or personal beliefs. Media and social platforms play a significant role in amplifying misinformation, creating challenges for clinical practice. Addressing vaccine hesitancy requires empathetic, evidence</w:t>
      </w:r>
      <w:r>
        <w:rPr>
          <w:rFonts w:ascii="Segoe UI Emoji" w:hAnsi="Segoe UI Emoji" w:eastAsia="Segoe UI Emoji" w:cs="Segoe UI Emoji"/>
          <w:i w:val="0"/>
          <w:iCs w:val="0"/>
          <w:caps w:val="0"/>
          <w:color w:val="000000"/>
          <w:spacing w:val="0"/>
          <w:sz w:val="24"/>
          <w:szCs w:val="24"/>
        </w:rPr>
        <w:noBreakHyphen/>
      </w:r>
      <w:r>
        <w:rPr>
          <w:rFonts w:ascii="Segoe UI Emoji" w:hAnsi="Segoe UI Emoji" w:eastAsia="Segoe UI Emoji" w:cs="Segoe UI Emoji"/>
          <w:i w:val="0"/>
          <w:iCs w:val="0"/>
          <w:caps w:val="0"/>
          <w:color w:val="000000"/>
          <w:spacing w:val="0"/>
          <w:sz w:val="24"/>
          <w:szCs w:val="24"/>
        </w:rPr>
        <w:t>based communication, proactive educational strategies within pediatric clinical settings, and thoughtful engagement with families who are vaccine hesitant. The growing emotional and time burden associated with these discussions underscores the need for institutional support to sustain the pediatric workforce while ensuring protection of child and community health.</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D0E5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2026-08-15T08:55:57Z</dcterms:created>
  <dc:creator>gu</dc:creator>
  <cp:lastModifiedBy>G.</cp:lastModifiedBy>
  <dcterms:modified xsi:type="dcterms:W3CDTF">2026-08-15T08:59:01Z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eyJoZGlkIjoiZTFhZmJlNWJhMTU4ZTIwNmZhNGJjZTdhYzQ2M2MzN2IiLCJ1c2VySWQiOiIxNjQ0NjA4Mzg3In0=</vt:lpwstr>
  </property>
  <property fmtid="{D5CDD505-2E9C-101B-9397-08002B2CF9AE}" pid="4" name="ICV">
    <vt:lpwstr>10412D5A17084DEFA64BF44DDB532FA6_12</vt:lpwstr>
  </property>
</Properties>
</file>