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5BAEE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文献摘要</w:t>
      </w:r>
    </w:p>
    <w:p w14:paraId="2FDBB8B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DOI：10.1016/j.coi.2019.04.003</w:t>
      </w:r>
    </w:p>
    <w:p w14:paraId="001DC2F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发表信息：Epub 2019 May 6</w:t>
      </w:r>
    </w:p>
    <w:p w14:paraId="3750A852">
      <w:pPr>
        <w:rPr>
          <w:rFonts w:ascii="Segoe UI Emoji" w:hAnsi="Segoe UI Emoji" w:eastAsia="Segoe UI Emoji" w:cs="Segoe UI Emoji"/>
          <w:i w:val="0"/>
          <w:iCs w:val="0"/>
          <w:caps w:val="0"/>
          <w:color w:val="000000"/>
          <w:spacing w:val="0"/>
          <w:sz w:val="24"/>
          <w:szCs w:val="24"/>
        </w:rPr>
      </w:pPr>
    </w:p>
    <w:p w14:paraId="049E3C0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xml:space="preserve"> Abstract</w:t>
      </w:r>
    </w:p>
    <w:p w14:paraId="6256811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B cells are efficiently activated by antigens presented on cell membranes, which provide opportunity for receptor cross-linking and antigen capture. The two main cell types implicated in native antigen presentation to B cells are follicular dendritic cells (FDC), which reside in B cell follicles, and CD169+ macrophages, which line the antigen-exposed surfaces of these follicles in both the lymph nodes and the spleen. There is mounting evidence, however, that conventional dendritic cells (cDC) can also participate in native antigen presentation to B cells. This underappreciated role, largely hidden by the simultaneous need for cDC to participate in T cells priming, appears to be primarily mediated by the type 2 subset of cDC (cDC2), but may also be a function of cDC1. Better understanding of how cDC participate in B cell priming is likely to improve our capacity to develop effective humoral vaccines.</w:t>
      </w:r>
    </w:p>
    <w:p w14:paraId="1CB07107">
      <w:pPr>
        <w:rPr>
          <w:rFonts w:ascii="Segoe UI Emoji" w:hAnsi="Segoe UI Emoji" w:eastAsia="Segoe UI Emoji" w:cs="Segoe UI Emoji"/>
          <w:i w:val="0"/>
          <w:iCs w:val="0"/>
          <w:caps w:val="0"/>
          <w:color w:val="000000"/>
          <w:spacing w:val="0"/>
          <w:sz w:val="24"/>
          <w:szCs w:val="24"/>
        </w:rPr>
      </w:pPr>
    </w:p>
    <w:p w14:paraId="4DA174E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版权：Crown Copyright © 2019. Published by Elsevier Ltd. All rights reserved.</w:t>
      </w:r>
    </w:p>
    <w:p w14:paraId="3C3E78F7">
      <w:pPr>
        <w:rPr>
          <w:rFonts w:ascii="Segoe UI Emoji" w:hAnsi="Segoe UI Emoji" w:eastAsia="Segoe UI Emoji" w:cs="Segoe UI Emoji"/>
          <w:i w:val="0"/>
          <w:iCs w:val="0"/>
          <w:caps w:val="0"/>
          <w:color w:val="000000"/>
          <w:spacing w:val="0"/>
          <w:sz w:val="24"/>
          <w:szCs w:val="24"/>
        </w:rPr>
      </w:pPr>
    </w:p>
    <w:p w14:paraId="6A34549D">
      <w:pPr>
        <w:rPr>
          <w:rFonts w:ascii="Segoe UI Emoji" w:hAnsi="Segoe UI Emoji" w:eastAsia="Segoe UI Emoji" w:cs="Segoe UI Emoji"/>
          <w:i w:val="0"/>
          <w:iCs w:val="0"/>
          <w:caps w:val="0"/>
          <w:color w:val="000000"/>
          <w:spacing w:val="0"/>
          <w:sz w:val="24"/>
          <w:szCs w:val="24"/>
        </w:rPr>
      </w:pPr>
    </w:p>
    <w:p w14:paraId="55AB3D02">
      <w:pPr>
        <w:rPr>
          <w:rFonts w:ascii="Segoe UI Emoji" w:hAnsi="Segoe UI Emoji" w:eastAsia="Segoe UI Emoji" w:cs="Segoe UI Emoji"/>
          <w:i w:val="0"/>
          <w:iCs w:val="0"/>
          <w:caps w:val="0"/>
          <w:color w:val="000000"/>
          <w:spacing w:val="0"/>
          <w:sz w:val="24"/>
          <w:szCs w:val="24"/>
        </w:rPr>
      </w:pPr>
    </w:p>
    <w:p w14:paraId="6A5A7E71">
      <w:pPr>
        <w:rPr>
          <w:rFonts w:ascii="Segoe UI Emoji" w:hAnsi="Segoe UI Emoji" w:eastAsia="Segoe UI Emoji" w:cs="Segoe UI Emoji"/>
          <w:i w:val="0"/>
          <w:iCs w:val="0"/>
          <w:caps w:val="0"/>
          <w:color w:val="000000"/>
          <w:spacing w:val="0"/>
          <w:sz w:val="24"/>
          <w:szCs w:val="24"/>
        </w:rPr>
      </w:pPr>
    </w:p>
    <w:p w14:paraId="5CDC953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文献摘要</w:t>
      </w:r>
    </w:p>
    <w:p w14:paraId="3EAF00B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DOI：10.1007/978-1-0716-3239-0_1</w:t>
      </w:r>
    </w:p>
    <w:p w14:paraId="3D465E49">
      <w:pPr>
        <w:rPr>
          <w:rFonts w:ascii="Segoe UI Emoji" w:hAnsi="Segoe UI Emoji" w:eastAsia="Segoe UI Emoji" w:cs="Segoe UI Emoji"/>
          <w:i w:val="0"/>
          <w:iCs w:val="0"/>
          <w:caps w:val="0"/>
          <w:color w:val="000000"/>
          <w:spacing w:val="0"/>
          <w:sz w:val="24"/>
          <w:szCs w:val="24"/>
        </w:rPr>
      </w:pPr>
    </w:p>
    <w:p w14:paraId="70F34739">
      <w:pPr>
        <w:rPr>
          <w:rFonts w:ascii="Segoe UI Emoji" w:hAnsi="Segoe UI Emoji" w:eastAsia="Segoe UI Emoji" w:cs="Segoe UI Emoji"/>
          <w:i w:val="0"/>
          <w:iCs w:val="0"/>
          <w:caps w:val="0"/>
          <w:color w:val="000000"/>
          <w:spacing w:val="0"/>
          <w:sz w:val="24"/>
          <w:szCs w:val="24"/>
        </w:rPr>
      </w:pPr>
      <w:bookmarkStart w:id="0" w:name="_GoBack"/>
      <w:bookmarkEnd w:id="0"/>
      <w:r>
        <w:rPr>
          <w:rFonts w:ascii="Segoe UI Emoji" w:hAnsi="Segoe UI Emoji" w:eastAsia="Segoe UI Emoji" w:cs="Segoe UI Emoji"/>
          <w:i w:val="0"/>
          <w:iCs w:val="0"/>
          <w:caps w:val="0"/>
          <w:color w:val="000000"/>
          <w:spacing w:val="0"/>
          <w:sz w:val="24"/>
          <w:szCs w:val="24"/>
        </w:rPr>
        <w:t>Abstract</w:t>
      </w:r>
    </w:p>
    <w:p w14:paraId="6755A59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Vaccines are the most successful and cost-effective medical interventions available to fight infectious diseases. They consist of biological preparations that are capable of stimulating the immune system to confer protective immunity against a particular harmful pathogen/agent. Vaccine design and development have evolved through the years. Early vaccines were obtained with little implementation of technology and in the absence of fundamental knowledge, representing a pure feat of human ingenuity. In contrast, modern vaccine development takes advantage of advances in technology and in our enhanced understanding of the immune system and host-pathogen interactions. Moreover, vaccine design has found novel applications beyond the prophylactic arena and there is an increasing interest in designing vaccines to treat human ailments like cancer and chronic inflammatory diseases. In this chapter, we focus on prophylactic vaccines against infectious diseases, providing an overview on immunology principles underlying immunization and on how vaccines work and are designed.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4375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615</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2026-08-14T05:20:10Z</dcterms:created>
  <dc:creator>gu</dc:creator>
  <cp:lastModifiedBy>G.</cp:lastModifiedBy>
  <dcterms:modified xsi:type="dcterms:W3CDTF">2026-08-14T15:35:07Z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eyJoZGlkIjoiZTFhZmJlNWJhMTU4ZTIwNmZhNGJjZTdhYzQ2M2MzN2IiLCJ1c2VySWQiOiIxNjQ0NjA4Mzg3In0=</vt:lpwstr>
  </property>
  <property fmtid="{D5CDD505-2E9C-101B-9397-08002B2CF9AE}" pid="4" name="ICV">
    <vt:lpwstr>667ABFE651E64202BE727F13AE5C0AFB_12</vt:lpwstr>
  </property>
</Properties>
</file>