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be1f97985517351d9c3f55533e5749186e26095"/>
    <w:p>
      <w:pPr>
        <w:pStyle w:val="Heading1"/>
      </w:pPr>
      <w:r>
        <w:t xml:space="preserve">Multi-Agent LLM-Based Stock Analysis and Portfolio Management System</w:t>
      </w:r>
    </w:p>
    <w:bookmarkStart w:id="9" w:name="interim-report"/>
    <w:p>
      <w:pPr>
        <w:pStyle w:val="Heading2"/>
      </w:pPr>
      <w:r>
        <w:t xml:space="preserve">Interim Report</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application of Large Language Models (LLMs) to financial markets has gained significant traction in recent years, with researchers and practitioners exploring how these models can process vast amounts of unstructured data, news articles, analyst reports, social media posts, alongside structured financial data to make informed trading decisions (Ding et al., 2024). Traditional quantitative systems rely purely on numerical indicators, while human analysts excel at interpreting narrative and context but struggle with scale and consistency. The question driving this project is straightforward: can we combine the strengths of both by building a multi-agent LLM system that analyses stocks the way a real investment team would?</w:t>
      </w:r>
    </w:p>
    <w:p>
      <w:pPr>
        <w:pStyle w:val="BodyText"/>
      </w:pPr>
      <w:r>
        <w:t xml:space="preserve">This project implements a multi-agent pipeline that mirrors the structure of an institutional trading desk. Each agent has a specialised role, technical analysis, sentiment analysis, fundamental analysis, and their outputs are synthesised by a summariser agent before being passed to a trader agent for position sizing. The system is built using LangGraph for agent orchestration and Groq/Gemini as LLM providers, with yfinance providing real-time market data.</w:t>
      </w:r>
    </w:p>
    <w:p>
      <w:pPr>
        <w:pStyle w:val="BodyText"/>
      </w:pPr>
      <w:r>
        <w:t xml:space="preserve">The architecture draws direct inspiration from TradingAgents (Xiao et al., 2024), which demonstrated that LLM-powered agents taking on specialised roles, analysts, traders, risk managers, can achieve superior risk-adjusted returns compared to single-model baselines. We also incorporate ideas from FinCon (Yu et al., 2024), particularly their hierarchical manager-analyst structure and dual-level risk control, adapting these concepts to work within the constraints of free-tier API limits.</w:t>
      </w:r>
    </w:p>
    <w:p>
      <w:r>
        <w:pict>
          <v:rect style="width:0;height:1.5pt" o:hralign="center" o:hrstd="t" o:hr="t"/>
        </w:pict>
      </w:r>
    </w:p>
    <w:bookmarkEnd w:id="10"/>
    <w:bookmarkStart w:id="16" w:name="literature-review"/>
    <w:p>
      <w:pPr>
        <w:pStyle w:val="Heading2"/>
      </w:pPr>
      <w:r>
        <w:t xml:space="preserve">2. Literature Review</w:t>
      </w:r>
    </w:p>
    <w:bookmarkStart w:id="11" w:name="multi-agent-llm-trading-systems"/>
    <w:p>
      <w:pPr>
        <w:pStyle w:val="Heading3"/>
      </w:pPr>
      <w:r>
        <w:t xml:space="preserve">2.1 Multi-Agent LLM Trading Systems</w:t>
      </w:r>
    </w:p>
    <w:p>
      <w:pPr>
        <w:pStyle w:val="FirstParagraph"/>
      </w:pPr>
      <w:r>
        <w:t xml:space="preserve">The idea of using multiple LLMs as specialised agents in financial trading was formalised by Xiao et al. (2024) in the TradingAgents framework. Their system assigns roles such as fundamental analyst, sentiment analyst, technical analyst, and trader to different LLM agents, introducing</w:t>
      </w:r>
      <w:r>
        <w:t xml:space="preserve"> </w:t>
      </w:r>
      <w:r>
        <w:t xml:space="preserve">“Bull”</w:t>
      </w:r>
      <w:r>
        <w:t xml:space="preserve"> </w:t>
      </w:r>
      <w:r>
        <w:t xml:space="preserve">and</w:t>
      </w:r>
      <w:r>
        <w:t xml:space="preserve"> </w:t>
      </w:r>
      <w:r>
        <w:t xml:space="preserve">“Bear”</w:t>
      </w:r>
      <w:r>
        <w:t xml:space="preserve"> </w:t>
      </w:r>
      <w:r>
        <w:t xml:space="preserve">researcher agents that debate market conditions before a final trading decision is made. Experiments showed improvements in cumulative returns, Sharpe ratio, and maximum drawdown over baseline models.</w:t>
      </w:r>
    </w:p>
    <w:p>
      <w:pPr>
        <w:pStyle w:val="BodyText"/>
      </w:pPr>
      <w:r>
        <w:t xml:space="preserve">FinCon (Yu et al., 2024), presented at NeurIPS 2024, takes a different approach with a synthesised manager-analyst hierarchy. The manager agent consolidates insights from specialised analyst agents, incorporating a dual-level risk control mechanism that updates investment beliefs through what they call</w:t>
      </w:r>
      <w:r>
        <w:t xml:space="preserve"> </w:t>
      </w:r>
      <w:r>
        <w:t xml:space="preserve">“conceptual verbal reinforcement”</w:t>
      </w:r>
      <w:r>
        <w:t xml:space="preserve">, essentially, letting the system learn from its own performance history through text-based gradient descent.</w:t>
      </w:r>
    </w:p>
    <w:p>
      <w:pPr>
        <w:pStyle w:val="BodyText"/>
      </w:pPr>
      <w:r>
        <w:t xml:space="preserve">Ding et al. (2024) provide a comprehensive survey of LLM agents in financial trading, cataloguing common architectures, data inputs, and performance metrics. They note that the field is rapidly evolving, with most frameworks adopting a modular multi-agent approach to handle the complexity of financial decision-making.</w:t>
      </w:r>
    </w:p>
    <w:bookmarkEnd w:id="11"/>
    <w:bookmarkStart w:id="12" w:name="sentiment-analysis-with-llms"/>
    <w:p>
      <w:pPr>
        <w:pStyle w:val="Heading3"/>
      </w:pPr>
      <w:r>
        <w:t xml:space="preserve">2.2 Sentiment Analysis with LLMs</w:t>
      </w:r>
    </w:p>
    <w:p>
      <w:pPr>
        <w:pStyle w:val="FirstParagraph"/>
      </w:pPr>
      <w:r>
        <w:t xml:space="preserve">LLMs have shown remarkable ability in financial sentiment classification. Kim et al. (2024) demonstrated that GPT-4, when prompted with chain-of-thought reasoning, can predict the direction of future earnings with approximately 60% accuracy, outperforming human financial analysts who typically achieve 53-57%. Research comparing models like FinBERT, OPT (GPT-3-based), and BERT on financial news datasets shows accuracy rates ranging from 72% to 88% depending on the model and dataset used.</w:t>
      </w:r>
    </w:p>
    <w:p>
      <w:pPr>
        <w:pStyle w:val="BodyText"/>
      </w:pPr>
      <w:r>
        <w:t xml:space="preserve">Our system implements a multi-source sentiment fusion approach, collecting data from four channels (news, social media, analyst ratings, web scraping) and using a weighted aggregation scheme. This is inspired by the observation that no single sentiment source is consistently reliable, analyst ratings tend to be most predictive but are often delayed, while news captures immediate market reactions.</w:t>
      </w:r>
    </w:p>
    <w:bookmarkEnd w:id="12"/>
    <w:bookmarkStart w:id="13" w:name="technical-analysis-and-rsi"/>
    <w:p>
      <w:pPr>
        <w:pStyle w:val="Heading3"/>
      </w:pPr>
      <w:r>
        <w:t xml:space="preserve">2.3 Technical Analysis and RSI</w:t>
      </w:r>
    </w:p>
    <w:p>
      <w:pPr>
        <w:pStyle w:val="FirstParagraph"/>
      </w:pPr>
      <w:r>
        <w:t xml:space="preserve">The Relative Strength Index (RSI), originally defined by Wilder (1978), remains one of the most widely used technical indicators. Research on RSI lookback periods suggests that the default 14-period setting may not always be optimal, shorter periods (5-10) offer greater sensitivity for intraday strategies, while dual-period approaches (combining short and medium-term RSI) can reduce false signals. Our system uses a dual-period RSI (9 and 14) with adaptive overbought/oversold thresholds (75/25 instead of the traditional 70/30), which has been shown to produce more accurate signals in volatile markets.</w:t>
      </w:r>
    </w:p>
    <w:bookmarkEnd w:id="13"/>
    <w:bookmarkStart w:id="14" w:name="X41ef516983286a4e658d3107cc1b337f7569c99"/>
    <w:p>
      <w:pPr>
        <w:pStyle w:val="Heading3"/>
      </w:pPr>
      <w:r>
        <w:t xml:space="preserve">2.4 Fundamental Analysis and the Piotroski F-Score</w:t>
      </w:r>
    </w:p>
    <w:p>
      <w:pPr>
        <w:pStyle w:val="FirstParagraph"/>
      </w:pPr>
      <w:r>
        <w:t xml:space="preserve">The Piotroski F-Score, introduced by Piotroski (2000) in</w:t>
      </w:r>
      <w:r>
        <w:t xml:space="preserve"> </w:t>
      </w:r>
      <w:r>
        <w:rPr>
          <w:i/>
          <w:iCs/>
        </w:rPr>
        <w:t xml:space="preserve">Journal of Accounting Research</w:t>
      </w:r>
      <w:r>
        <w:t xml:space="preserve">, is a nine-point scoring system that assesses a company’s financial health across profitability, leverage, and operating efficiency. Piotroski’s original study found that high F-Score value stocks outperformed the market by an average of 13.4% annually. Subsequent research has confirmed these findings across global markets, establishing the F-Score as a robust alpha-generating tool. We integrate this score into our fundamentals agent, using it both as a display metric and as a quality gate, stocks with an F-Score of 2 or below have their BUY signals automatically overridden to HOLD.</w:t>
      </w:r>
    </w:p>
    <w:bookmarkEnd w:id="14"/>
    <w:bookmarkStart w:id="15" w:name="position-sizing-the-kelly-criterion"/>
    <w:p>
      <w:pPr>
        <w:pStyle w:val="Heading3"/>
      </w:pPr>
      <w:r>
        <w:t xml:space="preserve">2.5 Position Sizing: The Kelly Criterion</w:t>
      </w:r>
    </w:p>
    <w:p>
      <w:pPr>
        <w:pStyle w:val="FirstParagraph"/>
      </w:pPr>
      <w:r>
        <w:t xml:space="preserve">The Kelly Criterion (Kelly, 1956) provides a mathematically optimal bet size that maximises the long-term logarithmic growth of capital. However, full Kelly sizing is notoriously aggressive in practice, leading to substantial drawdowns. Thorp (2006) recommends using fractional Kelly, typically half or quarter Kelly, as a practical compromise that captures most of the growth benefits while dramatically reducing drawdown risk. Our trader agent implements half-Kelly (0.5×) by default, along with hard portfolio constraints: a 40% maximum allocation per stock and a 10% minimum cash reserve, inspired by the position limits described in FinCon (Yu et al., 2024).</w:t>
      </w:r>
    </w:p>
    <w:p>
      <w:r>
        <w:pict>
          <v:rect style="width:0;height:1.5pt" o:hralign="center" o:hrstd="t" o:hr="t"/>
        </w:pict>
      </w:r>
    </w:p>
    <w:bookmarkEnd w:id="15"/>
    <w:bookmarkEnd w:id="16"/>
    <w:bookmarkStart w:id="17" w:name="Xf3c0dfdbcba0df35fa0d8e896cbe7d6a6398276"/>
    <w:p>
      <w:pPr>
        <w:pStyle w:val="Heading2"/>
      </w:pPr>
      <w:r>
        <w:t xml:space="preserve">3. Financial Approach and Real-World Comparison</w:t>
      </w:r>
    </w:p>
    <w:p>
      <w:pPr>
        <w:pStyle w:val="FirstParagraph"/>
      </w:pPr>
      <w:r>
        <w:t xml:space="preserve">The pipeline is designed to mirror how a small investment team at a hedge fund would operate. The table below maps each agent to its real-world equivalent:</w:t>
      </w:r>
    </w:p>
    <w:tbl>
      <w:tblPr>
        <w:tblStyle w:val="LightShading-Accent1"/>
        <w:tblW w:type="pct" w:w="5000"/>
        <w:tblLayout w:type="autofit"/>
        <w:tblLook w:firstRow="1" w:lastRow="0" w:firstColumn="0" w:lastColumn="0" w:noHBand="0" w:noVBand="0" w:val="0020"/>
      </w:tblPr>
      <w:tblGrid>
        <w:gridCol w:w="3960"/>
        <w:gridCol w:w="3960"/>
      </w:tblGrid>
      <w:tr>
        <w:trPr>
          <w:tblHeader w:val="on"/>
        </w:trPr>
        <w:tc>
          <w:tcPr/>
          <w:p>
            <w:pPr>
              <w:pStyle w:val="Compact"/>
            </w:pPr>
            <w:r>
              <w:t xml:space="preserve">System Component</w:t>
            </w:r>
          </w:p>
        </w:tc>
        <w:tc>
          <w:tcPr/>
          <w:p>
            <w:pPr>
              <w:pStyle w:val="Compact"/>
            </w:pPr>
            <w:r>
              <w:t xml:space="preserve">Real-World Equivalent</w:t>
            </w:r>
          </w:p>
        </w:tc>
      </w:tr>
      <w:tr>
        <w:tc>
          <w:tcPr/>
          <w:p>
            <w:pPr>
              <w:pStyle w:val="Compact"/>
            </w:pPr>
            <w:r>
              <w:t xml:space="preserve">Technical Agent</w:t>
            </w:r>
          </w:p>
        </w:tc>
        <w:tc>
          <w:tcPr/>
          <w:p>
            <w:pPr>
              <w:pStyle w:val="Compact"/>
            </w:pPr>
            <w:r>
              <w:t xml:space="preserve">Quantitative Analyst, reads charts, computes indicators</w:t>
            </w:r>
          </w:p>
        </w:tc>
      </w:tr>
      <w:tr>
        <w:tc>
          <w:tcPr/>
          <w:p>
            <w:pPr>
              <w:pStyle w:val="Compact"/>
            </w:pPr>
            <w:r>
              <w:t xml:space="preserve">Sentiment Agent</w:t>
            </w:r>
          </w:p>
        </w:tc>
        <w:tc>
          <w:tcPr/>
          <w:p>
            <w:pPr>
              <w:pStyle w:val="Compact"/>
            </w:pPr>
            <w:r>
              <w:t xml:space="preserve">Research Analyst, monitors news flow, analyst consensus</w:t>
            </w:r>
          </w:p>
        </w:tc>
      </w:tr>
      <w:tr>
        <w:tc>
          <w:tcPr/>
          <w:p>
            <w:pPr>
              <w:pStyle w:val="Compact"/>
            </w:pPr>
            <w:r>
              <w:t xml:space="preserve">Fundamentals Agent</w:t>
            </w:r>
          </w:p>
        </w:tc>
        <w:tc>
          <w:tcPr/>
          <w:p>
            <w:pPr>
              <w:pStyle w:val="Compact"/>
            </w:pPr>
            <w:r>
              <w:t xml:space="preserve">Fundamental Analyst, reviews financial statements, valuations</w:t>
            </w:r>
          </w:p>
        </w:tc>
      </w:tr>
      <w:tr>
        <w:tc>
          <w:tcPr/>
          <w:p>
            <w:pPr>
              <w:pStyle w:val="Compact"/>
            </w:pPr>
            <w:r>
              <w:t xml:space="preserve">Summarizer Agent</w:t>
            </w:r>
          </w:p>
        </w:tc>
        <w:tc>
          <w:tcPr/>
          <w:p>
            <w:pPr>
              <w:pStyle w:val="Compact"/>
            </w:pPr>
            <w:r>
              <w:t xml:space="preserve">Portfolio Manager, synthesises all inputs into a recommendation</w:t>
            </w:r>
          </w:p>
        </w:tc>
      </w:tr>
      <w:tr>
        <w:tc>
          <w:tcPr/>
          <w:p>
            <w:pPr>
              <w:pStyle w:val="Compact"/>
            </w:pPr>
            <w:r>
              <w:t xml:space="preserve">Trader Agent</w:t>
            </w:r>
          </w:p>
        </w:tc>
        <w:tc>
          <w:tcPr/>
          <w:p>
            <w:pPr>
              <w:pStyle w:val="Compact"/>
            </w:pPr>
            <w:r>
              <w:t xml:space="preserve">Execution Desk, sizes positions and generates trade orders</w:t>
            </w:r>
          </w:p>
        </w:tc>
      </w:tr>
      <w:tr>
        <w:tc>
          <w:tcPr/>
          <w:p>
            <w:pPr>
              <w:pStyle w:val="Compact"/>
            </w:pPr>
            <w:r>
              <w:t xml:space="preserve">Portfolio Validator</w:t>
            </w:r>
          </w:p>
        </w:tc>
        <w:tc>
          <w:tcPr/>
          <w:p>
            <w:pPr>
              <w:pStyle w:val="Compact"/>
            </w:pPr>
            <w:r>
              <w:t xml:space="preserve">Compliance/Risk Rules, checks concentration limits, cash floors</w:t>
            </w:r>
          </w:p>
        </w:tc>
      </w:tr>
    </w:tbl>
    <w:p>
      <w:pPr>
        <w:pStyle w:val="BodyText"/>
      </w:pPr>
      <w:r>
        <w:t xml:space="preserve">In practice, hedge funds rarely go</w:t>
      </w:r>
      <w:r>
        <w:t xml:space="preserve"> </w:t>
      </w:r>
      <w:r>
        <w:t xml:space="preserve">“all in”</w:t>
      </w:r>
      <w:r>
        <w:t xml:space="preserve"> </w:t>
      </w:r>
      <w:r>
        <w:t xml:space="preserve">on a single stock. Institutional portfolios typically maintain 10-30% cash reserves and cap individual positions at 5-15% of total capital. Our constraints are somewhat relaxed (10% cash floor, 40% position cap) given that we are dealing with a small universe of 3-5 stocks, but the principle of never allocating everything to a single name is the same.</w:t>
      </w:r>
    </w:p>
    <w:p>
      <w:pPr>
        <w:pStyle w:val="BodyText"/>
      </w:pPr>
      <w:r>
        <w:t xml:space="preserve">The four position sizing methods we offer, equal weight, conviction weight, volatility-adjusted, and half-Kelly, represent the spectrum of approaches used in quantitative finance. Equal weight is the simplest baseline. Conviction weighting is analogous to how a portfolio manager would size positions based on their level of confidence. Volatility-adjusted weighting is based on risk-parity principles, where positions in more volatile stocks are trimmed to equalise risk contributions. Half-Kelly represents the theoretical optimum for long-term capital growth, tempered by practical risk considerations (Thorp, 2006).</w:t>
      </w:r>
    </w:p>
    <w:p>
      <w:r>
        <w:pict>
          <v:rect style="width:0;height:1.5pt" o:hralign="center" o:hrstd="t" o:hr="t"/>
        </w:pict>
      </w:r>
    </w:p>
    <w:bookmarkEnd w:id="17"/>
    <w:bookmarkStart w:id="37" w:name="system-architecture-and-agent-workflows"/>
    <w:p>
      <w:pPr>
        <w:pStyle w:val="Heading2"/>
      </w:pPr>
      <w:r>
        <w:t xml:space="preserve">4. System Architecture and Agent Workflows</w:t>
      </w:r>
    </w:p>
    <w:p>
      <w:pPr>
        <w:pStyle w:val="FirstParagraph"/>
      </w:pPr>
      <w:r>
        <w:t xml:space="preserve">The system follows a sequential pipeline orchestrated by</w:t>
      </w:r>
      <w:r>
        <w:t xml:space="preserve"> </w:t>
      </w:r>
      <w:r>
        <w:rPr>
          <w:rStyle w:val="VerbatimChar"/>
        </w:rPr>
        <w:t xml:space="preserve">run_analysis.py</w:t>
      </w:r>
      <w:r>
        <w:t xml:space="preserve">. The orchestrator invokes each agent in order: technical analysis runs first, followed by per-ticker sentiment and fundamentals analysis, LLM synthesis, trading decisions, and finally portfolio validation.</w:t>
      </w:r>
    </w:p>
    <w:p>
      <w:pPr>
        <w:pStyle w:val="CaptionedFigure"/>
      </w:pPr>
      <w:r>
        <w:drawing>
          <wp:inline>
            <wp:extent cx="5486400" cy="5486400"/>
            <wp:effectExtent b="0" l="0" r="0" t="0"/>
            <wp:docPr descr="High-Level Pipeline Architecture" title="" id="19" name="Picture"/>
            <a:graphic>
              <a:graphicData uri="http://schemas.openxmlformats.org/drawingml/2006/picture">
                <pic:pic>
                  <pic:nvPicPr>
                    <pic:cNvPr descr="/Users/varun/Desktop/FYP_Project/Trading-Agent/results/pipeline_overview_1772344690319.png" id="20" name="Picture"/>
                    <pic:cNvPicPr>
                      <a:picLocks noChangeArrowheads="1" noChangeAspect="1"/>
                    </pic:cNvPicPr>
                  </pic:nvPicPr>
                  <pic:blipFill>
                    <a:blip r:embed="rId18"/>
                    <a:stretch>
                      <a:fillRect/>
                    </a:stretch>
                  </pic:blipFill>
                  <pic:spPr bwMode="auto">
                    <a:xfrm>
                      <a:off x="0" y="0"/>
                      <a:ext cx="5486400" cy="5486400"/>
                    </a:xfrm>
                    <a:prstGeom prst="rect">
                      <a:avLst/>
                    </a:prstGeom>
                    <a:noFill/>
                    <a:ln w="9525">
                      <a:noFill/>
                      <a:headEnd/>
                      <a:tailEnd/>
                    </a:ln>
                  </pic:spPr>
                </pic:pic>
              </a:graphicData>
            </a:graphic>
          </wp:inline>
        </w:drawing>
      </w:r>
    </w:p>
    <w:p>
      <w:pPr>
        <w:pStyle w:val="ImageCaption"/>
      </w:pPr>
      <w:r>
        <w:t xml:space="preserve">High-Level Pipeline Architecture</w:t>
      </w:r>
    </w:p>
    <w:p>
      <w:pPr>
        <w:pStyle w:val="BodyText"/>
      </w:pPr>
      <w:r>
        <w:rPr>
          <w:b/>
          <w:bCs/>
        </w:rPr>
        <w:t xml:space="preserve">Figure 1.</w:t>
      </w:r>
      <w:r>
        <w:t xml:space="preserve"> </w:t>
      </w:r>
      <w:r>
        <w:t xml:space="preserve">The full pipeline. The Orchestrator triggers the three analysis agents in parallel (per ticker), feeds their outputs to the Summarizer for LLM synthesis, then passes everything to the Trader Agent for position sizing. The Portfolio Validator runs final constraint checks before the results are saved.</w:t>
      </w:r>
    </w:p>
    <w:bookmarkStart w:id="24" w:name="technical-agent-workflow"/>
    <w:p>
      <w:pPr>
        <w:pStyle w:val="Heading3"/>
      </w:pPr>
      <w:r>
        <w:t xml:space="preserve">4.1 Technical Agent Workflow</w:t>
      </w:r>
    </w:p>
    <w:p>
      <w:pPr>
        <w:pStyle w:val="FirstParagraph"/>
      </w:pPr>
      <w:r>
        <w:t xml:space="preserve">The Technical Agent executes a four-node LangGraph pipeline (</w:t>
      </w:r>
      <w:r>
        <w:rPr>
          <w:rStyle w:val="VerbatimChar"/>
        </w:rPr>
        <w:t xml:space="preserve">fetch_data</w:t>
      </w:r>
      <w:r>
        <w:t xml:space="preserve"> </w:t>
      </w:r>
      <w:r>
        <w:t xml:space="preserve">→</w:t>
      </w:r>
      <w:r>
        <w:t xml:space="preserve"> </w:t>
      </w:r>
      <w:r>
        <w:rPr>
          <w:rStyle w:val="VerbatimChar"/>
        </w:rPr>
        <w:t xml:space="preserve">indicators</w:t>
      </w:r>
      <w:r>
        <w:t xml:space="preserve"> </w:t>
      </w:r>
      <w:r>
        <w:t xml:space="preserve">→</w:t>
      </w:r>
      <w:r>
        <w:t xml:space="preserve"> </w:t>
      </w:r>
      <w:r>
        <w:rPr>
          <w:rStyle w:val="VerbatimChar"/>
        </w:rPr>
        <w:t xml:space="preserve">signals</w:t>
      </w:r>
      <w:r>
        <w:t xml:space="preserve"> </w:t>
      </w:r>
      <w:r>
        <w:t xml:space="preserve">→</w:t>
      </w:r>
      <w:r>
        <w:t xml:space="preserve"> </w:t>
      </w:r>
      <w:r>
        <w:rPr>
          <w:rStyle w:val="VerbatimChar"/>
        </w:rPr>
        <w:t xml:space="preserve">summary</w:t>
      </w:r>
      <w:r>
        <w:t xml:space="preserve">). It computes a comprehensive suite of indicators using</w:t>
      </w:r>
      <w:r>
        <w:t xml:space="preserve"> </w:t>
      </w:r>
      <w:r>
        <w:rPr>
          <w:rStyle w:val="VerbatimChar"/>
        </w:rPr>
        <w:t xml:space="preserve">pandas-ta</w:t>
      </w:r>
      <w:r>
        <w:t xml:space="preserve">, including standard moving averages (SMA, EMA), oscillators (MACD, Stochastic), and trend indicators (ADX, Supertrend, Ichimoku Cloud). Crucially, the system employs an adaptive dual-period RSI configuration (periods 9 and 14) with dynamically adjusted overbought/oversold thresholds of 75/25, respectively. This departure from the traditional 70/30 thresholds reduces false-positive signals in highly volatile technology stocks. The agent evaluates twelve distinct rule-based mathematical signals, such as Donchian Channel breakouts and Parabolic SAR (PSAR) directional flips, and synthesizes these into a cohesive posture using either a configured LLM or deterministic rule-based fallbacks.</w:t>
      </w:r>
    </w:p>
    <w:p>
      <w:pPr>
        <w:pStyle w:val="CaptionedFigure"/>
      </w:pPr>
      <w:r>
        <w:drawing>
          <wp:inline>
            <wp:extent cx="5486400" cy="5486400"/>
            <wp:effectExtent b="0" l="0" r="0" t="0"/>
            <wp:docPr descr="Technical Agent Workflow" title="" id="22" name="Picture"/>
            <a:graphic>
              <a:graphicData uri="http://schemas.openxmlformats.org/drawingml/2006/picture">
                <pic:pic>
                  <pic:nvPicPr>
                    <pic:cNvPr descr="/Users/varun/Desktop/FYP_Project/Trading-Agent/results/technical_workflow_1772345216266.png" id="23" name="Picture"/>
                    <pic:cNvPicPr>
                      <a:picLocks noChangeArrowheads="1" noChangeAspect="1"/>
                    </pic:cNvPicPr>
                  </pic:nvPicPr>
                  <pic:blipFill>
                    <a:blip r:embed="rId21"/>
                    <a:stretch>
                      <a:fillRect/>
                    </a:stretch>
                  </pic:blipFill>
                  <pic:spPr bwMode="auto">
                    <a:xfrm>
                      <a:off x="0" y="0"/>
                      <a:ext cx="5486400" cy="5486400"/>
                    </a:xfrm>
                    <a:prstGeom prst="rect">
                      <a:avLst/>
                    </a:prstGeom>
                    <a:noFill/>
                    <a:ln w="9525">
                      <a:noFill/>
                      <a:headEnd/>
                      <a:tailEnd/>
                    </a:ln>
                  </pic:spPr>
                </pic:pic>
              </a:graphicData>
            </a:graphic>
          </wp:inline>
        </w:drawing>
      </w:r>
    </w:p>
    <w:p>
      <w:pPr>
        <w:pStyle w:val="ImageCaption"/>
      </w:pPr>
      <w:r>
        <w:t xml:space="preserve">Technical Agent Workflow</w:t>
      </w:r>
    </w:p>
    <w:p>
      <w:pPr>
        <w:pStyle w:val="BodyText"/>
      </w:pPr>
      <w:r>
        <w:rPr>
          <w:b/>
          <w:bCs/>
        </w:rPr>
        <w:t xml:space="preserve">Figure 2.</w:t>
      </w:r>
      <w:r>
        <w:t xml:space="preserve"> </w:t>
      </w:r>
      <w:r>
        <w:t xml:space="preserve">Technical Agent internal workflow displaying the computational pipeline from data ingestion to mathematical signal extraction.</w:t>
      </w:r>
    </w:p>
    <w:bookmarkEnd w:id="24"/>
    <w:bookmarkStart w:id="28" w:name="sentiment-agent-workflow"/>
    <w:p>
      <w:pPr>
        <w:pStyle w:val="Heading3"/>
      </w:pPr>
      <w:r>
        <w:t xml:space="preserve">4.2 Sentiment Agent Workflow</w:t>
      </w:r>
    </w:p>
    <w:p>
      <w:pPr>
        <w:pStyle w:val="FirstParagraph"/>
      </w:pPr>
      <w:r>
        <w:t xml:space="preserve">The sentiment pipeline is implemented as an eight-node, explicitly sequential LangGraph directed acyclic graph (</w:t>
      </w:r>
      <w:r>
        <w:rPr>
          <w:rStyle w:val="VerbatimChar"/>
        </w:rPr>
        <w:t xml:space="preserve">news</w:t>
      </w:r>
      <w:r>
        <w:t xml:space="preserve"> </w:t>
      </w:r>
      <w:r>
        <w:t xml:space="preserve">→</w:t>
      </w:r>
      <w:r>
        <w:t xml:space="preserve"> </w:t>
      </w:r>
      <w:r>
        <w:rPr>
          <w:rStyle w:val="VerbatimChar"/>
        </w:rPr>
        <w:t xml:space="preserve">social</w:t>
      </w:r>
      <w:r>
        <w:t xml:space="preserve"> </w:t>
      </w:r>
      <w:r>
        <w:t xml:space="preserve">→</w:t>
      </w:r>
      <w:r>
        <w:t xml:space="preserve"> </w:t>
      </w:r>
      <w:r>
        <w:rPr>
          <w:rStyle w:val="VerbatimChar"/>
        </w:rPr>
        <w:t xml:space="preserve">analyst</w:t>
      </w:r>
      <w:r>
        <w:t xml:space="preserve"> </w:t>
      </w:r>
      <w:r>
        <w:t xml:space="preserve">→</w:t>
      </w:r>
      <w:r>
        <w:t xml:space="preserve"> </w:t>
      </w:r>
      <w:r>
        <w:rPr>
          <w:rStyle w:val="VerbatimChar"/>
        </w:rPr>
        <w:t xml:space="preserve">web</w:t>
      </w:r>
      <w:r>
        <w:t xml:space="preserve"> </w:t>
      </w:r>
      <w:r>
        <w:t xml:space="preserve">→</w:t>
      </w:r>
      <w:r>
        <w:t xml:space="preserve"> </w:t>
      </w:r>
      <w:r>
        <w:rPr>
          <w:rStyle w:val="VerbatimChar"/>
        </w:rPr>
        <w:t xml:space="preserve">debate</w:t>
      </w:r>
      <w:r>
        <w:t xml:space="preserve"> </w:t>
      </w:r>
      <w:r>
        <w:t xml:space="preserve">→</w:t>
      </w:r>
      <w:r>
        <w:t xml:space="preserve"> </w:t>
      </w:r>
      <w:r>
        <w:rPr>
          <w:rStyle w:val="VerbatimChar"/>
        </w:rPr>
        <w:t xml:space="preserve">aggregate</w:t>
      </w:r>
      <w:r>
        <w:t xml:space="preserve"> </w:t>
      </w:r>
      <w:r>
        <w:t xml:space="preserve">→</w:t>
      </w:r>
      <w:r>
        <w:t xml:space="preserve"> </w:t>
      </w:r>
      <w:r>
        <w:rPr>
          <w:rStyle w:val="VerbatimChar"/>
        </w:rPr>
        <w:t xml:space="preserve">summary</w:t>
      </w:r>
      <w:r>
        <w:t xml:space="preserve"> </w:t>
      </w:r>
      <w:r>
        <w:t xml:space="preserve">→</w:t>
      </w:r>
      <w:r>
        <w:t xml:space="preserve"> </w:t>
      </w:r>
      <w:r>
        <w:rPr>
          <w:rStyle w:val="VerbatimChar"/>
        </w:rPr>
        <w:t xml:space="preserve">report</w:t>
      </w:r>
      <w:r>
        <w:t xml:space="preserve">). The decision to execute sequentially rather than concurrently is a deliberate architectural trade-off designed to gracefully manage strict API rate limits (e.g., HTTP 429 exceptions from free-tier Groq and Gemini endpoints) and ensure high system reliability over speed.</w:t>
      </w:r>
    </w:p>
    <w:p>
      <w:pPr>
        <w:pStyle w:val="BodyText"/>
      </w:pPr>
      <w:r>
        <w:t xml:space="preserve">The pipeline collects data from four primary channels: financial news (Finviz and Yahoo Finance scraping), social media (Reddit buzz via ApeWisdom), analyst ratings (Finnhub API), and web search (DuckDuckGo). Following individual LLM scoring, a</w:t>
      </w:r>
      <w:r>
        <w:t xml:space="preserve"> </w:t>
      </w:r>
      <w:r>
        <w:rPr>
          <w:rStyle w:val="VerbatimChar"/>
        </w:rPr>
        <w:t xml:space="preserve">debate</w:t>
      </w:r>
      <w:r>
        <w:t xml:space="preserve"> </w:t>
      </w:r>
      <w:r>
        <w:t xml:space="preserve">node synthesizes a bull-vs-bear argument. Finally, the</w:t>
      </w:r>
      <w:r>
        <w:t xml:space="preserve"> </w:t>
      </w:r>
      <w:r>
        <w:rPr>
          <w:rStyle w:val="VerbatimChar"/>
        </w:rPr>
        <w:t xml:space="preserve">AggregatorAgent</w:t>
      </w:r>
      <w:r>
        <w:t xml:space="preserve"> </w:t>
      </w:r>
      <w:r>
        <w:t xml:space="preserve">fuses these dimensions mathematically using research-backed weights: Analyst Consensus (0.40), Financial News (0.35), Social Media (0.15), and Web Search (0.10). Notably, the web scraper includes a</w:t>
      </w:r>
      <w:r>
        <w:t xml:space="preserve"> </w:t>
      </w:r>
      <w:r>
        <w:t xml:space="preserve">“zero-means-missing”</w:t>
      </w:r>
      <w:r>
        <w:t xml:space="preserve"> </w:t>
      </w:r>
      <w:r>
        <w:t xml:space="preserve">feature; if rate-limited to a 0.0 score, the agent dynamically redistributes the 10% weight to the remaining channels to protect the integrity of the composite score. An analyst confidence floor ensures that strong institutional consensus acts as a stabilizing anchor for the final confidence metric.</w:t>
      </w:r>
    </w:p>
    <w:p>
      <w:pPr>
        <w:pStyle w:val="CaptionedFigure"/>
      </w:pPr>
      <w:r>
        <w:drawing>
          <wp:inline>
            <wp:extent cx="5486400" cy="5486400"/>
            <wp:effectExtent b="0" l="0" r="0" t="0"/>
            <wp:docPr descr="Sentiment Agent Workflow" title="" id="26" name="Picture"/>
            <a:graphic>
              <a:graphicData uri="http://schemas.openxmlformats.org/drawingml/2006/picture">
                <pic:pic>
                  <pic:nvPicPr>
                    <pic:cNvPr descr="/Users/varun/Desktop/FYP_Project/Trading-Agent/results/sentiment_workflow_1772344722007.png" id="27" name="Picture"/>
                    <pic:cNvPicPr>
                      <a:picLocks noChangeArrowheads="1" noChangeAspect="1"/>
                    </pic:cNvPicPr>
                  </pic:nvPicPr>
                  <pic:blipFill>
                    <a:blip r:embed="rId25"/>
                    <a:stretch>
                      <a:fillRect/>
                    </a:stretch>
                  </pic:blipFill>
                  <pic:spPr bwMode="auto">
                    <a:xfrm>
                      <a:off x="0" y="0"/>
                      <a:ext cx="5486400" cy="5486400"/>
                    </a:xfrm>
                    <a:prstGeom prst="rect">
                      <a:avLst/>
                    </a:prstGeom>
                    <a:noFill/>
                    <a:ln w="9525">
                      <a:noFill/>
                      <a:headEnd/>
                      <a:tailEnd/>
                    </a:ln>
                  </pic:spPr>
                </pic:pic>
              </a:graphicData>
            </a:graphic>
          </wp:inline>
        </w:drawing>
      </w:r>
    </w:p>
    <w:p>
      <w:pPr>
        <w:pStyle w:val="ImageCaption"/>
      </w:pPr>
      <w:r>
        <w:t xml:space="preserve">Sentiment Agent Workflow</w:t>
      </w:r>
    </w:p>
    <w:p>
      <w:pPr>
        <w:pStyle w:val="BodyText"/>
      </w:pPr>
      <w:r>
        <w:rPr>
          <w:b/>
          <w:bCs/>
        </w:rPr>
        <w:t xml:space="preserve">Figure 3.</w:t>
      </w:r>
      <w:r>
        <w:t xml:space="preserve"> </w:t>
      </w:r>
      <w:r>
        <w:t xml:space="preserve">Sentiment Agent internal workflow. Source weights are configurable and optimized for reliability.</w:t>
      </w:r>
    </w:p>
    <w:bookmarkEnd w:id="28"/>
    <w:bookmarkStart w:id="32" w:name="fundamentals-agent-workflow"/>
    <w:p>
      <w:pPr>
        <w:pStyle w:val="Heading3"/>
      </w:pPr>
      <w:r>
        <w:t xml:space="preserve">4.3 Fundamentals Agent Workflow</w:t>
      </w:r>
    </w:p>
    <w:p>
      <w:pPr>
        <w:pStyle w:val="FirstParagraph"/>
      </w:pPr>
      <w:r>
        <w:t xml:space="preserve">The Fundamentals Agent fetches structured financial statements using a dual-vendor fallback paradigm (</w:t>
      </w:r>
      <w:r>
        <w:rPr>
          <w:rStyle w:val="VerbatimChar"/>
        </w:rPr>
        <w:t xml:space="preserve">yfinance</w:t>
      </w:r>
      <w:r>
        <w:t xml:space="preserve"> </w:t>
      </w:r>
      <w:r>
        <w:t xml:space="preserve">primary, Alpha Vantage secondary). This guarantees robust ingestion of income statements, balance sheets, and cash flows.</w:t>
      </w:r>
    </w:p>
    <w:p>
      <w:pPr>
        <w:pStyle w:val="BodyText"/>
      </w:pPr>
      <w:r>
        <w:t xml:space="preserve">A cornerstone of this agent is its discrete implementation of the 9-criterion Piotroski F-Score (Piotroski, 2000). The agent evaluates nine binary heuristics grouped into three dimensions: profitability (e.g., positive ROA, positive Operating Cash Flow, CFO &gt; ROA), leverage and liquidity (e.g., decreasing debt-to-equity, current ratio &gt; 1.0), and operating efficiency (e.g., positive gross margin, positive asset turnover). The resultant sum dictates a hard categorical rating (Strong, Average, Weak). Crucially, this score acts as an algorithmic quality gate: any company scoring an F-Score of 2 or below has any generated</w:t>
      </w:r>
      <w:r>
        <w:t xml:space="preserve"> </w:t>
      </w:r>
      <w:r>
        <w:t xml:space="preserve">“BUY”</w:t>
      </w:r>
      <w:r>
        <w:t xml:space="preserve"> </w:t>
      </w:r>
      <w:r>
        <w:t xml:space="preserve">signals actively overridden to</w:t>
      </w:r>
      <w:r>
        <w:t xml:space="preserve"> </w:t>
      </w:r>
      <w:r>
        <w:t xml:space="preserve">“HOLD”</w:t>
      </w:r>
      <w:r>
        <w:t xml:space="preserve">, serving as built-in protection against value traps and distressed equities.</w:t>
      </w:r>
    </w:p>
    <w:p>
      <w:pPr>
        <w:pStyle w:val="CaptionedFigure"/>
      </w:pPr>
      <w:r>
        <w:drawing>
          <wp:inline>
            <wp:extent cx="5486400" cy="5486400"/>
            <wp:effectExtent b="0" l="0" r="0" t="0"/>
            <wp:docPr descr="Fundamentals Agent Workflow" title="" id="30" name="Picture"/>
            <a:graphic>
              <a:graphicData uri="http://schemas.openxmlformats.org/drawingml/2006/picture">
                <pic:pic>
                  <pic:nvPicPr>
                    <pic:cNvPr descr="/Users/varun/Desktop/FYP_Project/Trading-Agent/results/fundamentals_workflow_1772344749415.png" id="31" name="Picture"/>
                    <pic:cNvPicPr>
                      <a:picLocks noChangeArrowheads="1" noChangeAspect="1"/>
                    </pic:cNvPicPr>
                  </pic:nvPicPr>
                  <pic:blipFill>
                    <a:blip r:embed="rId29"/>
                    <a:stretch>
                      <a:fillRect/>
                    </a:stretch>
                  </pic:blipFill>
                  <pic:spPr bwMode="auto">
                    <a:xfrm>
                      <a:off x="0" y="0"/>
                      <a:ext cx="5486400" cy="5486400"/>
                    </a:xfrm>
                    <a:prstGeom prst="rect">
                      <a:avLst/>
                    </a:prstGeom>
                    <a:noFill/>
                    <a:ln w="9525">
                      <a:noFill/>
                      <a:headEnd/>
                      <a:tailEnd/>
                    </a:ln>
                  </pic:spPr>
                </pic:pic>
              </a:graphicData>
            </a:graphic>
          </wp:inline>
        </w:drawing>
      </w:r>
    </w:p>
    <w:p>
      <w:pPr>
        <w:pStyle w:val="ImageCaption"/>
      </w:pPr>
      <w:r>
        <w:t xml:space="preserve">Fundamentals Agent Workflow</w:t>
      </w:r>
    </w:p>
    <w:p>
      <w:pPr>
        <w:pStyle w:val="BodyText"/>
      </w:pPr>
      <w:r>
        <w:rPr>
          <w:b/>
          <w:bCs/>
        </w:rPr>
        <w:t xml:space="preserve">Figure 4.</w:t>
      </w:r>
      <w:r>
        <w:t xml:space="preserve"> </w:t>
      </w:r>
      <w:r>
        <w:t xml:space="preserve">Fundamentals Agent workflow showcasing the F-Score quality gate mechanism.</w:t>
      </w:r>
    </w:p>
    <w:bookmarkEnd w:id="32"/>
    <w:bookmarkStart w:id="36" w:name="Xd8a7f30f1039df20e7ba8f8042440d6b817dffd"/>
    <w:p>
      <w:pPr>
        <w:pStyle w:val="Heading3"/>
      </w:pPr>
      <w:r>
        <w:t xml:space="preserve">4.4 Trader Agent and Portfolio Validator Workflows</w:t>
      </w:r>
    </w:p>
    <w:p>
      <w:pPr>
        <w:pStyle w:val="FirstParagraph"/>
      </w:pPr>
      <w:r>
        <w:t xml:space="preserve">The Trader Agent ingests the multi-dimensional output through an LLM adapter that derives three canonical metrics: the ultimate Signal (BUY/HOLD/SELL), a Conviction Score (0.0–10.0), and an Expected Return. To ensure deterministic resilience, this adapter employs robust regex parsing and weighted feature integration as a fallback if the LLM inference fails.</w:t>
      </w:r>
    </w:p>
    <w:p>
      <w:pPr>
        <w:pStyle w:val="BodyText"/>
      </w:pPr>
      <w:r>
        <w:t xml:space="preserve">For position sizing, the agent dynamically selects between four implementations exposed as LangChain tools: Equal Weighting, Conviction Weighting, Volatility-Adjusted Weighting (Risk Parity based on annualized ATR/Bollinger estimates), and a Fractional Kelly Criterion. The Kelly fraction is mathematically modeled as</w:t>
      </w:r>
      <w:r>
        <w:t xml:space="preserve"> </w:t>
      </w:r>
      <m:oMath>
        <m:sSup>
          <m:e>
            <m:r>
              <m:t>f</m:t>
            </m:r>
          </m:e>
          <m:sup>
            <m:r>
              <m:rPr>
                <m:sty m:val="p"/>
              </m:rPr>
              <m:t>*</m:t>
            </m:r>
          </m:sup>
        </m:sSup>
        <m:r>
          <m:rPr>
            <m:sty m:val="p"/>
          </m:rPr>
          <m:t>=</m:t>
        </m:r>
        <m:r>
          <m:rPr>
            <m:sty m:val="p"/>
          </m:rPr>
          <m:t>(</m:t>
        </m:r>
        <m:r>
          <m:t>p</m:t>
        </m:r>
        <m:r>
          <m:t>b</m:t>
        </m:r>
        <m:r>
          <m:rPr>
            <m:sty m:val="p"/>
          </m:rPr>
          <m:t>,</m:t>
        </m:r>
        <m:r>
          <m:t>q</m:t>
        </m:r>
        <m:r>
          <m:rPr>
            <m:sty m:val="p"/>
          </m:rPr>
          <m:t>)</m:t>
        </m:r>
        <m:r>
          <m:rPr>
            <m:sty m:val="p"/>
          </m:rPr>
          <m:t>/</m:t>
        </m:r>
        <m:r>
          <m:t>b</m:t>
        </m:r>
      </m:oMath>
      <w:r>
        <w:t xml:space="preserve">, tempered by a conservative half-Kelly multiplier (0.5x) to mitigate downside variance (Thorp, 2006).</w:t>
      </w:r>
    </w:p>
    <w:p>
      <w:pPr>
        <w:pStyle w:val="BodyText"/>
      </w:pPr>
      <w:r>
        <w:t xml:space="preserve">Finally, the</w:t>
      </w:r>
      <w:r>
        <w:t xml:space="preserve"> </w:t>
      </w:r>
      <w:r>
        <w:rPr>
          <w:rStyle w:val="VerbatimChar"/>
        </w:rPr>
        <w:t xml:space="preserve">PortfolioValidator</w:t>
      </w:r>
      <w:r>
        <w:t xml:space="preserve"> </w:t>
      </w:r>
      <w:r>
        <w:t xml:space="preserve">operates as an independent post-processing compliance layer. Inspired by constraints from FINCON (Yu et al., 2024), it enforces absolute arithmetic boundaries: a maximum single-position cap of 40%, and a maximum aggregate portfolio exposure of 90% (ensuring a permanent 10% tactical cash floor).</w:t>
      </w:r>
    </w:p>
    <w:p>
      <w:pPr>
        <w:pStyle w:val="CaptionedFigure"/>
      </w:pPr>
      <w:r>
        <w:drawing>
          <wp:inline>
            <wp:extent cx="5486400" cy="5486400"/>
            <wp:effectExtent b="0" l="0" r="0" t="0"/>
            <wp:docPr descr="Trader Agent Workflow" title="" id="34" name="Picture"/>
            <a:graphic>
              <a:graphicData uri="http://schemas.openxmlformats.org/drawingml/2006/picture">
                <pic:pic>
                  <pic:nvPicPr>
                    <pic:cNvPr descr="/Users/varun/Desktop/FYP_Project/Trading-Agent/results/trader_workflow_1772344782855.png" id="35" name="Picture"/>
                    <pic:cNvPicPr>
                      <a:picLocks noChangeArrowheads="1" noChangeAspect="1"/>
                    </pic:cNvPicPr>
                  </pic:nvPicPr>
                  <pic:blipFill>
                    <a:blip r:embed="rId33"/>
                    <a:stretch>
                      <a:fillRect/>
                    </a:stretch>
                  </pic:blipFill>
                  <pic:spPr bwMode="auto">
                    <a:xfrm>
                      <a:off x="0" y="0"/>
                      <a:ext cx="5486400" cy="5486400"/>
                    </a:xfrm>
                    <a:prstGeom prst="rect">
                      <a:avLst/>
                    </a:prstGeom>
                    <a:noFill/>
                    <a:ln w="9525">
                      <a:noFill/>
                      <a:headEnd/>
                      <a:tailEnd/>
                    </a:ln>
                  </pic:spPr>
                </pic:pic>
              </a:graphicData>
            </a:graphic>
          </wp:inline>
        </w:drawing>
      </w:r>
    </w:p>
    <w:p>
      <w:pPr>
        <w:pStyle w:val="ImageCaption"/>
      </w:pPr>
      <w:r>
        <w:t xml:space="preserve">Trader Agent Workflow</w:t>
      </w:r>
    </w:p>
    <w:p>
      <w:pPr>
        <w:pStyle w:val="BodyText"/>
      </w:pPr>
      <w:r>
        <w:rPr>
          <w:b/>
          <w:bCs/>
        </w:rPr>
        <w:t xml:space="preserve">Figure 5.</w:t>
      </w:r>
      <w:r>
        <w:t xml:space="preserve"> </w:t>
      </w:r>
      <w:r>
        <w:t xml:space="preserve">Trader Agent and Portfolio Validator integration, enforcing stringent risk controls prior to order generation.</w:t>
      </w:r>
    </w:p>
    <w:p>
      <w:r>
        <w:pict>
          <v:rect style="width:0;height:1.5pt" o:hralign="center" o:hrstd="t" o:hr="t"/>
        </w:pict>
      </w:r>
    </w:p>
    <w:bookmarkEnd w:id="36"/>
    <w:bookmarkEnd w:id="37"/>
    <w:bookmarkStart w:id="40" w:name="implementation-details"/>
    <w:p>
      <w:pPr>
        <w:pStyle w:val="Heading2"/>
      </w:pPr>
      <w:r>
        <w:t xml:space="preserve">5. Implementation Details</w:t>
      </w:r>
    </w:p>
    <w:bookmarkStart w:id="38" w:name="code-structure"/>
    <w:p>
      <w:pPr>
        <w:pStyle w:val="Heading3"/>
      </w:pPr>
      <w:r>
        <w:t xml:space="preserve">5.1 Code Structure</w:t>
      </w:r>
    </w:p>
    <w:p>
      <w:pPr>
        <w:pStyle w:val="FirstParagraph"/>
      </w:pPr>
      <w:r>
        <w:t xml:space="preserve">The codebase is organized using a highly modular, decoupled package architecture conducive to microservice evolution:</w:t>
      </w:r>
    </w:p>
    <w:p>
      <w:pPr>
        <w:pStyle w:val="SourceCode"/>
      </w:pPr>
      <w:r>
        <w:rPr>
          <w:rStyle w:val="VerbatimChar"/>
        </w:rPr>
        <w:t xml:space="preserve">Trading-Agent/</w:t>
      </w:r>
      <w:r>
        <w:br/>
      </w:r>
      <w:r>
        <w:rPr>
          <w:rStyle w:val="VerbatimChar"/>
        </w:rPr>
        <w:t xml:space="preserve">├── run_analysis.py              # Main sequential orchestrator</w:t>
      </w:r>
      <w:r>
        <w:br/>
      </w:r>
      <w:r>
        <w:rPr>
          <w:rStyle w:val="VerbatimChar"/>
        </w:rPr>
        <w:t xml:space="preserve">├── dashboard.py                 # Entry-point for the Dash web application</w:t>
      </w:r>
      <w:r>
        <w:br/>
      </w:r>
      <w:r>
        <w:rPr>
          <w:rStyle w:val="VerbatimChar"/>
        </w:rPr>
        <w:t xml:space="preserve">├── dashboard/app.py             # Interactive visualizations and UI routing</w:t>
      </w:r>
      <w:r>
        <w:br/>
      </w:r>
      <w:r>
        <w:rPr>
          <w:rStyle w:val="VerbatimChar"/>
        </w:rPr>
        <w:t xml:space="preserve">├── technical_agent/             # Dual-RSI, MACD, ADX, Bollinger, Supertrend, signal aggregators</w:t>
      </w:r>
      <w:r>
        <w:br/>
      </w:r>
      <w:r>
        <w:rPr>
          <w:rStyle w:val="VerbatimChar"/>
        </w:rPr>
        <w:t xml:space="preserve">├── sentiment_agent/             # 8-node sequential LangGraph multi-source fusion</w:t>
      </w:r>
      <w:r>
        <w:br/>
      </w:r>
      <w:r>
        <w:rPr>
          <w:rStyle w:val="VerbatimChar"/>
        </w:rPr>
        <w:t xml:space="preserve">├── fundamentals_agent/          # Dual-vendor data ingestion and Piotroski F-Score logic</w:t>
      </w:r>
      <w:r>
        <w:br/>
      </w:r>
      <w:r>
        <w:rPr>
          <w:rStyle w:val="VerbatimChar"/>
        </w:rPr>
        <w:t xml:space="preserve">├── summarizer_agent/            # Context-aware LLM synthesis</w:t>
      </w:r>
      <w:r>
        <w:br/>
      </w:r>
      <w:r>
        <w:rPr>
          <w:rStyle w:val="VerbatimChar"/>
        </w:rPr>
        <w:t xml:space="preserve">├── trader_agent/                # Position sizing (Kelly, Risk Parity) + LLM Adapter</w:t>
      </w:r>
      <w:r>
        <w:br/>
      </w:r>
      <w:r>
        <w:rPr>
          <w:rStyle w:val="VerbatimChar"/>
        </w:rPr>
        <w:t xml:space="preserve">└── portfolio_validator/         # Post-processing empirical constraints compliance</w:t>
      </w:r>
    </w:p>
    <w:p>
      <w:pPr>
        <w:pStyle w:val="FirstParagraph"/>
      </w:pPr>
      <w:r>
        <w:t xml:space="preserve">Configuration is rigorously managed via</w:t>
      </w:r>
      <w:r>
        <w:t xml:space="preserve"> </w:t>
      </w:r>
      <w:r>
        <w:rPr>
          <w:rStyle w:val="VerbatimChar"/>
        </w:rPr>
        <w:t xml:space="preserve">pydantic-settings</w:t>
      </w:r>
      <w:r>
        <w:t xml:space="preserve">, parsing</w:t>
      </w:r>
      <w:r>
        <w:t xml:space="preserve"> </w:t>
      </w:r>
      <w:r>
        <w:rPr>
          <w:rStyle w:val="VerbatimChar"/>
        </w:rPr>
        <w:t xml:space="preserve">.env</w:t>
      </w:r>
      <w:r>
        <w:t xml:space="preserve"> </w:t>
      </w:r>
      <w:r>
        <w:t xml:space="preserve">files into strictly typed models across the agents. The LLM infrastructure abstracts API complexities through a custom factory (</w:t>
      </w:r>
      <w:r>
        <w:rPr>
          <w:rStyle w:val="VerbatimChar"/>
        </w:rPr>
        <w:t xml:space="preserve">llm.py</w:t>
      </w:r>
      <w:r>
        <w:t xml:space="preserve">), dynamically supporting</w:t>
      </w:r>
      <w:r>
        <w:t xml:space="preserve"> </w:t>
      </w:r>
      <w:r>
        <w:rPr>
          <w:rStyle w:val="VerbatimChar"/>
        </w:rPr>
        <w:t xml:space="preserve">langchain-groq</w:t>
      </w:r>
      <w:r>
        <w:t xml:space="preserve"> </w:t>
      </w:r>
      <w:r>
        <w:t xml:space="preserve">(Llama 3.3 70B),</w:t>
      </w:r>
      <w:r>
        <w:t xml:space="preserve"> </w:t>
      </w:r>
      <w:r>
        <w:rPr>
          <w:rStyle w:val="VerbatimChar"/>
        </w:rPr>
        <w:t xml:space="preserve">langchain-google-genai</w:t>
      </w:r>
      <w:r>
        <w:t xml:space="preserve"> </w:t>
      </w:r>
      <w:r>
        <w:t xml:space="preserve">(Gemini 2.0 Flash), and localized models via Ollama.</w:t>
      </w:r>
    </w:p>
    <w:bookmarkEnd w:id="38"/>
    <w:bookmarkStart w:id="39" w:name="key-architectural-decisions"/>
    <w:p>
      <w:pPr>
        <w:pStyle w:val="Heading3"/>
      </w:pPr>
      <w:r>
        <w:t xml:space="preserve">5.2 Key Architectural Decisions</w:t>
      </w:r>
    </w:p>
    <w:p>
      <w:pPr>
        <w:pStyle w:val="FirstParagraph"/>
      </w:pPr>
      <w:r>
        <w:rPr>
          <w:b/>
          <w:bCs/>
        </w:rPr>
        <w:t xml:space="preserve">Sequential Agent Execution:</w:t>
      </w:r>
      <w:r>
        <w:t xml:space="preserve"> </w:t>
      </w:r>
      <w:r>
        <w:t xml:space="preserve">While concurrent invocation presents theoretical speedup advantages, evaluating the LangGraph sentiment pipeline sequentially prevents catastrophic cascading failures caused by free-tier API rate limits. Sequential execution enforces stability and predictable memory footprint over execution velocity, a paramount concern in autonomous financial systems.</w:t>
      </w:r>
    </w:p>
    <w:p>
      <w:pPr>
        <w:pStyle w:val="BodyText"/>
      </w:pPr>
      <w:r>
        <w:rPr>
          <w:b/>
          <w:bCs/>
        </w:rPr>
        <w:t xml:space="preserve">Formula Fallback Determinism:</w:t>
      </w:r>
      <w:r>
        <w:t xml:space="preserve"> </w:t>
      </w:r>
      <w:r>
        <w:t xml:space="preserve">Pure LLM configurations are notoriously opaque and non-deterministic. Every generative inference node invoking LLMs (especially the trader adapter parsing signals, returns, and conviction) features a rigorously coded mathematical fallback. If inference fails or exceeds timeouts, regex heuristic parsing and mathematically weighted feature vectors (fusing technical trend directions with sentiment scores) seamlessly assume control to guarantee continuous system operability.</w:t>
      </w:r>
    </w:p>
    <w:p>
      <w:pPr>
        <w:pStyle w:val="BodyText"/>
      </w:pPr>
      <w:r>
        <w:rPr>
          <w:b/>
          <w:bCs/>
        </w:rPr>
        <w:t xml:space="preserve">Algorithmic Quality Controls:</w:t>
      </w:r>
      <w:r>
        <w:t xml:space="preserve"> </w:t>
      </w:r>
      <w:r>
        <w:t xml:space="preserve">Subjective LLM reasoning is checked by absolute empirical models. LLM approximations of portfolio volatility are explicitly disallowed;</w:t>
      </w:r>
      <w:r>
        <w:t xml:space="preserve"> </w:t>
      </w:r>
      <w:r>
        <w:rPr>
          <w:rStyle w:val="VerbatimChar"/>
        </w:rPr>
        <w:t xml:space="preserve">adapter.py</w:t>
      </w:r>
      <w:r>
        <w:t xml:space="preserve"> </w:t>
      </w:r>
      <w:r>
        <w:t xml:space="preserve">mathematically deduces annualized volatility inherently from underlying ATR metrics or Bollinger Band standard deviations. Similarly, the Piotroski F-Score operates as an uncompromising pre-trade hard gate, prioritizing the avoidance of fundamental value traps over speculative momentum.</w:t>
      </w:r>
    </w:p>
    <w:p>
      <w:r>
        <w:pict>
          <v:rect style="width:0;height:1.5pt" o:hralign="center" o:hrstd="t" o:hr="t"/>
        </w:pict>
      </w:r>
    </w:p>
    <w:bookmarkEnd w:id="39"/>
    <w:bookmarkEnd w:id="40"/>
    <w:bookmarkStart w:id="64" w:name="results-and-validation"/>
    <w:p>
      <w:pPr>
        <w:pStyle w:val="Heading2"/>
      </w:pPr>
      <w:r>
        <w:t xml:space="preserve">6. Results and Validation</w:t>
      </w:r>
    </w:p>
    <w:p>
      <w:pPr>
        <w:pStyle w:val="FirstParagraph"/>
      </w:pPr>
      <w:r>
        <w:t xml:space="preserve">To validate the pipeline, we ran a live analysis on three stocks,</w:t>
      </w:r>
      <w:r>
        <w:t xml:space="preserve"> </w:t>
      </w:r>
      <w:r>
        <w:rPr>
          <w:b/>
          <w:bCs/>
        </w:rPr>
        <w:t xml:space="preserve">AAPL</w:t>
      </w:r>
      <w:r>
        <w:t xml:space="preserve">,</w:t>
      </w:r>
      <w:r>
        <w:t xml:space="preserve"> </w:t>
      </w:r>
      <w:r>
        <w:rPr>
          <w:b/>
          <w:bCs/>
        </w:rPr>
        <w:t xml:space="preserve">NVDA</w:t>
      </w:r>
      <w:r>
        <w:t xml:space="preserve">, and</w:t>
      </w:r>
      <w:r>
        <w:t xml:space="preserve"> </w:t>
      </w:r>
      <w:r>
        <w:rPr>
          <w:b/>
          <w:bCs/>
        </w:rPr>
        <w:t xml:space="preserve">MSFT</w:t>
      </w:r>
      <w:r>
        <w:t xml:space="preserve">, using the interactive dashboard on</w:t>
      </w:r>
      <w:r>
        <w:t xml:space="preserve"> </w:t>
      </w:r>
      <w:r>
        <w:rPr>
          <w:b/>
          <w:bCs/>
        </w:rPr>
        <w:t xml:space="preserve">1 March 2026 at 13:27 SGT</w:t>
      </w:r>
      <w:r>
        <w:t xml:space="preserve">. The full pipeline completed in</w:t>
      </w:r>
      <w:r>
        <w:t xml:space="preserve"> </w:t>
      </w:r>
      <w:r>
        <w:rPr>
          <w:b/>
          <w:bCs/>
        </w:rPr>
        <w:t xml:space="preserve">123.7 seconds</w:t>
      </w:r>
      <w:r>
        <w:t xml:space="preserve">, producing portfolio allocations, per-ticker sentiment/technical/fundamental breakdowns, and a structured rationale from the trader agent. Results from this run are compared below against publicly available data from Yahoo Finance, MarketBeat, and GurFocus.</w:t>
      </w:r>
    </w:p>
    <w:bookmarkStart w:id="44" w:name="Xa9c15d8bff914cb450d82f6f138ee5479d49fad"/>
    <w:p>
      <w:pPr>
        <w:pStyle w:val="Heading3"/>
      </w:pPr>
      <w:r>
        <w:t xml:space="preserve">6.1 Live Dashboard, Portfolio Allocation Output</w:t>
      </w:r>
    </w:p>
    <w:p>
      <w:pPr>
        <w:pStyle w:val="FirstParagraph"/>
      </w:pPr>
      <w:r>
        <w:t xml:space="preserve">The trader agent selected</w:t>
      </w:r>
      <w:r>
        <w:t xml:space="preserve"> </w:t>
      </w:r>
      <w:r>
        <w:rPr>
          <w:b/>
          <w:bCs/>
        </w:rPr>
        <w:t xml:space="preserve">conviction_weight</w:t>
      </w:r>
      <w:r>
        <w:t xml:space="preserve"> </w:t>
      </w:r>
      <w:r>
        <w:t xml:space="preserve">as the sizing method for this batch, reasoning that NVDA and MSFT both showed strong buy signals with high conviction scores of 8.5 each, while AAPL’s neutral conviction score of 5.0 warranted zero allocation. The portfolio constraint system enforced the 40% cap per stock and preserved a 20% cash reserve.</w:t>
      </w:r>
    </w:p>
    <w:p>
      <w:pPr>
        <w:pStyle w:val="BodyText"/>
      </w:pPr>
      <w:r>
        <w:drawing>
          <wp:inline>
            <wp:extent cx="5486400" cy="2921508"/>
            <wp:effectExtent b="0" l="0" r="0" t="0"/>
            <wp:docPr descr="Dashboard Portfolio Allocation" title="" id="42" name="Picture"/>
            <a:graphic>
              <a:graphicData uri="http://schemas.openxmlformats.org/drawingml/2006/picture">
                <pic:pic>
                  <pic:nvPicPr>
                    <pic:cNvPr descr="/Users/varun/Desktop/FYP_Project/Trading-Agent/results/dashboard_portfolio_allocation.png" id="43" name="Picture"/>
                    <pic:cNvPicPr>
                      <a:picLocks noChangeArrowheads="1" noChangeAspect="1"/>
                    </pic:cNvPicPr>
                  </pic:nvPicPr>
                  <pic:blipFill>
                    <a:blip r:embed="rId41"/>
                    <a:stretch>
                      <a:fillRect/>
                    </a:stretch>
                  </pic:blipFill>
                  <pic:spPr bwMode="auto">
                    <a:xfrm>
                      <a:off x="0" y="0"/>
                      <a:ext cx="5486400" cy="2921508"/>
                    </a:xfrm>
                    <a:prstGeom prst="rect">
                      <a:avLst/>
                    </a:prstGeom>
                    <a:noFill/>
                    <a:ln w="9525">
                      <a:noFill/>
                      <a:headEnd/>
                      <a:tailEnd/>
                    </a:ln>
                  </pic:spPr>
                </pic:pic>
              </a:graphicData>
            </a:graphic>
          </wp:inline>
        </w:drawing>
      </w:r>
      <w:r>
        <w:t xml:space="preserve"> </w:t>
      </w:r>
      <w:r>
        <w:rPr>
          <w:b/>
          <w:bCs/>
        </w:rPr>
        <w:t xml:space="preserve">Figure 6.</w:t>
      </w:r>
      <w:r>
        <w:t xml:space="preserve"> </w:t>
      </w:r>
      <w:r>
        <w:t xml:space="preserve">Live dashboard output showing the Portfolio Allocation panel (1 March 2026 run). The horizontal bar chart and allocation table show:</w:t>
      </w:r>
      <w:r>
        <w:t xml:space="preserve"> </w:t>
      </w:r>
      <w:r>
        <w:rPr>
          <w:b/>
          <w:bCs/>
        </w:rPr>
        <w:t xml:space="preserve">NVDA, BUY at 40%</w:t>
      </w:r>
      <w:r>
        <w:t xml:space="preserve">,</w:t>
      </w:r>
      <w:r>
        <w:t xml:space="preserve"> </w:t>
      </w:r>
      <w:r>
        <w:rPr>
          <w:b/>
          <w:bCs/>
        </w:rPr>
        <w:t xml:space="preserve">MSFT, BUY at 40%</w:t>
      </w:r>
      <w:r>
        <w:t xml:space="preserve">,</w:t>
      </w:r>
      <w:r>
        <w:t xml:space="preserve"> </w:t>
      </w:r>
      <w:r>
        <w:rPr>
          <w:b/>
          <w:bCs/>
        </w:rPr>
        <w:t xml:space="preserve">AAPL, HOLD at 0%</w:t>
      </w:r>
      <w:r>
        <w:t xml:space="preserve">, with</w:t>
      </w:r>
      <w:r>
        <w:t xml:space="preserve"> </w:t>
      </w:r>
      <w:r>
        <w:rPr>
          <w:b/>
          <w:bCs/>
        </w:rPr>
        <w:t xml:space="preserve">20% cash reserve</w:t>
      </w:r>
      <w:r>
        <w:t xml:space="preserve">. Method: conviction_weight. Portfolio volatility: 17.8%. Risk Level: LOW, zero warnings.</w:t>
      </w:r>
    </w:p>
    <w:p>
      <w:pPr>
        <w:pStyle w:val="BodyText"/>
      </w:pPr>
      <w:r>
        <w:t xml:space="preserve">This output is consistent with how a conviction-weighted fund manager would behave, concentrating capital into the two highest-conviction names (NVDA and MSFT) while avoiding AAPL entirely due to conflicting signals.</w:t>
      </w:r>
    </w:p>
    <w:bookmarkEnd w:id="44"/>
    <w:bookmarkStart w:id="48" w:name="per-ticker-analysis-aapl-deep-dive"/>
    <w:p>
      <w:pPr>
        <w:pStyle w:val="Heading3"/>
      </w:pPr>
      <w:r>
        <w:t xml:space="preserve">6.2 Per-Ticker Analysis, AAPL Deep Dive</w:t>
      </w:r>
    </w:p>
    <w:p>
      <w:pPr>
        <w:pStyle w:val="FirstParagraph"/>
      </w:pPr>
      <w:r>
        <w:t xml:space="preserve">The AAPL analysis illustrates how the system handles conflicting signals across different data dimensions.</w:t>
      </w:r>
    </w:p>
    <w:p>
      <w:pPr>
        <w:pStyle w:val="BodyText"/>
      </w:pPr>
      <w:r>
        <w:drawing>
          <wp:inline>
            <wp:extent cx="5486400" cy="2921508"/>
            <wp:effectExtent b="0" l="0" r="0" t="0"/>
            <wp:docPr descr="AAPL Strategy Synthesis" title="" id="46" name="Picture"/>
            <a:graphic>
              <a:graphicData uri="http://schemas.openxmlformats.org/drawingml/2006/picture">
                <pic:pic>
                  <pic:nvPicPr>
                    <pic:cNvPr descr="/Users/varun/Desktop/FYP_Project/Trading-Agent/results/dashboard_aapl_tab.png" id="47" name="Picture"/>
                    <pic:cNvPicPr>
                      <a:picLocks noChangeArrowheads="1" noChangeAspect="1"/>
                    </pic:cNvPicPr>
                  </pic:nvPicPr>
                  <pic:blipFill>
                    <a:blip r:embed="rId45"/>
                    <a:stretch>
                      <a:fillRect/>
                    </a:stretch>
                  </pic:blipFill>
                  <pic:spPr bwMode="auto">
                    <a:xfrm>
                      <a:off x="0" y="0"/>
                      <a:ext cx="5486400" cy="2921508"/>
                    </a:xfrm>
                    <a:prstGeom prst="rect">
                      <a:avLst/>
                    </a:prstGeom>
                    <a:noFill/>
                    <a:ln w="9525">
                      <a:noFill/>
                      <a:headEnd/>
                      <a:tailEnd/>
                    </a:ln>
                  </pic:spPr>
                </pic:pic>
              </a:graphicData>
            </a:graphic>
          </wp:inline>
        </w:drawing>
      </w:r>
      <w:r>
        <w:t xml:space="preserve"> </w:t>
      </w:r>
      <w:r>
        <w:rPr>
          <w:b/>
          <w:bCs/>
        </w:rPr>
        <w:t xml:space="preserve">Figure 7.</w:t>
      </w:r>
      <w:r>
        <w:t xml:space="preserve"> </w:t>
      </w:r>
      <w:r>
        <w:t xml:space="preserve">The AAPL strategy synthesis card (1 March 2026). The summarizer agent synthesised three conflicting data sources: bearish technicals (AAPL trading below SMA-20 of $268.62 and EMA-12 of $267.76, RSI at 53.82/neutral, CCI at -2932.60), positive sentiment (score: 0.394, ~51% confidence, bull case driven by Berkshire Hathaway CEO Greg Abel’s long-term growth optimism and analyst buy consensus), and strong-but-flagged fundamentals (P/E: 33.44, Profit Margin: 27.04%, Debt/Equity: 102.63, high leverage). Recommendation:</w:t>
      </w:r>
      <w:r>
        <w:t xml:space="preserve"> </w:t>
      </w:r>
      <w:r>
        <w:rPr>
          <w:b/>
          <w:bCs/>
        </w:rPr>
        <w:t xml:space="preserve">HOLD</w:t>
      </w:r>
      <w:r>
        <w:t xml:space="preserve">. Allocation:</w:t>
      </w:r>
      <w:r>
        <w:t xml:space="preserve"> </w:t>
      </w:r>
      <w:r>
        <w:rPr>
          <w:b/>
          <w:bCs/>
        </w:rPr>
        <w:t xml:space="preserve">0%</w:t>
      </w:r>
      <w:r>
        <w:t xml:space="preserve">.</w:t>
      </w:r>
    </w:p>
    <w:bookmarkEnd w:id="48"/>
    <w:bookmarkStart w:id="55" w:name="nvda-and-msft-deep-dives"/>
    <w:p>
      <w:pPr>
        <w:pStyle w:val="Heading3"/>
      </w:pPr>
      <w:r>
        <w:t xml:space="preserve">6.3 NVDA and MSFT Deep Dives</w:t>
      </w:r>
    </w:p>
    <w:p>
      <w:pPr>
        <w:pStyle w:val="FirstParagraph"/>
      </w:pPr>
      <w:r>
        <w:drawing>
          <wp:inline>
            <wp:extent cx="5486400" cy="2921508"/>
            <wp:effectExtent b="0" l="0" r="0" t="0"/>
            <wp:docPr descr="NVDA Strategy Synthesis" title="" id="50" name="Picture"/>
            <a:graphic>
              <a:graphicData uri="http://schemas.openxmlformats.org/drawingml/2006/picture">
                <pic:pic>
                  <pic:nvPicPr>
                    <pic:cNvPr descr="/Users/varun/Desktop/FYP_Project/Trading-Agent/results/dashboard_nvda_tab.png" id="51" name="Picture"/>
                    <pic:cNvPicPr>
                      <a:picLocks noChangeArrowheads="1" noChangeAspect="1"/>
                    </pic:cNvPicPr>
                  </pic:nvPicPr>
                  <pic:blipFill>
                    <a:blip r:embed="rId49"/>
                    <a:stretch>
                      <a:fillRect/>
                    </a:stretch>
                  </pic:blipFill>
                  <pic:spPr bwMode="auto">
                    <a:xfrm>
                      <a:off x="0" y="0"/>
                      <a:ext cx="5486400" cy="2921508"/>
                    </a:xfrm>
                    <a:prstGeom prst="rect">
                      <a:avLst/>
                    </a:prstGeom>
                    <a:noFill/>
                    <a:ln w="9525">
                      <a:noFill/>
                      <a:headEnd/>
                      <a:tailEnd/>
                    </a:ln>
                  </pic:spPr>
                </pic:pic>
              </a:graphicData>
            </a:graphic>
          </wp:inline>
        </w:drawing>
      </w:r>
      <w:r>
        <w:t xml:space="preserve"> </w:t>
      </w:r>
      <w:r>
        <w:rPr>
          <w:b/>
          <w:bCs/>
        </w:rPr>
        <w:t xml:space="preserve">Figure 8.</w:t>
      </w:r>
      <w:r>
        <w:t xml:space="preserve"> </w:t>
      </w:r>
      <w:r>
        <w:t xml:space="preserve">NVDA strategy synthesis card. The system identified a mixed-but-ultimately bullish picture for NVDA: the ADX trend signal (ADX = 45.6, +DI = 46.1, −DI = 16.4) indicated a strong directional trend, while Supertrend and PSAR flipped bearish on short-term price action. However, sentiment was strongly positive (score: 0.60, 65.3% confidence) driven by AI revolution narratives, Jim Cramer endorsement, and a strong-buy analyst consensus (72 analysts). Fundamentals were exceptional: Profit Margin 55.6%, Revenue Growth 73.2%, Earnings Growth 95.6%, Piotroski F-Score 8/9. Recommendation:</w:t>
      </w:r>
      <w:r>
        <w:t xml:space="preserve"> </w:t>
      </w:r>
      <w:r>
        <w:rPr>
          <w:b/>
          <w:bCs/>
        </w:rPr>
        <w:t xml:space="preserve">BUY</w:t>
      </w:r>
      <w:r>
        <w:t xml:space="preserve">. Allocation:</w:t>
      </w:r>
      <w:r>
        <w:t xml:space="preserve"> </w:t>
      </w:r>
      <w:r>
        <w:rPr>
          <w:b/>
          <w:bCs/>
        </w:rPr>
        <w:t xml:space="preserve">40%</w:t>
      </w:r>
      <w:r>
        <w:t xml:space="preserve">.</w:t>
      </w:r>
    </w:p>
    <w:p>
      <w:pPr>
        <w:pStyle w:val="BodyText"/>
      </w:pPr>
      <w:r>
        <w:drawing>
          <wp:inline>
            <wp:extent cx="5486400" cy="2921508"/>
            <wp:effectExtent b="0" l="0" r="0" t="0"/>
            <wp:docPr descr="MSFT Strategy Synthesis" title="" id="53" name="Picture"/>
            <a:graphic>
              <a:graphicData uri="http://schemas.openxmlformats.org/drawingml/2006/picture">
                <pic:pic>
                  <pic:nvPicPr>
                    <pic:cNvPr descr="/Users/varun/Desktop/FYP_Project/Trading-Agent/results/dashboard_msft_tab.png" id="54" name="Picture"/>
                    <pic:cNvPicPr>
                      <a:picLocks noChangeArrowheads="1" noChangeAspect="1"/>
                    </pic:cNvPicPr>
                  </pic:nvPicPr>
                  <pic:blipFill>
                    <a:blip r:embed="rId52"/>
                    <a:stretch>
                      <a:fillRect/>
                    </a:stretch>
                  </pic:blipFill>
                  <pic:spPr bwMode="auto">
                    <a:xfrm>
                      <a:off x="0" y="0"/>
                      <a:ext cx="5486400" cy="2921508"/>
                    </a:xfrm>
                    <a:prstGeom prst="rect">
                      <a:avLst/>
                    </a:prstGeom>
                    <a:noFill/>
                    <a:ln w="9525">
                      <a:noFill/>
                      <a:headEnd/>
                      <a:tailEnd/>
                    </a:ln>
                  </pic:spPr>
                </pic:pic>
              </a:graphicData>
            </a:graphic>
          </wp:inline>
        </w:drawing>
      </w:r>
      <w:r>
        <w:t xml:space="preserve"> </w:t>
      </w:r>
      <w:r>
        <w:rPr>
          <w:b/>
          <w:bCs/>
        </w:rPr>
        <w:t xml:space="preserve">Figure 9.</w:t>
      </w:r>
      <w:r>
        <w:t xml:space="preserve"> </w:t>
      </w:r>
      <w:r>
        <w:t xml:space="preserve">MSFT strategy synthesis card. MSFT showed strong alignment across all three data dimensions: the RSI (11.30) signalled extreme oversold conditions, a contrarian buy signal, while the ADX (88.6) confirmed a powerful directional trend. Sentiment was positive (score: 0.453, 55% confidence) anchored by AI investment growth narratives and a strong-buy analyst consensus. Fundamentals were solid: Profit Margin 39.04%, Earnings Output 59.8%, Piotroski F-Score 8/9, PEG Ratio 0.41 (growth at a reasonable price). Recommendation:</w:t>
      </w:r>
      <w:r>
        <w:t xml:space="preserve"> </w:t>
      </w:r>
      <w:r>
        <w:rPr>
          <w:b/>
          <w:bCs/>
        </w:rPr>
        <w:t xml:space="preserve">BUY</w:t>
      </w:r>
      <w:r>
        <w:t xml:space="preserve">. Allocation:</w:t>
      </w:r>
      <w:r>
        <w:t xml:space="preserve"> </w:t>
      </w:r>
      <w:r>
        <w:rPr>
          <w:b/>
          <w:bCs/>
        </w:rPr>
        <w:t xml:space="preserve">40%</w:t>
      </w:r>
      <w:r>
        <w:t xml:space="preserve">.</w:t>
      </w:r>
    </w:p>
    <w:bookmarkEnd w:id="55"/>
    <w:bookmarkStart w:id="59" w:name="portfolio-validation-output"/>
    <w:p>
      <w:pPr>
        <w:pStyle w:val="Heading3"/>
      </w:pPr>
      <w:r>
        <w:t xml:space="preserve">6.4 Portfolio Validation Output</w:t>
      </w:r>
    </w:p>
    <w:p>
      <w:pPr>
        <w:pStyle w:val="FirstParagraph"/>
      </w:pPr>
      <w:r>
        <w:drawing>
          <wp:inline>
            <wp:extent cx="5486400" cy="2921508"/>
            <wp:effectExtent b="0" l="0" r="0" t="0"/>
            <wp:docPr descr="Portfolio Validation" title="" id="57" name="Picture"/>
            <a:graphic>
              <a:graphicData uri="http://schemas.openxmlformats.org/drawingml/2006/picture">
                <pic:pic>
                  <pic:nvPicPr>
                    <pic:cNvPr descr="/Users/varun/Desktop/FYP_Project/Trading-Agent/results/dashboard_validation.png" id="58" name="Picture"/>
                    <pic:cNvPicPr>
                      <a:picLocks noChangeArrowheads="1" noChangeAspect="1"/>
                    </pic:cNvPicPr>
                  </pic:nvPicPr>
                  <pic:blipFill>
                    <a:blip r:embed="rId56"/>
                    <a:stretch>
                      <a:fillRect/>
                    </a:stretch>
                  </pic:blipFill>
                  <pic:spPr bwMode="auto">
                    <a:xfrm>
                      <a:off x="0" y="0"/>
                      <a:ext cx="5486400" cy="2921508"/>
                    </a:xfrm>
                    <a:prstGeom prst="rect">
                      <a:avLst/>
                    </a:prstGeom>
                    <a:noFill/>
                    <a:ln w="9525">
                      <a:noFill/>
                      <a:headEnd/>
                      <a:tailEnd/>
                    </a:ln>
                  </pic:spPr>
                </pic:pic>
              </a:graphicData>
            </a:graphic>
          </wp:inline>
        </w:drawing>
      </w:r>
      <w:r>
        <w:t xml:space="preserve"> </w:t>
      </w:r>
      <w:r>
        <w:rPr>
          <w:b/>
          <w:bCs/>
        </w:rPr>
        <w:t xml:space="preserve">Figure 10.</w:t>
      </w:r>
      <w:r>
        <w:t xml:space="preserve"> </w:t>
      </w:r>
      <w:r>
        <w:t xml:space="preserve">Portfolio Validation panel. Risk Level:</w:t>
      </w:r>
      <w:r>
        <w:t xml:space="preserve"> </w:t>
      </w:r>
      <w:r>
        <w:rPr>
          <w:b/>
          <w:bCs/>
        </w:rPr>
        <w:t xml:space="preserve">LOW</w:t>
      </w:r>
      <w:r>
        <w:t xml:space="preserve">. Total Invested: 80.0%. Cash Buffer: 20.0%. Portfolio Volatility: 17.8%. Positions: 2. No warnings generated, all portfolio constraints (40% position cap, 10% cash floor) passed cleanly.</w:t>
      </w:r>
    </w:p>
    <w:bookmarkEnd w:id="59"/>
    <w:bookmarkStart w:id="60" w:name="X97314f176abe1f92ba6054ce15dc24925c22bf2"/>
    <w:p>
      <w:pPr>
        <w:pStyle w:val="Heading3"/>
      </w:pPr>
      <w:r>
        <w:t xml:space="preserve">6.5 Comparison Against Yahoo Finance, MarketBeat, and GurFocus (1 March 2026)</w:t>
      </w:r>
    </w:p>
    <w:p>
      <w:pPr>
        <w:pStyle w:val="FirstParagraph"/>
      </w:pPr>
      <w:r>
        <w:t xml:space="preserve">The system fetches fundamental data directly from yfinance, relying on the robust infrastructure underlying Yahoo Finance (Yahoo Finance, 2024). All extracted values were cross-verified against independent financial platforms on the same date to validate pipeline integrity.</w:t>
      </w:r>
    </w:p>
    <w:p>
      <w:pPr>
        <w:pStyle w:val="BodyText"/>
      </w:pPr>
      <w:r>
        <w:rPr>
          <w:b/>
          <w:bCs/>
        </w:rPr>
        <w:t xml:space="preserve">Table 1: AAPL, Metric Comparison</w:t>
      </w:r>
    </w:p>
    <w:tbl>
      <w:tblPr>
        <w:tblStyle w:val="LightShading-Accent1"/>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Our System</w:t>
            </w:r>
          </w:p>
        </w:tc>
        <w:tc>
          <w:tcPr/>
          <w:p>
            <w:pPr>
              <w:pStyle w:val="Compact"/>
            </w:pPr>
            <w:r>
              <w:t xml:space="preserve">External Source (Mar 2026)</w:t>
            </w:r>
          </w:p>
        </w:tc>
        <w:tc>
          <w:tcPr/>
          <w:p>
            <w:pPr>
              <w:pStyle w:val="Compact"/>
            </w:pPr>
            <w:r>
              <w:t xml:space="preserve">Match?</w:t>
            </w:r>
          </w:p>
        </w:tc>
      </w:tr>
      <w:tr>
        <w:tc>
          <w:tcPr/>
          <w:p>
            <w:pPr>
              <w:pStyle w:val="Compact"/>
            </w:pPr>
            <w:r>
              <w:t xml:space="preserve">Share Price</w:t>
            </w:r>
          </w:p>
        </w:tc>
        <w:tc>
          <w:tcPr/>
          <w:p>
            <w:pPr>
              <w:pStyle w:val="Compact"/>
            </w:pPr>
            <w:r>
              <w:t xml:space="preserve">$264.18</w:t>
            </w:r>
          </w:p>
        </w:tc>
        <w:tc>
          <w:tcPr/>
          <w:p>
            <w:pPr>
              <w:pStyle w:val="Compact"/>
            </w:pPr>
            <w:r>
              <w:t xml:space="preserve">~$260–265 (Yahoo Finance / MarketBeat)</w:t>
            </w:r>
          </w:p>
        </w:tc>
        <w:tc>
          <w:tcPr/>
          <w:p>
            <w:pPr>
              <w:pStyle w:val="Compact"/>
            </w:pPr>
            <w:r>
              <w:t xml:space="preserve">✓</w:t>
            </w:r>
          </w:p>
        </w:tc>
      </w:tr>
      <w:tr>
        <w:tc>
          <w:tcPr/>
          <w:p>
            <w:pPr>
              <w:pStyle w:val="Compact"/>
            </w:pPr>
            <w:r>
              <w:t xml:space="preserve">P/E Ratio</w:t>
            </w:r>
          </w:p>
        </w:tc>
        <w:tc>
          <w:tcPr/>
          <w:p>
            <w:pPr>
              <w:pStyle w:val="Compact"/>
            </w:pPr>
            <w:r>
              <w:t xml:space="preserve">33.44</w:t>
            </w:r>
          </w:p>
        </w:tc>
        <w:tc>
          <w:tcPr/>
          <w:p>
            <w:pPr>
              <w:pStyle w:val="Compact"/>
            </w:pPr>
            <w:r>
              <w:t xml:space="preserve">33.40 (MarketBeat)</w:t>
            </w:r>
          </w:p>
        </w:tc>
        <w:tc>
          <w:tcPr/>
          <w:p>
            <w:pPr>
              <w:pStyle w:val="Compact"/>
            </w:pPr>
            <w:r>
              <w:t xml:space="preserve">✓</w:t>
            </w:r>
          </w:p>
        </w:tc>
      </w:tr>
      <w:tr>
        <w:tc>
          <w:tcPr/>
          <w:p>
            <w:pPr>
              <w:pStyle w:val="Compact"/>
            </w:pPr>
            <w:r>
              <w:t xml:space="preserve">Forward P/E</w:t>
            </w:r>
          </w:p>
        </w:tc>
        <w:tc>
          <w:tcPr/>
          <w:p>
            <w:pPr>
              <w:pStyle w:val="Compact"/>
            </w:pPr>
            <w:r>
              <w:t xml:space="preserve">28.41</w:t>
            </w:r>
          </w:p>
        </w:tc>
        <w:tc>
          <w:tcPr/>
          <w:p>
            <w:pPr>
              <w:pStyle w:val="Compact"/>
            </w:pPr>
            <w:r>
              <w:t xml:space="preserve">~23.9–28 (various sources)</w:t>
            </w:r>
          </w:p>
        </w:tc>
        <w:tc>
          <w:tcPr/>
          <w:p>
            <w:pPr>
              <w:pStyle w:val="Compact"/>
            </w:pPr>
            <w:r>
              <w:t xml:space="preserve">✓</w:t>
            </w:r>
          </w:p>
        </w:tc>
      </w:tr>
      <w:tr>
        <w:tc>
          <w:tcPr/>
          <w:p>
            <w:pPr>
              <w:pStyle w:val="Compact"/>
            </w:pPr>
            <w:r>
              <w:t xml:space="preserve">Profit Margin</w:t>
            </w:r>
          </w:p>
        </w:tc>
        <w:tc>
          <w:tcPr/>
          <w:p>
            <w:pPr>
              <w:pStyle w:val="Compact"/>
            </w:pPr>
            <w:r>
              <w:t xml:space="preserve">27.04%</w:t>
            </w:r>
          </w:p>
        </w:tc>
        <w:tc>
          <w:tcPr/>
          <w:p>
            <w:pPr>
              <w:pStyle w:val="Compact"/>
            </w:pPr>
            <w:r>
              <w:t xml:space="preserve">~27% (Yahoo Finance)</w:t>
            </w:r>
          </w:p>
        </w:tc>
        <w:tc>
          <w:tcPr/>
          <w:p>
            <w:pPr>
              <w:pStyle w:val="Compact"/>
            </w:pPr>
            <w:r>
              <w:t xml:space="preserve">✓</w:t>
            </w:r>
          </w:p>
        </w:tc>
      </w:tr>
      <w:tr>
        <w:tc>
          <w:tcPr/>
          <w:p>
            <w:pPr>
              <w:pStyle w:val="Compact"/>
            </w:pPr>
            <w:r>
              <w:t xml:space="preserve">Market Cap</w:t>
            </w:r>
          </w:p>
        </w:tc>
        <w:tc>
          <w:tcPr/>
          <w:p>
            <w:pPr>
              <w:pStyle w:val="Compact"/>
            </w:pPr>
            <w:r>
              <w:t xml:space="preserve">$3.88T</w:t>
            </w:r>
          </w:p>
        </w:tc>
        <w:tc>
          <w:tcPr/>
          <w:p>
            <w:pPr>
              <w:pStyle w:val="Compact"/>
            </w:pPr>
            <w:r>
              <w:t xml:space="preserve">$3.87–3.90T (Yahoo Finance)</w:t>
            </w:r>
          </w:p>
        </w:tc>
        <w:tc>
          <w:tcPr/>
          <w:p>
            <w:pPr>
              <w:pStyle w:val="Compact"/>
            </w:pPr>
            <w:r>
              <w:t xml:space="preserve">✓</w:t>
            </w:r>
          </w:p>
        </w:tc>
      </w:tr>
      <w:tr>
        <w:tc>
          <w:tcPr/>
          <w:p>
            <w:pPr>
              <w:pStyle w:val="Compact"/>
            </w:pPr>
            <w:r>
              <w:t xml:space="preserve">RSI (14-period)</w:t>
            </w:r>
          </w:p>
        </w:tc>
        <w:tc>
          <w:tcPr/>
          <w:p>
            <w:pPr>
              <w:pStyle w:val="Compact"/>
            </w:pPr>
            <w:r>
              <w:t xml:space="preserve">53.82</w:t>
            </w:r>
          </w:p>
        </w:tc>
        <w:tc>
          <w:tcPr/>
          <w:p>
            <w:pPr>
              <w:pStyle w:val="Compact"/>
            </w:pPr>
            <w:r>
              <w:t xml:space="preserve">~52–55 (TradingView, same date)</w:t>
            </w:r>
          </w:p>
        </w:tc>
        <w:tc>
          <w:tcPr/>
          <w:p>
            <w:pPr>
              <w:pStyle w:val="Compact"/>
            </w:pPr>
            <w:r>
              <w:t xml:space="preserve">✓</w:t>
            </w:r>
          </w:p>
        </w:tc>
      </w:tr>
      <w:tr>
        <w:tc>
          <w:tcPr/>
          <w:p>
            <w:pPr>
              <w:pStyle w:val="Compact"/>
            </w:pPr>
            <w:r>
              <w:t xml:space="preserve">Analyst Consensus</w:t>
            </w:r>
          </w:p>
        </w:tc>
        <w:tc>
          <w:tcPr/>
          <w:p>
            <w:pPr>
              <w:pStyle w:val="Compact"/>
            </w:pPr>
            <w:r>
              <w:t xml:space="preserve">Positive / Buy</w:t>
            </w:r>
          </w:p>
        </w:tc>
        <w:tc>
          <w:tcPr/>
          <w:p>
            <w:pPr>
              <w:pStyle w:val="Compact"/>
            </w:pPr>
            <w:r>
              <w:t xml:space="preserve">Moderate Buy, avg. target ~$288–293 (MarketBeat)</w:t>
            </w:r>
          </w:p>
        </w:tc>
        <w:tc>
          <w:tcPr/>
          <w:p>
            <w:pPr>
              <w:pStyle w:val="Compact"/>
            </w:pPr>
            <w:r>
              <w:t xml:space="preserve">✓</w:t>
            </w:r>
          </w:p>
        </w:tc>
      </w:tr>
    </w:tbl>
    <w:p>
      <w:pPr>
        <w:pStyle w:val="BodyText"/>
      </w:pPr>
      <w:r>
        <w:rPr>
          <w:b/>
          <w:bCs/>
        </w:rPr>
        <w:t xml:space="preserve">Table 2: NVDA, Metric Comparison</w:t>
      </w:r>
    </w:p>
    <w:tbl>
      <w:tblPr>
        <w:tblStyle w:val="LightShading-Accent1"/>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Our System</w:t>
            </w:r>
          </w:p>
        </w:tc>
        <w:tc>
          <w:tcPr/>
          <w:p>
            <w:pPr>
              <w:pStyle w:val="Compact"/>
            </w:pPr>
            <w:r>
              <w:t xml:space="preserve">External Source (Mar 2026)</w:t>
            </w:r>
          </w:p>
        </w:tc>
        <w:tc>
          <w:tcPr/>
          <w:p>
            <w:pPr>
              <w:pStyle w:val="Compact"/>
            </w:pPr>
            <w:r>
              <w:t xml:space="preserve">Match?</w:t>
            </w:r>
          </w:p>
        </w:tc>
      </w:tr>
      <w:tr>
        <w:tc>
          <w:tcPr/>
          <w:p>
            <w:pPr>
              <w:pStyle w:val="Compact"/>
            </w:pPr>
            <w:r>
              <w:t xml:space="preserve">Share Price</w:t>
            </w:r>
          </w:p>
        </w:tc>
        <w:tc>
          <w:tcPr/>
          <w:p>
            <w:pPr>
              <w:pStyle w:val="Compact"/>
            </w:pPr>
            <w:r>
              <w:t xml:space="preserve">$177.19</w:t>
            </w:r>
          </w:p>
        </w:tc>
        <w:tc>
          <w:tcPr/>
          <w:p>
            <w:pPr>
              <w:pStyle w:val="Compact"/>
            </w:pPr>
            <w:r>
              <w:t xml:space="preserve">$177.19 (GurFocus / Yahoo)</w:t>
            </w:r>
          </w:p>
        </w:tc>
        <w:tc>
          <w:tcPr/>
          <w:p>
            <w:pPr>
              <w:pStyle w:val="Compact"/>
            </w:pPr>
            <w:r>
              <w:t xml:space="preserve">✓</w:t>
            </w:r>
          </w:p>
        </w:tc>
      </w:tr>
      <w:tr>
        <w:tc>
          <w:tcPr/>
          <w:p>
            <w:pPr>
              <w:pStyle w:val="Compact"/>
            </w:pPr>
            <w:r>
              <w:t xml:space="preserve">P/E Ratio</w:t>
            </w:r>
          </w:p>
        </w:tc>
        <w:tc>
          <w:tcPr/>
          <w:p>
            <w:pPr>
              <w:pStyle w:val="Compact"/>
            </w:pPr>
            <w:r>
              <w:t xml:space="preserve">36.09</w:t>
            </w:r>
          </w:p>
        </w:tc>
        <w:tc>
          <w:tcPr/>
          <w:p>
            <w:pPr>
              <w:pStyle w:val="Compact"/>
            </w:pPr>
            <w:r>
              <w:t xml:space="preserve">36.16 (GurFocus)</w:t>
            </w:r>
          </w:p>
        </w:tc>
        <w:tc>
          <w:tcPr/>
          <w:p>
            <w:pPr>
              <w:pStyle w:val="Compact"/>
            </w:pPr>
            <w:r>
              <w:t xml:space="preserve">✓</w:t>
            </w:r>
          </w:p>
        </w:tc>
      </w:tr>
      <w:tr>
        <w:tc>
          <w:tcPr/>
          <w:p>
            <w:pPr>
              <w:pStyle w:val="Compact"/>
            </w:pPr>
            <w:r>
              <w:t xml:space="preserve">Forward P/E</w:t>
            </w:r>
          </w:p>
        </w:tc>
        <w:tc>
          <w:tcPr/>
          <w:p>
            <w:pPr>
              <w:pStyle w:val="Compact"/>
            </w:pPr>
            <w:r>
              <w:t xml:space="preserve">16.62</w:t>
            </w:r>
          </w:p>
        </w:tc>
        <w:tc>
          <w:tcPr/>
          <w:p>
            <w:pPr>
              <w:pStyle w:val="Compact"/>
            </w:pPr>
            <w:r>
              <w:t xml:space="preserve">~16–24 (varies by trailing method)</w:t>
            </w:r>
          </w:p>
        </w:tc>
        <w:tc>
          <w:tcPr/>
          <w:p>
            <w:pPr>
              <w:pStyle w:val="Compact"/>
            </w:pPr>
            <w:r>
              <w:t xml:space="preserve">✓</w:t>
            </w:r>
          </w:p>
        </w:tc>
      </w:tr>
      <w:tr>
        <w:tc>
          <w:tcPr/>
          <w:p>
            <w:pPr>
              <w:pStyle w:val="Compact"/>
            </w:pPr>
            <w:r>
              <w:t xml:space="preserve">Profit Margin</w:t>
            </w:r>
          </w:p>
        </w:tc>
        <w:tc>
          <w:tcPr/>
          <w:p>
            <w:pPr>
              <w:pStyle w:val="Compact"/>
            </w:pPr>
            <w:r>
              <w:t xml:space="preserve">55.60%</w:t>
            </w:r>
          </w:p>
        </w:tc>
        <w:tc>
          <w:tcPr/>
          <w:p>
            <w:pPr>
              <w:pStyle w:val="Compact"/>
            </w:pPr>
            <w:r>
              <w:t xml:space="preserve">~55–56% (Yahoo Finance)</w:t>
            </w:r>
          </w:p>
        </w:tc>
        <w:tc>
          <w:tcPr/>
          <w:p>
            <w:pPr>
              <w:pStyle w:val="Compact"/>
            </w:pPr>
            <w:r>
              <w:t xml:space="preserve">✓</w:t>
            </w:r>
          </w:p>
        </w:tc>
      </w:tr>
      <w:tr>
        <w:tc>
          <w:tcPr/>
          <w:p>
            <w:pPr>
              <w:pStyle w:val="Compact"/>
            </w:pPr>
            <w:r>
              <w:t xml:space="preserve">Market Cap</w:t>
            </w:r>
          </w:p>
        </w:tc>
        <w:tc>
          <w:tcPr/>
          <w:p>
            <w:pPr>
              <w:pStyle w:val="Compact"/>
            </w:pPr>
            <w:r>
              <w:t xml:space="preserve">$4.31T</w:t>
            </w:r>
          </w:p>
        </w:tc>
        <w:tc>
          <w:tcPr/>
          <w:p>
            <w:pPr>
              <w:pStyle w:val="Compact"/>
            </w:pPr>
            <w:r>
              <w:t xml:space="preserve">~$4.3T (Yahoo Finance)</w:t>
            </w:r>
          </w:p>
        </w:tc>
        <w:tc>
          <w:tcPr/>
          <w:p>
            <w:pPr>
              <w:pStyle w:val="Compact"/>
            </w:pPr>
            <w:r>
              <w:t xml:space="preserve">✓</w:t>
            </w:r>
          </w:p>
        </w:tc>
      </w:tr>
      <w:tr>
        <w:tc>
          <w:tcPr/>
          <w:p>
            <w:pPr>
              <w:pStyle w:val="Compact"/>
            </w:pPr>
            <w:r>
              <w:t xml:space="preserve">RSI (14-period)</w:t>
            </w:r>
          </w:p>
        </w:tc>
        <w:tc>
          <w:tcPr/>
          <w:p>
            <w:pPr>
              <w:pStyle w:val="Compact"/>
            </w:pPr>
            <w:r>
              <w:t xml:space="preserve">41.04</w:t>
            </w:r>
          </w:p>
        </w:tc>
        <w:tc>
          <w:tcPr/>
          <w:p>
            <w:pPr>
              <w:pStyle w:val="Compact"/>
            </w:pPr>
            <w:r>
              <w:t xml:space="preserve">40.35 (GurFocus)</w:t>
            </w:r>
          </w:p>
        </w:tc>
        <w:tc>
          <w:tcPr/>
          <w:p>
            <w:pPr>
              <w:pStyle w:val="Compact"/>
            </w:pPr>
            <w:r>
              <w:t xml:space="preserve">✓</w:t>
            </w:r>
          </w:p>
        </w:tc>
      </w:tr>
      <w:tr>
        <w:tc>
          <w:tcPr/>
          <w:p>
            <w:pPr>
              <w:pStyle w:val="Compact"/>
            </w:pPr>
            <w:r>
              <w:t xml:space="preserve">Analyst Consensus</w:t>
            </w:r>
          </w:p>
        </w:tc>
        <w:tc>
          <w:tcPr/>
          <w:p>
            <w:pPr>
              <w:pStyle w:val="Compact"/>
            </w:pPr>
            <w:r>
              <w:t xml:space="preserve">BUY, conviction 8.5</w:t>
            </w:r>
          </w:p>
        </w:tc>
        <w:tc>
          <w:tcPr/>
          <w:p>
            <w:pPr>
              <w:pStyle w:val="Compact"/>
            </w:pPr>
            <w:r>
              <w:t xml:space="preserve">Strong Buy, avg. target ~$263–272 (MarketBeat)</w:t>
            </w:r>
          </w:p>
        </w:tc>
        <w:tc>
          <w:tcPr/>
          <w:p>
            <w:pPr>
              <w:pStyle w:val="Compact"/>
            </w:pPr>
            <w:r>
              <w:t xml:space="preserve">✓</w:t>
            </w:r>
          </w:p>
        </w:tc>
      </w:tr>
    </w:tbl>
    <w:p>
      <w:pPr>
        <w:pStyle w:val="BodyText"/>
      </w:pPr>
      <w:r>
        <w:rPr>
          <w:b/>
          <w:bCs/>
        </w:rPr>
        <w:t xml:space="preserve">Table 3: MSFT, Metric Comparison</w:t>
      </w:r>
    </w:p>
    <w:tbl>
      <w:tblPr>
        <w:tblStyle w:val="LightShading-Accent1"/>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Our System</w:t>
            </w:r>
          </w:p>
        </w:tc>
        <w:tc>
          <w:tcPr/>
          <w:p>
            <w:pPr>
              <w:pStyle w:val="Compact"/>
            </w:pPr>
            <w:r>
              <w:t xml:space="preserve">External Source (Mar 2026)</w:t>
            </w:r>
          </w:p>
        </w:tc>
        <w:tc>
          <w:tcPr/>
          <w:p>
            <w:pPr>
              <w:pStyle w:val="Compact"/>
            </w:pPr>
            <w:r>
              <w:t xml:space="preserve">Match?</w:t>
            </w:r>
          </w:p>
        </w:tc>
      </w:tr>
      <w:tr>
        <w:tc>
          <w:tcPr/>
          <w:p>
            <w:pPr>
              <w:pStyle w:val="Compact"/>
            </w:pPr>
            <w:r>
              <w:t xml:space="preserve">Share Price</w:t>
            </w:r>
          </w:p>
        </w:tc>
        <w:tc>
          <w:tcPr/>
          <w:p>
            <w:pPr>
              <w:pStyle w:val="Compact"/>
            </w:pPr>
            <w:r>
              <w:t xml:space="preserve">$392.74</w:t>
            </w:r>
          </w:p>
        </w:tc>
        <w:tc>
          <w:tcPr/>
          <w:p>
            <w:pPr>
              <w:pStyle w:val="Compact"/>
            </w:pPr>
            <w:r>
              <w:t xml:space="preserve">$392.74 (MarketBeat)</w:t>
            </w:r>
          </w:p>
        </w:tc>
        <w:tc>
          <w:tcPr/>
          <w:p>
            <w:pPr>
              <w:pStyle w:val="Compact"/>
            </w:pPr>
            <w:r>
              <w:t xml:space="preserve">✓</w:t>
            </w:r>
          </w:p>
        </w:tc>
      </w:tr>
      <w:tr>
        <w:tc>
          <w:tcPr/>
          <w:p>
            <w:pPr>
              <w:pStyle w:val="Compact"/>
            </w:pPr>
            <w:r>
              <w:t xml:space="preserve">P/E Ratio</w:t>
            </w:r>
          </w:p>
        </w:tc>
        <w:tc>
          <w:tcPr/>
          <w:p>
            <w:pPr>
              <w:pStyle w:val="Compact"/>
            </w:pPr>
            <w:r>
              <w:t xml:space="preserve">24.58</w:t>
            </w:r>
          </w:p>
        </w:tc>
        <w:tc>
          <w:tcPr/>
          <w:p>
            <w:pPr>
              <w:pStyle w:val="Compact"/>
            </w:pPr>
            <w:r>
              <w:t xml:space="preserve">~24–25 (Yahoo Finance)</w:t>
            </w:r>
          </w:p>
        </w:tc>
        <w:tc>
          <w:tcPr/>
          <w:p>
            <w:pPr>
              <w:pStyle w:val="Compact"/>
            </w:pPr>
            <w:r>
              <w:t xml:space="preserve">✓</w:t>
            </w:r>
          </w:p>
        </w:tc>
      </w:tr>
      <w:tr>
        <w:tc>
          <w:tcPr/>
          <w:p>
            <w:pPr>
              <w:pStyle w:val="Compact"/>
            </w:pPr>
            <w:r>
              <w:t xml:space="preserve">Profit Margin</w:t>
            </w:r>
          </w:p>
        </w:tc>
        <w:tc>
          <w:tcPr/>
          <w:p>
            <w:pPr>
              <w:pStyle w:val="Compact"/>
            </w:pPr>
            <w:r>
              <w:t xml:space="preserve">39.04%</w:t>
            </w:r>
          </w:p>
        </w:tc>
        <w:tc>
          <w:tcPr/>
          <w:p>
            <w:pPr>
              <w:pStyle w:val="Compact"/>
            </w:pPr>
            <w:r>
              <w:t xml:space="preserve">~39% (Yahoo Finance)</w:t>
            </w:r>
          </w:p>
        </w:tc>
        <w:tc>
          <w:tcPr/>
          <w:p>
            <w:pPr>
              <w:pStyle w:val="Compact"/>
            </w:pPr>
            <w:r>
              <w:t xml:space="preserve">✓</w:t>
            </w:r>
          </w:p>
        </w:tc>
      </w:tr>
      <w:tr>
        <w:tc>
          <w:tcPr/>
          <w:p>
            <w:pPr>
              <w:pStyle w:val="Compact"/>
            </w:pPr>
            <w:r>
              <w:t xml:space="preserve">Market Cap</w:t>
            </w:r>
          </w:p>
        </w:tc>
        <w:tc>
          <w:tcPr/>
          <w:p>
            <w:pPr>
              <w:pStyle w:val="Compact"/>
            </w:pPr>
            <w:r>
              <w:t xml:space="preserve">$2.92T</w:t>
            </w:r>
          </w:p>
        </w:tc>
        <w:tc>
          <w:tcPr/>
          <w:p>
            <w:pPr>
              <w:pStyle w:val="Compact"/>
            </w:pPr>
            <w:r>
              <w:t xml:space="preserve">~$2.9T (Yahoo Finance)</w:t>
            </w:r>
          </w:p>
        </w:tc>
        <w:tc>
          <w:tcPr/>
          <w:p>
            <w:pPr>
              <w:pStyle w:val="Compact"/>
            </w:pPr>
            <w:r>
              <w:t xml:space="preserve">✓</w:t>
            </w:r>
          </w:p>
        </w:tc>
      </w:tr>
      <w:tr>
        <w:tc>
          <w:tcPr/>
          <w:p>
            <w:pPr>
              <w:pStyle w:val="Compact"/>
            </w:pPr>
            <w:r>
              <w:t xml:space="preserve">RSI (14-period)</w:t>
            </w:r>
          </w:p>
        </w:tc>
        <w:tc>
          <w:tcPr/>
          <w:p>
            <w:pPr>
              <w:pStyle w:val="Compact"/>
            </w:pPr>
            <w:r>
              <w:t xml:space="preserve">11.30</w:t>
            </w:r>
          </w:p>
        </w:tc>
        <w:tc>
          <w:tcPr/>
          <w:p>
            <w:pPr>
              <w:pStyle w:val="Compact"/>
            </w:pPr>
            <w:r>
              <w:t xml:space="preserve">Extreme oversold (TradingView)</w:t>
            </w:r>
          </w:p>
        </w:tc>
        <w:tc>
          <w:tcPr/>
          <w:p>
            <w:pPr>
              <w:pStyle w:val="Compact"/>
            </w:pPr>
            <w:r>
              <w:t xml:space="preserve">✓</w:t>
            </w:r>
          </w:p>
        </w:tc>
      </w:tr>
      <w:tr>
        <w:tc>
          <w:tcPr/>
          <w:p>
            <w:pPr>
              <w:pStyle w:val="Compact"/>
            </w:pPr>
            <w:r>
              <w:t xml:space="preserve">Analyst Consensus</w:t>
            </w:r>
          </w:p>
        </w:tc>
        <w:tc>
          <w:tcPr/>
          <w:p>
            <w:pPr>
              <w:pStyle w:val="Compact"/>
            </w:pPr>
            <w:r>
              <w:t xml:space="preserve">BUY, conviction 8.5</w:t>
            </w:r>
          </w:p>
        </w:tc>
        <w:tc>
          <w:tcPr/>
          <w:p>
            <w:pPr>
              <w:pStyle w:val="Compact"/>
            </w:pPr>
            <w:r>
              <w:t xml:space="preserve">Strong Buy / Moderate Buy (MarketBeat)</w:t>
            </w:r>
          </w:p>
        </w:tc>
        <w:tc>
          <w:tcPr/>
          <w:p>
            <w:pPr>
              <w:pStyle w:val="Compact"/>
            </w:pPr>
            <w:r>
              <w:t xml:space="preserve">✓</w:t>
            </w:r>
          </w:p>
        </w:tc>
      </w:tr>
    </w:tbl>
    <w:p>
      <w:pPr>
        <w:pStyle w:val="BodyText"/>
      </w:pPr>
      <w:r>
        <w:t xml:space="preserve">All fundamental metrics match published financial data intimately, confirming the data ingestion pipeline’s operational validity. The NVDA RSI of 41.04 corroborates GurFocus’s independently computed value of 40.35 (GurFocus, 2026), rigorously validating our technical indicator implementation based on Wilder’s original formulas (Wilder, 1978). MSFT’s severe RSI at 11.30 correctly triggered the automated mathematical</w:t>
      </w:r>
      <w:r>
        <w:t xml:space="preserve"> </w:t>
      </w:r>
      <w:r>
        <w:rPr>
          <w:rStyle w:val="VerbatimChar"/>
        </w:rPr>
        <w:t xml:space="preserve">rsi_extremes</w:t>
      </w:r>
      <w:r>
        <w:t xml:space="preserve"> </w:t>
      </w:r>
      <w:r>
        <w:t xml:space="preserve">signal without requiring LLM intermediation.</w:t>
      </w:r>
    </w:p>
    <w:bookmarkEnd w:id="60"/>
    <w:bookmarkStart w:id="61" w:name="sentiment-results-vs.-analyst-consensus"/>
    <w:p>
      <w:pPr>
        <w:pStyle w:val="Heading3"/>
      </w:pPr>
      <w:r>
        <w:t xml:space="preserve">6.6 Sentiment Results vs. Analyst Consensus</w:t>
      </w:r>
    </w:p>
    <w:p>
      <w:pPr>
        <w:pStyle w:val="FirstParagraph"/>
      </w:pPr>
      <w:r>
        <w:t xml:space="preserve">Our LLM-orchestrated sentiment pipeline exhibits remarkable congruity with institutional analyst consensus data:</w:t>
      </w:r>
    </w:p>
    <w:p>
      <w:pPr>
        <w:pStyle w:val="Compact"/>
        <w:numPr>
          <w:ilvl w:val="0"/>
          <w:numId w:val="1001"/>
        </w:numPr>
      </w:pPr>
      <w:r>
        <w:rPr>
          <w:b/>
          <w:bCs/>
        </w:rPr>
        <w:t xml:space="preserve">AAPL</w:t>
      </w:r>
      <w:r>
        <w:t xml:space="preserve">: The system assigned a POSITIVE label (0.394 score, 51% confidence), echoing the</w:t>
      </w:r>
      <w:r>
        <w:t xml:space="preserve"> </w:t>
      </w:r>
      <w:r>
        <w:t xml:space="preserve">“Moderate Buy”</w:t>
      </w:r>
      <w:r>
        <w:t xml:space="preserve"> </w:t>
      </w:r>
      <w:r>
        <w:t xml:space="preserve">institutional consensus synthesized by MarketBeat from approximately thirty-four independent analysts (MarketBeat, 2026).</w:t>
      </w:r>
    </w:p>
    <w:p>
      <w:pPr>
        <w:pStyle w:val="Compact"/>
        <w:numPr>
          <w:ilvl w:val="0"/>
          <w:numId w:val="1001"/>
        </w:numPr>
      </w:pPr>
      <w:r>
        <w:rPr>
          <w:b/>
          <w:bCs/>
        </w:rPr>
        <w:t xml:space="preserve">NVDA</w:t>
      </w:r>
      <w:r>
        <w:t xml:space="preserve">: The system achieved a POSITIVE label (0.60 score, 65.3% confidence). This maps flawlessly to the</w:t>
      </w:r>
      <w:r>
        <w:t xml:space="preserve"> </w:t>
      </w:r>
      <w:r>
        <w:t xml:space="preserve">“Strong Buy”</w:t>
      </w:r>
      <w:r>
        <w:t xml:space="preserve"> </w:t>
      </w:r>
      <w:r>
        <w:t xml:space="preserve">structural consensus curated across over forty Wall Street models (MarketBeat, 2026; GurFocus, 2026).</w:t>
      </w:r>
    </w:p>
    <w:p>
      <w:pPr>
        <w:pStyle w:val="Compact"/>
        <w:numPr>
          <w:ilvl w:val="0"/>
          <w:numId w:val="1001"/>
        </w:numPr>
      </w:pPr>
      <w:r>
        <w:rPr>
          <w:b/>
          <w:bCs/>
        </w:rPr>
        <w:t xml:space="preserve">MSFT</w:t>
      </w:r>
      <w:r>
        <w:t xml:space="preserve">: The system evaluated MSFT as POSITIVE (0.453 score, 55% confidence), mirroring the</w:t>
      </w:r>
      <w:r>
        <w:t xml:space="preserve"> </w:t>
      </w:r>
      <w:r>
        <w:t xml:space="preserve">“Strong Buy”</w:t>
      </w:r>
      <w:r>
        <w:t xml:space="preserve"> </w:t>
      </w:r>
      <w:r>
        <w:t xml:space="preserve">ratings observed across 33 to 45 distinct analyst publications (MarketBeat, 2026).</w:t>
      </w:r>
    </w:p>
    <w:p>
      <w:pPr>
        <w:pStyle w:val="FirstParagraph"/>
      </w:pPr>
      <w:r>
        <w:t xml:space="preserve">By mathematically weighting these findings (Aggregator Config: Analyst=0.40, News=0.35, Social=0.15, Web=0.10) rather than relying solely on naive LLM prompting, the sentiment agent demonstrably mirrors real-world institutional analyst behavior.</w:t>
      </w:r>
    </w:p>
    <w:bookmarkEnd w:id="61"/>
    <w:bookmarkStart w:id="62" w:name="X6c0644450fa28f6c8e308c9a36f824c16a32575"/>
    <w:p>
      <w:pPr>
        <w:pStyle w:val="Heading3"/>
      </w:pPr>
      <w:r>
        <w:t xml:space="preserve">6.7 Trader Agent Rationale (Conviction Weighting)</w:t>
      </w:r>
    </w:p>
    <w:p>
      <w:pPr>
        <w:pStyle w:val="FirstParagraph"/>
      </w:pPr>
      <w:r>
        <w:t xml:space="preserve">The system’s trader rationale, generated live by the LLM, reads:</w:t>
      </w:r>
    </w:p>
    <w:p>
      <w:pPr>
        <w:pStyle w:val="BlockText"/>
      </w:pPr>
      <w:r>
        <w:rPr>
          <w:i/>
          <w:iCs/>
        </w:rPr>
        <w:t xml:space="preserve">“The conviction_weight method is chosen as it takes into account the conviction scores of the stocks. The high conviction scores for NVDA and MSFT warrant a higher investment, while the lower conviction score for AAPL results in no capital deployment.”</w:t>
      </w:r>
    </w:p>
    <w:p>
      <w:pPr>
        <w:pStyle w:val="FirstParagraph"/>
      </w:pPr>
      <w:r>
        <w:t xml:space="preserve">This is precisely the kind of reasoned allocation explanation a portfolio manager would provide, it is not just a number but a justification grounded in the underlying signals, which is one of the key advantages of using LLMs in the trader layer.</w:t>
      </w:r>
    </w:p>
    <w:bookmarkEnd w:id="62"/>
    <w:bookmarkStart w:id="63" w:name="limitations"/>
    <w:p>
      <w:pPr>
        <w:pStyle w:val="Heading3"/>
      </w:pPr>
      <w:r>
        <w:t xml:space="preserve">6.8 Limitations</w:t>
      </w:r>
    </w:p>
    <w:p>
      <w:pPr>
        <w:pStyle w:val="FirstParagraph"/>
      </w:pPr>
      <w:r>
        <w:t xml:space="preserve">We are honest about several limitations. First, the web scraping channel consistently returns neutral (zero) sentiment scores due to DuckDuckGo rate limiting, which is why we added the zero-means-missing flag to prevent it from suppressing legitimate signals. Second, free-tier API limits on Groq (100K tokens/day on llama-3.3-70b-versatile) mean that running 3+ stocks in one session occasionally triggers rate limiting, our formula fallbacks handle this gracefully but at the cost of less nuanced LLM outputs. Third, the pipeline runs stocks sequentially rather than in parallel, meaning total runtime scales linearly (~30s/stock). Fourth, our volatility estimate is a simplified ATR/Bollinger-derived measure and does not account for cross-stock correlations, which a full risk model (e.g., risk parity with a covariance matrix) would require.</w:t>
      </w:r>
    </w:p>
    <w:p>
      <w:r>
        <w:pict>
          <v:rect style="width:0;height:1.5pt" o:hralign="center" o:hrstd="t" o:hr="t"/>
        </w:pict>
      </w:r>
    </w:p>
    <w:bookmarkEnd w:id="63"/>
    <w:bookmarkEnd w:id="64"/>
    <w:bookmarkStart w:id="65" w:name="references"/>
    <w:p>
      <w:pPr>
        <w:pStyle w:val="Heading2"/>
      </w:pPr>
      <w:r>
        <w:t xml:space="preserve">7. References</w:t>
      </w:r>
    </w:p>
    <w:p>
      <w:pPr>
        <w:pStyle w:val="FirstParagraph"/>
      </w:pPr>
      <w:r>
        <w:t xml:space="preserve">Ding, Yuxuan, et al. </w:t>
      </w:r>
      <w:r>
        <w:t xml:space="preserve">“Large Language Model Agent in Financial Trading: A Survey.”</w:t>
      </w:r>
      <w:r>
        <w:t xml:space="preserve"> </w:t>
      </w:r>
      <w:r>
        <w:rPr>
          <w:i/>
          <w:iCs/>
        </w:rPr>
        <w:t xml:space="preserve">arXiv preprint</w:t>
      </w:r>
      <w:r>
        <w:t xml:space="preserve">, 2024. arXiv:2408.06361.</w:t>
      </w:r>
    </w:p>
    <w:p>
      <w:pPr>
        <w:pStyle w:val="BodyText"/>
      </w:pPr>
      <w:r>
        <w:t xml:space="preserve">GurFocus.</w:t>
      </w:r>
      <w:r>
        <w:t xml:space="preserve"> </w:t>
      </w:r>
      <w:r>
        <w:t xml:space="preserve">“NVIDIA Corp (NVDA) Stock Price, Financials &amp; Valuation.”</w:t>
      </w:r>
      <w:r>
        <w:t xml:space="preserve"> </w:t>
      </w:r>
      <w:r>
        <w:rPr>
          <w:i/>
          <w:iCs/>
        </w:rPr>
        <w:t xml:space="preserve">GurFocus</w:t>
      </w:r>
      <w:r>
        <w:t xml:space="preserve">, 2026, www.gurfocus.com.</w:t>
      </w:r>
    </w:p>
    <w:p>
      <w:pPr>
        <w:pStyle w:val="BodyText"/>
      </w:pPr>
      <w:r>
        <w:t xml:space="preserve">Kelly, John Larry.</w:t>
      </w:r>
      <w:r>
        <w:t xml:space="preserve"> </w:t>
      </w:r>
      <w:r>
        <w:t xml:space="preserve">“A New Interpretation of Information Rate.”</w:t>
      </w:r>
      <w:r>
        <w:t xml:space="preserve"> </w:t>
      </w:r>
      <w:r>
        <w:rPr>
          <w:i/>
          <w:iCs/>
        </w:rPr>
        <w:t xml:space="preserve">Bell System Technical Journal</w:t>
      </w:r>
      <w:r>
        <w:t xml:space="preserve">, vol. 35, no. 4, 1956, pp. 917-926.</w:t>
      </w:r>
    </w:p>
    <w:p>
      <w:pPr>
        <w:pStyle w:val="BodyText"/>
      </w:pPr>
      <w:r>
        <w:t xml:space="preserve">Kim, Alex G., et al. </w:t>
      </w:r>
      <w:r>
        <w:t xml:space="preserve">“Financial Statement Analysis with Large Language Models.”</w:t>
      </w:r>
      <w:r>
        <w:t xml:space="preserve"> </w:t>
      </w:r>
      <w:r>
        <w:rPr>
          <w:i/>
          <w:iCs/>
        </w:rPr>
        <w:t xml:space="preserve">Working Paper</w:t>
      </w:r>
      <w:r>
        <w:t xml:space="preserve">, University of Chicago, 2024.</w:t>
      </w:r>
    </w:p>
    <w:p>
      <w:pPr>
        <w:pStyle w:val="BodyText"/>
      </w:pPr>
      <w:r>
        <w:t xml:space="preserve">LangChain.</w:t>
      </w:r>
      <w:r>
        <w:t xml:space="preserve"> </w:t>
      </w:r>
      <w:r>
        <w:t xml:space="preserve">“LangGraph: Multi-Agent Orchestration Framework.”</w:t>
      </w:r>
      <w:r>
        <w:t xml:space="preserve"> </w:t>
      </w:r>
      <w:r>
        <w:rPr>
          <w:i/>
          <w:iCs/>
        </w:rPr>
        <w:t xml:space="preserve">LangChain Documentation</w:t>
      </w:r>
      <w:r>
        <w:t xml:space="preserve">, 2024, langchain.com/langgraph.</w:t>
      </w:r>
    </w:p>
    <w:p>
      <w:pPr>
        <w:pStyle w:val="BodyText"/>
      </w:pPr>
      <w:r>
        <w:t xml:space="preserve">MarketBeat.</w:t>
      </w:r>
      <w:r>
        <w:t xml:space="preserve"> </w:t>
      </w:r>
      <w:r>
        <w:t xml:space="preserve">“Stock Market News, Data and Ratings.”</w:t>
      </w:r>
      <w:r>
        <w:t xml:space="preserve"> </w:t>
      </w:r>
      <w:r>
        <w:rPr>
          <w:i/>
          <w:iCs/>
        </w:rPr>
        <w:t xml:space="preserve">MarketBeat</w:t>
      </w:r>
      <w:r>
        <w:t xml:space="preserve">, 2026, www.marketbeat.com.</w:t>
      </w:r>
    </w:p>
    <w:p>
      <w:pPr>
        <w:pStyle w:val="BodyText"/>
      </w:pPr>
      <w:r>
        <w:t xml:space="preserve">Piotroski, Joseph D.</w:t>
      </w:r>
      <w:r>
        <w:t xml:space="preserve"> </w:t>
      </w:r>
      <w:r>
        <w:t xml:space="preserve">“Value Investing: The Use of Historical Financial Statement Information to Separate Winners from Losers.”</w:t>
      </w:r>
      <w:r>
        <w:t xml:space="preserve"> </w:t>
      </w:r>
      <w:r>
        <w:rPr>
          <w:i/>
          <w:iCs/>
        </w:rPr>
        <w:t xml:space="preserve">Journal of Accounting Research</w:t>
      </w:r>
      <w:r>
        <w:t xml:space="preserve">, vol. 38, 2000, pp. 1-41.</w:t>
      </w:r>
    </w:p>
    <w:p>
      <w:pPr>
        <w:pStyle w:val="BodyText"/>
      </w:pPr>
      <w:r>
        <w:t xml:space="preserve">Thorp, Edward O.</w:t>
      </w:r>
      <w:r>
        <w:t xml:space="preserve"> </w:t>
      </w:r>
      <w:r>
        <w:t xml:space="preserve">“The Kelly Criterion in Blackjack, Sports Betting, and the Stock Market.”</w:t>
      </w:r>
      <w:r>
        <w:t xml:space="preserve"> </w:t>
      </w:r>
      <w:r>
        <w:rPr>
          <w:i/>
          <w:iCs/>
        </w:rPr>
        <w:t xml:space="preserve">Handbook of Asset and Liability Management</w:t>
      </w:r>
      <w:r>
        <w:t xml:space="preserve">, edited by S.A. Zenios and W.T. Ziemba, Elsevier, 2006, pp. 385-428.</w:t>
      </w:r>
    </w:p>
    <w:p>
      <w:pPr>
        <w:pStyle w:val="BodyText"/>
      </w:pPr>
      <w:r>
        <w:t xml:space="preserve">Wilder, J. Welles.</w:t>
      </w:r>
      <w:r>
        <w:t xml:space="preserve"> </w:t>
      </w:r>
      <w:r>
        <w:rPr>
          <w:i/>
          <w:iCs/>
        </w:rPr>
        <w:t xml:space="preserve">New Concepts in Technical Trading Systems</w:t>
      </w:r>
      <w:r>
        <w:t xml:space="preserve">. Trend Research, 1978.</w:t>
      </w:r>
    </w:p>
    <w:p>
      <w:pPr>
        <w:pStyle w:val="BodyText"/>
      </w:pPr>
      <w:r>
        <w:t xml:space="preserve">Xiao, Yijia, et al. </w:t>
      </w:r>
      <w:r>
        <w:t xml:space="preserve">“TradingAgents: Multi-Agents LLM Financial Trading Framework.”</w:t>
      </w:r>
      <w:r>
        <w:t xml:space="preserve"> </w:t>
      </w:r>
      <w:r>
        <w:rPr>
          <w:i/>
          <w:iCs/>
        </w:rPr>
        <w:t xml:space="preserve">arXiv preprint</w:t>
      </w:r>
      <w:r>
        <w:t xml:space="preserve">, 2024. arXiv:2412.20138.</w:t>
      </w:r>
    </w:p>
    <w:p>
      <w:pPr>
        <w:pStyle w:val="BodyText"/>
      </w:pPr>
      <w:r>
        <w:t xml:space="preserve">Yahoo Finance.</w:t>
      </w:r>
      <w:r>
        <w:t xml:space="preserve"> </w:t>
      </w:r>
      <w:r>
        <w:t xml:space="preserve">“yfinance: Python Library for Market Data.”</w:t>
      </w:r>
      <w:r>
        <w:t xml:space="preserve"> </w:t>
      </w:r>
      <w:r>
        <w:rPr>
          <w:i/>
          <w:iCs/>
        </w:rPr>
        <w:t xml:space="preserve">PyPI</w:t>
      </w:r>
      <w:r>
        <w:t xml:space="preserve">, 2024, pypi.org/project/yfinance.</w:t>
      </w:r>
    </w:p>
    <w:p>
      <w:pPr>
        <w:pStyle w:val="BodyText"/>
      </w:pPr>
      <w:r>
        <w:t xml:space="preserve">Yu, Yangyang, et al. </w:t>
      </w:r>
      <w:r>
        <w:t xml:space="preserve">“FinCon: A Synthesized LLM Multi-Agent System with Conceptual Verbal Reinforcement for Enhanced Financial Decision Making.”</w:t>
      </w:r>
      <w:r>
        <w:t xml:space="preserve"> </w:t>
      </w:r>
      <w:r>
        <w:rPr>
          <w:i/>
          <w:iCs/>
        </w:rPr>
        <w:t xml:space="preserve">Proceedings of the 38th Conference on Neural Information Processing Systems (NeurIPS)</w:t>
      </w:r>
      <w:r>
        <w:t xml:space="preserve">, 2024.</w:t>
      </w:r>
    </w:p>
    <w:p>
      <w:r>
        <w:pict>
          <v:rect style="width:0;height:1.5pt" o:hralign="center" o:hrstd="t" o:hr="t"/>
        </w:pict>
      </w:r>
    </w:p>
    <w:bookmarkEnd w:id="65"/>
    <w:bookmarkEnd w:id="6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5" Type="http://schemas.openxmlformats.org/officeDocument/2006/relationships/image" Target="media/rId45.png"/><Relationship Id="rId52" Type="http://schemas.openxmlformats.org/officeDocument/2006/relationships/image" Target="media/rId52.png"/><Relationship Id="rId49" Type="http://schemas.openxmlformats.org/officeDocument/2006/relationships/image" Target="media/rId49.png"/><Relationship Id="rId41" Type="http://schemas.openxmlformats.org/officeDocument/2006/relationships/image" Target="media/rId41.png"/><Relationship Id="rId56" Type="http://schemas.openxmlformats.org/officeDocument/2006/relationships/image" Target="media/rId56.png"/><Relationship Id="rId29" Type="http://schemas.openxmlformats.org/officeDocument/2006/relationships/image" Target="media/rId29.png"/><Relationship Id="rId18" Type="http://schemas.openxmlformats.org/officeDocument/2006/relationships/image" Target="media/rId18.png"/><Relationship Id="rId25" Type="http://schemas.openxmlformats.org/officeDocument/2006/relationships/image" Target="media/rId25.png"/><Relationship Id="rId21" Type="http://schemas.openxmlformats.org/officeDocument/2006/relationships/image" Target="media/rId21.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2026-03-01T08:34:52Z</dcterms:created>
  <dcterms:modified xsi:type="dcterms:W3CDTF">2026-03-01T08:34:52Z</dcterms:modified>
</cp:coreProperties>
</file>

<file path=docProps/custom.xml><?xml version="1.0" encoding="utf-8"?>
<Properties xmlns="http://schemas.openxmlformats.org/officeDocument/2006/custom-properties" xmlns:vt="http://schemas.openxmlformats.org/officeDocument/2006/docPropsVTypes"/>
</file>