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6C7F" w14:textId="338F54DF" w:rsidR="00B60708" w:rsidRPr="00466707" w:rsidRDefault="00B60708" w:rsidP="00B60708">
      <w:pPr>
        <w:jc w:val="both"/>
        <w:rPr>
          <w:rFonts w:ascii="Times New Roman" w:hAnsi="Times New Roman" w:cs="Times New Roman"/>
          <w:b/>
          <w:color w:val="4472C4" w:themeColor="accent1"/>
          <w:sz w:val="36"/>
          <w:szCs w:val="32"/>
        </w:rPr>
      </w:pPr>
      <w:r w:rsidRPr="00466707">
        <w:rPr>
          <w:rFonts w:ascii="Times New Roman" w:hAnsi="Times New Roman" w:cs="Times New Roman"/>
          <w:b/>
          <w:color w:val="4472C4" w:themeColor="accent1"/>
          <w:sz w:val="40"/>
          <w:szCs w:val="36"/>
        </w:rPr>
        <w:t>Customer Churn &amp; Retention Analysis</w:t>
      </w:r>
    </w:p>
    <w:p w14:paraId="1E57174F" w14:textId="2E20929B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Tools &amp; Tech Stack:</w:t>
      </w:r>
      <w:r w:rsidRPr="00B60708">
        <w:rPr>
          <w:rFonts w:ascii="Times New Roman" w:hAnsi="Times New Roman" w:cs="Times New Roman"/>
        </w:rPr>
        <w:t xml:space="preserve"> Python (Pandas, NumPy), Microsoft SQL Server (T-SQL), Power BI </w:t>
      </w:r>
    </w:p>
    <w:p w14:paraId="63C3A83E" w14:textId="72C24491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Dataset:</w:t>
      </w:r>
      <w:r w:rsidRPr="00B607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Telecom</w:t>
      </w:r>
      <w:r w:rsidRPr="00B60708">
        <w:rPr>
          <w:rFonts w:ascii="Times New Roman" w:hAnsi="Times New Roman" w:cs="Times New Roman"/>
        </w:rPr>
        <w:t xml:space="preserve"> Customer Churn Records (1,000,000 Rows, 18 Columns) </w:t>
      </w:r>
    </w:p>
    <w:p w14:paraId="641A4C35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Project Goal:</w:t>
      </w:r>
      <w:r w:rsidRPr="00B60708">
        <w:rPr>
          <w:rFonts w:ascii="Times New Roman" w:hAnsi="Times New Roman" w:cs="Times New Roman"/>
        </w:rPr>
        <w:t xml:space="preserve"> Identify key churn drivers across subscription plans, calculate recurring revenue loss, and simulate churn reduction impact using Power BI.</w:t>
      </w:r>
    </w:p>
    <w:p w14:paraId="5FEA667E" w14:textId="4DB11890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3E6AD66D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1. Project Overview &amp; Business Problem</w:t>
      </w:r>
    </w:p>
    <w:p w14:paraId="54B17D72" w14:textId="1E082242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>Customer churn is a major challenge in the telecom industry. When customers leave, companies lose recurring subscription revenue and spend significantly more to acquire new customers.</w:t>
      </w:r>
    </w:p>
    <w:p w14:paraId="3430EEF9" w14:textId="4230CA2E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In this project, I analyzed a dataset of 1,000,000 customer records to understand: </w:t>
      </w:r>
    </w:p>
    <w:p w14:paraId="197DA2FE" w14:textId="25FA8309" w:rsidR="00B60708" w:rsidRPr="00B60708" w:rsidRDefault="00B60708" w:rsidP="00B607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>What percentage of customers are leaving and why.</w:t>
      </w:r>
    </w:p>
    <w:p w14:paraId="29F28798" w14:textId="4851089E" w:rsidR="00B60708" w:rsidRPr="00B60708" w:rsidRDefault="00B60708" w:rsidP="00B607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How much monthly recurring revenue is being lost to churn. </w:t>
      </w:r>
    </w:p>
    <w:p w14:paraId="73547747" w14:textId="223B2DC9" w:rsidR="00B60708" w:rsidRPr="00B60708" w:rsidRDefault="00B60708" w:rsidP="00B607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Which specific contracts, plans, and regions are the most vulnerable. </w:t>
      </w:r>
    </w:p>
    <w:p w14:paraId="118F0AF3" w14:textId="0FA44FCE" w:rsidR="00B60708" w:rsidRDefault="00B60708" w:rsidP="00B60708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How much revenue can be saved by implementing targeted retention strategies. </w:t>
      </w:r>
    </w:p>
    <w:p w14:paraId="7AFBE810" w14:textId="77777777" w:rsidR="00466707" w:rsidRPr="00466707" w:rsidRDefault="00466707" w:rsidP="00466707">
      <w:pPr>
        <w:jc w:val="both"/>
        <w:rPr>
          <w:rFonts w:ascii="Times New Roman" w:hAnsi="Times New Roman" w:cs="Times New Roman"/>
        </w:rPr>
      </w:pPr>
    </w:p>
    <w:p w14:paraId="7562A3A2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2. High-Level Key Metrics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4"/>
        <w:gridCol w:w="3045"/>
        <w:gridCol w:w="3821"/>
      </w:tblGrid>
      <w:tr w:rsidR="00B60708" w:rsidRPr="00B60708" w14:paraId="478C00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6E04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Key 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58C83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Calculated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C3722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Analyst Notes</w:t>
            </w:r>
          </w:p>
        </w:tc>
      </w:tr>
      <w:tr w:rsidR="00B60708" w:rsidRPr="00B60708" w14:paraId="7CD06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72170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Total 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AB93B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10,00,000 (1 Million) </w:t>
            </w:r>
          </w:p>
          <w:p w14:paraId="1330C35C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3595E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Total active subscriber base in the database. </w:t>
            </w:r>
          </w:p>
          <w:p w14:paraId="714846C8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0708" w:rsidRPr="00B60708" w14:paraId="168D9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6E0B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Churned Customers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813A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2,60,158 </w:t>
            </w:r>
          </w:p>
          <w:p w14:paraId="01DA50C3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8EF48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Total customers who discontinued the service. </w:t>
            </w:r>
          </w:p>
          <w:p w14:paraId="01E0579B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0708" w:rsidRPr="00B60708" w14:paraId="4EAF5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06633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Overall Churn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D950F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26.02% </w:t>
            </w:r>
          </w:p>
          <w:p w14:paraId="5E8C34D1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23FF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Roughly 1 in every 4 customers has churned. </w:t>
            </w:r>
          </w:p>
          <w:p w14:paraId="1618C0F6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0708" w:rsidRPr="00B60708" w14:paraId="14364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6412D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lastRenderedPageBreak/>
              <w:t>Total Monthly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2F58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$1,401,159,112.87 ($1.40B) </w:t>
            </w:r>
          </w:p>
          <w:p w14:paraId="7E680E31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7C16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Total monthly recurring revenue across all accounts. </w:t>
            </w:r>
          </w:p>
          <w:p w14:paraId="7CA655CB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0708" w:rsidRPr="00B60708" w14:paraId="23C33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5995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Lost Monthly Revenue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947D9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$364,323,324.87 ($364.32M) </w:t>
            </w:r>
          </w:p>
          <w:p w14:paraId="3E563BCE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34DE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 xml:space="preserve">Monthly recurring loss directly caused by churn (~$4.37B/yr). </w:t>
            </w:r>
          </w:p>
          <w:p w14:paraId="1995D2C3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60708" w:rsidRPr="00B60708" w14:paraId="7E919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4DAB" w14:textId="497931B3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  <w:b/>
              </w:rPr>
              <w:t>Av</w:t>
            </w:r>
            <w:r>
              <w:rPr>
                <w:rFonts w:ascii="Times New Roman" w:hAnsi="Times New Roman" w:cs="Times New Roman"/>
                <w:b/>
              </w:rPr>
              <w:t>erage</w:t>
            </w:r>
            <w:r w:rsidRPr="00B60708">
              <w:rPr>
                <w:rFonts w:ascii="Times New Roman" w:hAnsi="Times New Roman" w:cs="Times New Roman"/>
                <w:b/>
              </w:rPr>
              <w:t xml:space="preserve"> Monthly Charges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5EE1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>$1,401.16 (Base) vs $1,401.55 (M-t-M)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BBB3" w14:textId="77777777" w:rsidR="00B60708" w:rsidRPr="00B60708" w:rsidRDefault="00B60708" w:rsidP="00B60708">
            <w:pPr>
              <w:jc w:val="both"/>
              <w:rPr>
                <w:rFonts w:ascii="Times New Roman" w:hAnsi="Times New Roman" w:cs="Times New Roman"/>
              </w:rPr>
            </w:pPr>
            <w:r w:rsidRPr="00B60708">
              <w:rPr>
                <w:rFonts w:ascii="Times New Roman" w:hAnsi="Times New Roman" w:cs="Times New Roman"/>
              </w:rPr>
              <w:t>Churned users paid standard monthly rates, meaning core paying accounts are leaving.</w:t>
            </w:r>
          </w:p>
        </w:tc>
      </w:tr>
    </w:tbl>
    <w:p w14:paraId="2F473598" w14:textId="77777777" w:rsidR="00B60708" w:rsidRDefault="00B60708" w:rsidP="00B60708">
      <w:pPr>
        <w:jc w:val="both"/>
        <w:rPr>
          <w:rFonts w:ascii="Times New Roman" w:hAnsi="Times New Roman" w:cs="Times New Roman"/>
          <w:b/>
        </w:rPr>
      </w:pPr>
    </w:p>
    <w:p w14:paraId="31CDB411" w14:textId="491E6CF8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3. Step-by-Step Technical Implementation</w:t>
      </w:r>
    </w:p>
    <w:p w14:paraId="3B81ACA5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Step 1: Data Cleaning &amp; Preprocessing in Python (Jupyter Notebook)</w:t>
      </w:r>
    </w:p>
    <w:p w14:paraId="520AF8E0" w14:textId="58DE8E87" w:rsidR="00B60708" w:rsidRPr="00B60708" w:rsidRDefault="00B60708" w:rsidP="00B607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Checking Data Dimensions &amp; Types:</w:t>
      </w:r>
      <w:r w:rsidRPr="00B60708">
        <w:rPr>
          <w:rFonts w:ascii="Times New Roman" w:hAnsi="Times New Roman" w:cs="Times New Roman"/>
        </w:rPr>
        <w:t xml:space="preserve"> Verified (1000000, 18) rows and columns, parsed numeric columns (Monthly_Charges, Total_Charges, Tenure_Months, Age), and standardized interaction dates. </w:t>
      </w:r>
    </w:p>
    <w:p w14:paraId="69CAEF30" w14:textId="0D081CEA" w:rsidR="00B60708" w:rsidRPr="00B60708" w:rsidRDefault="00B60708" w:rsidP="00B607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Trimming Whitespaces:</w:t>
      </w:r>
      <w:r w:rsidRPr="00B60708">
        <w:rPr>
          <w:rFonts w:ascii="Times New Roman" w:hAnsi="Times New Roman" w:cs="Times New Roman"/>
        </w:rPr>
        <w:t xml:space="preserve"> Used .str.strip() across string fields like State, Contract_Type, and Payment_Method to ensure group aggregations wouldn't create duplicate categories due to hidden spaces. </w:t>
      </w:r>
    </w:p>
    <w:p w14:paraId="1F3D164B" w14:textId="770AA8BC" w:rsidR="00B60708" w:rsidRPr="00B60708" w:rsidRDefault="00B60708" w:rsidP="00B607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Text Formatting:</w:t>
      </w:r>
      <w:r w:rsidRPr="00B60708">
        <w:rPr>
          <w:rFonts w:ascii="Times New Roman" w:hAnsi="Times New Roman" w:cs="Times New Roman"/>
        </w:rPr>
        <w:t xml:space="preserve"> Applied .str.title() to ensure uniform text casing across categorical columns. </w:t>
      </w:r>
    </w:p>
    <w:p w14:paraId="058D0940" w14:textId="77777777" w:rsidR="00B60708" w:rsidRPr="00B60708" w:rsidRDefault="00B60708" w:rsidP="00B6070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Data Health Check:</w:t>
      </w:r>
      <w:r w:rsidRPr="00B60708">
        <w:rPr>
          <w:rFonts w:ascii="Times New Roman" w:hAnsi="Times New Roman" w:cs="Times New Roman"/>
        </w:rPr>
        <w:t xml:space="preserve"> Checked for missing values and duplicates to ensure data integrity before loading into the database. </w:t>
      </w:r>
    </w:p>
    <w:p w14:paraId="0EA8931A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741FFE6B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Step 2: Feature Engineering (Creating Custom Columns)</w:t>
      </w:r>
    </w:p>
    <w:p w14:paraId="12797383" w14:textId="42C0C726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To make the data ready for business analysis and SQL queries, I derived four new attributes: </w:t>
      </w:r>
    </w:p>
    <w:p w14:paraId="39E832C6" w14:textId="35BA6BFD" w:rsidR="00B60708" w:rsidRPr="00B60708" w:rsidRDefault="00B60708" w:rsidP="00B607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  <w:bCs w:val="0"/>
          <w:color w:val="000000" w:themeColor="text1"/>
        </w:rPr>
        <w:t>Churn_Flag:</w:t>
      </w:r>
      <w:r w:rsidRPr="00B60708">
        <w:rPr>
          <w:rFonts w:ascii="Times New Roman" w:hAnsi="Times New Roman" w:cs="Times New Roman"/>
        </w:rPr>
        <w:t xml:space="preserve"> A binary flag (1 for churned, 0 for active) to simplify percentage and count calculations in SQL and DAX. </w:t>
      </w:r>
    </w:p>
    <w:p w14:paraId="782171F0" w14:textId="783B8716" w:rsidR="00B60708" w:rsidRPr="00B60708" w:rsidRDefault="00B60708" w:rsidP="00B607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  <w:bCs w:val="0"/>
        </w:rPr>
        <w:lastRenderedPageBreak/>
        <w:t>Customer_Value:</w:t>
      </w:r>
      <w:r w:rsidRPr="00B60708">
        <w:rPr>
          <w:rFonts w:ascii="Times New Roman" w:hAnsi="Times New Roman" w:cs="Times New Roman"/>
        </w:rPr>
        <w:t xml:space="preserve"> Calculated as Tenure_Months * Monthly_Charges to estimate total cumulative spend and identify VIP customers. </w:t>
      </w:r>
    </w:p>
    <w:p w14:paraId="120D645A" w14:textId="5B83EB71" w:rsidR="00B60708" w:rsidRPr="00B60708" w:rsidRDefault="00B60708" w:rsidP="00B607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  <w:bCs w:val="0"/>
        </w:rPr>
        <w:t>Tenure_Group:</w:t>
      </w:r>
      <w:r w:rsidRPr="00B60708">
        <w:rPr>
          <w:rFonts w:ascii="Times New Roman" w:hAnsi="Times New Roman" w:cs="Times New Roman"/>
        </w:rPr>
        <w:t xml:space="preserve"> Binned Tenure_Months into lifecycle brackets (0-12 month, 13-24 month, 25-48 month, 49-72 month) to analyze churn across customer tenure stages. </w:t>
      </w:r>
    </w:p>
    <w:p w14:paraId="26CF8AFE" w14:textId="77777777" w:rsidR="00B60708" w:rsidRPr="00B60708" w:rsidRDefault="00B60708" w:rsidP="00B6070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  <w:bCs w:val="0"/>
        </w:rPr>
        <w:t>Age_Group:</w:t>
      </w:r>
      <w:r w:rsidRPr="00B60708">
        <w:rPr>
          <w:rFonts w:ascii="Times New Roman" w:hAnsi="Times New Roman" w:cs="Times New Roman"/>
        </w:rPr>
        <w:t xml:space="preserve"> Grouped customer age into Young, Adult, and Senior brackets for demographic segmentation. </w:t>
      </w:r>
    </w:p>
    <w:p w14:paraId="0313F1E4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2F337379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Step 3: MS SQL Server Analysis</w:t>
      </w:r>
    </w:p>
    <w:p w14:paraId="63E1B2E9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Exported the cleaned dataframe into Microsoft SQL Server and authored structured T-SQL queries to slice churn across contracts, products, geographies, and support channels. </w:t>
      </w:r>
    </w:p>
    <w:p w14:paraId="64999033" w14:textId="44567C21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723DE285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Step 4: Power BI Dashboard &amp; Scenario Modeling</w:t>
      </w:r>
    </w:p>
    <w:p w14:paraId="57D63F57" w14:textId="1B89028F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>Built a 2-page interactive dashboard connected to the SQL data:</w:t>
      </w:r>
    </w:p>
    <w:p w14:paraId="72DA5396" w14:textId="53CC6A39" w:rsidR="00B60708" w:rsidRPr="00B60708" w:rsidRDefault="00B60708" w:rsidP="00B607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Page 1 (Executive Summary):</w:t>
      </w:r>
      <w:r w:rsidRPr="00B60708">
        <w:rPr>
          <w:rFonts w:ascii="Times New Roman" w:hAnsi="Times New Roman" w:cs="Times New Roman"/>
        </w:rPr>
        <w:t xml:space="preserve"> Interactive top slicers (State, Subscription Type, Internet Service, Contract Type, Payment Method), KPI scorecards, Total vs Lost Monthly Revenue by State, High-Risk Churned Accounts table, and a dynamic What-If parameter slider. </w:t>
      </w:r>
    </w:p>
    <w:p w14:paraId="3CC5A810" w14:textId="77777777" w:rsidR="00B60708" w:rsidRPr="00B60708" w:rsidRDefault="00B60708" w:rsidP="00B6070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Page 2 (Breakdown Analysis):</w:t>
      </w:r>
      <w:r w:rsidRPr="00B60708">
        <w:rPr>
          <w:rFonts w:ascii="Times New Roman" w:hAnsi="Times New Roman" w:cs="Times New Roman"/>
        </w:rPr>
        <w:t xml:space="preserve"> Visual distribution charts showing Churned Customers by Internet Service, Contract Type, Subscription Type, Payment Method, Tenure Group, and Tech Support. </w:t>
      </w:r>
    </w:p>
    <w:p w14:paraId="05CD5059" w14:textId="77777777" w:rsidR="00B60708" w:rsidRDefault="00B60708" w:rsidP="00B60708">
      <w:pPr>
        <w:jc w:val="both"/>
        <w:rPr>
          <w:rFonts w:ascii="Times New Roman" w:hAnsi="Times New Roman" w:cs="Times New Roman"/>
        </w:rPr>
      </w:pPr>
    </w:p>
    <w:p w14:paraId="0C7E8BD2" w14:textId="77777777" w:rsidR="00B60708" w:rsidRDefault="00B60708" w:rsidP="00B60708">
      <w:pPr>
        <w:jc w:val="both"/>
        <w:rPr>
          <w:rFonts w:ascii="Times New Roman" w:hAnsi="Times New Roman" w:cs="Times New Roman"/>
        </w:rPr>
      </w:pPr>
    </w:p>
    <w:p w14:paraId="7A8647E1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30901457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4. Key Findings &amp; Data Insights</w:t>
      </w:r>
    </w:p>
    <w:p w14:paraId="34637162" w14:textId="7EF35AFE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Month-to-Month Contracts Drive Most Churn:</w:t>
      </w:r>
      <w:r w:rsidRPr="00B60708">
        <w:rPr>
          <w:rFonts w:ascii="Times New Roman" w:hAnsi="Times New Roman" w:cs="Times New Roman"/>
        </w:rPr>
        <w:t xml:space="preserve"> Out of 2,60,158 churned users, 1,17,582 (45.20%) were on Month-to-Month plans. 1-Year plans accounted for 29.96% (77,945) and 2-Year plans accounted for 24.84% (64,631). Monthly plans have no lock-in or cancellation friction, making it easy for customers to drop off. </w:t>
      </w:r>
    </w:p>
    <w:p w14:paraId="65DE3FC1" w14:textId="71DB12BC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lastRenderedPageBreak/>
        <w:t>Fiber Internet Leads Churn Share:</w:t>
      </w:r>
      <w:r w:rsidRPr="00B60708">
        <w:rPr>
          <w:rFonts w:ascii="Times New Roman" w:hAnsi="Times New Roman" w:cs="Times New Roman"/>
        </w:rPr>
        <w:t xml:space="preserve"> Fiber internet users account for 34.93% (90,885) of all churned accounts, well ahead of DSL (25.04% / 65,132), 5G (20.06% / 52,175), and Cable (19.97% / 51,966). For a premium-priced service, high fiber churn indicates possible line stability issues or aggressive competitor pricing. </w:t>
      </w:r>
    </w:p>
    <w:p w14:paraId="427DF22F" w14:textId="3C4C6F56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Basic Tier Has the Highest Drop-Off:</w:t>
      </w:r>
      <w:r w:rsidRPr="00B60708">
        <w:rPr>
          <w:rFonts w:ascii="Times New Roman" w:hAnsi="Times New Roman" w:cs="Times New Roman"/>
        </w:rPr>
        <w:t xml:space="preserve"> Basic plan subscribers make up 41.84% (1,08,851) of churn, compared to Standard (29.95% / 77,924) and Premium (28.21% / 73,383), pointing to early customer dissatisfaction or lack of perceived value. </w:t>
      </w:r>
    </w:p>
    <w:p w14:paraId="25EB205E" w14:textId="6150A81B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50% of Total Lost Revenue is Concentrated in Maharashtra and UP:</w:t>
      </w:r>
      <w:r w:rsidRPr="00B60708">
        <w:rPr>
          <w:rFonts w:ascii="Times New Roman" w:hAnsi="Times New Roman" w:cs="Times New Roman"/>
        </w:rPr>
        <w:t xml:space="preserve"> Total lost monthly revenue is $364.32 Million. Maharashtra accounts for $91.29M (65,158 churned) and UP accounts for $90.94M (64,852 churned). Together, these two states account for half of the organization's monthly financial loss. </w:t>
      </w:r>
    </w:p>
    <w:p w14:paraId="2E86BC09" w14:textId="0DE761DC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The Tenure Paradox (Long-Term Customers Leaving):</w:t>
      </w:r>
      <w:r w:rsidRPr="00B60708">
        <w:rPr>
          <w:rFonts w:ascii="Times New Roman" w:hAnsi="Times New Roman" w:cs="Times New Roman"/>
        </w:rPr>
        <w:t xml:space="preserve"> Unlike traditional funnels where new signups drop off fastest, churn here peaks in long-tenure cohorts: 25–48 months (86,903 churned / 33.40%) and 49–72 months (86,441 churned / 33.23%). Customers who stayed for 2 to 6 years are leaving after their agreements expire. </w:t>
      </w:r>
    </w:p>
    <w:p w14:paraId="4A8D1E74" w14:textId="177251C0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Tech Support Inefficacy:</w:t>
      </w:r>
      <w:r w:rsidRPr="00B60708">
        <w:rPr>
          <w:rFonts w:ascii="Times New Roman" w:hAnsi="Times New Roman" w:cs="Times New Roman"/>
        </w:rPr>
        <w:t xml:space="preserve"> 51.01% of churned users (1,32,711) did not contact tech support, while 48.99% (1,27,447) did. Support interactions are not moving the needle on retention, indicating support quality or resolution issues.</w:t>
      </w:r>
    </w:p>
    <w:p w14:paraId="22D628E1" w14:textId="77777777" w:rsidR="00B60708" w:rsidRPr="00B60708" w:rsidRDefault="00B60708" w:rsidP="00B6070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Payment Method &amp; Demographics:</w:t>
      </w:r>
      <w:r w:rsidRPr="00B60708">
        <w:rPr>
          <w:rFonts w:ascii="Times New Roman" w:hAnsi="Times New Roman" w:cs="Times New Roman"/>
        </w:rPr>
        <w:t xml:space="preserve"> UPI recorded the highest churn at 70,005 accounts (26.91%), followed by Credit Cards (57,712) and Debit Cards (57,603). Working-age adults (30–55) make up 55.68% (1,44,854) of all churned accounts. </w:t>
      </w:r>
    </w:p>
    <w:p w14:paraId="0CEAF6F7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2D111030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5. Power BI 'What-If' Simulation &amp; High-Value Customer Risk</w:t>
      </w:r>
    </w:p>
    <w:p w14:paraId="54039DD0" w14:textId="5EAB10BE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To make the dashboard directly useful for decision-making, I set up a dynamic What-If DAX parameter slider in Power BI: </w:t>
      </w:r>
    </w:p>
    <w:p w14:paraId="47D6AB3F" w14:textId="34ADD1C4" w:rsidR="00B60708" w:rsidRPr="00B60708" w:rsidRDefault="00B60708" w:rsidP="00B607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Baseline Lost Monthly Revenue:</w:t>
      </w:r>
      <w:r w:rsidRPr="00B60708">
        <w:rPr>
          <w:rFonts w:ascii="Times New Roman" w:hAnsi="Times New Roman" w:cs="Times New Roman"/>
        </w:rPr>
        <w:t xml:space="preserve"> $364.32 Million </w:t>
      </w:r>
    </w:p>
    <w:p w14:paraId="3C44DC82" w14:textId="4E4E01A3" w:rsidR="00B60708" w:rsidRPr="00B60708" w:rsidRDefault="00B60708" w:rsidP="00B607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Target Churn Reduction:</w:t>
      </w:r>
      <w:r w:rsidRPr="00B60708">
        <w:rPr>
          <w:rFonts w:ascii="Times New Roman" w:hAnsi="Times New Roman" w:cs="Times New Roman"/>
        </w:rPr>
        <w:t xml:space="preserve"> 5% </w:t>
      </w:r>
    </w:p>
    <w:p w14:paraId="0CACF496" w14:textId="54A9320C" w:rsidR="00B60708" w:rsidRPr="00B60708" w:rsidRDefault="00B60708" w:rsidP="00B607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lastRenderedPageBreak/>
        <w:t>Potential Monthly Revenue Saved:</w:t>
      </w:r>
      <w:r w:rsidRPr="00B60708">
        <w:rPr>
          <w:rFonts w:ascii="Times New Roman" w:hAnsi="Times New Roman" w:cs="Times New Roman"/>
        </w:rPr>
        <w:t xml:space="preserve"> $18.22 Million </w:t>
      </w:r>
    </w:p>
    <w:p w14:paraId="61B07094" w14:textId="2D3D911B" w:rsidR="00B60708" w:rsidRPr="00B60708" w:rsidRDefault="00B60708" w:rsidP="00B60708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Potential Annual Revenue Saved:</w:t>
      </w:r>
      <w:r w:rsidRPr="00B60708">
        <w:rPr>
          <w:rFonts w:ascii="Times New Roman" w:hAnsi="Times New Roman" w:cs="Times New Roman"/>
        </w:rPr>
        <w:t xml:space="preserve"> $218.59 Million </w:t>
      </w:r>
    </w:p>
    <w:p w14:paraId="354CAB5D" w14:textId="180FD9FC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The high-risk churn table on the dashboard highlights individual top churners by Customer_Value: </w:t>
      </w:r>
    </w:p>
    <w:p w14:paraId="3B186659" w14:textId="42F9EA95" w:rsidR="00B60708" w:rsidRPr="00B60708" w:rsidRDefault="00B60708" w:rsidP="00B607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Suresh Kumar</w:t>
      </w:r>
      <w:r w:rsidRPr="00B60708">
        <w:rPr>
          <w:rFonts w:ascii="Times New Roman" w:hAnsi="Times New Roman" w:cs="Times New Roman"/>
        </w:rPr>
        <w:t xml:space="preserve"> (Karnataka, Basic, Debit Card, 49–72 mo): </w:t>
      </w:r>
      <w:r w:rsidRPr="00B60708">
        <w:rPr>
          <w:rFonts w:ascii="Times New Roman" w:hAnsi="Times New Roman" w:cs="Times New Roman"/>
          <w:b/>
        </w:rPr>
        <w:t>$179,881.92</w:t>
      </w:r>
    </w:p>
    <w:p w14:paraId="6D5977AB" w14:textId="327A7A66" w:rsidR="00B60708" w:rsidRPr="00B60708" w:rsidRDefault="00B60708" w:rsidP="00B607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Priya Sharma</w:t>
      </w:r>
      <w:r w:rsidRPr="00B60708">
        <w:rPr>
          <w:rFonts w:ascii="Times New Roman" w:hAnsi="Times New Roman" w:cs="Times New Roman"/>
        </w:rPr>
        <w:t xml:space="preserve"> (Delhi, Basic, Credit Card, 49–72 mo): </w:t>
      </w:r>
      <w:r w:rsidRPr="00B60708">
        <w:rPr>
          <w:rFonts w:ascii="Times New Roman" w:hAnsi="Times New Roman" w:cs="Times New Roman"/>
          <w:b/>
        </w:rPr>
        <w:t>$179,676.72</w:t>
      </w:r>
    </w:p>
    <w:p w14:paraId="3689023E" w14:textId="68E66FB8" w:rsidR="00B60708" w:rsidRPr="00B60708" w:rsidRDefault="00B60708" w:rsidP="00B607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Abhishek Verma</w:t>
      </w:r>
      <w:r w:rsidRPr="00B60708">
        <w:rPr>
          <w:rFonts w:ascii="Times New Roman" w:hAnsi="Times New Roman" w:cs="Times New Roman"/>
        </w:rPr>
        <w:t xml:space="preserve"> (Maharashtra, Premium, Credit Card, 49–72 mo): </w:t>
      </w:r>
      <w:r w:rsidRPr="00B60708">
        <w:rPr>
          <w:rFonts w:ascii="Times New Roman" w:hAnsi="Times New Roman" w:cs="Times New Roman"/>
          <w:b/>
        </w:rPr>
        <w:t>$179,616.96</w:t>
      </w:r>
    </w:p>
    <w:p w14:paraId="64BC5ADC" w14:textId="27DD325D" w:rsidR="00B60708" w:rsidRPr="00B60708" w:rsidRDefault="00B60708" w:rsidP="00B60708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Pooja Kumar</w:t>
      </w:r>
      <w:r w:rsidRPr="00B60708">
        <w:rPr>
          <w:rFonts w:ascii="Times New Roman" w:hAnsi="Times New Roman" w:cs="Times New Roman"/>
        </w:rPr>
        <w:t xml:space="preserve"> (Maharashtra, Basic, Debit Card, 49–72 mo): </w:t>
      </w:r>
      <w:r w:rsidRPr="00B60708">
        <w:rPr>
          <w:rFonts w:ascii="Times New Roman" w:hAnsi="Times New Roman" w:cs="Times New Roman"/>
          <w:b/>
        </w:rPr>
        <w:t>$179,575.20</w:t>
      </w:r>
    </w:p>
    <w:p w14:paraId="28F697C5" w14:textId="77777777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</w:rPr>
        <w:t xml:space="preserve">These are long-term, high-spending accounts, showing that customer attrition is impacting core business value. </w:t>
      </w:r>
    </w:p>
    <w:p w14:paraId="17291EFC" w14:textId="6BE1D5CD" w:rsidR="00B60708" w:rsidRPr="00B60708" w:rsidRDefault="00B60708" w:rsidP="00B60708">
      <w:pPr>
        <w:jc w:val="both"/>
        <w:rPr>
          <w:rFonts w:ascii="Times New Roman" w:hAnsi="Times New Roman" w:cs="Times New Roman"/>
        </w:rPr>
      </w:pPr>
    </w:p>
    <w:p w14:paraId="1F9668CA" w14:textId="77777777" w:rsidR="00B60708" w:rsidRPr="00B60708" w:rsidRDefault="00B60708" w:rsidP="00B60708">
      <w:pPr>
        <w:jc w:val="both"/>
        <w:rPr>
          <w:rFonts w:ascii="Times New Roman" w:hAnsi="Times New Roman" w:cs="Times New Roman"/>
          <w:b/>
        </w:rPr>
      </w:pPr>
      <w:r w:rsidRPr="00B60708">
        <w:rPr>
          <w:rFonts w:ascii="Times New Roman" w:hAnsi="Times New Roman" w:cs="Times New Roman"/>
          <w:b/>
        </w:rPr>
        <w:t>6. Business Recommendations</w:t>
      </w:r>
    </w:p>
    <w:p w14:paraId="4C39F56B" w14:textId="4FFB0FB1" w:rsidR="00B60708" w:rsidRPr="00B60708" w:rsidRDefault="00B60708" w:rsidP="00B6070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Incentivize Annual Contracts:</w:t>
      </w:r>
      <w:r w:rsidRPr="00B60708">
        <w:rPr>
          <w:rFonts w:ascii="Times New Roman" w:hAnsi="Times New Roman" w:cs="Times New Roman"/>
        </w:rPr>
        <w:t xml:space="preserve"> Offer a 10% discount or extra speed upgrades to convert Month-to-Month subscribers into 1-Year plans, reducing the 45% churn concentration. </w:t>
      </w:r>
    </w:p>
    <w:p w14:paraId="2DE7BF88" w14:textId="5365E864" w:rsidR="00B60708" w:rsidRPr="00B60708" w:rsidRDefault="00B60708" w:rsidP="00B6070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Prioritize Fiber Quality in Maharashtra &amp; UP:</w:t>
      </w:r>
      <w:r w:rsidRPr="00B60708">
        <w:rPr>
          <w:rFonts w:ascii="Times New Roman" w:hAnsi="Times New Roman" w:cs="Times New Roman"/>
        </w:rPr>
        <w:t xml:space="preserve"> Because Fiber churn is high (35%) and Maharashtra + UP generate 50% of total revenue loss, run an infrastructure and line-quality audit in these two markets. </w:t>
      </w:r>
    </w:p>
    <w:p w14:paraId="04EED616" w14:textId="597AC6FF" w:rsidR="00B60708" w:rsidRPr="00B60708" w:rsidRDefault="00B60708" w:rsidP="00B6070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Reward Long-Tenure Milestones:</w:t>
      </w:r>
      <w:r w:rsidRPr="00B60708">
        <w:rPr>
          <w:rFonts w:ascii="Times New Roman" w:hAnsi="Times New Roman" w:cs="Times New Roman"/>
        </w:rPr>
        <w:t xml:space="preserve"> Introduce loyalty perks (free speed bumps, streaming perks) for customers completing 2 years or 4 years of service to prevent post-contract attrition. </w:t>
      </w:r>
    </w:p>
    <w:p w14:paraId="2C274375" w14:textId="1A4C081F" w:rsidR="00B60708" w:rsidRPr="00B60708" w:rsidRDefault="00B60708" w:rsidP="00B6070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Improve Basic Tier Value:</w:t>
      </w:r>
      <w:r w:rsidRPr="00B60708">
        <w:rPr>
          <w:rFonts w:ascii="Times New Roman" w:hAnsi="Times New Roman" w:cs="Times New Roman"/>
        </w:rPr>
        <w:t xml:space="preserve"> Add basic value features (e.g., standard security, parental controls) to the entry plan to lower the 41.8% Basic plan churn. </w:t>
      </w:r>
    </w:p>
    <w:p w14:paraId="562EA484" w14:textId="451EE68D" w:rsidR="0036738C" w:rsidRPr="00466707" w:rsidRDefault="00B60708" w:rsidP="00B60708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60708">
        <w:rPr>
          <w:rFonts w:ascii="Times New Roman" w:hAnsi="Times New Roman" w:cs="Times New Roman"/>
          <w:b/>
        </w:rPr>
        <w:t>Strengthen Tech Support First-Contact Resolution:</w:t>
      </w:r>
      <w:r w:rsidRPr="00B60708">
        <w:rPr>
          <w:rFonts w:ascii="Times New Roman" w:hAnsi="Times New Roman" w:cs="Times New Roman"/>
        </w:rPr>
        <w:t xml:space="preserve"> Equip support agents with the ability to offer quick billing credits or issue waivers during downtime to retain unhappy customers before they cancel. </w:t>
      </w:r>
    </w:p>
    <w:sectPr w:rsidR="0036738C" w:rsidRPr="00466707" w:rsidSect="00B60708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0CF"/>
    <w:multiLevelType w:val="multilevel"/>
    <w:tmpl w:val="630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59DC"/>
    <w:multiLevelType w:val="multilevel"/>
    <w:tmpl w:val="47A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D1514"/>
    <w:multiLevelType w:val="multilevel"/>
    <w:tmpl w:val="872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86D50"/>
    <w:multiLevelType w:val="multilevel"/>
    <w:tmpl w:val="E34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051CA"/>
    <w:multiLevelType w:val="multilevel"/>
    <w:tmpl w:val="F4F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03DCE"/>
    <w:multiLevelType w:val="multilevel"/>
    <w:tmpl w:val="79DA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74DCC"/>
    <w:multiLevelType w:val="multilevel"/>
    <w:tmpl w:val="956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A27B5"/>
    <w:multiLevelType w:val="multilevel"/>
    <w:tmpl w:val="0B2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D4E2B"/>
    <w:multiLevelType w:val="multilevel"/>
    <w:tmpl w:val="31A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60370">
    <w:abstractNumId w:val="0"/>
  </w:num>
  <w:num w:numId="2" w16cid:durableId="314183505">
    <w:abstractNumId w:val="3"/>
  </w:num>
  <w:num w:numId="3" w16cid:durableId="1502937848">
    <w:abstractNumId w:val="2"/>
  </w:num>
  <w:num w:numId="4" w16cid:durableId="556401846">
    <w:abstractNumId w:val="1"/>
  </w:num>
  <w:num w:numId="5" w16cid:durableId="679546492">
    <w:abstractNumId w:val="8"/>
  </w:num>
  <w:num w:numId="6" w16cid:durableId="1403022225">
    <w:abstractNumId w:val="4"/>
  </w:num>
  <w:num w:numId="7" w16cid:durableId="1316955507">
    <w:abstractNumId w:val="6"/>
  </w:num>
  <w:num w:numId="8" w16cid:durableId="2057578454">
    <w:abstractNumId w:val="5"/>
  </w:num>
  <w:num w:numId="9" w16cid:durableId="1034960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08"/>
    <w:rsid w:val="0036738C"/>
    <w:rsid w:val="00444F02"/>
    <w:rsid w:val="004531CE"/>
    <w:rsid w:val="00466707"/>
    <w:rsid w:val="004C1F72"/>
    <w:rsid w:val="00543915"/>
    <w:rsid w:val="00642BD6"/>
    <w:rsid w:val="00B6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6D13"/>
  <w15:chartTrackingRefBased/>
  <w15:docId w15:val="{CE740656-C9A1-49CD-85E0-67BB713A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bCs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0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0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08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Bansal</dc:creator>
  <cp:keywords/>
  <dc:description/>
  <cp:lastModifiedBy>Deepanshu Bansal</cp:lastModifiedBy>
  <cp:revision>1</cp:revision>
  <dcterms:created xsi:type="dcterms:W3CDTF">2026-10-02T14:14:00Z</dcterms:created>
  <dcterms:modified xsi:type="dcterms:W3CDTF">2026-10-02T14:30:00Z</dcterms:modified>
</cp:coreProperties>
</file>