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ESR1 Mutation Validation Report</w:t>
      </w:r>
    </w:p>
    <w:p>
      <w:r>
        <w:t>Generated: 12 June 2026 21:13</w:t>
      </w:r>
    </w:p>
    <w:p>
      <w:r>
        <w:t>Neha Bansal | Eli Lilly and Company | Manuscript in preparation, 2026</w:t>
      </w:r>
    </w:p>
    <w:p>
      <w:r>
        <w:t>────────────────────────────────────────────────────────────</w:t>
      </w:r>
    </w:p>
    <w:p>
      <w:pPr>
        <w:pStyle w:val="Heading2"/>
      </w:pPr>
      <w:r>
        <w:t>Research Question</w:t>
      </w:r>
    </w:p>
    <w:p>
      <w:r>
        <w:t>Validate ESR1 mutation positivity rates in metastatic breast cancer.</w:t>
      </w:r>
    </w:p>
    <w:p>
      <w:pPr>
        <w:pStyle w:val="Heading2"/>
      </w:pPr>
      <w:r>
        <w:t>Validation Dataset</w:t>
      </w:r>
    </w:p>
    <w:p>
      <w:r>
        <w:t>Database: cBioPortal</w:t>
        <w:br/>
        <w:t>Study: MSK Metastatic Breast Cancer (Cancer Discovery 2022)</w:t>
        <w:br/>
        <w:t>Study ID: breast_ink4_msk_2021</w:t>
        <w:br/>
        <w:t>Total patients: 1116</w:t>
      </w:r>
    </w:p>
    <w:p>
      <w:pPr>
        <w:pStyle w:val="Heading2"/>
      </w:pPr>
      <w:r>
        <w:t>Key Findings</w:t>
      </w:r>
    </w:p>
    <w:p>
      <w:r>
        <w:t>ESR1 Mutation Positivity Rate: 21.3% (238 of 1116 patients)</w:t>
      </w:r>
    </w:p>
    <w:p>
      <w:r>
        <w:t>TMB Analysis:</w:t>
        <w:br/>
        <w:t xml:space="preserve">  ESR1+ median TMB: 4.32 (IQR: 2.94-6.05)</w:t>
        <w:br/>
        <w:t xml:space="preserve">  ESR1- median TMB: 3.91 (IQR: 2.22-6.05)</w:t>
        <w:br/>
        <w:t xml:space="preserve">  P-value: 0.0114 (Significant)</w:t>
      </w:r>
    </w:p>
    <w:p>
      <w:pPr>
        <w:pStyle w:val="Heading2"/>
      </w:pPr>
      <w:r>
        <w:t>Published Literature Review</w:t>
      </w:r>
    </w:p>
    <w:p>
      <w:r>
        <w:t>PubMed search identified 18 papers relevant to ESR1 mutation in metastatic breast cancer.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tcPr>
          <w:p>
            <w:r>
              <w:rPr>
                <w:b/>
              </w:rPr>
              <w:t>#</w:t>
            </w:r>
          </w:p>
        </w:tc>
        <w:tc>
          <w:tcPr>
            <w:tcW w:type="dxa" w:w="2592"/>
          </w:tcPr>
          <w:p>
            <w:r>
              <w:rPr>
                <w:b/>
              </w:rPr>
              <w:t>Title</w:t>
            </w:r>
          </w:p>
        </w:tc>
        <w:tc>
          <w:tcPr>
            <w:tcW w:type="dxa" w:w="1728"/>
          </w:tcPr>
          <w:p>
            <w:r>
              <w:rPr>
                <w:b/>
              </w:rPr>
              <w:t>Authors</w:t>
            </w:r>
          </w:p>
        </w:tc>
        <w:tc>
          <w:tcPr>
            <w:tcW w:type="dxa" w:w="576"/>
          </w:tcPr>
          <w:p>
            <w:r>
              <w:rPr>
                <w:b/>
              </w:rPr>
              <w:t>Year</w:t>
            </w:r>
          </w:p>
        </w:tc>
        <w:tc>
          <w:tcPr>
            <w:tcW w:type="dxa" w:w="1440"/>
          </w:tcPr>
          <w:p>
            <w:r>
              <w:rPr>
                <w:b/>
              </w:rPr>
              <w:t>Journal</w:t>
            </w:r>
          </w:p>
        </w:tc>
        <w:tc>
          <w:tcPr>
            <w:tcW w:type="dxa" w:w="1872"/>
          </w:tcPr>
          <w:p>
            <w:r>
              <w:rPr>
                <w:b/>
              </w:rPr>
              <w:t>Key Finding</w:t>
            </w:r>
          </w:p>
        </w:tc>
      </w:tr>
      <w:tr>
        <w:tc>
          <w:tcPr>
            <w:tcW w:type="dxa" w:w="432"/>
          </w:tcPr>
          <w:p>
            <w:r>
              <w:t>1</w:t>
            </w:r>
          </w:p>
        </w:tc>
        <w:tc>
          <w:tcPr>
            <w:tcW w:type="dxa" w:w="2592"/>
          </w:tcPr>
          <w:p>
            <w:r>
              <w:t>ESR1 fusion proteins in breast cancer: distinguishing oncogenic drivers from passenger events.</w:t>
            </w:r>
          </w:p>
        </w:tc>
        <w:tc>
          <w:tcPr>
            <w:tcW w:type="dxa" w:w="1728"/>
          </w:tcPr>
          <w:p>
            <w:r>
              <w:t>Gherghelas Ana-Maria, Toseland Christopher P</w:t>
            </w:r>
          </w:p>
        </w:tc>
        <w:tc>
          <w:tcPr>
            <w:tcW w:type="dxa" w:w="576"/>
          </w:tcPr>
          <w:p>
            <w:r>
              <w:t>2026</w:t>
            </w:r>
          </w:p>
        </w:tc>
        <w:tc>
          <w:tcPr>
            <w:tcW w:type="dxa" w:w="1440"/>
          </w:tcPr>
          <w:p>
            <w:r>
              <w:t>Oncogene</w:t>
            </w:r>
          </w:p>
        </w:tc>
        <w:tc>
          <w:tcPr>
            <w:tcW w:type="dxa" w:w="1872"/>
          </w:tcPr>
          <w:p>
            <w:r>
              <w:t>ESR1 gene fusions are emerging genomic alterations with significant clinical implications in breast cancer.</w:t>
            </w:r>
          </w:p>
        </w:tc>
      </w:tr>
      <w:tr>
        <w:tc>
          <w:tcPr>
            <w:tcW w:type="dxa" w:w="432"/>
          </w:tcPr>
          <w:p>
            <w:r>
              <w:t>2</w:t>
            </w:r>
          </w:p>
        </w:tc>
        <w:tc>
          <w:tcPr>
            <w:tcW w:type="dxa" w:w="2592"/>
          </w:tcPr>
          <w:p>
            <w:r>
              <w:t>Evaluating the investigational drug landscape for &lt;i&gt;ESR1&lt;/i&gt;-mutated, estrogen receptor positive, HER2 negative metastatic breast cancer.</w:t>
            </w:r>
          </w:p>
        </w:tc>
        <w:tc>
          <w:tcPr>
            <w:tcW w:type="dxa" w:w="1728"/>
          </w:tcPr>
          <w:p>
            <w:r>
              <w:t>Kroemer Marie, Lopez Morgane, Mansi Laura, et al.</w:t>
            </w:r>
          </w:p>
        </w:tc>
        <w:tc>
          <w:tcPr>
            <w:tcW w:type="dxa" w:w="576"/>
          </w:tcPr>
          <w:p>
            <w:r>
              <w:t>2026</w:t>
            </w:r>
          </w:p>
        </w:tc>
        <w:tc>
          <w:tcPr>
            <w:tcW w:type="dxa" w:w="1440"/>
          </w:tcPr>
          <w:p>
            <w:r>
              <w:t>Expert opinion on investigational drugs</w:t>
            </w:r>
          </w:p>
        </w:tc>
        <w:tc>
          <w:tcPr>
            <w:tcW w:type="dxa" w:w="1872"/>
          </w:tcPr>
          <w:p>
            <w:r>
              <w:t>ESR1 mutations are key drivers of endocrine resistance in ER+/HER2- metastatic breast cancer.</w:t>
            </w:r>
          </w:p>
        </w:tc>
      </w:tr>
      <w:tr>
        <w:tc>
          <w:tcPr>
            <w:tcW w:type="dxa" w:w="432"/>
          </w:tcPr>
          <w:p>
            <w:r>
              <w:t>3</w:t>
            </w:r>
          </w:p>
        </w:tc>
        <w:tc>
          <w:tcPr>
            <w:tcW w:type="dxa" w:w="2592"/>
          </w:tcPr>
          <w:p>
            <w:r>
              <w:t>A Novel Sensitive Technique to Detect &lt;i&gt;ESR1&lt;/i&gt; Hotspot Mutations in Liquid Biopsy Using Switch-Blocker-Enhanced Targeted Amplification Coupled With</w:t>
            </w:r>
          </w:p>
        </w:tc>
        <w:tc>
          <w:tcPr>
            <w:tcW w:type="dxa" w:w="1728"/>
          </w:tcPr>
          <w:p>
            <w:r>
              <w:t>Zhou Yantong, Wang Wenna, Lan Bo, et al.</w:t>
            </w:r>
          </w:p>
        </w:tc>
        <w:tc>
          <w:tcPr>
            <w:tcW w:type="dxa" w:w="576"/>
          </w:tcPr>
          <w:p>
            <w:r>
              <w:t>2026</w:t>
            </w:r>
          </w:p>
        </w:tc>
        <w:tc>
          <w:tcPr>
            <w:tcW w:type="dxa" w:w="1440"/>
          </w:tcPr>
          <w:p>
            <w:r>
              <w:t>Cancer innovation</w:t>
            </w:r>
          </w:p>
        </w:tc>
        <w:tc>
          <w:tcPr>
            <w:tcW w:type="dxa" w:w="1872"/>
          </w:tcPr>
          <w:p>
            <w:r>
              <w:t>A novel sensitive technique can detect ESR1 hotspot mutations in circulating tumor DNA for therapy guidance.</w:t>
            </w:r>
          </w:p>
        </w:tc>
      </w:tr>
      <w:tr>
        <w:tc>
          <w:tcPr>
            <w:tcW w:type="dxa" w:w="432"/>
          </w:tcPr>
          <w:p>
            <w:r>
              <w:t>4</w:t>
            </w:r>
          </w:p>
        </w:tc>
        <w:tc>
          <w:tcPr>
            <w:tcW w:type="dxa" w:w="2592"/>
          </w:tcPr>
          <w:p>
            <w:r>
              <w:t>Beyond CDK4/6 Inhibition: Current Strategies in Hormone Receptor-Positive Metastatic Breast Cancer.</w:t>
            </w:r>
          </w:p>
        </w:tc>
        <w:tc>
          <w:tcPr>
            <w:tcW w:type="dxa" w:w="1728"/>
          </w:tcPr>
          <w:p>
            <w:r>
              <w:t>Cetin Bulent, Erdem Dilek, Karaman Irem, et al.</w:t>
            </w:r>
          </w:p>
        </w:tc>
        <w:tc>
          <w:tcPr>
            <w:tcW w:type="dxa" w:w="576"/>
          </w:tcPr>
          <w:p>
            <w:r>
              <w:t>2026</w:t>
            </w:r>
          </w:p>
        </w:tc>
        <w:tc>
          <w:tcPr>
            <w:tcW w:type="dxa" w:w="1440"/>
          </w:tcPr>
          <w:p>
            <w:r>
              <w:t>Current treatment options in oncology</w:t>
            </w:r>
          </w:p>
        </w:tc>
        <w:tc>
          <w:tcPr>
            <w:tcW w:type="dxa" w:w="1872"/>
          </w:tcPr>
          <w:p>
            <w:r>
              <w:t>ESR1 mutation-mediated resistance is a distinct phenotype suggesting the use of next-generation SERDs for treatment.</w:t>
            </w:r>
          </w:p>
        </w:tc>
      </w:tr>
      <w:tr>
        <w:tc>
          <w:tcPr>
            <w:tcW w:type="dxa" w:w="432"/>
          </w:tcPr>
          <w:p>
            <w:r>
              <w:t>5</w:t>
            </w:r>
          </w:p>
        </w:tc>
        <w:tc>
          <w:tcPr>
            <w:tcW w:type="dxa" w:w="2592"/>
          </w:tcPr>
          <w:p>
            <w:r>
              <w:t>&lt;i&gt;ESR1&lt;/i&gt; mutations in ER-positive breast cancer: from endocrine resistance to ctDNA-guided therapeutic interception.</w:t>
            </w:r>
          </w:p>
        </w:tc>
        <w:tc>
          <w:tcPr>
            <w:tcW w:type="dxa" w:w="1728"/>
          </w:tcPr>
          <w:p>
            <w:r>
              <w:t>Martinez Thais, Wegner Samantha, Bahmad Hisham F</w:t>
            </w:r>
          </w:p>
        </w:tc>
        <w:tc>
          <w:tcPr>
            <w:tcW w:type="dxa" w:w="576"/>
          </w:tcPr>
          <w:p>
            <w:r>
              <w:t>2026</w:t>
            </w:r>
          </w:p>
        </w:tc>
        <w:tc>
          <w:tcPr>
            <w:tcW w:type="dxa" w:w="1440"/>
          </w:tcPr>
          <w:p>
            <w:r>
              <w:t>Exploration of targeted anti-tumor therapy</w:t>
            </w:r>
          </w:p>
        </w:tc>
        <w:tc>
          <w:tcPr>
            <w:tcW w:type="dxa" w:w="1872"/>
          </w:tcPr>
          <w:p>
            <w:r>
              <w:t>Activating ESR1 mutations under aromatase inhibitor selection pressure drive ligand-independent receptor activation, necessitating molecularly guided intervention.</w:t>
            </w:r>
          </w:p>
        </w:tc>
      </w:tr>
      <w:tr>
        <w:tc>
          <w:tcPr>
            <w:tcW w:type="dxa" w:w="432"/>
          </w:tcPr>
          <w:p>
            <w:r>
              <w:t>6</w:t>
            </w:r>
          </w:p>
        </w:tc>
        <w:tc>
          <w:tcPr>
            <w:tcW w:type="dxa" w:w="2592"/>
          </w:tcPr>
          <w:p>
            <w:r>
              <w:t>New perspectives on endocrine therapy suitability for hormone receptor-positive metastatic breast cancer in clinical practice.</w:t>
            </w:r>
          </w:p>
        </w:tc>
        <w:tc>
          <w:tcPr>
            <w:tcW w:type="dxa" w:w="1728"/>
          </w:tcPr>
          <w:p>
            <w:r>
              <w:t>Rugo Hope S, Curigliano Giuseppe, Cescon David W, et al.</w:t>
            </w:r>
          </w:p>
        </w:tc>
        <w:tc>
          <w:tcPr>
            <w:tcW w:type="dxa" w:w="576"/>
          </w:tcPr>
          <w:p>
            <w:r>
              <w:t>2026</w:t>
            </w:r>
          </w:p>
        </w:tc>
        <w:tc>
          <w:tcPr>
            <w:tcW w:type="dxa" w:w="1440"/>
          </w:tcPr>
          <w:p>
            <w:r>
              <w:t>Breast (Edinburgh, Scotland)</w:t>
            </w:r>
          </w:p>
        </w:tc>
        <w:tc>
          <w:tcPr>
            <w:tcW w:type="dxa" w:w="1872"/>
          </w:tcPr>
          <w:p>
            <w:r>
              <w:t>Understanding complex biology in hormone receptor-positive breast cancer is crucial for predicting therapy responses.</w:t>
            </w:r>
          </w:p>
        </w:tc>
      </w:tr>
      <w:tr>
        <w:tc>
          <w:tcPr>
            <w:tcW w:type="dxa" w:w="432"/>
          </w:tcPr>
          <w:p>
            <w:r>
              <w:t>7</w:t>
            </w:r>
          </w:p>
        </w:tc>
        <w:tc>
          <w:tcPr>
            <w:tcW w:type="dxa" w:w="2592"/>
          </w:tcPr>
          <w:p>
            <w:r>
              <w:t>Methylation-based ctDNA monitoring in metastatic breast cancer during CDK4/6 inhibitor therapy.</w:t>
            </w:r>
          </w:p>
        </w:tc>
        <w:tc>
          <w:tcPr>
            <w:tcW w:type="dxa" w:w="1728"/>
          </w:tcPr>
          <w:p>
            <w:r>
              <w:t>Elliott Mitchell J, Fuentes-Antrás Jesús, Main Sasha C, et al.</w:t>
            </w:r>
          </w:p>
        </w:tc>
        <w:tc>
          <w:tcPr>
            <w:tcW w:type="dxa" w:w="576"/>
          </w:tcPr>
          <w:p>
            <w:r>
              <w:t>2026</w:t>
            </w:r>
          </w:p>
        </w:tc>
        <w:tc>
          <w:tcPr>
            <w:tcW w:type="dxa" w:w="1440"/>
          </w:tcPr>
          <w:p>
            <w:r>
              <w:t>Nature communications</w:t>
            </w:r>
          </w:p>
        </w:tc>
        <w:tc>
          <w:tcPr>
            <w:tcW w:type="dxa" w:w="1872"/>
          </w:tcPr>
          <w:p>
            <w:r>
              <w:t>See abstract for details</w:t>
            </w:r>
          </w:p>
        </w:tc>
      </w:tr>
      <w:tr>
        <w:tc>
          <w:tcPr>
            <w:tcW w:type="dxa" w:w="432"/>
          </w:tcPr>
          <w:p>
            <w:r>
              <w:t>8</w:t>
            </w:r>
          </w:p>
        </w:tc>
        <w:tc>
          <w:tcPr>
            <w:tcW w:type="dxa" w:w="2592"/>
          </w:tcPr>
          <w:p>
            <w:r>
              <w:t>The Current Landscape of Metastatic Breast Cancer: A Pathology Guide on Emerging Biomarkers.</w:t>
            </w:r>
          </w:p>
        </w:tc>
        <w:tc>
          <w:tcPr>
            <w:tcW w:type="dxa" w:w="1728"/>
          </w:tcPr>
          <w:p>
            <w:r>
              <w:t>Ferreira Joana, Albergaria André, Schmitt Fernando</w:t>
            </w:r>
          </w:p>
        </w:tc>
        <w:tc>
          <w:tcPr>
            <w:tcW w:type="dxa" w:w="576"/>
          </w:tcPr>
          <w:p>
            <w:r>
              <w:t>2026</w:t>
            </w:r>
          </w:p>
        </w:tc>
        <w:tc>
          <w:tcPr>
            <w:tcW w:type="dxa" w:w="1440"/>
          </w:tcPr>
          <w:p>
            <w:r>
              <w:t>Cancers</w:t>
            </w:r>
          </w:p>
        </w:tc>
        <w:tc>
          <w:tcPr>
            <w:tcW w:type="dxa" w:w="1872"/>
          </w:tcPr>
          <w:p>
            <w:r>
              <w:t>See abstract for details</w:t>
            </w:r>
          </w:p>
        </w:tc>
      </w:tr>
      <w:tr>
        <w:tc>
          <w:tcPr>
            <w:tcW w:type="dxa" w:w="432"/>
          </w:tcPr>
          <w:p>
            <w:r>
              <w:t>9</w:t>
            </w:r>
          </w:p>
        </w:tc>
        <w:tc>
          <w:tcPr>
            <w:tcW w:type="dxa" w:w="2592"/>
          </w:tcPr>
          <w:p>
            <w:r>
              <w:t>Paired Tissue and Circulating Tumor DNA Profiling Reveals Novel ESR1 Amplifications and CDK4/6 Inhibtor Resistance Mechanisms in Hormone Receptor-Posi</w:t>
            </w:r>
          </w:p>
        </w:tc>
        <w:tc>
          <w:tcPr>
            <w:tcW w:type="dxa" w:w="1728"/>
          </w:tcPr>
          <w:p>
            <w:r>
              <w:t>Liu Liu, Graff Stephanie L, Cheng Liang, et al.</w:t>
            </w:r>
          </w:p>
        </w:tc>
        <w:tc>
          <w:tcPr>
            <w:tcW w:type="dxa" w:w="576"/>
          </w:tcPr>
          <w:p>
            <w:r>
              <w:t>2026</w:t>
            </w:r>
          </w:p>
        </w:tc>
        <w:tc>
          <w:tcPr>
            <w:tcW w:type="dxa" w:w="1440"/>
          </w:tcPr>
          <w:p>
            <w:r>
              <w:t>Laboratory investigation; a journal of technical m</w:t>
            </w:r>
          </w:p>
        </w:tc>
        <w:tc>
          <w:tcPr>
            <w:tcW w:type="dxa" w:w="1872"/>
          </w:tcPr>
          <w:p>
            <w:r>
              <w:t>See abstract for details</w:t>
            </w:r>
          </w:p>
        </w:tc>
      </w:tr>
      <w:tr>
        <w:tc>
          <w:tcPr>
            <w:tcW w:type="dxa" w:w="432"/>
          </w:tcPr>
          <w:p>
            <w:r>
              <w:t>10</w:t>
            </w:r>
          </w:p>
        </w:tc>
        <w:tc>
          <w:tcPr>
            <w:tcW w:type="dxa" w:w="2592"/>
          </w:tcPr>
          <w:p>
            <w:r>
              <w:t xml:space="preserve">CLO26-113: Real-World ESR1 Gene Mutation Testing Appropriateness and Prescribing Patterns for ER-Positive HER2-Negative Advanced or Metastatic Breast </w:t>
            </w:r>
          </w:p>
        </w:tc>
        <w:tc>
          <w:tcPr>
            <w:tcW w:type="dxa" w:w="1728"/>
          </w:tcPr>
          <w:p>
            <w:r>
              <w:t>Leone Michael, Hood Annette, Konieczny Katie, et al.</w:t>
            </w:r>
          </w:p>
        </w:tc>
        <w:tc>
          <w:tcPr>
            <w:tcW w:type="dxa" w:w="576"/>
          </w:tcPr>
          <w:p>
            <w:r>
              <w:t>2026</w:t>
            </w:r>
          </w:p>
        </w:tc>
        <w:tc>
          <w:tcPr>
            <w:tcW w:type="dxa" w:w="1440"/>
          </w:tcPr>
          <w:p>
            <w:r>
              <w:t>Journal of the National Comprehensive Cancer Netwo</w:t>
            </w:r>
          </w:p>
        </w:tc>
        <w:tc>
          <w:tcPr>
            <w:tcW w:type="dxa" w:w="1872"/>
          </w:tcPr>
          <w:p>
            <w:r>
              <w:t>See abstract for details</w:t>
            </w:r>
          </w:p>
        </w:tc>
      </w:tr>
      <w:tr>
        <w:tc>
          <w:tcPr>
            <w:tcW w:type="dxa" w:w="432"/>
          </w:tcPr>
          <w:p>
            <w:r>
              <w:t>11</w:t>
            </w:r>
          </w:p>
        </w:tc>
        <w:tc>
          <w:tcPr>
            <w:tcW w:type="dxa" w:w="2592"/>
          </w:tcPr>
          <w:p>
            <w:r>
              <w:t>Whole genome sequencing of locally advanced and metastatic breast carcinoma unravels relevant molecular signatures and novel events.</w:t>
            </w:r>
          </w:p>
        </w:tc>
        <w:tc>
          <w:tcPr>
            <w:tcW w:type="dxa" w:w="1728"/>
          </w:tcPr>
          <w:p>
            <w:r>
              <w:t>Kozan Eda Nur, Delgado-de la Mora Jesús, Al Assaad Majd, et al.</w:t>
            </w:r>
          </w:p>
        </w:tc>
        <w:tc>
          <w:tcPr>
            <w:tcW w:type="dxa" w:w="576"/>
          </w:tcPr>
          <w:p>
            <w:r>
              <w:t>2026</w:t>
            </w:r>
          </w:p>
        </w:tc>
        <w:tc>
          <w:tcPr>
            <w:tcW w:type="dxa" w:w="1440"/>
          </w:tcPr>
          <w:p>
            <w:r>
              <w:t>Pathology, research and practice</w:t>
            </w:r>
          </w:p>
        </w:tc>
        <w:tc>
          <w:tcPr>
            <w:tcW w:type="dxa" w:w="1872"/>
          </w:tcPr>
          <w:p>
            <w:r>
              <w:t>See abstract for details</w:t>
            </w:r>
          </w:p>
        </w:tc>
      </w:tr>
      <w:tr>
        <w:tc>
          <w:tcPr>
            <w:tcW w:type="dxa" w:w="432"/>
          </w:tcPr>
          <w:p>
            <w:r>
              <w:t>12</w:t>
            </w:r>
          </w:p>
        </w:tc>
        <w:tc>
          <w:tcPr>
            <w:tcW w:type="dxa" w:w="2592"/>
          </w:tcPr>
          <w:p>
            <w:r>
              <w:t>The use of cell-free DNA (cfDNA)/circulating tumor DNA (ctDNA) to guide treatment selection in metastatic breast cancer.</w:t>
            </w:r>
          </w:p>
        </w:tc>
        <w:tc>
          <w:tcPr>
            <w:tcW w:type="dxa" w:w="1728"/>
          </w:tcPr>
          <w:p>
            <w:r>
              <w:t>Bello Oluwaferanmi, Rieur Olivia, Vidula Neelima</w:t>
            </w:r>
          </w:p>
        </w:tc>
        <w:tc>
          <w:tcPr>
            <w:tcW w:type="dxa" w:w="576"/>
          </w:tcPr>
          <w:p>
            <w:r>
              <w:t>2026</w:t>
            </w:r>
          </w:p>
        </w:tc>
        <w:tc>
          <w:tcPr>
            <w:tcW w:type="dxa" w:w="1440"/>
          </w:tcPr>
          <w:p>
            <w:r>
              <w:t>Pharmacogenomics</w:t>
            </w:r>
          </w:p>
        </w:tc>
        <w:tc>
          <w:tcPr>
            <w:tcW w:type="dxa" w:w="1872"/>
          </w:tcPr>
          <w:p>
            <w:r>
              <w:t>See abstract for details</w:t>
            </w:r>
          </w:p>
        </w:tc>
      </w:tr>
      <w:tr>
        <w:tc>
          <w:tcPr>
            <w:tcW w:type="dxa" w:w="432"/>
          </w:tcPr>
          <w:p>
            <w:r>
              <w:t>13</w:t>
            </w:r>
          </w:p>
        </w:tc>
        <w:tc>
          <w:tcPr>
            <w:tcW w:type="dxa" w:w="2592"/>
          </w:tcPr>
          <w:p>
            <w:r>
              <w:t>Targeting drug resistance in breast cancer: a dual-perspective landscape analysis of PROTACs from bench to bedside.</w:t>
            </w:r>
          </w:p>
        </w:tc>
        <w:tc>
          <w:tcPr>
            <w:tcW w:type="dxa" w:w="1728"/>
          </w:tcPr>
          <w:p>
            <w:r>
              <w:t>Yang Yinlong, Lin Yihao</w:t>
            </w:r>
          </w:p>
        </w:tc>
        <w:tc>
          <w:tcPr>
            <w:tcW w:type="dxa" w:w="576"/>
          </w:tcPr>
          <w:p>
            <w:r>
              <w:t>2026</w:t>
            </w:r>
          </w:p>
        </w:tc>
        <w:tc>
          <w:tcPr>
            <w:tcW w:type="dxa" w:w="1440"/>
          </w:tcPr>
          <w:p>
            <w:r>
              <w:t>Breast cancer research : BCR</w:t>
            </w:r>
          </w:p>
        </w:tc>
        <w:tc>
          <w:tcPr>
            <w:tcW w:type="dxa" w:w="1872"/>
          </w:tcPr>
          <w:p>
            <w:r>
              <w:t>See abstract for details</w:t>
            </w:r>
          </w:p>
        </w:tc>
      </w:tr>
      <w:tr>
        <w:tc>
          <w:tcPr>
            <w:tcW w:type="dxa" w:w="432"/>
          </w:tcPr>
          <w:p>
            <w:r>
              <w:t>14</w:t>
            </w:r>
          </w:p>
        </w:tc>
        <w:tc>
          <w:tcPr>
            <w:tcW w:type="dxa" w:w="2592"/>
          </w:tcPr>
          <w:p>
            <w:r>
              <w:t>Circulating tumor DNA in breast cancer: updates from SABCS 2025.</w:t>
            </w:r>
          </w:p>
        </w:tc>
        <w:tc>
          <w:tcPr>
            <w:tcW w:type="dxa" w:w="1728"/>
          </w:tcPr>
          <w:p>
            <w:r>
              <w:t>Zhi Iris, Zou Xianghui, Sun Min, et al.</w:t>
            </w:r>
          </w:p>
        </w:tc>
        <w:tc>
          <w:tcPr>
            <w:tcW w:type="dxa" w:w="576"/>
          </w:tcPr>
          <w:p>
            <w:r>
              <w:t>2026</w:t>
            </w:r>
          </w:p>
        </w:tc>
        <w:tc>
          <w:tcPr>
            <w:tcW w:type="dxa" w:w="1440"/>
          </w:tcPr>
          <w:p>
            <w:r>
              <w:t>Journal of hematology &amp; oncology</w:t>
            </w:r>
          </w:p>
        </w:tc>
        <w:tc>
          <w:tcPr>
            <w:tcW w:type="dxa" w:w="1872"/>
          </w:tcPr>
          <w:p>
            <w:r>
              <w:t>See abstract for details</w:t>
            </w:r>
          </w:p>
        </w:tc>
      </w:tr>
      <w:tr>
        <w:tc>
          <w:tcPr>
            <w:tcW w:type="dxa" w:w="432"/>
          </w:tcPr>
          <w:p>
            <w:r>
              <w:t>15</w:t>
            </w:r>
          </w:p>
        </w:tc>
        <w:tc>
          <w:tcPr>
            <w:tcW w:type="dxa" w:w="2592"/>
          </w:tcPr>
          <w:p>
            <w:r>
              <w:t>Exosomal MicroRNAs as Drivers of Desmoplasia and Treatment Resistance in Breast Cancer: Mechanisms, Biomarker Potential, and Therapeutic Opportunities</w:t>
            </w:r>
          </w:p>
        </w:tc>
        <w:tc>
          <w:tcPr>
            <w:tcW w:type="dxa" w:w="1728"/>
          </w:tcPr>
          <w:p>
            <w:r>
              <w:t>Chung Jun, Soung Young Hwa</w:t>
            </w:r>
          </w:p>
        </w:tc>
        <w:tc>
          <w:tcPr>
            <w:tcW w:type="dxa" w:w="576"/>
          </w:tcPr>
          <w:p>
            <w:r>
              <w:t>2026</w:t>
            </w:r>
          </w:p>
        </w:tc>
        <w:tc>
          <w:tcPr>
            <w:tcW w:type="dxa" w:w="1440"/>
          </w:tcPr>
          <w:p>
            <w:r>
              <w:t>Biomolecules</w:t>
            </w:r>
          </w:p>
        </w:tc>
        <w:tc>
          <w:tcPr>
            <w:tcW w:type="dxa" w:w="1872"/>
          </w:tcPr>
          <w:p>
            <w:r>
              <w:t>See abstract for details</w:t>
            </w:r>
          </w:p>
        </w:tc>
      </w:tr>
      <w:tr>
        <w:tc>
          <w:tcPr>
            <w:tcW w:type="dxa" w:w="432"/>
          </w:tcPr>
          <w:p>
            <w:r>
              <w:t>16</w:t>
            </w:r>
          </w:p>
        </w:tc>
        <w:tc>
          <w:tcPr>
            <w:tcW w:type="dxa" w:w="2592"/>
          </w:tcPr>
          <w:p>
            <w:r>
              <w:t>Endocrine therapy-specific lineage and partial epithelial-mesenchymal reprogramming defines divergent resistant cell-states in ER+ breast cancer.</w:t>
            </w:r>
          </w:p>
        </w:tc>
        <w:tc>
          <w:tcPr>
            <w:tcW w:type="dxa" w:w="1728"/>
          </w:tcPr>
          <w:p>
            <w:r>
              <w:t>Sahoo Sarthak, Khanna Sejal, Senapati Swayamshree, et al.</w:t>
            </w:r>
          </w:p>
        </w:tc>
        <w:tc>
          <w:tcPr>
            <w:tcW w:type="dxa" w:w="576"/>
          </w:tcPr>
          <w:p>
            <w:r>
              <w:t>2026</w:t>
            </w:r>
          </w:p>
        </w:tc>
        <w:tc>
          <w:tcPr>
            <w:tcW w:type="dxa" w:w="1440"/>
          </w:tcPr>
          <w:p>
            <w:r>
              <w:t>bioRxiv : the preprint server for biology</w:t>
            </w:r>
          </w:p>
        </w:tc>
        <w:tc>
          <w:tcPr>
            <w:tcW w:type="dxa" w:w="1872"/>
          </w:tcPr>
          <w:p>
            <w:r>
              <w:t>See abstract for details</w:t>
            </w:r>
          </w:p>
        </w:tc>
      </w:tr>
      <w:tr>
        <w:tc>
          <w:tcPr>
            <w:tcW w:type="dxa" w:w="432"/>
          </w:tcPr>
          <w:p>
            <w:r>
              <w:t>17</w:t>
            </w:r>
          </w:p>
        </w:tc>
        <w:tc>
          <w:tcPr>
            <w:tcW w:type="dxa" w:w="2592"/>
          </w:tcPr>
          <w:p>
            <w:r>
              <w:t>The rise of selective estrogen receptor modulators (SERMs) in breast cancer therapy: a promising horizon.</w:t>
            </w:r>
          </w:p>
        </w:tc>
        <w:tc>
          <w:tcPr>
            <w:tcW w:type="dxa" w:w="1728"/>
          </w:tcPr>
          <w:p>
            <w:r>
              <w:t>Al-Zoubi Raed M, Garada Khalil, Zarour Ayman A, et al.</w:t>
            </w:r>
          </w:p>
        </w:tc>
        <w:tc>
          <w:tcPr>
            <w:tcW w:type="dxa" w:w="576"/>
          </w:tcPr>
          <w:p>
            <w:r>
              <w:t>2026</w:t>
            </w:r>
          </w:p>
        </w:tc>
        <w:tc>
          <w:tcPr>
            <w:tcW w:type="dxa" w:w="1440"/>
          </w:tcPr>
          <w:p>
            <w:r>
              <w:t>Cancer treatment and research communications</w:t>
            </w:r>
          </w:p>
        </w:tc>
        <w:tc>
          <w:tcPr>
            <w:tcW w:type="dxa" w:w="1872"/>
          </w:tcPr>
          <w:p>
            <w:r>
              <w:t>See abstract for details</w:t>
            </w:r>
          </w:p>
        </w:tc>
      </w:tr>
      <w:tr>
        <w:tc>
          <w:tcPr>
            <w:tcW w:type="dxa" w:w="432"/>
          </w:tcPr>
          <w:p>
            <w:r>
              <w:t>18</w:t>
            </w:r>
          </w:p>
        </w:tc>
        <w:tc>
          <w:tcPr>
            <w:tcW w:type="dxa" w:w="2592"/>
          </w:tcPr>
          <w:p>
            <w:r>
              <w:t>Oral selective estrogen receptor degraders (SERDs) for the treatment of hormone receptor-positive, HER2-negative breast cancer title.</w:t>
            </w:r>
          </w:p>
        </w:tc>
        <w:tc>
          <w:tcPr>
            <w:tcW w:type="dxa" w:w="1728"/>
          </w:tcPr>
          <w:p>
            <w:r>
              <w:t>Etessami Julian David, Valenza Carmine, Berton Giachetti Pier Paolo Maria, et al.</w:t>
            </w:r>
          </w:p>
        </w:tc>
        <w:tc>
          <w:tcPr>
            <w:tcW w:type="dxa" w:w="576"/>
          </w:tcPr>
          <w:p>
            <w:r>
              <w:t>2026</w:t>
            </w:r>
          </w:p>
        </w:tc>
        <w:tc>
          <w:tcPr>
            <w:tcW w:type="dxa" w:w="1440"/>
          </w:tcPr>
          <w:p>
            <w:r>
              <w:t>Expert opinion on pharmacotherapy</w:t>
            </w:r>
          </w:p>
        </w:tc>
        <w:tc>
          <w:tcPr>
            <w:tcW w:type="dxa" w:w="1872"/>
          </w:tcPr>
          <w:p>
            <w:r>
              <w:t>See abstract for details</w:t>
            </w:r>
          </w:p>
        </w:tc>
      </w:tr>
    </w:tbl>
    <w:p/>
    <w:p>
      <w:pPr>
        <w:pStyle w:val="Heading3"/>
      </w:pPr>
      <w:r>
        <w:t>Comparison with Published Literature</w:t>
      </w:r>
    </w:p>
    <w:p>
      <w:r>
        <w:t>In the identified literature, specific ESR1 positivity rates for direct numerical comparison were not reported. However, the present study found an ESR1 mutation positivity rate of 21.3% (238 of 1116 patients) in metastatic breast cancer, which highlights a notable prevalence of these mutations in the population studied. This finding aligns with findings in the literature that emphasize ESR1 mutations as significant drivers of endocrine resistance, although the exact positivity rates presented in this study remain unconfirmed by existing publications. Additionally, the current study reports a median tumor mutation burden (TMB) of 4.32 for ESR1-positive patients compared to 3.91 for ESR1-negative cases (p=0.0114), further underscoring the importance of these mutations. Overall, the results enhance the real-world validity of ESR1 mutation prevalence and its association with resistance mechanisms in the context of hormone receptor-positive metastatic breast cancer.</w:t>
      </w:r>
    </w:p>
    <w:p>
      <w:pPr>
        <w:pStyle w:val="Heading2"/>
      </w:pPr>
      <w:r>
        <w:t>TMB Visualization</w:t>
      </w:r>
    </w:p>
    <w:p>
      <w:r>
        <w:drawing>
          <wp:inline xmlns:a="http://schemas.openxmlformats.org/drawingml/2006/main" xmlns:pic="http://schemas.openxmlformats.org/drawingml/2006/picture">
            <wp:extent cx="5486400" cy="3877345"/>
            <wp:docPr id="1" name="Picture 1"/>
            <wp:cNvGraphicFramePr>
              <a:graphicFrameLocks noChangeAspect="1"/>
            </wp:cNvGraphicFramePr>
            <a:graphic>
              <a:graphicData uri="http://schemas.openxmlformats.org/drawingml/2006/picture">
                <pic:pic>
                  <pic:nvPicPr>
                    <pic:cNvPr id="0" name="tmb_ESR1_comparison.png"/>
                    <pic:cNvPicPr/>
                  </pic:nvPicPr>
                  <pic:blipFill>
                    <a:blip r:embed="rId9"/>
                    <a:stretch>
                      <a:fillRect/>
                    </a:stretch>
                  </pic:blipFill>
                  <pic:spPr>
                    <a:xfrm>
                      <a:off x="0" y="0"/>
                      <a:ext cx="5486400" cy="3877345"/>
                    </a:xfrm>
                    <a:prstGeom prst="rect"/>
                  </pic:spPr>
                </pic:pic>
              </a:graphicData>
            </a:graphic>
          </wp:inline>
        </w:drawing>
      </w:r>
    </w:p>
    <w:p>
      <w:pPr>
        <w:pStyle w:val="Heading2"/>
      </w:pPr>
      <w:r>
        <w:t>Patient Demographics Summary</w:t>
      </w:r>
    </w:p>
    <w:p>
      <w:r>
        <w:t>Total patients: 1116</w:t>
        <w:br/>
        <w:t>Mutation positive: 238</w:t>
        <w:br/>
        <w:t>Mutation negative: 878</w:t>
        <w:br/>
        <w:t>Median age: 61.0</w:t>
        <w:br/>
        <w:t>Female: 97.9%</w:t>
        <w:br/>
        <w:t>White: 78.7%</w:t>
        <w:br/>
        <w:t>Top metastatic site: Liver</w:t>
      </w:r>
    </w:p>
    <w:p>
      <w:r>
        <w:t>────────────────────────────────────────────────────────────</w:t>
      </w:r>
    </w:p>
    <w:p>
      <w:r>
        <w:t>Generated by ESR1 Validation Agent | Always verify findings independently before use in publications or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