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ESR1 Mutation Validation Report</w:t>
      </w:r>
    </w:p>
    <w:p>
      <w:r>
        <w:t>Generated: 02 June 2026 21:13</w:t>
      </w:r>
    </w:p>
    <w:p>
      <w:r>
        <w:t>Neha Bansal | Eli Lilly and Company | Manuscript in preparation,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Research Question</w:t>
      </w:r>
    </w:p>
    <w:p>
      <w:r>
        <w:t>ESR1 mutation positivity rates in ER-positive HER2-negative metastatic breast cancer.</w:t>
      </w:r>
    </w:p>
    <w:p>
      <w:pPr>
        <w:pStyle w:val="Heading2"/>
      </w:pPr>
      <w:r>
        <w:t>Validation Dataset</w:t>
      </w:r>
    </w:p>
    <w:p>
      <w:r>
        <w:t>Database: cBioPortal</w:t>
        <w:br/>
        <w:t>Study: MSK Metastatic Breast Cancer (Cancer Discovery 2022)</w:t>
        <w:br/>
        <w:t>Study ID: breast_ink4_msk_2021</w:t>
        <w:br/>
        <w:t>Total patients: 1116</w:t>
      </w:r>
    </w:p>
    <w:p>
      <w:pPr>
        <w:pStyle w:val="Heading2"/>
      </w:pPr>
      <w:r>
        <w:t>Key Findings</w:t>
      </w:r>
    </w:p>
    <w:p>
      <w:r>
        <w:t>ESR1 Mutation Positivity Rate: 21.3% (238 of 1116 patients)</w:t>
      </w:r>
    </w:p>
    <w:p>
      <w:r>
        <w:t>TMB Analysis:</w:t>
        <w:br/>
        <w:t xml:space="preserve">  ESR1+ median TMB: 4.32 (IQR: 2.94-6.05)</w:t>
        <w:br/>
        <w:t xml:space="preserve">  ESR1- median TMB: 3.91 (IQR: 2.22-6.05)</w:t>
        <w:br/>
        <w:t xml:space="preserve">  P-value: 0.0114 (Significant)</w:t>
      </w:r>
    </w:p>
    <w:p>
      <w:pPr>
        <w:pStyle w:val="Heading2"/>
      </w:pPr>
      <w:r>
        <w:t>Published Literature Comparison</w:t>
      </w:r>
    </w:p>
    <w:p>
      <w:r>
        <w:t>The literature reveals that in patients with ER-positive, HER2-negative metastatic breast cancer (mBC), a significant proportion harbor ESR1 mutations, as evidenced by the findings in the studies where approximately 93.8% had previously undergone endocrine therapy, though specific mutation rates were not explicitly detailed. In comparison, our cBioPortal analysis indicated an ESR1 mutation rate of 21.3%. This discrepancy suggests that our cBioPortal findings may not fully align with the broader real-world outcomes reported in the literature, which imply a higher prevalence of ESR1 mutations among treated patients.</w:t>
      </w:r>
    </w:p>
    <w:p>
      <w:pPr>
        <w:pStyle w:val="Heading2"/>
      </w:pPr>
      <w:r>
        <w:t>TMB Visualization</w:t>
      </w:r>
    </w:p>
    <w:p>
      <w:r>
        <w:drawing>
          <wp:inline xmlns:a="http://schemas.openxmlformats.org/drawingml/2006/main" xmlns:pic="http://schemas.openxmlformats.org/drawingml/2006/picture">
            <wp:extent cx="5486400" cy="3877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b_ESR1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7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Patient Demographics Summary</w:t>
      </w:r>
    </w:p>
    <w:p>
      <w:r>
        <w:t>Total patients: 1116</w:t>
        <w:br/>
        <w:t>Mutation positive: 238</w:t>
        <w:br/>
        <w:t>Mutation negative: 878</w:t>
        <w:br/>
        <w:t>Median age: 61.0</w:t>
        <w:br/>
        <w:t>Female: 97.9%</w:t>
        <w:br/>
        <w:t>White: 78.7%</w:t>
        <w:br/>
        <w:t>Top metastatic site: Liver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Generated by ESR1 Validation Agent | Always verify findings independently before use in publications or protocols.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