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09 June 2026 22:02</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data and published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10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significantly drive endocrine resistance in ER+/HER2- metastatic breast cancer.</w:t>
            </w:r>
          </w:p>
        </w:tc>
      </w:tr>
      <w:tr>
        <w:tc>
          <w:tcPr>
            <w:tcW w:type="dxa" w:w="432"/>
          </w:tcPr>
          <w:p>
            <w:r>
              <w:t>2</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Methylation-based ctDNA monitoring correlates with clinical outcomes in metastatic breast cancer during CDK4/6 inhibitor therapy.</w:t>
            </w:r>
          </w:p>
        </w:tc>
      </w:tr>
      <w:tr>
        <w:tc>
          <w:tcPr>
            <w:tcW w:type="dxa" w:w="432"/>
          </w:tcPr>
          <w:p>
            <w:r>
              <w:t>3</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Biomarker-driven models are transforming the management of metastatic breast cancer towards precision oncology.</w:t>
            </w:r>
          </w:p>
        </w:tc>
      </w:tr>
      <w:tr>
        <w:tc>
          <w:tcPr>
            <w:tcW w:type="dxa" w:w="432"/>
          </w:tcPr>
          <w:p>
            <w:r>
              <w:t>4</w:t>
            </w:r>
          </w:p>
        </w:tc>
        <w:tc>
          <w:tcPr>
            <w:tcW w:type="dxa" w:w="2592"/>
          </w:tcPr>
          <w:p>
            <w:r>
              <w:t>Paired Tissue and ctDNA Profiling Reveals Novel ESR1 Amplifications CDK4/6 Resistance Mechanisms in HR+/HER2- Metastatic Breast Cancers.</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Liquid biopsy identifies novel ESR1 amplifications associated with CDK4/6 resistance mechanisms in HR+/HER2- breast cancers.</w:t>
            </w:r>
          </w:p>
        </w:tc>
      </w:tr>
      <w:tr>
        <w:tc>
          <w:tcPr>
            <w:tcW w:type="dxa" w:w="432"/>
          </w:tcPr>
          <w:p>
            <w:r>
              <w:t>5</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gene fusions represent an emerging class of genomic alterations with significant clinical implications in breast cancer.</w:t>
            </w:r>
          </w:p>
        </w:tc>
      </w:tr>
      <w:tr>
        <w:tc>
          <w:tcPr>
            <w:tcW w:type="dxa" w:w="432"/>
          </w:tcPr>
          <w:p>
            <w:r>
              <w:t>6</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No abstract available.</w:t>
            </w:r>
          </w:p>
        </w:tc>
      </w:tr>
      <w:tr>
        <w:tc>
          <w:tcPr>
            <w:tcW w:type="dxa" w:w="432"/>
          </w:tcPr>
          <w:p>
            <w:r>
              <w:t>7</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Whole genome sequencing reveals novel molecular signatures in locally advanced and metastatic breast cancer.</w:t>
            </w:r>
          </w:p>
        </w:tc>
      </w:tr>
      <w:tr>
        <w:tc>
          <w:tcPr>
            <w:tcW w:type="dxa" w:w="432"/>
          </w:tcPr>
          <w:p>
            <w:r>
              <w:t>8</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9</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See abstract for details</w:t>
            </w:r>
          </w:p>
        </w:tc>
      </w:tr>
      <w:tr>
        <w:tc>
          <w:tcPr>
            <w:tcW w:type="dxa" w:w="432"/>
          </w:tcPr>
          <w:p>
            <w:r>
              <w:t>10</w:t>
            </w:r>
          </w:p>
        </w:tc>
        <w:tc>
          <w:tcPr>
            <w:tcW w:type="dxa" w:w="2592"/>
          </w:tcPr>
          <w:p>
            <w:r>
              <w:t>Oral selective estrogen receptor degraders in hormone receptor-positive, HER2-negative advanced breast cancer: a systematic review and meta-analysis.</w:t>
            </w:r>
          </w:p>
        </w:tc>
        <w:tc>
          <w:tcPr>
            <w:tcW w:type="dxa" w:w="1728"/>
          </w:tcPr>
          <w:p>
            <w:r>
              <w:t>Rodrigues Lorrany Larisse Costa, de Holanda Jucá Silveira Lara, de Almeida Luiz Felipe C, et al.</w:t>
            </w:r>
          </w:p>
        </w:tc>
        <w:tc>
          <w:tcPr>
            <w:tcW w:type="dxa" w:w="576"/>
          </w:tcPr>
          <w:p>
            <w:r>
              <w:t>2026</w:t>
            </w:r>
          </w:p>
        </w:tc>
        <w:tc>
          <w:tcPr>
            <w:tcW w:type="dxa" w:w="1440"/>
          </w:tcPr>
          <w:p>
            <w:r>
              <w:t>Breast cancer research and treatment</w:t>
            </w:r>
          </w:p>
        </w:tc>
        <w:tc>
          <w:tcPr>
            <w:tcW w:type="dxa" w:w="1872"/>
          </w:tcPr>
          <w:p>
            <w:r>
              <w:t>See abstract for details</w:t>
            </w:r>
          </w:p>
        </w:tc>
      </w:tr>
    </w:tbl>
    <w:p/>
    <w:p>
      <w:pPr>
        <w:pStyle w:val="Heading3"/>
      </w:pPr>
      <w:r>
        <w:t>Comparison with Published Literature</w:t>
      </w:r>
    </w:p>
    <w:p>
      <w:r>
        <w:t>The identified literature did not report specific ESR1 positivity rates for direct numerical comparison. However, our study found an ESR1 mutation positivity rate of 21.3% in metastatic breast cancer, suggesting a notable prevalence of these mutations in this patient population. This finding aligns with the current understanding that ESR1 mutations are significant drivers of endocrine resistance, as highlighted in Paper 1. Furthermore, our results reveal that the median tumor mutational burden (TMB) is higher in ESR1-positive patients (4.32) compared to those who are ESR1-negative (3.91), a discrepancy that underscores the potential impact of ESR1 mutations on tumor biology. The lack of consistent reporting of ESR1 rates across the literature points to the need for robust real-world data to validate these findings and enhance clinical decision-making.</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