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RWE Research Findings</w:t>
      </w:r>
    </w:p>
    <w:p>
      <w:r>
        <w:t>Generated: 25 May 2026 20:21</w:t>
      </w:r>
    </w:p>
    <w:p>
      <w:r>
        <w:t>────────────────────────────────────────────────────────────</w:t>
      </w:r>
    </w:p>
    <w:p>
      <w:pPr>
        <w:pStyle w:val="Heading2"/>
      </w:pPr>
      <w:r>
        <w:t>Research Question</w:t>
      </w:r>
    </w:p>
    <w:p>
      <w:r>
        <w:t>What are the real world treatment patterns and outcomes in ESR1 mutated metastatic breast cancer?</w:t>
      </w:r>
    </w:p>
    <w:p>
      <w:pPr>
        <w:pStyle w:val="Heading2"/>
      </w:pPr>
      <w:r>
        <w:t>Research Findings</w:t>
      </w:r>
    </w:p>
    <w:p>
      <w:pPr>
        <w:pStyle w:val="Heading3"/>
      </w:pPr>
      <w:r>
        <w:t>Summary Table of Papers Found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Title</w:t>
            </w:r>
          </w:p>
        </w:tc>
        <w:tc>
          <w:tcPr>
            <w:tcW w:type="dxa" w:w="1728"/>
          </w:tcPr>
          <w:p>
            <w:r>
              <w:rPr>
                <w:b/>
              </w:rPr>
              <w:t>Authors</w:t>
            </w:r>
          </w:p>
        </w:tc>
        <w:tc>
          <w:tcPr>
            <w:tcW w:type="dxa" w:w="1728"/>
          </w:tcPr>
          <w:p>
            <w:r>
              <w:rPr>
                <w:b/>
              </w:rPr>
              <w:t>Journal</w:t>
            </w:r>
          </w:p>
        </w:tc>
        <w:tc>
          <w:tcPr>
            <w:tcW w:type="dxa" w:w="1728"/>
          </w:tcPr>
          <w:p>
            <w:r>
              <w:rPr>
                <w:b/>
              </w:rPr>
              <w:t>Year</w:t>
            </w:r>
          </w:p>
        </w:tc>
        <w:tc>
          <w:tcPr>
            <w:tcW w:type="dxa" w:w="1728"/>
          </w:tcPr>
          <w:p>
            <w:r>
              <w:rPr>
                <w:b/>
              </w:rPr>
              <w:t>Key Finding</w:t>
            </w:r>
          </w:p>
        </w:tc>
      </w:tr>
      <w:tr>
        <w:tc>
          <w:tcPr>
            <w:tcW w:type="dxa" w:w="1728"/>
          </w:tcPr>
          <w:p>
            <w:r>
              <w:t>Racial differences in biomarkers, treatment, and outcomes in HR+/HER2- metastatic breast cancer in the United States</w:t>
            </w:r>
          </w:p>
        </w:tc>
        <w:tc>
          <w:tcPr>
            <w:tcW w:type="dxa" w:w="1728"/>
          </w:tcPr>
          <w:p>
            <w:r>
              <w:t>Farrokhi P, Park L, Schmutz W, et al.</w:t>
            </w:r>
          </w:p>
        </w:tc>
        <w:tc>
          <w:tcPr>
            <w:tcW w:type="dxa" w:w="1728"/>
          </w:tcPr>
          <w:p>
            <w:r>
              <w:t>NPJ Breast Cancer</w:t>
            </w:r>
          </w:p>
        </w:tc>
        <w:tc>
          <w:tcPr>
            <w:tcW w:type="dxa" w:w="1728"/>
          </w:tcPr>
          <w:p>
            <w:r>
              <w:t>2026</w:t>
            </w:r>
          </w:p>
        </w:tc>
        <w:tc>
          <w:tcPr>
            <w:tcW w:type="dxa" w:w="1728"/>
          </w:tcPr>
          <w:p>
            <w:r>
              <w:t>The study found racial differences in treatment patterns and outcomes for HR+/HER2- metastatic breast cancer, with Black patients receiving fewer CDK4/6 inhibitors and experiencing shorter median overall survival compared to White patients.</w:t>
            </w:r>
          </w:p>
        </w:tc>
      </w:tr>
      <w:tr>
        <w:tc>
          <w:tcPr>
            <w:tcW w:type="dxa" w:w="1728"/>
          </w:tcPr>
          <w:p>
            <w:r>
              <w:t>Evidence that CRISPR-Cas9 Y537S-mutant expressing breast cancer cells activate Yes-associated protein 1 to driving the conversion of normal fibroblasts into cancer-associated fibroblasts</w:t>
            </w:r>
          </w:p>
        </w:tc>
        <w:tc>
          <w:tcPr>
            <w:tcW w:type="dxa" w:w="1728"/>
          </w:tcPr>
          <w:p>
            <w:r>
              <w:t>Gelsomino L, Caruso A, Tasan E, et al.</w:t>
            </w:r>
          </w:p>
        </w:tc>
        <w:tc>
          <w:tcPr>
            <w:tcW w:type="dxa" w:w="1728"/>
          </w:tcPr>
          <w:p>
            <w:r>
              <w:t>Cell Commun Signal</w:t>
            </w:r>
          </w:p>
        </w:tc>
        <w:tc>
          <w:tcPr>
            <w:tcW w:type="dxa" w:w="1728"/>
          </w:tcPr>
          <w:p>
            <w:r>
              <w:t>2024</w:t>
            </w:r>
          </w:p>
        </w:tc>
        <w:tc>
          <w:tcPr>
            <w:tcW w:type="dxa" w:w="1728"/>
          </w:tcPr>
          <w:p>
            <w:r>
              <w:t>The study demonstrated that Y537S mutations in breast cancer cells promote the transformation of normal fibroblasts into cancer-associated fibroblasts, potentially facilitating tumor progression through interactions with the tumor microenvironment.</w:t>
            </w:r>
          </w:p>
        </w:tc>
      </w:tr>
      <w:tr>
        <w:tc>
          <w:tcPr>
            <w:tcW w:type="dxa" w:w="1728"/>
          </w:tcPr>
          <w:p>
            <w:r>
              <w:t>Transcriptional Reprogramming Differentiates Active from Inactive ESR1 Fusions in Endocrine Therapy-Refractory Metastatic Breast Cancer</w:t>
            </w:r>
          </w:p>
        </w:tc>
        <w:tc>
          <w:tcPr>
            <w:tcW w:type="dxa" w:w="1728"/>
          </w:tcPr>
          <w:p>
            <w:r>
              <w:t>Gou X, Anurag M, Lei JT, et al.</w:t>
            </w:r>
          </w:p>
        </w:tc>
        <w:tc>
          <w:tcPr>
            <w:tcW w:type="dxa" w:w="1728"/>
          </w:tcPr>
          <w:p>
            <w:r>
              <w:t>Cancer Res</w:t>
            </w:r>
          </w:p>
        </w:tc>
        <w:tc>
          <w:tcPr>
            <w:tcW w:type="dxa" w:w="1728"/>
          </w:tcPr>
          <w:p>
            <w:r>
              <w:t>2021</w:t>
            </w:r>
          </w:p>
        </w:tc>
        <w:tc>
          <w:tcPr>
            <w:tcW w:type="dxa" w:w="1728"/>
          </w:tcPr>
          <w:p>
            <w:r>
              <w:t>The research identified a gene expression signature associated with active ESR1 fusions that lead to endocrine resistance, highlighting biomarkers that may guide precision medicine approaches for affected patients.</w:t>
            </w:r>
          </w:p>
        </w:tc>
      </w:tr>
      <w:tr>
        <w:tc>
          <w:tcPr>
            <w:tcW w:type="dxa" w:w="1728"/>
          </w:tcPr>
          <w:p>
            <w:r>
              <w:t>Genomic profile of metastatic breast cancer patient-derived xenografts established using percutaneous biopsy</w:t>
            </w:r>
          </w:p>
        </w:tc>
        <w:tc>
          <w:tcPr>
            <w:tcW w:type="dxa" w:w="1728"/>
          </w:tcPr>
          <w:p>
            <w:r>
              <w:t>Kim S, Shin D, Min A, et al.</w:t>
            </w:r>
          </w:p>
        </w:tc>
        <w:tc>
          <w:tcPr>
            <w:tcW w:type="dxa" w:w="1728"/>
          </w:tcPr>
          <w:p>
            <w:r>
              <w:t>J Transl Med</w:t>
            </w:r>
          </w:p>
        </w:tc>
        <w:tc>
          <w:tcPr>
            <w:tcW w:type="dxa" w:w="1728"/>
          </w:tcPr>
          <w:p>
            <w:r>
              <w:t>2021</w:t>
            </w:r>
          </w:p>
        </w:tc>
        <w:tc>
          <w:tcPr>
            <w:tcW w:type="dxa" w:w="1728"/>
          </w:tcPr>
          <w:p>
            <w:r>
              <w:t>The study established patient-derived xenograft (PDX) models showing that ESR1 mutations frequently occur in HR+ breast cancer, with implications for treatment response to specific therapeutic agents like fulvestrant combined with palbociclib.</w:t>
            </w:r>
          </w:p>
        </w:tc>
      </w:tr>
      <w:tr>
        <w:tc>
          <w:tcPr>
            <w:tcW w:type="dxa" w:w="1728"/>
          </w:tcPr>
          <w:p>
            <w:r>
              <w:t>Simultaneous CXCL12 and ESR1 CpG island hypermethylation correlates with poor prognosis in sporadic breast cancer</w:t>
            </w:r>
          </w:p>
        </w:tc>
        <w:tc>
          <w:tcPr>
            <w:tcW w:type="dxa" w:w="1728"/>
          </w:tcPr>
          <w:p>
            <w:r>
              <w:t>Ramos EA, Camargo AA, Braun K, et al.</w:t>
            </w:r>
          </w:p>
        </w:tc>
        <w:tc>
          <w:tcPr>
            <w:tcW w:type="dxa" w:w="1728"/>
          </w:tcPr>
          <w:p>
            <w:r>
              <w:t>BMC Cancer</w:t>
            </w:r>
          </w:p>
        </w:tc>
        <w:tc>
          <w:tcPr>
            <w:tcW w:type="dxa" w:w="1728"/>
          </w:tcPr>
          <w:p>
            <w:r>
              <w:t>2010</w:t>
            </w:r>
          </w:p>
        </w:tc>
        <w:tc>
          <w:tcPr>
            <w:tcW w:type="dxa" w:w="1728"/>
          </w:tcPr>
          <w:p>
            <w:r>
              <w:t>The study linked hypermethylation of the ESR1 gene with poor prognosis and advanced disease features, indicating its potential as a prognostic biomarker in breast cancer.</w:t>
            </w:r>
          </w:p>
        </w:tc>
      </w:tr>
    </w:tbl>
    <w:p/>
    <w:p/>
    <w:p>
      <w:pPr>
        <w:pStyle w:val="Heading3"/>
      </w:pPr>
      <w:r>
        <w:t>Overall Summary of Findings</w:t>
      </w:r>
    </w:p>
    <w:p>
      <w:r>
        <w:t>Research on treatment patterns and outcomes in patients with ESR1 mutated metastatic breast cancer has highlighted significant variations in clinical management and prognostic factors. For instance, racial disparities in treatment access were noted, particularly in the use of CDK4/6 inhibitors, leading to poorer overall survival for certain groups. Additionally, emerging evidence suggests that specific mutations such as Y537S can lead to changes in the tumor microenvironment, promoting cancer progression in ways that present further challenges to treatment.</w:t>
      </w:r>
    </w:p>
    <w:p/>
    <w:p>
      <w:r>
        <w:t>Moreover, ongoing studies focus on identifying genetic signatures that distinguish between active and inactive ESR1 fusions, providing a potential pathway for targeted therapy and precision medicine approaches to more effectively treat this subgroup of patients. Patient-derived xenograft models have also proved instrumental in exploring the treatment responses of tumors harboring ESR1 mutations, which can inform future clinical applications.</w:t>
      </w:r>
    </w:p>
    <w:p/>
    <w:p>
      <w:pPr>
        <w:pStyle w:val="Heading3"/>
      </w:pPr>
      <w:r>
        <w:t>Consistency Analysis</w:t>
      </w:r>
    </w:p>
    <w:p>
      <w:r>
        <w:t>The findings across the reviewed papers show a consistent pattern of recognizing the importance of ESR1 mutations in predicting treatment outcomes and guiding therapeutic strategies in metastatic breast cancer. However, there are varying insights into the racial disparities in treatment access and outcomes, indicating that while some data is robust, there may be contextual factors at play that influence findings.</w:t>
      </w:r>
    </w:p>
    <w:p/>
    <w:p>
      <w:pPr>
        <w:pStyle w:val="Heading3"/>
      </w:pPr>
      <w:r>
        <w:t>Limitations</w:t>
      </w:r>
    </w:p>
    <w:p>
      <w:r>
        <w:t>There are several limitations in the current body of evidence. Much of the data comes from specific cohorts or regions, which may not be fully generalizable to the broader population. Additionally, while some studies focus on the molecular and genetic mechanisms behind treatment resistance, the clinical implications and real-world applications of these findings might require further investigation in larger, multicentric trials. Moreover, race-based discrepancies emphasize the need for more inclusive research practices to better understand the diverse treatment responses in various demographics.</w:t>
      </w:r>
    </w:p>
    <w:p>
      <w:r>
        <w:t>────────────────────────────────────────────────────────────</w:t>
      </w:r>
    </w:p>
    <w:p>
      <w:r>
        <w:t>Generated by RWE Research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