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Agentic AI Engineering Handbook</w:t>
      </w:r>
    </w:p>
    <w:p>
      <w:pPr>
        <w:pStyle w:val="Heading2"/>
        <w:jc w:val="center"/>
      </w:pPr>
      <w:r>
        <w:t>Chapter 1 – Understanding Large Language Models: From First Principles</w:t>
      </w:r>
    </w:p>
    <w:p>
      <w:r>
        <w:rPr>
          <w:b/>
        </w:rPr>
        <w:t>Learning Objectives</w:t>
      </w:r>
    </w:p>
    <w:p>
      <w:pPr>
        <w:pStyle w:val="ListBullet"/>
      </w:pPr>
      <w:r>
        <w:t>Understand AI → Foundation Models → LLM evolution</w:t>
      </w:r>
    </w:p>
    <w:p>
      <w:pPr>
        <w:pStyle w:val="ListBullet"/>
      </w:pPr>
      <w:r>
        <w:t>Explain tokens, context window, embeddings and temperature</w:t>
      </w:r>
    </w:p>
    <w:p>
      <w:pPr>
        <w:pStyle w:val="ListBullet"/>
      </w:pPr>
      <w:r>
        <w:t>Differentiate SLM vs LLM</w:t>
      </w:r>
    </w:p>
    <w:p>
      <w:pPr>
        <w:pStyle w:val="ListBullet"/>
      </w:pPr>
      <w:r>
        <w:t>Build a prompt-only invoice explainer</w:t>
      </w:r>
    </w:p>
    <w:p>
      <w:pPr>
        <w:pStyle w:val="ListBullet"/>
      </w:pPr>
      <w:r>
        <w:t>Prepare for common interview questions</w:t>
      </w:r>
    </w:p>
    <w:p>
      <w:pPr>
        <w:pStyle w:val="Heading2"/>
      </w:pPr>
      <w:r>
        <w:t>1. Why Large Language Models Exist</w:t>
      </w:r>
    </w:p>
    <w:p>
      <w:r>
        <w:t>Large Language Models are general-purpose language models trained on large corpora. They generate text by predicting the next token. Enterprise AI agents build on top of this capability by adding tools, memory and orchestration.</w:t>
      </w:r>
    </w:p>
    <w:p>
      <w:pPr>
        <w:pStyle w:val="Heading2"/>
      </w:pPr>
      <w:r>
        <w:t>2. Mental Model</w:t>
      </w:r>
    </w:p>
    <w:p>
      <w:r>
        <w:t>Human</w:t>
        <w:br/>
        <w:t>Reads words</w:t>
        <w:br/>
        <w:t xml:space="preserve">      ↓</w:t>
        <w:br/>
        <w:t>Reasons</w:t>
        <w:br/>
        <w:t xml:space="preserve">      ↓</w:t>
        <w:br/>
        <w:t>Responds</w:t>
        <w:br/>
        <w:br/>
        <w:t>LLM</w:t>
        <w:br/>
        <w:t>Reads tokens</w:t>
        <w:br/>
        <w:t xml:space="preserve">      ↓</w:t>
        <w:br/>
        <w:t>Predicts next token</w:t>
        <w:br/>
        <w:t xml:space="preserve">      ↓</w:t>
        <w:br/>
        <w:t>Repeats until complete response</w:t>
        <w:br/>
      </w:r>
    </w:p>
    <w:p>
      <w:pPr>
        <w:pStyle w:val="Heading2"/>
      </w:pPr>
      <w:r>
        <w:t>3. Core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Basic unit processed by the model.</w:t>
            </w:r>
          </w:p>
        </w:tc>
      </w:tr>
      <w:tr>
        <w:tc>
          <w:tcPr>
            <w:tcW w:type="dxa" w:w="4320"/>
          </w:tcPr>
          <w:p>
            <w:r>
              <w:t>Context Window</w:t>
            </w:r>
          </w:p>
        </w:tc>
        <w:tc>
          <w:tcPr>
            <w:tcW w:type="dxa" w:w="4320"/>
          </w:tcPr>
          <w:p>
            <w:r>
              <w:t>Maximum information the model can consider.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Controls randomness of generation.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Numeric representation of text.</w:t>
            </w:r>
          </w:p>
        </w:tc>
      </w:tr>
      <w:tr>
        <w:tc>
          <w:tcPr>
            <w:tcW w:type="dxa" w:w="4320"/>
          </w:tcPr>
          <w:p>
            <w:r>
              <w:t>Inference</w:t>
            </w:r>
          </w:p>
        </w:tc>
        <w:tc>
          <w:tcPr>
            <w:tcW w:type="dxa" w:w="4320"/>
          </w:tcPr>
          <w:p>
            <w:r>
              <w:t>Running the trained model to generate output.</w:t>
            </w:r>
          </w:p>
        </w:tc>
      </w:tr>
    </w:tbl>
    <w:p>
      <w:pPr>
        <w:pStyle w:val="Heading2"/>
      </w:pPr>
      <w:r>
        <w:t>4. Simple Architecture</w:t>
      </w:r>
    </w:p>
    <w:p>
      <w:r>
        <w:t>User</w:t>
        <w:br/>
        <w:t xml:space="preserve">  │</w:t>
        <w:br/>
        <w:t>Prompt</w:t>
        <w:br/>
        <w:t xml:space="preserve">  │</w:t>
        <w:br/>
        <w:t>Tokenizer</w:t>
        <w:br/>
        <w:t xml:space="preserve">  │</w:t>
        <w:br/>
        <w:t>Transformer</w:t>
        <w:br/>
        <w:t xml:space="preserve">  │</w:t>
        <w:br/>
        <w:t>Sampling</w:t>
        <w:br/>
        <w:t xml:space="preserve">  │</w:t>
        <w:br/>
        <w:t>Response</w:t>
        <w:br/>
      </w:r>
    </w:p>
    <w:p>
      <w:pPr>
        <w:pStyle w:val="Heading2"/>
      </w:pPr>
      <w:r>
        <w:t>5. Hands-on Lab</w:t>
      </w:r>
    </w:p>
    <w:p>
      <w:r>
        <w:t>Experiment with temperature values 0.0, 0.5 and 1.0 using the same invoice explanation prompt. Record determinism, creativity and hallucination differences.</w:t>
      </w:r>
    </w:p>
    <w:p>
      <w:pPr>
        <w:pStyle w:val="Heading2"/>
      </w:pPr>
      <w:r>
        <w:t>6. Interview Questions</w:t>
      </w:r>
    </w:p>
    <w:p>
      <w:pPr>
        <w:pStyle w:val="ListNumber"/>
      </w:pPr>
      <w:r>
        <w:t>What is the difference between a token and a word?</w:t>
      </w:r>
    </w:p>
    <w:p>
      <w:pPr>
        <w:pStyle w:val="ListNumber"/>
      </w:pPr>
      <w:r>
        <w:t>Why does context window matter?</w:t>
      </w:r>
    </w:p>
    <w:p>
      <w:pPr>
        <w:pStyle w:val="ListNumber"/>
      </w:pPr>
      <w:r>
        <w:t>When would you choose an SLM over an LLM?</w:t>
      </w:r>
    </w:p>
    <w:p>
      <w:pPr>
        <w:pStyle w:val="ListNumber"/>
      </w:pPr>
      <w:r>
        <w:t>Does temperature improve accuracy?</w:t>
      </w:r>
    </w:p>
    <w:p>
      <w:pPr>
        <w:pStyle w:val="ListNumber"/>
      </w:pPr>
      <w:r>
        <w:t>Why are embeddings useful?</w:t>
      </w:r>
    </w:p>
    <w:p>
      <w:pPr>
        <w:pStyle w:val="Heading2"/>
      </w:pPr>
      <w:r>
        <w:t>7. Further Reading</w:t>
      </w:r>
    </w:p>
    <w:p>
      <w:pPr>
        <w:pStyle w:val="ListBullet"/>
      </w:pPr>
      <w:r>
        <w:t>LangChain Documentation</w:t>
      </w:r>
    </w:p>
    <w:p>
      <w:pPr>
        <w:pStyle w:val="ListBullet"/>
      </w:pPr>
      <w:r>
        <w:t>LangGraph Documentation</w:t>
      </w:r>
    </w:p>
    <w:p>
      <w:pPr>
        <w:pStyle w:val="ListBullet"/>
      </w:pPr>
      <w:r>
        <w:t>OpenAI API Documentation</w:t>
      </w:r>
    </w:p>
    <w:p>
      <w:pPr>
        <w:pStyle w:val="ListBullet"/>
      </w:pPr>
      <w:r>
        <w:t>Anthropic Documentation</w:t>
      </w:r>
    </w:p>
    <w:p>
      <w:pPr>
        <w:pStyle w:val="ListBullet"/>
      </w:pPr>
      <w:r>
        <w:t>ByteByteGo AI Agent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