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467F"/>
        </w:rPr>
        <w:t>Product Relevancy Ranking — Scoring Logic</w:t>
      </w:r>
    </w:p>
    <w:p>
      <w:pPr>
        <w:jc w:val="center"/>
      </w:pPr>
      <w:r>
        <w:rPr>
          <w:color w:val="646464"/>
          <w:sz w:val="22"/>
        </w:rPr>
        <w:t>E-commerce Product Ranking System | May 2026</w:t>
      </w:r>
    </w:p>
    <w:p/>
    <w:p>
      <w:pPr>
        <w:pStyle w:val="Heading1"/>
        <w:jc w:val="left"/>
      </w:pPr>
      <w:r>
        <w:rPr>
          <w:color w:val="00467F"/>
        </w:rPr>
        <w:t>1. Problem Statement</w:t>
      </w:r>
    </w:p>
    <w:p>
      <w:r>
        <w:t>In a large-scale beauty e-commerce platform with over 55,000 active SKUs, the order in which products appear on category and search pages directly drives revenue, conversion, and inventory efficiency. Without an intelligent ranking system, high-potential products get buried while overstocked or underperforming products occupy prime positions.</w:t>
      </w:r>
    </w:p>
    <w:p>
      <w:r>
        <w:t>The challenge was to design a data-driven, configurable scoring model that surfaces the most relevant products for each category — balancing multiple business signals such as revenue performance, sales velocity, inventory health, product freshness, and conversion efficiency.</w:t>
      </w:r>
    </w:p>
    <w:p>
      <w:pPr>
        <w:pStyle w:val="Heading1"/>
        <w:jc w:val="left"/>
      </w:pPr>
      <w:r>
        <w:rPr>
          <w:color w:val="00467F"/>
        </w:rPr>
        <w:t>2. Objective</w:t>
      </w:r>
    </w:p>
    <w:p>
      <w:pPr>
        <w:pStyle w:val="ListBullet"/>
      </w:pPr>
      <w:r>
        <w:rPr>
          <w:b/>
          <w:sz w:val="22"/>
        </w:rPr>
        <w:t xml:space="preserve">Rank ~55,000 SKUs: </w:t>
      </w:r>
      <w:r>
        <w:t>across all beauty categories using a composite scoring model.</w:t>
      </w:r>
    </w:p>
    <w:p>
      <w:pPr>
        <w:pStyle w:val="ListBullet"/>
      </w:pPr>
      <w:r>
        <w:rPr>
          <w:b/>
          <w:sz w:val="22"/>
        </w:rPr>
        <w:t xml:space="preserve">Prioritise fresh inventory: </w:t>
      </w:r>
      <w:r>
        <w:t>by rewarding recently launched products that have not yet aged.</w:t>
      </w:r>
    </w:p>
    <w:p>
      <w:pPr>
        <w:pStyle w:val="ListBullet"/>
      </w:pPr>
      <w:r>
        <w:rPr>
          <w:b/>
          <w:sz w:val="22"/>
        </w:rPr>
        <w:t xml:space="preserve">Surface high-converting products: </w:t>
      </w:r>
      <w:r>
        <w:t>by measuring revenue and sales efficiency relative to views (RPV, SPV).</w:t>
      </w:r>
    </w:p>
    <w:p>
      <w:pPr>
        <w:pStyle w:val="ListBullet"/>
      </w:pPr>
      <w:r>
        <w:rPr>
          <w:b/>
          <w:sz w:val="22"/>
        </w:rPr>
        <w:t xml:space="preserve">Allow business overrides: </w:t>
      </w:r>
      <w:r>
        <w:t>via brand boosting, penalty lists, and product-level adjustments without breaking the core model.</w:t>
      </w:r>
    </w:p>
    <w:p>
      <w:pPr>
        <w:pStyle w:val="ListBullet"/>
      </w:pPr>
      <w:r>
        <w:rPr>
          <w:b/>
          <w:sz w:val="22"/>
        </w:rPr>
        <w:t xml:space="preserve">Deliver actionable outputs: </w:t>
      </w:r>
      <w:r>
        <w:t>including ranked product lists, SEO priority files, and social nudge tags — on a recurring monthly cadence.</w:t>
      </w:r>
    </w:p>
    <w:p>
      <w:pPr>
        <w:pStyle w:val="Heading1"/>
        <w:jc w:val="left"/>
      </w:pPr>
      <w:r>
        <w:rPr>
          <w:color w:val="00467F"/>
        </w:rPr>
        <w:t>3. Data</w:t>
      </w:r>
    </w:p>
    <w:p>
      <w:r>
        <w:t>Raw data was sourced from the internal Relevancy Dashboard and exported as a CSV snapshot for each monthly run. Each row represents one SKU.</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467F"/>
          </w:tcPr>
          <w:p>
            <w:r>
              <w:rPr>
                <w:b/>
                <w:color w:val="FFFFFF"/>
                <w:sz w:val="22"/>
              </w:rPr>
              <w:t>Signal</w:t>
            </w:r>
          </w:p>
        </w:tc>
        <w:tc>
          <w:tcPr>
            <w:tcW w:type="dxa" w:w="2880"/>
            <w:shd w:val="clear" w:color="auto" w:fill="00467F"/>
          </w:tcPr>
          <w:p>
            <w:r>
              <w:rPr>
                <w:b/>
                <w:color w:val="FFFFFF"/>
                <w:sz w:val="22"/>
              </w:rPr>
              <w:t>Raw Column</w:t>
            </w:r>
          </w:p>
        </w:tc>
        <w:tc>
          <w:tcPr>
            <w:tcW w:type="dxa" w:w="2880"/>
            <w:shd w:val="clear" w:color="auto" w:fill="00467F"/>
          </w:tcPr>
          <w:p>
            <w:r>
              <w:rPr>
                <w:b/>
                <w:color w:val="FFFFFF"/>
                <w:sz w:val="22"/>
              </w:rPr>
              <w:t>Description</w:t>
            </w:r>
          </w:p>
        </w:tc>
      </w:tr>
      <w:tr>
        <w:tc>
          <w:tcPr>
            <w:tcW w:type="dxa" w:w="2880"/>
            <w:shd w:val="clear" w:color="auto" w:fill="E8F0F8"/>
          </w:tcPr>
          <w:p>
            <w:r>
              <w:t>Product Aging</w:t>
            </w:r>
          </w:p>
        </w:tc>
        <w:tc>
          <w:tcPr>
            <w:tcW w:type="dxa" w:w="2880"/>
            <w:shd w:val="clear" w:color="auto" w:fill="E8F0F8"/>
          </w:tcPr>
          <w:p>
            <w:r>
              <w:t>product_aging</w:t>
            </w:r>
          </w:p>
        </w:tc>
        <w:tc>
          <w:tcPr>
            <w:tcW w:type="dxa" w:w="2880"/>
            <w:shd w:val="clear" w:color="auto" w:fill="E8F0F8"/>
          </w:tcPr>
          <w:p>
            <w:r>
              <w:t>Days since product was first listed</w:t>
            </w:r>
          </w:p>
        </w:tc>
      </w:tr>
      <w:tr>
        <w:tc>
          <w:tcPr>
            <w:tcW w:type="dxa" w:w="2880"/>
          </w:tcPr>
          <w:p>
            <w:r>
              <w:t>Inventory</w:t>
            </w:r>
          </w:p>
        </w:tc>
        <w:tc>
          <w:tcPr>
            <w:tcW w:type="dxa" w:w="2880"/>
          </w:tcPr>
          <w:p>
            <w:r>
              <w:t>cbrt_inventory_left</w:t>
            </w:r>
          </w:p>
        </w:tc>
        <w:tc>
          <w:tcPr>
            <w:tcW w:type="dxa" w:w="2880"/>
          </w:tcPr>
          <w:p>
            <w:r>
              <w:t>Cube-root of units remaining in stock</w:t>
            </w:r>
          </w:p>
        </w:tc>
      </w:tr>
      <w:tr>
        <w:tc>
          <w:tcPr>
            <w:tcW w:type="dxa" w:w="2880"/>
            <w:shd w:val="clear" w:color="auto" w:fill="E8F0F8"/>
          </w:tcPr>
          <w:p>
            <w:r>
              <w:t>Last 15D Revenue</w:t>
            </w:r>
          </w:p>
        </w:tc>
        <w:tc>
          <w:tcPr>
            <w:tcW w:type="dxa" w:w="2880"/>
            <w:shd w:val="clear" w:color="auto" w:fill="E8F0F8"/>
          </w:tcPr>
          <w:p>
            <w:r>
              <w:t>cbrt_last_15_days_revenue</w:t>
            </w:r>
          </w:p>
        </w:tc>
        <w:tc>
          <w:tcPr>
            <w:tcW w:type="dxa" w:w="2880"/>
            <w:shd w:val="clear" w:color="auto" w:fill="E8F0F8"/>
          </w:tcPr>
          <w:p>
            <w:r>
              <w:t>Cube-root of revenue in the last 15 days</w:t>
            </w:r>
          </w:p>
        </w:tc>
      </w:tr>
      <w:tr>
        <w:tc>
          <w:tcPr>
            <w:tcW w:type="dxa" w:w="2880"/>
          </w:tcPr>
          <w:p>
            <w:r>
              <w:t>Historical Revenue</w:t>
            </w:r>
          </w:p>
        </w:tc>
        <w:tc>
          <w:tcPr>
            <w:tcW w:type="dxa" w:w="2880"/>
          </w:tcPr>
          <w:p>
            <w:r>
              <w:t>cbrt_after_75_before_last_15_days_revenue</w:t>
            </w:r>
          </w:p>
        </w:tc>
        <w:tc>
          <w:tcPr>
            <w:tcW w:type="dxa" w:w="2880"/>
          </w:tcPr>
          <w:p>
            <w:r>
              <w:t>Revenue between day 16 and day 75</w:t>
            </w:r>
          </w:p>
        </w:tc>
      </w:tr>
      <w:tr>
        <w:tc>
          <w:tcPr>
            <w:tcW w:type="dxa" w:w="2880"/>
            <w:shd w:val="clear" w:color="auto" w:fill="E8F0F8"/>
          </w:tcPr>
          <w:p>
            <w:r>
              <w:t>Last 15D Sales</w:t>
            </w:r>
          </w:p>
        </w:tc>
        <w:tc>
          <w:tcPr>
            <w:tcW w:type="dxa" w:w="2880"/>
            <w:shd w:val="clear" w:color="auto" w:fill="E8F0F8"/>
          </w:tcPr>
          <w:p>
            <w:r>
              <w:t>cbrt_last_15_days_sale</w:t>
            </w:r>
          </w:p>
        </w:tc>
        <w:tc>
          <w:tcPr>
            <w:tcW w:type="dxa" w:w="2880"/>
            <w:shd w:val="clear" w:color="auto" w:fill="E8F0F8"/>
          </w:tcPr>
          <w:p>
            <w:r>
              <w:t>Cube-root of units sold in last 15 days</w:t>
            </w:r>
          </w:p>
        </w:tc>
      </w:tr>
      <w:tr>
        <w:tc>
          <w:tcPr>
            <w:tcW w:type="dxa" w:w="2880"/>
          </w:tcPr>
          <w:p>
            <w:r>
              <w:t>Historical Sales</w:t>
            </w:r>
          </w:p>
        </w:tc>
        <w:tc>
          <w:tcPr>
            <w:tcW w:type="dxa" w:w="2880"/>
          </w:tcPr>
          <w:p>
            <w:r>
              <w:t>cbrt_after_75_before_last_15_days_sale</w:t>
            </w:r>
          </w:p>
        </w:tc>
        <w:tc>
          <w:tcPr>
            <w:tcW w:type="dxa" w:w="2880"/>
          </w:tcPr>
          <w:p>
            <w:r>
              <w:t>Units sold between day 16 and day 75</w:t>
            </w:r>
          </w:p>
        </w:tc>
      </w:tr>
      <w:tr>
        <w:tc>
          <w:tcPr>
            <w:tcW w:type="dxa" w:w="2880"/>
            <w:shd w:val="clear" w:color="auto" w:fill="E8F0F8"/>
          </w:tcPr>
          <w:p>
            <w:r>
              <w:t>Last 15D Views</w:t>
            </w:r>
          </w:p>
        </w:tc>
        <w:tc>
          <w:tcPr>
            <w:tcW w:type="dxa" w:w="2880"/>
            <w:shd w:val="clear" w:color="auto" w:fill="E8F0F8"/>
          </w:tcPr>
          <w:p>
            <w:r>
              <w:t>cbrt_last_15_days_users_view</w:t>
            </w:r>
          </w:p>
        </w:tc>
        <w:tc>
          <w:tcPr>
            <w:tcW w:type="dxa" w:w="2880"/>
            <w:shd w:val="clear" w:color="auto" w:fill="E8F0F8"/>
          </w:tcPr>
          <w:p>
            <w:r>
              <w:t>Cube-root of unique user views in last 15 days</w:t>
            </w:r>
          </w:p>
        </w:tc>
      </w:tr>
      <w:tr>
        <w:tc>
          <w:tcPr>
            <w:tcW w:type="dxa" w:w="2880"/>
          </w:tcPr>
          <w:p>
            <w:r>
              <w:t>Last 30D Sales</w:t>
            </w:r>
          </w:p>
        </w:tc>
        <w:tc>
          <w:tcPr>
            <w:tcW w:type="dxa" w:w="2880"/>
          </w:tcPr>
          <w:p>
            <w:r>
              <w:t>last_30_days_sale</w:t>
            </w:r>
          </w:p>
        </w:tc>
        <w:tc>
          <w:tcPr>
            <w:tcW w:type="dxa" w:w="2880"/>
          </w:tcPr>
          <w:p>
            <w:r>
              <w:t>Used for Social Nudge tags only</w:t>
            </w:r>
          </w:p>
        </w:tc>
      </w:tr>
    </w:tbl>
    <w:p/>
    <w:p>
      <w:r>
        <w:t>Cube-root transformation was applied to all count/revenue metrics to reduce the effect of extreme outliers while preserving relative order. Category-level averages (avg_*) were pre-computed in the dashboard and included in the export.</w:t>
      </w:r>
    </w:p>
    <w:p>
      <w:pPr>
        <w:pStyle w:val="Heading1"/>
        <w:jc w:val="left"/>
      </w:pPr>
      <w:r>
        <w:rPr>
          <w:color w:val="00467F"/>
        </w:rPr>
        <w:t>4. Methodology</w:t>
      </w:r>
    </w:p>
    <w:p>
      <w:pPr>
        <w:pStyle w:val="Heading2"/>
        <w:jc w:val="left"/>
      </w:pPr>
      <w:r>
        <w:rPr>
          <w:color w:val="00467F"/>
        </w:rPr>
        <w:t>4.1 Normalisation</w:t>
      </w:r>
    </w:p>
    <w:p>
      <w:r>
        <w:t>Every metric was normalised using the following two-step formula:</w:t>
      </w:r>
    </w:p>
    <w:p>
      <w:r>
        <w:rPr>
          <w:rFonts w:ascii="Courier New" w:hAnsi="Courier New"/>
          <w:sz w:val="20"/>
        </w:rPr>
        <w:t xml:space="preserve">    ratio  =  cbrt_metric  /  avg_metric</w:t>
        <w:br/>
        <w:t xml:space="preserve">    value  =  ratio  /  max(ratio across all products)</w:t>
      </w:r>
    </w:p>
    <w:p>
      <w:r>
        <w:t>This produces a score between 0 and 1 for each product on each dimension, where 1.0 represents the best-performing product in that metric relative to its category average. Inventory is normalised directly against its global maximum (no average baseline).</w:t>
      </w:r>
    </w:p>
    <w:p>
      <w:pPr>
        <w:pStyle w:val="Heading2"/>
        <w:jc w:val="left"/>
      </w:pPr>
      <w:r>
        <w:rPr>
          <w:color w:val="00467F"/>
        </w:rPr>
        <w:t>4.2 Two-Track Scoring</w:t>
      </w:r>
    </w:p>
    <w:p>
      <w:r>
        <w:t>Products are scored on two separate tracks. The final rank is the maximum of both:</w:t>
      </w:r>
    </w:p>
    <w:p>
      <w:pPr>
        <w:pStyle w:val="ListBullet"/>
      </w:pPr>
      <w:r>
        <w:rPr>
          <w:b/>
          <w:sz w:val="22"/>
        </w:rPr>
        <w:t xml:space="preserve">Track 1 — Inventory-Age Rank: </w:t>
      </w:r>
      <w:r>
        <w:t>Aging + Inventory + Revenue (W1=0.75). Designed for new products with healthy stock levels. Forced to zero if product_aging &gt; 20 days.</w:t>
      </w:r>
    </w:p>
    <w:p>
      <w:pPr>
        <w:pStyle w:val="ListBullet"/>
      </w:pPr>
      <w:r>
        <w:rPr>
          <w:b/>
          <w:sz w:val="22"/>
        </w:rPr>
        <w:t xml:space="preserve">Track 2 — Commercial Rank: </w:t>
      </w:r>
      <w:r>
        <w:t>Revenue (W2=1.50) + Last 15D Sales (0.25) + Historical Sales (0.25) + RPV (0.60) + SPV (0.40). Captures sustained commercial performance. Always active.</w:t>
      </w:r>
    </w:p>
    <w:p>
      <w:r>
        <w:rPr>
          <w:rFonts w:ascii="Courier New" w:hAnsi="Courier New"/>
          <w:sz w:val="20"/>
        </w:rPr>
        <w:t xml:space="preserve">    Final Score  =  MAX(Track 1, Track 2)</w:t>
      </w:r>
    </w:p>
    <w:p>
      <w:r>
        <w:t>Mature products (aging &gt; 20 days) always fall into Track 2. New products compete on both tracks and are ranked by whichever gives them a higher score.</w:t>
      </w:r>
    </w:p>
    <w:p>
      <w:pPr>
        <w:pStyle w:val="Heading2"/>
        <w:jc w:val="left"/>
      </w:pPr>
      <w:r>
        <w:rPr>
          <w:color w:val="00467F"/>
        </w:rPr>
        <w:t>4.3 Derived Metrics — RPV and SPV</w:t>
      </w:r>
    </w:p>
    <w:p>
      <w:r>
        <w:t>Two conversion-efficiency metrics were engineered to reward products that generate disproportionately high revenue or sales relative to the traffic they receive:</w:t>
      </w:r>
    </w:p>
    <w:p>
      <w:pPr>
        <w:pStyle w:val="ListBullet"/>
      </w:pPr>
      <w:r>
        <w:rPr>
          <w:b/>
          <w:sz w:val="22"/>
        </w:rPr>
        <w:t xml:space="preserve">RPV (weight 0.60): </w:t>
      </w:r>
      <w:r>
        <w:t>Revenue Per View — cbrt_revenue / cbrt_views, normalised globally.</w:t>
      </w:r>
    </w:p>
    <w:p>
      <w:pPr>
        <w:pStyle w:val="ListBullet"/>
      </w:pPr>
      <w:r>
        <w:rPr>
          <w:b/>
          <w:sz w:val="22"/>
        </w:rPr>
        <w:t xml:space="preserve">SPV (weight 0.40): </w:t>
      </w:r>
      <w:r>
        <w:t>Sales Per View — cbrt_sales / cbrt_views, normalised globally.</w:t>
      </w:r>
    </w:p>
    <w:p>
      <w:r>
        <w:t>These metrics act as a proxy for product-page conversion rate and catalogue quality, independent of raw traffic volume.</w:t>
      </w:r>
    </w:p>
    <w:p>
      <w:pPr>
        <w:pStyle w:val="Heading2"/>
        <w:jc w:val="left"/>
      </w:pPr>
      <w:r>
        <w:rPr>
          <w:color w:val="00467F"/>
        </w:rPr>
        <w:t>4.4 Weight Summary</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467F"/>
          </w:tcPr>
          <w:p>
            <w:r>
              <w:rPr>
                <w:b/>
                <w:color w:val="FFFFFF"/>
                <w:sz w:val="22"/>
              </w:rPr>
              <w:t>Variable</w:t>
            </w:r>
          </w:p>
        </w:tc>
        <w:tc>
          <w:tcPr>
            <w:tcW w:type="dxa" w:w="2880"/>
            <w:shd w:val="clear" w:color="auto" w:fill="00467F"/>
          </w:tcPr>
          <w:p>
            <w:r>
              <w:rPr>
                <w:b/>
                <w:color w:val="FFFFFF"/>
                <w:sz w:val="22"/>
              </w:rPr>
              <w:t>Weight</w:t>
            </w:r>
          </w:p>
        </w:tc>
        <w:tc>
          <w:tcPr>
            <w:tcW w:type="dxa" w:w="2880"/>
            <w:shd w:val="clear" w:color="auto" w:fill="00467F"/>
          </w:tcPr>
          <w:p>
            <w:r>
              <w:rPr>
                <w:b/>
                <w:color w:val="FFFFFF"/>
                <w:sz w:val="22"/>
              </w:rPr>
              <w:t>Track</w:t>
            </w:r>
          </w:p>
        </w:tc>
      </w:tr>
      <w:tr>
        <w:tc>
          <w:tcPr>
            <w:tcW w:type="dxa" w:w="2880"/>
            <w:shd w:val="clear" w:color="auto" w:fill="E8F0F8"/>
          </w:tcPr>
          <w:p>
            <w:r>
              <w:t>Product Aging</w:t>
            </w:r>
          </w:p>
        </w:tc>
        <w:tc>
          <w:tcPr>
            <w:tcW w:type="dxa" w:w="2880"/>
            <w:shd w:val="clear" w:color="auto" w:fill="E8F0F8"/>
          </w:tcPr>
          <w:p>
            <w:r>
              <w:t>0.66</w:t>
            </w:r>
          </w:p>
        </w:tc>
        <w:tc>
          <w:tcPr>
            <w:tcW w:type="dxa" w:w="2880"/>
            <w:shd w:val="clear" w:color="auto" w:fill="E8F0F8"/>
          </w:tcPr>
          <w:p>
            <w:r>
              <w:t>Track 1 only</w:t>
            </w:r>
          </w:p>
        </w:tc>
      </w:tr>
      <w:tr>
        <w:tc>
          <w:tcPr>
            <w:tcW w:type="dxa" w:w="2880"/>
          </w:tcPr>
          <w:p>
            <w:r>
              <w:t>Inventory</w:t>
            </w:r>
          </w:p>
        </w:tc>
        <w:tc>
          <w:tcPr>
            <w:tcW w:type="dxa" w:w="2880"/>
          </w:tcPr>
          <w:p>
            <w:r>
              <w:t>1.00</w:t>
            </w:r>
          </w:p>
        </w:tc>
        <w:tc>
          <w:tcPr>
            <w:tcW w:type="dxa" w:w="2880"/>
          </w:tcPr>
          <w:p>
            <w:r>
              <w:t>Track 1 only</w:t>
            </w:r>
          </w:p>
        </w:tc>
      </w:tr>
      <w:tr>
        <w:tc>
          <w:tcPr>
            <w:tcW w:type="dxa" w:w="2880"/>
            <w:shd w:val="clear" w:color="auto" w:fill="E8F0F8"/>
          </w:tcPr>
          <w:p>
            <w:r>
              <w:t>Revenue W1</w:t>
            </w:r>
          </w:p>
        </w:tc>
        <w:tc>
          <w:tcPr>
            <w:tcW w:type="dxa" w:w="2880"/>
            <w:shd w:val="clear" w:color="auto" w:fill="E8F0F8"/>
          </w:tcPr>
          <w:p>
            <w:r>
              <w:t>0.75</w:t>
            </w:r>
          </w:p>
        </w:tc>
        <w:tc>
          <w:tcPr>
            <w:tcW w:type="dxa" w:w="2880"/>
            <w:shd w:val="clear" w:color="auto" w:fill="E8F0F8"/>
          </w:tcPr>
          <w:p>
            <w:r>
              <w:t>Track 1 only</w:t>
            </w:r>
          </w:p>
        </w:tc>
      </w:tr>
      <w:tr>
        <w:tc>
          <w:tcPr>
            <w:tcW w:type="dxa" w:w="2880"/>
          </w:tcPr>
          <w:p>
            <w:r>
              <w:t>Revenue W2</w:t>
            </w:r>
          </w:p>
        </w:tc>
        <w:tc>
          <w:tcPr>
            <w:tcW w:type="dxa" w:w="2880"/>
          </w:tcPr>
          <w:p>
            <w:r>
              <w:t>1.50</w:t>
            </w:r>
          </w:p>
        </w:tc>
        <w:tc>
          <w:tcPr>
            <w:tcW w:type="dxa" w:w="2880"/>
          </w:tcPr>
          <w:p>
            <w:r>
              <w:t>Track 2</w:t>
            </w:r>
          </w:p>
        </w:tc>
      </w:tr>
      <w:tr>
        <w:tc>
          <w:tcPr>
            <w:tcW w:type="dxa" w:w="2880"/>
            <w:shd w:val="clear" w:color="auto" w:fill="E8F0F8"/>
          </w:tcPr>
          <w:p>
            <w:r>
              <w:t>Last 15D Sales</w:t>
            </w:r>
          </w:p>
        </w:tc>
        <w:tc>
          <w:tcPr>
            <w:tcW w:type="dxa" w:w="2880"/>
            <w:shd w:val="clear" w:color="auto" w:fill="E8F0F8"/>
          </w:tcPr>
          <w:p>
            <w:r>
              <w:t>0.25</w:t>
            </w:r>
          </w:p>
        </w:tc>
        <w:tc>
          <w:tcPr>
            <w:tcW w:type="dxa" w:w="2880"/>
            <w:shd w:val="clear" w:color="auto" w:fill="E8F0F8"/>
          </w:tcPr>
          <w:p>
            <w:r>
              <w:t>Track 2</w:t>
            </w:r>
          </w:p>
        </w:tc>
      </w:tr>
      <w:tr>
        <w:tc>
          <w:tcPr>
            <w:tcW w:type="dxa" w:w="2880"/>
          </w:tcPr>
          <w:p>
            <w:r>
              <w:t>Historical Sales (after 75D)</w:t>
            </w:r>
          </w:p>
        </w:tc>
        <w:tc>
          <w:tcPr>
            <w:tcW w:type="dxa" w:w="2880"/>
          </w:tcPr>
          <w:p>
            <w:r>
              <w:t>0.25</w:t>
            </w:r>
          </w:p>
        </w:tc>
        <w:tc>
          <w:tcPr>
            <w:tcW w:type="dxa" w:w="2880"/>
          </w:tcPr>
          <w:p>
            <w:r>
              <w:t>Track 2</w:t>
            </w:r>
          </w:p>
        </w:tc>
      </w:tr>
      <w:tr>
        <w:tc>
          <w:tcPr>
            <w:tcW w:type="dxa" w:w="2880"/>
            <w:shd w:val="clear" w:color="auto" w:fill="E8F0F8"/>
          </w:tcPr>
          <w:p>
            <w:r>
              <w:t>RPV (Revenue Per View)</w:t>
            </w:r>
          </w:p>
        </w:tc>
        <w:tc>
          <w:tcPr>
            <w:tcW w:type="dxa" w:w="2880"/>
            <w:shd w:val="clear" w:color="auto" w:fill="E8F0F8"/>
          </w:tcPr>
          <w:p>
            <w:r>
              <w:t>0.60</w:t>
            </w:r>
          </w:p>
        </w:tc>
        <w:tc>
          <w:tcPr>
            <w:tcW w:type="dxa" w:w="2880"/>
            <w:shd w:val="clear" w:color="auto" w:fill="E8F0F8"/>
          </w:tcPr>
          <w:p>
            <w:r>
              <w:t>Track 2</w:t>
            </w:r>
          </w:p>
        </w:tc>
      </w:tr>
      <w:tr>
        <w:tc>
          <w:tcPr>
            <w:tcW w:type="dxa" w:w="2880"/>
          </w:tcPr>
          <w:p>
            <w:r>
              <w:t>SPV (Sales Per View)</w:t>
            </w:r>
          </w:p>
        </w:tc>
        <w:tc>
          <w:tcPr>
            <w:tcW w:type="dxa" w:w="2880"/>
          </w:tcPr>
          <w:p>
            <w:r>
              <w:t>0.40</w:t>
            </w:r>
          </w:p>
        </w:tc>
        <w:tc>
          <w:tcPr>
            <w:tcW w:type="dxa" w:w="2880"/>
          </w:tcPr>
          <w:p>
            <w:r>
              <w:t>Track 2</w:t>
            </w:r>
          </w:p>
        </w:tc>
      </w:tr>
      <w:tr>
        <w:tc>
          <w:tcPr>
            <w:tcW w:type="dxa" w:w="2880"/>
            <w:shd w:val="clear" w:color="auto" w:fill="E8F0F8"/>
          </w:tcPr>
          <w:p>
            <w:r>
              <w:t>Views</w:t>
            </w:r>
          </w:p>
        </w:tc>
        <w:tc>
          <w:tcPr>
            <w:tcW w:type="dxa" w:w="2880"/>
            <w:shd w:val="clear" w:color="auto" w:fill="E8F0F8"/>
          </w:tcPr>
          <w:p>
            <w:r>
              <w:t>0.00</w:t>
            </w:r>
          </w:p>
        </w:tc>
        <w:tc>
          <w:tcPr>
            <w:tcW w:type="dxa" w:w="2880"/>
            <w:shd w:val="clear" w:color="auto" w:fill="E8F0F8"/>
          </w:tcPr>
          <w:p>
            <w:r>
              <w:t>Not used</w:t>
            </w:r>
          </w:p>
        </w:tc>
      </w:tr>
    </w:tbl>
    <w:p>
      <w:pPr>
        <w:pStyle w:val="Heading1"/>
        <w:jc w:val="left"/>
      </w:pPr>
      <w:r>
        <w:rPr>
          <w:color w:val="00467F"/>
        </w:rPr>
        <w:t>5. Business Overrides &amp; Special Rules</w:t>
      </w:r>
    </w:p>
    <w:p>
      <w:r>
        <w:t>Post-scoring adjustments allow the business to apply strategic rules without altering the core model weights.</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467F"/>
          </w:tcPr>
          <w:p>
            <w:r>
              <w:rPr>
                <w:b/>
                <w:color w:val="FFFFFF"/>
                <w:sz w:val="22"/>
              </w:rPr>
              <w:t>Rule</w:t>
            </w:r>
          </w:p>
        </w:tc>
        <w:tc>
          <w:tcPr>
            <w:tcW w:type="dxa" w:w="2880"/>
            <w:shd w:val="clear" w:color="auto" w:fill="00467F"/>
          </w:tcPr>
          <w:p>
            <w:r>
              <w:rPr>
                <w:b/>
                <w:color w:val="FFFFFF"/>
                <w:sz w:val="22"/>
              </w:rPr>
              <w:t>Condition</w:t>
            </w:r>
          </w:p>
        </w:tc>
        <w:tc>
          <w:tcPr>
            <w:tcW w:type="dxa" w:w="2880"/>
            <w:shd w:val="clear" w:color="auto" w:fill="00467F"/>
          </w:tcPr>
          <w:p>
            <w:r>
              <w:rPr>
                <w:b/>
                <w:color w:val="FFFFFF"/>
                <w:sz w:val="22"/>
              </w:rPr>
              <w:t>Adjustment</w:t>
            </w:r>
          </w:p>
        </w:tc>
      </w:tr>
      <w:tr>
        <w:tc>
          <w:tcPr>
            <w:tcW w:type="dxa" w:w="2880"/>
            <w:shd w:val="clear" w:color="auto" w:fill="E8F0F8"/>
          </w:tcPr>
          <w:p>
            <w:r>
              <w:t>COMBO Penalty</w:t>
            </w:r>
          </w:p>
        </w:tc>
        <w:tc>
          <w:tcPr>
            <w:tcW w:type="dxa" w:w="2880"/>
            <w:shd w:val="clear" w:color="auto" w:fill="E8F0F8"/>
          </w:tcPr>
          <w:p>
            <w:r>
              <w:t>item_code starts with COMBO_ AND price ≤ ₹500</w:t>
            </w:r>
          </w:p>
        </w:tc>
        <w:tc>
          <w:tcPr>
            <w:tcW w:type="dxa" w:w="2880"/>
            <w:shd w:val="clear" w:color="auto" w:fill="E8F0F8"/>
          </w:tcPr>
          <w:p>
            <w:r>
              <w:t>−40% on final score</w:t>
            </w:r>
          </w:p>
        </w:tc>
      </w:tr>
      <w:tr>
        <w:tc>
          <w:tcPr>
            <w:tcW w:type="dxa" w:w="2880"/>
          </w:tcPr>
          <w:p>
            <w:r>
              <w:t>Penalty List (FE)</w:t>
            </w:r>
          </w:p>
        </w:tc>
        <w:tc>
          <w:tcPr>
            <w:tcW w:type="dxa" w:w="2880"/>
          </w:tcPr>
          <w:p>
            <w:r>
              <w:t>item_code in FE_list or manual override list</w:t>
            </w:r>
          </w:p>
        </w:tc>
        <w:tc>
          <w:tcPr>
            <w:tcW w:type="dxa" w:w="2880"/>
          </w:tcPr>
          <w:p>
            <w:r>
              <w:t>−40% on final score</w:t>
            </w:r>
          </w:p>
        </w:tc>
      </w:tr>
      <w:tr>
        <w:tc>
          <w:tcPr>
            <w:tcW w:type="dxa" w:w="2880"/>
            <w:shd w:val="clear" w:color="auto" w:fill="E8F0F8"/>
          </w:tcPr>
          <w:p>
            <w:r>
              <w:t>Boost List</w:t>
            </w:r>
          </w:p>
        </w:tc>
        <w:tc>
          <w:tcPr>
            <w:tcW w:type="dxa" w:w="2880"/>
            <w:shd w:val="clear" w:color="auto" w:fill="E8F0F8"/>
          </w:tcPr>
          <w:p>
            <w:r>
              <w:t>item_code in Nail_Out_way list</w:t>
            </w:r>
          </w:p>
        </w:tc>
        <w:tc>
          <w:tcPr>
            <w:tcW w:type="dxa" w:w="2880"/>
            <w:shd w:val="clear" w:color="auto" w:fill="E8F0F8"/>
          </w:tcPr>
          <w:p>
            <w:r>
              <w:t>+60% on final score</w:t>
            </w:r>
          </w:p>
        </w:tc>
      </w:tr>
      <w:tr>
        <w:tc>
          <w:tcPr>
            <w:tcW w:type="dxa" w:w="2880"/>
          </w:tcPr>
          <w:p>
            <w:r>
              <w:t>Brand Boost</w:t>
            </w:r>
          </w:p>
        </w:tc>
        <w:tc>
          <w:tcPr>
            <w:tcW w:type="dxa" w:w="2880"/>
          </w:tcPr>
          <w:p>
            <w:r>
              <w:t>Brand name in Google Sheet BrandBoost column</w:t>
            </w:r>
          </w:p>
        </w:tc>
        <w:tc>
          <w:tcPr>
            <w:tcW w:type="dxa" w:w="2880"/>
          </w:tcPr>
          <w:p>
            <w:r>
              <w:t>Rank moved up by 60%</w:t>
            </w:r>
          </w:p>
        </w:tc>
      </w:tr>
      <w:tr>
        <w:tc>
          <w:tcPr>
            <w:tcW w:type="dxa" w:w="2880"/>
            <w:shd w:val="clear" w:color="auto" w:fill="E8F0F8"/>
          </w:tcPr>
          <w:p>
            <w:r>
              <w:t>De-clustering</w:t>
            </w:r>
          </w:p>
        </w:tc>
        <w:tc>
          <w:tcPr>
            <w:tcW w:type="dxa" w:w="2880"/>
            <w:shd w:val="clear" w:color="auto" w:fill="E8F0F8"/>
          </w:tcPr>
          <w:p>
            <w:r>
              <w:t>Two consecutive products share the same brand</w:t>
            </w:r>
          </w:p>
        </w:tc>
        <w:tc>
          <w:tcPr>
            <w:tcW w:type="dxa" w:w="2880"/>
            <w:shd w:val="clear" w:color="auto" w:fill="E8F0F8"/>
          </w:tcPr>
          <w:p>
            <w:r>
              <w:t>+2 priority penalty on second product</w:t>
            </w:r>
          </w:p>
        </w:tc>
      </w:tr>
      <w:tr>
        <w:tc>
          <w:tcPr>
            <w:tcW w:type="dxa" w:w="2880"/>
          </w:tcPr>
          <w:p>
            <w:r>
              <w:t>Free-L1 Removal</w:t>
            </w:r>
          </w:p>
        </w:tc>
        <w:tc>
          <w:tcPr>
            <w:tcW w:type="dxa" w:w="2880"/>
          </w:tcPr>
          <w:p>
            <w:r>
              <w:t>categoryl1 == "Free-L1"</w:t>
            </w:r>
          </w:p>
        </w:tc>
        <w:tc>
          <w:tcPr>
            <w:tcW w:type="dxa" w:w="2880"/>
          </w:tcPr>
          <w:p>
            <w:r>
              <w:t>Removed from final output</w:t>
            </w:r>
          </w:p>
        </w:tc>
      </w:tr>
    </w:tbl>
    <w:p/>
    <w:p>
      <w:r>
        <w:t>The Brand Boost list is maintained in a Google Sheet, allowing the merchandising team to update priority brands each month without touching the codebase.</w:t>
      </w:r>
    </w:p>
    <w:p>
      <w:pPr>
        <w:pStyle w:val="Heading1"/>
        <w:jc w:val="left"/>
      </w:pPr>
      <w:r>
        <w:rPr>
          <w:color w:val="00467F"/>
        </w:rPr>
        <w:t>6. Output Files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467F"/>
          </w:tcPr>
          <w:p>
            <w:r>
              <w:rPr>
                <w:b/>
                <w:color w:val="FFFFFF"/>
                <w:sz w:val="22"/>
              </w:rPr>
              <w:t>File</w:t>
            </w:r>
          </w:p>
        </w:tc>
        <w:tc>
          <w:tcPr>
            <w:tcW w:type="dxa" w:w="2880"/>
            <w:shd w:val="clear" w:color="auto" w:fill="00467F"/>
          </w:tcPr>
          <w:p>
            <w:r>
              <w:rPr>
                <w:b/>
                <w:color w:val="FFFFFF"/>
                <w:sz w:val="22"/>
              </w:rPr>
              <w:t>Contents</w:t>
            </w:r>
          </w:p>
        </w:tc>
        <w:tc>
          <w:tcPr>
            <w:tcW w:type="dxa" w:w="2880"/>
            <w:shd w:val="clear" w:color="auto" w:fill="00467F"/>
          </w:tcPr>
          <w:p>
            <w:r>
              <w:rPr>
                <w:b/>
                <w:color w:val="FFFFFF"/>
                <w:sz w:val="22"/>
              </w:rPr>
              <w:t>Consumer</w:t>
            </w:r>
          </w:p>
        </w:tc>
      </w:tr>
      <w:tr>
        <w:tc>
          <w:tcPr>
            <w:tcW w:type="dxa" w:w="2880"/>
            <w:shd w:val="clear" w:color="auto" w:fill="E8F0F8"/>
          </w:tcPr>
          <w:p>
            <w:r>
              <w:t>FinalRanking[date].csv</w:t>
            </w:r>
          </w:p>
        </w:tc>
        <w:tc>
          <w:tcPr>
            <w:tcW w:type="dxa" w:w="2880"/>
            <w:shd w:val="clear" w:color="auto" w:fill="E8F0F8"/>
          </w:tcPr>
          <w:p>
            <w:r>
              <w:t>item_id, Item Code, Brand, L1, Product Priority, Social Nudge</w:t>
            </w:r>
          </w:p>
        </w:tc>
        <w:tc>
          <w:tcPr>
            <w:tcW w:type="dxa" w:w="2880"/>
            <w:shd w:val="clear" w:color="auto" w:fill="E8F0F8"/>
          </w:tcPr>
          <w:p>
            <w:r>
              <w:t>Platform / Engineering</w:t>
            </w:r>
          </w:p>
        </w:tc>
      </w:tr>
      <w:tr>
        <w:tc>
          <w:tcPr>
            <w:tcW w:type="dxa" w:w="2880"/>
          </w:tcPr>
          <w:p>
            <w:r>
              <w:t>SEO[date].csv</w:t>
            </w:r>
          </w:p>
        </w:tc>
        <w:tc>
          <w:tcPr>
            <w:tcW w:type="dxa" w:w="2880"/>
          </w:tcPr>
          <w:p>
            <w:r>
              <w:t>item_id, item_code, brand, L1, L2, L3, rank</w:t>
            </w:r>
          </w:p>
        </w:tc>
        <w:tc>
          <w:tcPr>
            <w:tcW w:type="dxa" w:w="2880"/>
          </w:tcPr>
          <w:p>
            <w:r>
              <w:t>SEO team</w:t>
            </w:r>
          </w:p>
        </w:tc>
      </w:tr>
      <w:tr>
        <w:tc>
          <w:tcPr>
            <w:tcW w:type="dxa" w:w="2880"/>
            <w:shd w:val="clear" w:color="auto" w:fill="E8F0F8"/>
          </w:tcPr>
          <w:p>
            <w:r>
              <w:t>Nudge_[date].csv</w:t>
            </w:r>
          </w:p>
        </w:tc>
        <w:tc>
          <w:tcPr>
            <w:tcW w:type="dxa" w:w="2880"/>
            <w:shd w:val="clear" w:color="auto" w:fill="E8F0F8"/>
          </w:tcPr>
          <w:p>
            <w:r>
              <w:t>Items with Social Nudge tags (500+/1000+ units sold)</w:t>
            </w:r>
          </w:p>
        </w:tc>
        <w:tc>
          <w:tcPr>
            <w:tcW w:type="dxa" w:w="2880"/>
            <w:shd w:val="clear" w:color="auto" w:fill="E8F0F8"/>
          </w:tcPr>
          <w:p>
            <w:r>
              <w:t>Marketing / CRM</w:t>
            </w:r>
          </w:p>
        </w:tc>
      </w:tr>
    </w:tbl>
    <w:p/>
    <w:p>
      <w:r>
        <w:t>Social Nudge tags are generated independently of ranking: products with 500–999 units sold in the last 30 days receive "500+ units sold in the last month"; products with 1,000+ units receive "1000+ units sold in the last month".</w:t>
      </w:r>
    </w:p>
    <w:p>
      <w:pPr>
        <w:pStyle w:val="Heading1"/>
        <w:jc w:val="left"/>
      </w:pPr>
      <w:r>
        <w:rPr>
          <w:color w:val="00467F"/>
        </w:rPr>
        <w:t>7. Case Study — Rank Investigation &amp; Override</w:t>
      </w:r>
    </w:p>
    <w:p>
      <w:r>
        <w:t>During the May 2026 run, two products ranked unusually high:</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467F"/>
          </w:tcPr>
          <w:p>
            <w:r>
              <w:rPr>
                <w:b/>
                <w:color w:val="FFFFFF"/>
                <w:sz w:val="22"/>
              </w:rPr>
              <w:t>Item Code</w:t>
            </w:r>
          </w:p>
        </w:tc>
        <w:tc>
          <w:tcPr>
            <w:tcW w:type="dxa" w:w="1234"/>
            <w:shd w:val="clear" w:color="auto" w:fill="00467F"/>
          </w:tcPr>
          <w:p>
            <w:r>
              <w:rPr>
                <w:b/>
                <w:color w:val="FFFFFF"/>
                <w:sz w:val="22"/>
              </w:rPr>
              <w:t>Brand</w:t>
            </w:r>
          </w:p>
        </w:tc>
        <w:tc>
          <w:tcPr>
            <w:tcW w:type="dxa" w:w="1234"/>
            <w:shd w:val="clear" w:color="auto" w:fill="00467F"/>
          </w:tcPr>
          <w:p>
            <w:r>
              <w:rPr>
                <w:b/>
                <w:color w:val="FFFFFF"/>
                <w:sz w:val="22"/>
              </w:rPr>
              <w:t>Original Rank</w:t>
            </w:r>
          </w:p>
        </w:tc>
        <w:tc>
          <w:tcPr>
            <w:tcW w:type="dxa" w:w="1234"/>
            <w:shd w:val="clear" w:color="auto" w:fill="00467F"/>
          </w:tcPr>
          <w:p>
            <w:r>
              <w:rPr>
                <w:b/>
                <w:color w:val="FFFFFF"/>
                <w:sz w:val="22"/>
              </w:rPr>
              <w:t>Revenue Ratio</w:t>
            </w:r>
          </w:p>
        </w:tc>
        <w:tc>
          <w:tcPr>
            <w:tcW w:type="dxa" w:w="1234"/>
            <w:shd w:val="clear" w:color="auto" w:fill="00467F"/>
          </w:tcPr>
          <w:p>
            <w:r>
              <w:rPr>
                <w:b/>
                <w:color w:val="FFFFFF"/>
                <w:sz w:val="22"/>
              </w:rPr>
              <w:t>RPV (raw)</w:t>
            </w:r>
          </w:p>
        </w:tc>
        <w:tc>
          <w:tcPr>
            <w:tcW w:type="dxa" w:w="1234"/>
            <w:shd w:val="clear" w:color="auto" w:fill="00467F"/>
          </w:tcPr>
          <w:p>
            <w:r>
              <w:rPr>
                <w:b/>
                <w:color w:val="FFFFFF"/>
                <w:sz w:val="22"/>
              </w:rPr>
              <w:t>Views (15D)</w:t>
            </w:r>
          </w:p>
        </w:tc>
        <w:tc>
          <w:tcPr>
            <w:tcW w:type="dxa" w:w="1234"/>
            <w:shd w:val="clear" w:color="auto" w:fill="00467F"/>
          </w:tcPr>
          <w:p>
            <w:r>
              <w:rPr>
                <w:b/>
                <w:color w:val="FFFFFF"/>
                <w:sz w:val="22"/>
              </w:rPr>
              <w:t>Root Cause</w:t>
            </w:r>
          </w:p>
        </w:tc>
      </w:tr>
      <w:tr>
        <w:tc>
          <w:tcPr>
            <w:tcW w:type="dxa" w:w="1234"/>
            <w:shd w:val="clear" w:color="auto" w:fill="E8F0F8"/>
          </w:tcPr>
          <w:p>
            <w:r>
              <w:t>949213</w:t>
            </w:r>
          </w:p>
        </w:tc>
        <w:tc>
          <w:tcPr>
            <w:tcW w:type="dxa" w:w="1234"/>
            <w:shd w:val="clear" w:color="auto" w:fill="E8F0F8"/>
          </w:tcPr>
          <w:p>
            <w:r>
              <w:t>Lakme</w:t>
            </w:r>
          </w:p>
        </w:tc>
        <w:tc>
          <w:tcPr>
            <w:tcW w:type="dxa" w:w="1234"/>
            <w:shd w:val="clear" w:color="auto" w:fill="E8F0F8"/>
          </w:tcPr>
          <w:p>
            <w:r>
              <w:t>#2</w:t>
            </w:r>
          </w:p>
        </w:tc>
        <w:tc>
          <w:tcPr>
            <w:tcW w:type="dxa" w:w="1234"/>
            <w:shd w:val="clear" w:color="auto" w:fill="E8F0F8"/>
          </w:tcPr>
          <w:p>
            <w:r>
              <w:t>6.41x avg</w:t>
            </w:r>
          </w:p>
        </w:tc>
        <w:tc>
          <w:tcPr>
            <w:tcW w:type="dxa" w:w="1234"/>
            <w:shd w:val="clear" w:color="auto" w:fill="E8F0F8"/>
          </w:tcPr>
          <w:p>
            <w:r>
              <w:t>6.75</w:t>
            </w:r>
          </w:p>
        </w:tc>
        <w:tc>
          <w:tcPr>
            <w:tcW w:type="dxa" w:w="1234"/>
            <w:shd w:val="clear" w:color="auto" w:fill="E8F0F8"/>
          </w:tcPr>
          <w:p>
            <w:r>
              <w:t>1,382</w:t>
            </w:r>
          </w:p>
        </w:tc>
        <w:tc>
          <w:tcPr>
            <w:tcW w:type="dxa" w:w="1234"/>
            <w:shd w:val="clear" w:color="auto" w:fill="E8F0F8"/>
          </w:tcPr>
          <w:p>
            <w:r>
              <w:t>Extremely low views inflated RPV/SPV scores</w:t>
            </w:r>
          </w:p>
        </w:tc>
      </w:tr>
      <w:tr>
        <w:tc>
          <w:tcPr>
            <w:tcW w:type="dxa" w:w="1234"/>
          </w:tcPr>
          <w:p>
            <w:r>
              <w:t>1165191</w:t>
            </w:r>
          </w:p>
        </w:tc>
        <w:tc>
          <w:tcPr>
            <w:tcW w:type="dxa" w:w="1234"/>
          </w:tcPr>
          <w:p>
            <w:r>
              <w:t>L'Oreal Paris</w:t>
            </w:r>
          </w:p>
        </w:tc>
        <w:tc>
          <w:tcPr>
            <w:tcW w:type="dxa" w:w="1234"/>
          </w:tcPr>
          <w:p>
            <w:r>
              <w:t>#7</w:t>
            </w:r>
          </w:p>
        </w:tc>
        <w:tc>
          <w:tcPr>
            <w:tcW w:type="dxa" w:w="1234"/>
          </w:tcPr>
          <w:p>
            <w:r>
              <w:t>5.52x avg</w:t>
            </w:r>
          </w:p>
        </w:tc>
        <w:tc>
          <w:tcPr>
            <w:tcW w:type="dxa" w:w="1234"/>
          </w:tcPr>
          <w:p>
            <w:r>
              <w:t>4.23</w:t>
            </w:r>
          </w:p>
        </w:tc>
        <w:tc>
          <w:tcPr>
            <w:tcW w:type="dxa" w:w="1234"/>
          </w:tcPr>
          <w:p>
            <w:r>
              <w:t>9,322</w:t>
            </w:r>
          </w:p>
        </w:tc>
        <w:tc>
          <w:tcPr>
            <w:tcW w:type="dxa" w:w="1234"/>
          </w:tcPr>
          <w:p>
            <w:r>
              <w:t>Genuinely high revenue; high RPV boosted rank further</w:t>
            </w:r>
          </w:p>
        </w:tc>
      </w:tr>
    </w:tbl>
    <w:p/>
    <w:p>
      <w:r>
        <w:t>Investigation showed that 949213 had a views count (1,382) far below category peers (4,000–42,000), likely due to traffic tracking gaps on that SKU. This artificially inflated its RPV and SPV scores to 2–4x competitors.</w:t>
      </w:r>
    </w:p>
    <w:p>
      <w:r>
        <w:t>Weight-only interventions (reducing RPV from 0.60 → 0.20, adding view weight 0.35) were tested but proved ineffective — both products remained at the same rank because their Revenue W2 score (weight 1.5, ratio 5–6x average) dominated the composite score.</w:t>
      </w:r>
    </w:p>
    <w:p>
      <w:r>
        <w:t>Resolution: Both item codes were added to the penalty list (−40% adjustment), producing the following corrected ranks: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0467F"/>
          </w:tcPr>
          <w:p>
            <w:r>
              <w:rPr>
                <w:b/>
                <w:color w:val="FFFFFF"/>
                <w:sz w:val="22"/>
              </w:rPr>
              <w:t>Item Code</w:t>
            </w:r>
          </w:p>
        </w:tc>
        <w:tc>
          <w:tcPr>
            <w:tcW w:type="dxa" w:w="1728"/>
            <w:shd w:val="clear" w:color="auto" w:fill="00467F"/>
          </w:tcPr>
          <w:p>
            <w:r>
              <w:rPr>
                <w:b/>
                <w:color w:val="FFFFFF"/>
                <w:sz w:val="22"/>
              </w:rPr>
              <w:t>Brand</w:t>
            </w:r>
          </w:p>
        </w:tc>
        <w:tc>
          <w:tcPr>
            <w:tcW w:type="dxa" w:w="1728"/>
            <w:shd w:val="clear" w:color="auto" w:fill="00467F"/>
          </w:tcPr>
          <w:p>
            <w:r>
              <w:rPr>
                <w:b/>
                <w:color w:val="FFFFFF"/>
                <w:sz w:val="22"/>
              </w:rPr>
              <w:t>Original Rank</w:t>
            </w:r>
          </w:p>
        </w:tc>
        <w:tc>
          <w:tcPr>
            <w:tcW w:type="dxa" w:w="1728"/>
            <w:shd w:val="clear" w:color="auto" w:fill="00467F"/>
          </w:tcPr>
          <w:p>
            <w:r>
              <w:rPr>
                <w:b/>
                <w:color w:val="FFFFFF"/>
                <w:sz w:val="22"/>
              </w:rPr>
              <w:t>Adjusted Rank</w:t>
            </w:r>
          </w:p>
        </w:tc>
        <w:tc>
          <w:tcPr>
            <w:tcW w:type="dxa" w:w="1728"/>
            <w:shd w:val="clear" w:color="auto" w:fill="00467F"/>
          </w:tcPr>
          <w:p>
            <w:r>
              <w:rPr>
                <w:b/>
                <w:color w:val="FFFFFF"/>
                <w:sz w:val="22"/>
              </w:rPr>
              <w:t>Action</w:t>
            </w:r>
          </w:p>
        </w:tc>
      </w:tr>
      <w:tr>
        <w:tc>
          <w:tcPr>
            <w:tcW w:type="dxa" w:w="1728"/>
            <w:shd w:val="clear" w:color="auto" w:fill="E8F0F8"/>
          </w:tcPr>
          <w:p>
            <w:r>
              <w:t>949213</w:t>
            </w:r>
          </w:p>
        </w:tc>
        <w:tc>
          <w:tcPr>
            <w:tcW w:type="dxa" w:w="1728"/>
            <w:shd w:val="clear" w:color="auto" w:fill="E8F0F8"/>
          </w:tcPr>
          <w:p>
            <w:r>
              <w:t>Lakme</w:t>
            </w:r>
          </w:p>
        </w:tc>
        <w:tc>
          <w:tcPr>
            <w:tcW w:type="dxa" w:w="1728"/>
            <w:shd w:val="clear" w:color="auto" w:fill="E8F0F8"/>
          </w:tcPr>
          <w:p>
            <w:r>
              <w:t>2</w:t>
            </w:r>
          </w:p>
        </w:tc>
        <w:tc>
          <w:tcPr>
            <w:tcW w:type="dxa" w:w="1728"/>
            <w:shd w:val="clear" w:color="auto" w:fill="E8F0F8"/>
          </w:tcPr>
          <w:p>
            <w:r>
              <w:t>52</w:t>
            </w:r>
          </w:p>
        </w:tc>
        <w:tc>
          <w:tcPr>
            <w:tcW w:type="dxa" w:w="1728"/>
            <w:shd w:val="clear" w:color="auto" w:fill="E8F0F8"/>
          </w:tcPr>
          <w:p>
            <w:r>
              <w:t>Added to penalty list (−40%)</w:t>
            </w:r>
          </w:p>
        </w:tc>
      </w:tr>
      <w:tr>
        <w:tc>
          <w:tcPr>
            <w:tcW w:type="dxa" w:w="1728"/>
          </w:tcPr>
          <w:p>
            <w:r>
              <w:t>1165191</w:t>
            </w:r>
          </w:p>
        </w:tc>
        <w:tc>
          <w:tcPr>
            <w:tcW w:type="dxa" w:w="1728"/>
          </w:tcPr>
          <w:p>
            <w:r>
              <w:t>L'Oreal Paris</w:t>
            </w:r>
          </w:p>
        </w:tc>
        <w:tc>
          <w:tcPr>
            <w:tcW w:type="dxa" w:w="1728"/>
          </w:tcPr>
          <w:p>
            <w:r>
              <w:t>7</w:t>
            </w:r>
          </w:p>
        </w:tc>
        <w:tc>
          <w:tcPr>
            <w:tcW w:type="dxa" w:w="1728"/>
          </w:tcPr>
          <w:p>
            <w:r>
              <w:t>260</w:t>
            </w:r>
          </w:p>
        </w:tc>
        <w:tc>
          <w:tcPr>
            <w:tcW w:type="dxa" w:w="1728"/>
          </w:tcPr>
          <w:p>
            <w:r>
              <w:t>Added to penalty list (−40%)</w:t>
            </w:r>
          </w:p>
        </w:tc>
      </w:tr>
    </w:tbl>
    <w:p>
      <w:pPr>
        <w:pStyle w:val="Heading1"/>
        <w:jc w:val="left"/>
      </w:pPr>
      <w:r>
        <w:rPr>
          <w:color w:val="00467F"/>
        </w:rPr>
        <w:t>8. Tools &amp; Tech Stack</w:t>
      </w:r>
    </w:p>
    <w:tbl>
      <w:tblPr>
        <w:tblStyle w:val="TableGrid"/>
        <w:tblW w:type="auto" w:w="0"/>
        <w:tblLook w:firstColumn="1" w:firstRow="1" w:lastColumn="0" w:lastRow="0" w:noHBand="0" w:noVBand="1" w:val="04A0"/>
      </w:tblPr>
      <w:tblGrid>
        <w:gridCol w:w="4320"/>
        <w:gridCol w:w="4320"/>
      </w:tblGrid>
      <w:tr>
        <w:tc>
          <w:tcPr>
            <w:tcW w:type="dxa" w:w="4320"/>
            <w:shd w:val="clear" w:color="auto" w:fill="00467F"/>
          </w:tcPr>
          <w:p>
            <w:r>
              <w:rPr>
                <w:b/>
                <w:color w:val="FFFFFF"/>
                <w:sz w:val="22"/>
              </w:rPr>
              <w:t>Tool</w:t>
            </w:r>
          </w:p>
        </w:tc>
        <w:tc>
          <w:tcPr>
            <w:tcW w:type="dxa" w:w="4320"/>
            <w:shd w:val="clear" w:color="auto" w:fill="00467F"/>
          </w:tcPr>
          <w:p>
            <w:r>
              <w:rPr>
                <w:b/>
                <w:color w:val="FFFFFF"/>
                <w:sz w:val="22"/>
              </w:rPr>
              <w:t>Usage</w:t>
            </w:r>
          </w:p>
        </w:tc>
      </w:tr>
      <w:tr>
        <w:tc>
          <w:tcPr>
            <w:tcW w:type="dxa" w:w="4320"/>
            <w:shd w:val="clear" w:color="auto" w:fill="E8F0F8"/>
          </w:tcPr>
          <w:p>
            <w:r>
              <w:t>Python 3.10 (Anaconda)</w:t>
            </w:r>
          </w:p>
        </w:tc>
        <w:tc>
          <w:tcPr>
            <w:tcW w:type="dxa" w:w="4320"/>
            <w:shd w:val="clear" w:color="auto" w:fill="E8F0F8"/>
          </w:tcPr>
          <w:p>
            <w:r>
              <w:t>Core scoring pipeline — pandas, numpy</w:t>
            </w:r>
          </w:p>
        </w:tc>
      </w:tr>
      <w:tr>
        <w:tc>
          <w:tcPr>
            <w:tcW w:type="dxa" w:w="4320"/>
          </w:tcPr>
          <w:p>
            <w:r>
              <w:t>Jupyter Notebook</w:t>
            </w:r>
          </w:p>
        </w:tc>
        <w:tc>
          <w:tcPr>
            <w:tcW w:type="dxa" w:w="4320"/>
          </w:tcPr>
          <w:p>
            <w:r>
              <w:t>Exploratory analysis, iterative weight tuning</w:t>
            </w:r>
          </w:p>
        </w:tc>
      </w:tr>
      <w:tr>
        <w:tc>
          <w:tcPr>
            <w:tcW w:type="dxa" w:w="4320"/>
            <w:shd w:val="clear" w:color="auto" w:fill="E8F0F8"/>
          </w:tcPr>
          <w:p>
            <w:r>
              <w:t>Google Sheets</w:t>
            </w:r>
          </w:p>
        </w:tc>
        <w:tc>
          <w:tcPr>
            <w:tcW w:type="dxa" w:w="4320"/>
            <w:shd w:val="clear" w:color="auto" w:fill="E8F0F8"/>
          </w:tcPr>
          <w:p>
            <w:r>
              <w:t>Brand boost list — updated monthly by merchandising team</w:t>
            </w:r>
          </w:p>
        </w:tc>
      </w:tr>
      <w:tr>
        <w:tc>
          <w:tcPr>
            <w:tcW w:type="dxa" w:w="4320"/>
          </w:tcPr>
          <w:p>
            <w:r>
              <w:t>Python-docx / openpyxl</w:t>
            </w:r>
          </w:p>
        </w:tc>
        <w:tc>
          <w:tcPr>
            <w:tcW w:type="dxa" w:w="4320"/>
          </w:tcPr>
          <w:p>
            <w:r>
              <w:t>Automated report generation (Excel + Word)</w:t>
            </w:r>
          </w:p>
        </w:tc>
      </w:tr>
      <w:tr>
        <w:tc>
          <w:tcPr>
            <w:tcW w:type="dxa" w:w="4320"/>
            <w:shd w:val="clear" w:color="auto" w:fill="E8F0F8"/>
          </w:tcPr>
          <w:p>
            <w:r>
              <w:t>CSV / Excel</w:t>
            </w:r>
          </w:p>
        </w:tc>
        <w:tc>
          <w:tcPr>
            <w:tcW w:type="dxa" w:w="4320"/>
            <w:shd w:val="clear" w:color="auto" w:fill="E8F0F8"/>
          </w:tcPr>
          <w:p>
            <w:r>
              <w:t>Data exchange with platform engineering and SEO teams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