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sz w:val="56"/>
        </w:rPr>
        <w:t>IITD LIVE</w:t>
      </w:r>
    </w:p>
    <w:p>
      <w:pPr>
        <w:jc w:val="center"/>
      </w:pPr>
      <w:r>
        <w:rPr>
          <w:b/>
          <w:sz w:val="32"/>
        </w:rPr>
        <w:t>Market Research &amp; Business Strategy Report</w:t>
      </w:r>
    </w:p>
    <w:p>
      <w:pPr>
        <w:jc w:val="center"/>
      </w:pPr>
      <w:r>
        <w:rPr>
          <w:i/>
        </w:rPr>
        <w:t>Mobile Commerce | MBA Project</w:t>
        <w:br/>
      </w:r>
      <w:r>
        <w:t>Proposed concept: A verified campus event-commerce marketplace for IIT Delhi</w:t>
      </w:r>
    </w:p>
    <w:p/>
    <w:p>
      <w:pPr>
        <w:pStyle w:val="Heading1"/>
      </w:pPr>
      <w:r>
        <w:t>Executive Summary</w:t>
      </w:r>
    </w:p>
    <w:p>
      <w:r>
        <w:t>IIT Delhi has a high-density campus event ecosystem comprising major fests, society events, technical and business workshops, competitions, performances, talks and informal student activities. The discovery and transaction journey is fragmented across Instagram, WhatsApp groups, Google Forms, individual fest websites and separate registration/payment systems.</w:t>
      </w:r>
    </w:p>
    <w:p>
      <w:r>
        <w:t>IITD Live is proposed as a verified campus event-commerce marketplace rather than a simple event calendar. The platform would aggregate event discovery, social proof, ticketing, digital passes, eligible pass transfer/resale, personalized recommendations and organizer analytics in one mobile experience.</w:t>
      </w:r>
    </w:p>
    <w:p>
      <w:r>
        <w:t>The strategic thesis is not that event aggregation is globally unique. Similar university products already exist. The opportunity is to create a campus-first transaction layer for IIT Delhi that connects discovery → social proof → purchase → digital wallet → attendance → feedback/secondary transfer.</w:t>
      </w:r>
    </w:p>
    <w:p>
      <w:pPr>
        <w:pStyle w:val="Heading1"/>
      </w:pPr>
      <w:r>
        <w:t>1. Problem Definition</w:t>
      </w:r>
    </w:p>
    <w:p>
      <w:r>
        <w:t>A typical IIT Delhi student who wants to know what is happening on campus may need to check:</w:t>
      </w:r>
    </w:p>
    <w:p>
      <w:pPr>
        <w:pStyle w:val="ListBullet"/>
      </w:pPr>
      <w:r>
        <w:t>Fest and society Instagram pages</w:t>
      </w:r>
    </w:p>
    <w:p>
      <w:pPr>
        <w:pStyle w:val="ListBullet"/>
      </w:pPr>
      <w:r>
        <w:t>WhatsApp and Telegram groups</w:t>
      </w:r>
    </w:p>
    <w:p>
      <w:pPr>
        <w:pStyle w:val="ListBullet"/>
      </w:pPr>
      <w:r>
        <w:t>Google Forms and registration links</w:t>
      </w:r>
    </w:p>
    <w:p>
      <w:pPr>
        <w:pStyle w:val="ListBullet"/>
      </w:pPr>
      <w:r>
        <w:t>Individual fest/society websites</w:t>
      </w:r>
    </w:p>
    <w:p>
      <w:pPr>
        <w:pStyle w:val="ListBullet"/>
      </w:pPr>
      <w:r>
        <w:t>Department announcements</w:t>
      </w:r>
    </w:p>
    <w:p>
      <w:pPr>
        <w:pStyle w:val="ListBullet"/>
      </w:pPr>
      <w:r>
        <w:t>Friends' stories and word-of-mouth</w:t>
      </w:r>
    </w:p>
    <w:p>
      <w:r>
        <w:t>This creates four core problems: fragmented discovery, missed registrations, fragmented ticket/pass management, and weak visibility into what friends or relevant peer groups are attending.</w:t>
      </w:r>
    </w:p>
    <w:p>
      <w:pPr>
        <w:pStyle w:val="Heading1"/>
      </w:pPr>
      <w:r>
        <w:t>2. Proposed Solution: IITD Live</w:t>
      </w:r>
    </w:p>
    <w:p>
      <w:r>
        <w:t>Core proposition:</w:t>
      </w:r>
    </w:p>
    <w:p>
      <w:r>
        <w:rPr>
          <w:b/>
        </w:rPr>
        <w:t>“Your campus. Your events. One app.”</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rPr>
                <w:b/>
              </w:rPr>
              <w:t>User</w:t>
            </w:r>
          </w:p>
        </w:tc>
        <w:tc>
          <w:tcPr>
            <w:tcW w:type="dxa" w:w="3408"/>
          </w:tcPr>
          <w:p>
            <w:r>
              <w:rPr>
                <w:b/>
              </w:rPr>
              <w:t>Core Jobs-to-be-Done</w:t>
            </w:r>
          </w:p>
        </w:tc>
        <w:tc>
          <w:tcPr>
            <w:tcW w:type="dxa" w:w="3408"/>
          </w:tcPr>
          <w:p>
            <w:r>
              <w:rPr>
                <w:b/>
              </w:rPr>
              <w:t>Value Proposition</w:t>
            </w:r>
          </w:p>
        </w:tc>
      </w:tr>
      <w:tr>
        <w:tc>
          <w:tcPr>
            <w:tcW w:type="dxa" w:w="3408"/>
            <w:vAlign w:val="center"/>
          </w:tcPr>
          <w:p>
            <w:r>
              <w:t>Students</w:t>
            </w:r>
          </w:p>
        </w:tc>
        <w:tc>
          <w:tcPr>
            <w:tcW w:type="dxa" w:w="3408"/>
            <w:vAlign w:val="center"/>
          </w:tcPr>
          <w:p>
            <w:r>
              <w:t>Discover, compare, buy, store and attend events</w:t>
            </w:r>
          </w:p>
        </w:tc>
        <w:tc>
          <w:tcPr>
            <w:tcW w:type="dxa" w:w="3408"/>
            <w:vAlign w:val="center"/>
          </w:tcPr>
          <w:p>
            <w:r>
              <w:t>One personalized event feed and pass wallet</w:t>
            </w:r>
          </w:p>
        </w:tc>
      </w:tr>
      <w:tr>
        <w:tc>
          <w:tcPr>
            <w:tcW w:type="dxa" w:w="3408"/>
            <w:vAlign w:val="center"/>
          </w:tcPr>
          <w:p>
            <w:r>
              <w:t>Societies / Fests</w:t>
            </w:r>
          </w:p>
        </w:tc>
        <w:tc>
          <w:tcPr>
            <w:tcW w:type="dxa" w:w="3408"/>
            <w:vAlign w:val="center"/>
          </w:tcPr>
          <w:p>
            <w:r>
              <w:t>Create, promote, sell and manage events</w:t>
            </w:r>
          </w:p>
        </w:tc>
        <w:tc>
          <w:tcPr>
            <w:tcW w:type="dxa" w:w="3408"/>
            <w:vAlign w:val="center"/>
          </w:tcPr>
          <w:p>
            <w:r>
              <w:t>Event publishing, ticketing and analytics</w:t>
            </w:r>
          </w:p>
        </w:tc>
      </w:tr>
      <w:tr>
        <w:tc>
          <w:tcPr>
            <w:tcW w:type="dxa" w:w="3408"/>
            <w:vAlign w:val="center"/>
          </w:tcPr>
          <w:p>
            <w:r>
              <w:t>Brands</w:t>
            </w:r>
          </w:p>
        </w:tc>
        <w:tc>
          <w:tcPr>
            <w:tcW w:type="dxa" w:w="3408"/>
            <w:vAlign w:val="center"/>
          </w:tcPr>
          <w:p>
            <w:r>
              <w:t>Reach verified student audiences</w:t>
            </w:r>
          </w:p>
        </w:tc>
        <w:tc>
          <w:tcPr>
            <w:tcW w:type="dxa" w:w="3408"/>
            <w:vAlign w:val="center"/>
          </w:tcPr>
          <w:p>
            <w:r>
              <w:t>Targeted campus-event sponsorship and placements</w:t>
            </w:r>
          </w:p>
        </w:tc>
      </w:tr>
    </w:tbl>
    <w:p>
      <w:pPr>
        <w:pStyle w:val="Heading1"/>
      </w:pPr>
      <w:r>
        <w:t>3. Product Experience</w:t>
      </w:r>
    </w:p>
    <w:p>
      <w:pPr>
        <w:pStyle w:val="Heading2"/>
      </w:pPr>
      <w:r>
        <w:t>3.1 Hero Experience — “Tonight @ IITD”</w:t>
      </w:r>
    </w:p>
    <w:p>
      <w:r>
        <w:t>Instead of forcing users to search through dozens of pages, the home screen could answer: “What is worth doing tonight?”</w:t>
      </w:r>
    </w:p>
    <w:p>
      <w:pPr>
        <w:pStyle w:val="ListBullet"/>
      </w:pPr>
      <w:r>
        <w:t>Open Mic — SAC — 7:00 PM — Free</w:t>
      </w:r>
    </w:p>
    <w:p>
      <w:pPr>
        <w:pStyle w:val="ListBullet"/>
      </w:pPr>
      <w:r>
        <w:t>Battle of Bands — Lawn — 8:00 PM — ₹99</w:t>
      </w:r>
    </w:p>
    <w:p>
      <w:pPr>
        <w:pStyle w:val="ListBullet"/>
      </w:pPr>
      <w:r>
        <w:t>Workshop — LHC — 6:30 PM — ₹49</w:t>
      </w:r>
    </w:p>
    <w:p>
      <w:pPr>
        <w:pStyle w:val="ListBullet"/>
      </w:pPr>
      <w:r>
        <w:t>DJ Night — OAT — 9:00 PM — ₹199</w:t>
      </w:r>
    </w:p>
    <w:p>
      <w:pPr>
        <w:pStyle w:val="Heading2"/>
      </w:pPr>
      <w:r>
        <w:t>3.2 Digital Event Wallet</w:t>
      </w:r>
    </w:p>
    <w:p>
      <w:r>
        <w:t>All eligible registrations and passes are stored in one place. QR-based entry can reduce reliance on screenshots, forwarded PDFs and scattered confirmation emails.</w:t>
      </w:r>
    </w:p>
    <w:p>
      <w:pPr>
        <w:pStyle w:val="Heading2"/>
      </w:pPr>
      <w:r>
        <w:t>3.3 Social Layer</w:t>
      </w:r>
    </w:p>
    <w:p>
      <w:pPr>
        <w:pStyle w:val="ListBullet"/>
      </w:pPr>
      <w:r>
        <w:t>Show how many people are attending</w:t>
      </w:r>
    </w:p>
    <w:p>
      <w:pPr>
        <w:pStyle w:val="ListBullet"/>
      </w:pPr>
      <w:r>
        <w:t>Show relevant friends or followed users who are attending, subject to privacy controls</w:t>
      </w:r>
    </w:p>
    <w:p>
      <w:pPr>
        <w:pStyle w:val="ListBullet"/>
      </w:pPr>
      <w:r>
        <w:t>Allow users to share events directly</w:t>
      </w:r>
    </w:p>
    <w:p>
      <w:pPr>
        <w:pStyle w:val="ListBullet"/>
      </w:pPr>
      <w:r>
        <w:t>Use attendance and interest signals for recommendations</w:t>
      </w:r>
    </w:p>
    <w:p>
      <w:pPr>
        <w:pStyle w:val="Heading2"/>
      </w:pPr>
      <w:r>
        <w:t>3.4 Pass Transfer / Secondary Marketplace</w:t>
      </w:r>
    </w:p>
    <w:p>
      <w:r>
        <w:t>Where an organizer permits it, a student who cannot attend could transfer or resell a pass through the platform. The important differentiator is verified ownership transfer rather than exchanging screenshots over WhatsApp.</w:t>
      </w:r>
    </w:p>
    <w:p>
      <w:pPr>
        <w:pStyle w:val="Heading2"/>
      </w:pPr>
      <w:r>
        <w:t>3.5 Organizer Dashboard</w:t>
      </w:r>
    </w:p>
    <w:p>
      <w:pPr>
        <w:pStyle w:val="ListBullet"/>
      </w:pPr>
      <w:r>
        <w:t>Event creation and publishing</w:t>
      </w:r>
    </w:p>
    <w:p>
      <w:pPr>
        <w:pStyle w:val="ListBullet"/>
      </w:pPr>
      <w:r>
        <w:t>Ticket inventory and pricing</w:t>
      </w:r>
    </w:p>
    <w:p>
      <w:pPr>
        <w:pStyle w:val="ListBullet"/>
      </w:pPr>
      <w:r>
        <w:t>Registration and attendance analytics</w:t>
      </w:r>
    </w:p>
    <w:p>
      <w:pPr>
        <w:pStyle w:val="ListBullet"/>
      </w:pPr>
      <w:r>
        <w:t>QR check-in</w:t>
      </w:r>
    </w:p>
    <w:p>
      <w:pPr>
        <w:pStyle w:val="ListBullet"/>
      </w:pPr>
      <w:r>
        <w:t>Promoted event placements</w:t>
      </w:r>
    </w:p>
    <w:p>
      <w:pPr>
        <w:pStyle w:val="ListBullet"/>
      </w:pPr>
      <w:r>
        <w:t>Audience and acquisition analytics</w:t>
      </w:r>
    </w:p>
    <w:p>
      <w:pPr>
        <w:pStyle w:val="Heading1"/>
      </w:pPr>
      <w:r>
        <w:t>4. Market Research &amp; Competitive Benchmark</w:t>
      </w:r>
    </w:p>
    <w:p>
      <w:r>
        <w:t>The research indicates that the category already has meaningful competition. Therefore, the project should avoid claiming that an event listing or university ticketing app is unprecedented.</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rPr>
                <w:b/>
              </w:rPr>
              <w:t>Benchmark</w:t>
            </w:r>
          </w:p>
        </w:tc>
        <w:tc>
          <w:tcPr>
            <w:tcW w:type="dxa" w:w="3408"/>
          </w:tcPr>
          <w:p>
            <w:r>
              <w:rPr>
                <w:b/>
              </w:rPr>
              <w:t>What it demonstrates</w:t>
            </w:r>
          </w:p>
        </w:tc>
        <w:tc>
          <w:tcPr>
            <w:tcW w:type="dxa" w:w="3408"/>
          </w:tcPr>
          <w:p>
            <w:r>
              <w:rPr>
                <w:b/>
              </w:rPr>
              <w:t>Implication for IITD Live</w:t>
            </w:r>
          </w:p>
        </w:tc>
      </w:tr>
      <w:tr>
        <w:tc>
          <w:tcPr>
            <w:tcW w:type="dxa" w:w="3408"/>
            <w:vAlign w:val="center"/>
          </w:tcPr>
          <w:p>
            <w:r>
              <w:t>Campus by Rubric</w:t>
            </w:r>
          </w:p>
        </w:tc>
        <w:tc>
          <w:tcPr>
            <w:tcW w:type="dxa" w:w="3408"/>
            <w:vAlign w:val="center"/>
          </w:tcPr>
          <w:p>
            <w:r>
              <w:t>University events, societies, memberships, tickets and related campus commerce</w:t>
            </w:r>
          </w:p>
        </w:tc>
        <w:tc>
          <w:tcPr>
            <w:tcW w:type="dxa" w:w="3408"/>
            <w:vAlign w:val="center"/>
          </w:tcPr>
          <w:p>
            <w:r>
              <w:t>Event + society aggregation is already validated</w:t>
            </w:r>
          </w:p>
        </w:tc>
      </w:tr>
      <w:tr>
        <w:tc>
          <w:tcPr>
            <w:tcW w:type="dxa" w:w="3408"/>
            <w:vAlign w:val="center"/>
          </w:tcPr>
          <w:p>
            <w:r>
              <w:t>Unify</w:t>
            </w:r>
          </w:p>
        </w:tc>
        <w:tc>
          <w:tcPr>
            <w:tcW w:type="dxa" w:w="3408"/>
            <w:vAlign w:val="center"/>
          </w:tcPr>
          <w:p>
            <w:r>
              <w:t>Verified student platform combining events, tickets, societies, marketplace and deals</w:t>
            </w:r>
          </w:p>
        </w:tc>
        <w:tc>
          <w:tcPr>
            <w:tcW w:type="dxa" w:w="3408"/>
            <w:vAlign w:val="center"/>
          </w:tcPr>
          <w:p>
            <w:r>
              <w:t>A broader student super-app model exists</w:t>
            </w:r>
          </w:p>
        </w:tc>
      </w:tr>
      <w:tr>
        <w:tc>
          <w:tcPr>
            <w:tcW w:type="dxa" w:w="3408"/>
            <w:vAlign w:val="center"/>
          </w:tcPr>
          <w:p>
            <w:r>
              <w:t>Student Seats</w:t>
            </w:r>
          </w:p>
        </w:tc>
        <w:tc>
          <w:tcPr>
            <w:tcW w:type="dxa" w:w="3408"/>
            <w:vAlign w:val="center"/>
          </w:tcPr>
          <w:p>
            <w:r>
              <w:t>Verified university ticket exchange</w:t>
            </w:r>
          </w:p>
        </w:tc>
        <w:tc>
          <w:tcPr>
            <w:tcW w:type="dxa" w:w="3408"/>
            <w:vAlign w:val="center"/>
          </w:tcPr>
          <w:p>
            <w:r>
              <w:t>Secondary student ticket exchange is not new</w:t>
            </w:r>
          </w:p>
        </w:tc>
      </w:tr>
      <w:tr>
        <w:tc>
          <w:tcPr>
            <w:tcW w:type="dxa" w:w="3408"/>
            <w:vAlign w:val="center"/>
          </w:tcPr>
          <w:p>
            <w:r>
              <w:t>DU Unify</w:t>
            </w:r>
          </w:p>
        </w:tc>
        <w:tc>
          <w:tcPr>
            <w:tcW w:type="dxa" w:w="3408"/>
            <w:vAlign w:val="center"/>
          </w:tcPr>
          <w:p>
            <w:r>
              <w:t>Event/fest aggregation for Delhi University ecosystem</w:t>
            </w:r>
          </w:p>
        </w:tc>
        <w:tc>
          <w:tcPr>
            <w:tcW w:type="dxa" w:w="3408"/>
            <w:vAlign w:val="center"/>
          </w:tcPr>
          <w:p>
            <w:r>
              <w:t>Indian campus aggregation has precedent</w:t>
            </w:r>
          </w:p>
        </w:tc>
      </w:tr>
      <w:tr>
        <w:tc>
          <w:tcPr>
            <w:tcW w:type="dxa" w:w="3408"/>
            <w:vAlign w:val="center"/>
          </w:tcPr>
          <w:p>
            <w:r>
              <w:t>IITD fest ecosystems</w:t>
            </w:r>
          </w:p>
        </w:tc>
        <w:tc>
          <w:tcPr>
            <w:tcW w:type="dxa" w:w="3408"/>
            <w:vAlign w:val="center"/>
          </w:tcPr>
          <w:p>
            <w:r>
              <w:t>Individual fests already operate event/registration systems</w:t>
            </w:r>
          </w:p>
        </w:tc>
        <w:tc>
          <w:tcPr>
            <w:tcW w:type="dxa" w:w="3408"/>
            <w:vAlign w:val="center"/>
          </w:tcPr>
          <w:p>
            <w:r>
              <w:t>IITD Live should complement rather than replace them</w:t>
            </w:r>
          </w:p>
        </w:tc>
      </w:tr>
    </w:tbl>
    <w:p>
      <w:r>
        <w:t>Strategic whitespace: campus-specific event-commerce infrastructure. The differentiator is the integrated journey of discovery + social proof + transaction + wallet + identity + eligible transfer/resale, rather than event listing alone.</w:t>
      </w:r>
    </w:p>
    <w:p>
      <w:pPr>
        <w:pStyle w:val="Heading1"/>
      </w:pPr>
      <w:r>
        <w:t>5. TAM / SAM / SOM</w:t>
      </w:r>
    </w:p>
    <w:p>
      <w:r>
        <w:t>The following sizing is a bottom-up project model. Published enrollment and event-industry figures are used as anchors; penetration, spending and adoption assumptions should be validated through primary research.</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tcPr>
          <w:p>
            <w:r>
              <w:rPr>
                <w:b/>
              </w:rPr>
              <w:t>Market</w:t>
            </w:r>
          </w:p>
        </w:tc>
        <w:tc>
          <w:tcPr>
            <w:tcW w:type="dxa" w:w="2556"/>
          </w:tcPr>
          <w:p>
            <w:r>
              <w:rPr>
                <w:b/>
              </w:rPr>
              <w:t>Illustrative Users</w:t>
            </w:r>
          </w:p>
        </w:tc>
        <w:tc>
          <w:tcPr>
            <w:tcW w:type="dxa" w:w="2556"/>
          </w:tcPr>
          <w:p>
            <w:r>
              <w:rPr>
                <w:b/>
              </w:rPr>
              <w:t>Annual GMV Assumption</w:t>
            </w:r>
          </w:p>
        </w:tc>
        <w:tc>
          <w:tcPr>
            <w:tcW w:type="dxa" w:w="2556"/>
          </w:tcPr>
          <w:p>
            <w:r>
              <w:rPr>
                <w:b/>
              </w:rPr>
              <w:t>Illustrative GMV</w:t>
            </w:r>
          </w:p>
        </w:tc>
      </w:tr>
      <w:tr>
        <w:tc>
          <w:tcPr>
            <w:tcW w:type="dxa" w:w="2556"/>
            <w:vAlign w:val="center"/>
          </w:tcPr>
          <w:p>
            <w:r>
              <w:t>TAM — Indian higher-ed digital campus-event market</w:t>
            </w:r>
          </w:p>
        </w:tc>
        <w:tc>
          <w:tcPr>
            <w:tcW w:type="dxa" w:w="2556"/>
            <w:vAlign w:val="center"/>
          </w:tcPr>
          <w:p>
            <w:r>
              <w:t>~19 million</w:t>
            </w:r>
          </w:p>
        </w:tc>
        <w:tc>
          <w:tcPr>
            <w:tcW w:type="dxa" w:w="2556"/>
            <w:vAlign w:val="center"/>
          </w:tcPr>
          <w:p>
            <w:r>
              <w:t>₹1,000/user</w:t>
            </w:r>
          </w:p>
        </w:tc>
        <w:tc>
          <w:tcPr>
            <w:tcW w:type="dxa" w:w="2556"/>
            <w:vAlign w:val="center"/>
          </w:tcPr>
          <w:p>
            <w:r>
              <w:t>₹1,900 crore</w:t>
            </w:r>
          </w:p>
        </w:tc>
      </w:tr>
      <w:tr>
        <w:tc>
          <w:tcPr>
            <w:tcW w:type="dxa" w:w="2556"/>
            <w:vAlign w:val="center"/>
          </w:tcPr>
          <w:p>
            <w:r>
              <w:t>SAM — High-event-density, digitally mature campuses</w:t>
            </w:r>
          </w:p>
        </w:tc>
        <w:tc>
          <w:tcPr>
            <w:tcW w:type="dxa" w:w="2556"/>
            <w:vAlign w:val="center"/>
          </w:tcPr>
          <w:p>
            <w:r>
              <w:t>~3 million</w:t>
            </w:r>
          </w:p>
        </w:tc>
        <w:tc>
          <w:tcPr>
            <w:tcW w:type="dxa" w:w="2556"/>
            <w:vAlign w:val="center"/>
          </w:tcPr>
          <w:p>
            <w:r>
              <w:t>₹1,500/user</w:t>
            </w:r>
          </w:p>
        </w:tc>
        <w:tc>
          <w:tcPr>
            <w:tcW w:type="dxa" w:w="2556"/>
            <w:vAlign w:val="center"/>
          </w:tcPr>
          <w:p>
            <w:r>
              <w:t>₹450 crore</w:t>
            </w:r>
          </w:p>
        </w:tc>
      </w:tr>
      <w:tr>
        <w:tc>
          <w:tcPr>
            <w:tcW w:type="dxa" w:w="2556"/>
            <w:vAlign w:val="center"/>
          </w:tcPr>
          <w:p>
            <w:r>
              <w:t>SOM — IIT Delhi Year 1</w:t>
            </w:r>
          </w:p>
        </w:tc>
        <w:tc>
          <w:tcPr>
            <w:tcW w:type="dxa" w:w="2556"/>
            <w:vAlign w:val="center"/>
          </w:tcPr>
          <w:p>
            <w:r>
              <w:t>7,200 IITD students + external attendees</w:t>
            </w:r>
          </w:p>
        </w:tc>
        <w:tc>
          <w:tcPr>
            <w:tcW w:type="dxa" w:w="2556"/>
            <w:vAlign w:val="center"/>
          </w:tcPr>
          <w:p>
            <w:r>
              <w:t>Student + external transactions</w:t>
            </w:r>
          </w:p>
        </w:tc>
        <w:tc>
          <w:tcPr>
            <w:tcW w:type="dxa" w:w="2556"/>
            <w:vAlign w:val="center"/>
          </w:tcPr>
          <w:p>
            <w:r>
              <w:t>₹1.5–2 crore</w:t>
            </w:r>
          </w:p>
        </w:tc>
      </w:tr>
    </w:tbl>
    <w:p>
      <w:r>
        <w:t>TAM modelling assumption: 4.5 crore higher-education students × 70% potentially relevant event-oriented population × 60% digitally addressable/likely users ≈ 1.89 crore. These percentages are project assumptions, not published statistics.</w:t>
      </w:r>
    </w:p>
    <w:p>
      <w:r>
        <w:t>SOM illustration: IIT Delhi has roughly 12,000 students. A 60% first-year adoption assumption gives about 7,200 users. Adding conservative external-event transactions produces an estimated Year-1 GMV of approximately ₹1.5–2 crore.</w:t>
      </w:r>
    </w:p>
    <w:p>
      <w:pPr>
        <w:pStyle w:val="Heading1"/>
      </w:pPr>
      <w:r>
        <w:t>6. Revenue Model</w:t>
      </w:r>
    </w:p>
    <w:tbl>
      <w:tblPr>
        <w:tblStyle w:val="TableGrid"/>
        <w:tblW w:type="auto" w:w="0"/>
        <w:jc w:val="center"/>
        <w:tblLook w:firstColumn="1" w:firstRow="1" w:lastColumn="0" w:lastRow="0" w:noHBand="0" w:noVBand="1" w:val="04A0"/>
      </w:tblPr>
      <w:tblGrid>
        <w:gridCol w:w="5112"/>
        <w:gridCol w:w="5112"/>
      </w:tblGrid>
      <w:tr>
        <w:tc>
          <w:tcPr>
            <w:tcW w:type="dxa" w:w="5112"/>
          </w:tcPr>
          <w:p>
            <w:r>
              <w:rPr>
                <w:b/>
              </w:rPr>
              <w:t>Revenue Stream</w:t>
            </w:r>
          </w:p>
        </w:tc>
        <w:tc>
          <w:tcPr>
            <w:tcW w:type="dxa" w:w="5112"/>
          </w:tcPr>
          <w:p>
            <w:r>
              <w:rPr>
                <w:b/>
              </w:rPr>
              <w:t>Illustrative Model</w:t>
            </w:r>
          </w:p>
        </w:tc>
      </w:tr>
      <w:tr>
        <w:tc>
          <w:tcPr>
            <w:tcW w:type="dxa" w:w="5112"/>
            <w:vAlign w:val="center"/>
          </w:tcPr>
          <w:p>
            <w:r>
              <w:t>Transaction fee</w:t>
            </w:r>
          </w:p>
        </w:tc>
        <w:tc>
          <w:tcPr>
            <w:tcW w:type="dxa" w:w="5112"/>
            <w:vAlign w:val="center"/>
          </w:tcPr>
          <w:p>
            <w:r>
              <w:t>Approx. 5% of eligible ticket GMV</w:t>
            </w:r>
          </w:p>
        </w:tc>
      </w:tr>
      <w:tr>
        <w:tc>
          <w:tcPr>
            <w:tcW w:type="dxa" w:w="5112"/>
            <w:vAlign w:val="center"/>
          </w:tcPr>
          <w:p>
            <w:r>
              <w:t>Convenience fee</w:t>
            </w:r>
          </w:p>
        </w:tc>
        <w:tc>
          <w:tcPr>
            <w:tcW w:type="dxa" w:w="5112"/>
            <w:vAlign w:val="center"/>
          </w:tcPr>
          <w:p>
            <w:r>
              <w:t>₹5–₹20 per transaction, where appropriate</w:t>
            </w:r>
          </w:p>
        </w:tc>
      </w:tr>
      <w:tr>
        <w:tc>
          <w:tcPr>
            <w:tcW w:type="dxa" w:w="5112"/>
            <w:vAlign w:val="center"/>
          </w:tcPr>
          <w:p>
            <w:r>
              <w:t>Promoted events</w:t>
            </w:r>
          </w:p>
        </w:tc>
        <w:tc>
          <w:tcPr>
            <w:tcW w:type="dxa" w:w="5112"/>
            <w:vAlign w:val="center"/>
          </w:tcPr>
          <w:p>
            <w:r>
              <w:t>Paid visibility / featured placements</w:t>
            </w:r>
          </w:p>
        </w:tc>
      </w:tr>
      <w:tr>
        <w:tc>
          <w:tcPr>
            <w:tcW w:type="dxa" w:w="5112"/>
            <w:vAlign w:val="center"/>
          </w:tcPr>
          <w:p>
            <w:r>
              <w:t>Organizer SaaS</w:t>
            </w:r>
          </w:p>
        </w:tc>
        <w:tc>
          <w:tcPr>
            <w:tcW w:type="dxa" w:w="5112"/>
            <w:vAlign w:val="center"/>
          </w:tcPr>
          <w:p>
            <w:r>
              <w:t>Premium analytics, ticketing and promotion tools</w:t>
            </w:r>
          </w:p>
        </w:tc>
      </w:tr>
      <w:tr>
        <w:tc>
          <w:tcPr>
            <w:tcW w:type="dxa" w:w="5112"/>
            <w:vAlign w:val="center"/>
          </w:tcPr>
          <w:p>
            <w:r>
              <w:t>Brand sponsorship</w:t>
            </w:r>
          </w:p>
        </w:tc>
        <w:tc>
          <w:tcPr>
            <w:tcW w:type="dxa" w:w="5112"/>
            <w:vAlign w:val="center"/>
          </w:tcPr>
          <w:p>
            <w:r>
              <w:t>Sponsored event discovery and campus campaigns</w:t>
            </w:r>
          </w:p>
        </w:tc>
      </w:tr>
      <w:tr>
        <w:tc>
          <w:tcPr>
            <w:tcW w:type="dxa" w:w="5112"/>
            <w:vAlign w:val="center"/>
          </w:tcPr>
          <w:p>
            <w:r>
              <w:t>Campus merchant partnerships</w:t>
            </w:r>
          </w:p>
        </w:tc>
        <w:tc>
          <w:tcPr>
            <w:tcW w:type="dxa" w:w="5112"/>
            <w:vAlign w:val="center"/>
          </w:tcPr>
          <w:p>
            <w:r>
              <w:t>Commission on relevant student deals</w:t>
            </w:r>
          </w:p>
        </w:tc>
      </w:tr>
    </w:tbl>
    <w:p>
      <w:pPr>
        <w:pStyle w:val="Heading1"/>
      </w:pPr>
      <w:r>
        <w:t>7. Unit Economics — Illustrative</w:t>
      </w:r>
    </w:p>
    <w:tbl>
      <w:tblPr>
        <w:tblStyle w:val="TableGrid"/>
        <w:tblW w:type="auto" w:w="0"/>
        <w:jc w:val="center"/>
        <w:tblLook w:firstColumn="1" w:firstRow="1" w:lastColumn="0" w:lastRow="0" w:noHBand="0" w:noVBand="1" w:val="04A0"/>
      </w:tblPr>
      <w:tblGrid>
        <w:gridCol w:w="5112"/>
        <w:gridCol w:w="5112"/>
      </w:tblGrid>
      <w:tr>
        <w:tc>
          <w:tcPr>
            <w:tcW w:type="dxa" w:w="5112"/>
          </w:tcPr>
          <w:p>
            <w:r>
              <w:rPr>
                <w:b/>
              </w:rPr>
              <w:t>Metric</w:t>
            </w:r>
          </w:p>
        </w:tc>
        <w:tc>
          <w:tcPr>
            <w:tcW w:type="dxa" w:w="5112"/>
          </w:tcPr>
          <w:p>
            <w:r>
              <w:rPr>
                <w:b/>
              </w:rPr>
              <w:t>Illustrative Assumption</w:t>
            </w:r>
          </w:p>
        </w:tc>
      </w:tr>
      <w:tr>
        <w:tc>
          <w:tcPr>
            <w:tcW w:type="dxa" w:w="5112"/>
            <w:vAlign w:val="center"/>
          </w:tcPr>
          <w:p>
            <w:r>
              <w:t>Average ticket value</w:t>
            </w:r>
          </w:p>
        </w:tc>
        <w:tc>
          <w:tcPr>
            <w:tcW w:type="dxa" w:w="5112"/>
            <w:vAlign w:val="center"/>
          </w:tcPr>
          <w:p>
            <w:r>
              <w:t>₹250</w:t>
            </w:r>
          </w:p>
        </w:tc>
      </w:tr>
      <w:tr>
        <w:tc>
          <w:tcPr>
            <w:tcW w:type="dxa" w:w="5112"/>
            <w:vAlign w:val="center"/>
          </w:tcPr>
          <w:p>
            <w:r>
              <w:t>Platform take rate</w:t>
            </w:r>
          </w:p>
        </w:tc>
        <w:tc>
          <w:tcPr>
            <w:tcW w:type="dxa" w:w="5112"/>
            <w:vAlign w:val="center"/>
          </w:tcPr>
          <w:p>
            <w:r>
              <w:t>5%</w:t>
            </w:r>
          </w:p>
        </w:tc>
      </w:tr>
      <w:tr>
        <w:tc>
          <w:tcPr>
            <w:tcW w:type="dxa" w:w="5112"/>
            <w:vAlign w:val="center"/>
          </w:tcPr>
          <w:p>
            <w:r>
              <w:t>Transaction revenue</w:t>
            </w:r>
          </w:p>
        </w:tc>
        <w:tc>
          <w:tcPr>
            <w:tcW w:type="dxa" w:w="5112"/>
            <w:vAlign w:val="center"/>
          </w:tcPr>
          <w:p>
            <w:r>
              <w:t>₹12.50</w:t>
            </w:r>
          </w:p>
        </w:tc>
      </w:tr>
      <w:tr>
        <w:tc>
          <w:tcPr>
            <w:tcW w:type="dxa" w:w="5112"/>
            <w:vAlign w:val="center"/>
          </w:tcPr>
          <w:p>
            <w:r>
              <w:t>Additional fee / monetization</w:t>
            </w:r>
          </w:p>
        </w:tc>
        <w:tc>
          <w:tcPr>
            <w:tcW w:type="dxa" w:w="5112"/>
            <w:vAlign w:val="center"/>
          </w:tcPr>
          <w:p>
            <w:r>
              <w:t>Potentially ₹10–₹15+</w:t>
            </w:r>
          </w:p>
        </w:tc>
      </w:tr>
      <w:tr>
        <w:tc>
          <w:tcPr>
            <w:tcW w:type="dxa" w:w="5112"/>
            <w:vAlign w:val="center"/>
          </w:tcPr>
          <w:p>
            <w:r>
              <w:t>Illustrative revenue per transaction</w:t>
            </w:r>
          </w:p>
        </w:tc>
        <w:tc>
          <w:tcPr>
            <w:tcW w:type="dxa" w:w="5112"/>
            <w:vAlign w:val="center"/>
          </w:tcPr>
          <w:p>
            <w:r>
              <w:t>₹22.50–₹30+</w:t>
            </w:r>
          </w:p>
        </w:tc>
      </w:tr>
      <w:tr>
        <w:tc>
          <w:tcPr>
            <w:tcW w:type="dxa" w:w="5112"/>
            <w:vAlign w:val="center"/>
          </w:tcPr>
          <w:p>
            <w:r>
              <w:t>Illustrative active-user transactions/year</w:t>
            </w:r>
          </w:p>
        </w:tc>
        <w:tc>
          <w:tcPr>
            <w:tcW w:type="dxa" w:w="5112"/>
            <w:vAlign w:val="center"/>
          </w:tcPr>
          <w:p>
            <w:r>
              <w:t>8</w:t>
            </w:r>
          </w:p>
        </w:tc>
      </w:tr>
      <w:tr>
        <w:tc>
          <w:tcPr>
            <w:tcW w:type="dxa" w:w="5112"/>
            <w:vAlign w:val="center"/>
          </w:tcPr>
          <w:p>
            <w:r>
              <w:t>Illustrative annual revenue/user</w:t>
            </w:r>
          </w:p>
        </w:tc>
        <w:tc>
          <w:tcPr>
            <w:tcW w:type="dxa" w:w="5112"/>
            <w:vAlign w:val="center"/>
          </w:tcPr>
          <w:p>
            <w:r>
              <w:t>₹180–₹240+</w:t>
            </w:r>
          </w:p>
        </w:tc>
      </w:tr>
    </w:tbl>
    <w:p>
      <w:r>
        <w:t>These figures are scenario assumptions for classroom modelling and should not be presented as validated economics. Primary research should establish average ticket size, payment willingness, transaction frequency and organizer willingness to pay.</w:t>
      </w:r>
    </w:p>
    <w:p>
      <w:pPr>
        <w:pStyle w:val="Heading1"/>
      </w:pPr>
      <w:r>
        <w:t>8. STP Analysis</w:t>
      </w:r>
    </w:p>
    <w:tbl>
      <w:tblPr>
        <w:tblStyle w:val="TableGrid"/>
        <w:tblW w:type="auto" w:w="0"/>
        <w:jc w:val="center"/>
        <w:tblLook w:firstColumn="1" w:firstRow="1" w:lastColumn="0" w:lastRow="0" w:noHBand="0" w:noVBand="1" w:val="04A0"/>
      </w:tblPr>
      <w:tblGrid>
        <w:gridCol w:w="5112"/>
        <w:gridCol w:w="5112"/>
      </w:tblGrid>
      <w:tr>
        <w:tc>
          <w:tcPr>
            <w:tcW w:type="dxa" w:w="5112"/>
          </w:tcPr>
          <w:p>
            <w:r>
              <w:rPr>
                <w:b/>
              </w:rPr>
              <w:t>Component</w:t>
            </w:r>
          </w:p>
        </w:tc>
        <w:tc>
          <w:tcPr>
            <w:tcW w:type="dxa" w:w="5112"/>
          </w:tcPr>
          <w:p>
            <w:r>
              <w:rPr>
                <w:b/>
              </w:rPr>
              <w:t>Strategy</w:t>
            </w:r>
          </w:p>
        </w:tc>
      </w:tr>
      <w:tr>
        <w:tc>
          <w:tcPr>
            <w:tcW w:type="dxa" w:w="5112"/>
            <w:vAlign w:val="center"/>
          </w:tcPr>
          <w:p>
            <w:r>
              <w:t>Segmentation</w:t>
            </w:r>
          </w:p>
        </w:tc>
        <w:tc>
          <w:tcPr>
            <w:tcW w:type="dxa" w:w="5112"/>
            <w:vAlign w:val="center"/>
          </w:tcPr>
          <w:p>
            <w:r>
              <w:t>Year, program, hostel, interests, event frequency, spending and social activity</w:t>
            </w:r>
          </w:p>
        </w:tc>
      </w:tr>
      <w:tr>
        <w:tc>
          <w:tcPr>
            <w:tcW w:type="dxa" w:w="5112"/>
            <w:vAlign w:val="center"/>
          </w:tcPr>
          <w:p>
            <w:r>
              <w:t>Primary target</w:t>
            </w:r>
          </w:p>
        </w:tc>
        <w:tc>
          <w:tcPr>
            <w:tcW w:type="dxa" w:w="5112"/>
            <w:vAlign w:val="center"/>
          </w:tcPr>
          <w:p>
            <w:r>
              <w:t>Digitally active 18–26-year-old students at large residential campuses</w:t>
            </w:r>
          </w:p>
        </w:tc>
      </w:tr>
      <w:tr>
        <w:tc>
          <w:tcPr>
            <w:tcW w:type="dxa" w:w="5112"/>
            <w:vAlign w:val="center"/>
          </w:tcPr>
          <w:p>
            <w:r>
              <w:t>Secondary target</w:t>
            </w:r>
          </w:p>
        </w:tc>
        <w:tc>
          <w:tcPr>
            <w:tcW w:type="dxa" w:w="5112"/>
            <w:vAlign w:val="center"/>
          </w:tcPr>
          <w:p>
            <w:r>
              <w:t>Student societies, fests, departments and event organizers</w:t>
            </w:r>
          </w:p>
        </w:tc>
      </w:tr>
      <w:tr>
        <w:tc>
          <w:tcPr>
            <w:tcW w:type="dxa" w:w="5112"/>
            <w:vAlign w:val="center"/>
          </w:tcPr>
          <w:p>
            <w:r>
              <w:t>Positioning</w:t>
            </w:r>
          </w:p>
        </w:tc>
        <w:tc>
          <w:tcPr>
            <w:tcW w:type="dxa" w:w="5112"/>
            <w:vAlign w:val="center"/>
          </w:tcPr>
          <w:p>
            <w:r>
              <w:t>A verified campus experience marketplace connecting discovery, social proof and transactions</w:t>
            </w:r>
          </w:p>
        </w:tc>
      </w:tr>
    </w:tbl>
    <w:p>
      <w:pPr>
        <w:pStyle w:val="Heading1"/>
      </w:pPr>
      <w:r>
        <w:t>9. Jobs-to-be-Done</w:t>
      </w:r>
    </w:p>
    <w:tbl>
      <w:tblPr>
        <w:tblStyle w:val="TableGrid"/>
        <w:tblW w:type="auto" w:w="0"/>
        <w:jc w:val="center"/>
        <w:tblLook w:firstColumn="1" w:firstRow="1" w:lastColumn="0" w:lastRow="0" w:noHBand="0" w:noVBand="1" w:val="04A0"/>
      </w:tblPr>
      <w:tblGrid>
        <w:gridCol w:w="5112"/>
        <w:gridCol w:w="5112"/>
      </w:tblGrid>
      <w:tr>
        <w:tc>
          <w:tcPr>
            <w:tcW w:type="dxa" w:w="5112"/>
          </w:tcPr>
          <w:p>
            <w:r>
              <w:rPr>
                <w:b/>
              </w:rPr>
              <w:t>Type</w:t>
            </w:r>
          </w:p>
        </w:tc>
        <w:tc>
          <w:tcPr>
            <w:tcW w:type="dxa" w:w="5112"/>
          </w:tcPr>
          <w:p>
            <w:r>
              <w:rPr>
                <w:b/>
              </w:rPr>
              <w:t>Student Job</w:t>
            </w:r>
          </w:p>
        </w:tc>
      </w:tr>
      <w:tr>
        <w:tc>
          <w:tcPr>
            <w:tcW w:type="dxa" w:w="5112"/>
            <w:vAlign w:val="center"/>
          </w:tcPr>
          <w:p>
            <w:r>
              <w:t>Functional</w:t>
            </w:r>
          </w:p>
        </w:tc>
        <w:tc>
          <w:tcPr>
            <w:tcW w:type="dxa" w:w="5112"/>
            <w:vAlign w:val="center"/>
          </w:tcPr>
          <w:p>
            <w:r>
              <w:t>Find interesting events and obtain a reliable pass quickly</w:t>
            </w:r>
          </w:p>
        </w:tc>
      </w:tr>
      <w:tr>
        <w:tc>
          <w:tcPr>
            <w:tcW w:type="dxa" w:w="5112"/>
            <w:vAlign w:val="center"/>
          </w:tcPr>
          <w:p>
            <w:r>
              <w:t>Social</w:t>
            </w:r>
          </w:p>
        </w:tc>
        <w:tc>
          <w:tcPr>
            <w:tcW w:type="dxa" w:w="5112"/>
            <w:vAlign w:val="center"/>
          </w:tcPr>
          <w:p>
            <w:r>
              <w:t>Know where friends and relevant peers are going</w:t>
            </w:r>
          </w:p>
        </w:tc>
      </w:tr>
      <w:tr>
        <w:tc>
          <w:tcPr>
            <w:tcW w:type="dxa" w:w="5112"/>
            <w:vAlign w:val="center"/>
          </w:tcPr>
          <w:p>
            <w:r>
              <w:t>Emotional</w:t>
            </w:r>
          </w:p>
        </w:tc>
        <w:tc>
          <w:tcPr>
            <w:tcW w:type="dxa" w:w="5112"/>
            <w:vAlign w:val="center"/>
          </w:tcPr>
          <w:p>
            <w:r>
              <w:t>Avoid missing out and feel connected to campus life</w:t>
            </w:r>
          </w:p>
        </w:tc>
      </w:tr>
    </w:tbl>
    <w:p>
      <w:pPr>
        <w:pStyle w:val="Heading1"/>
      </w:pPr>
      <w:r>
        <w:t>10. Business Model Canvas</w:t>
      </w:r>
    </w:p>
    <w:tbl>
      <w:tblPr>
        <w:tblStyle w:val="TableGrid"/>
        <w:tblW w:type="auto" w:w="0"/>
        <w:jc w:val="center"/>
        <w:tblLook w:firstColumn="1" w:firstRow="1" w:lastColumn="0" w:lastRow="0" w:noHBand="0" w:noVBand="1" w:val="04A0"/>
      </w:tblPr>
      <w:tblGrid>
        <w:gridCol w:w="5112"/>
        <w:gridCol w:w="5112"/>
      </w:tblGrid>
      <w:tr>
        <w:tc>
          <w:tcPr>
            <w:tcW w:type="dxa" w:w="5112"/>
          </w:tcPr>
          <w:p>
            <w:r>
              <w:rPr>
                <w:b/>
              </w:rPr>
              <w:t>Block</w:t>
            </w:r>
          </w:p>
        </w:tc>
        <w:tc>
          <w:tcPr>
            <w:tcW w:type="dxa" w:w="5112"/>
          </w:tcPr>
          <w:p>
            <w:r>
              <w:rPr>
                <w:b/>
              </w:rPr>
              <w:t>IITD Live</w:t>
            </w:r>
          </w:p>
        </w:tc>
      </w:tr>
      <w:tr>
        <w:tc>
          <w:tcPr>
            <w:tcW w:type="dxa" w:w="5112"/>
            <w:vAlign w:val="center"/>
          </w:tcPr>
          <w:p>
            <w:r>
              <w:t>Customer Segments</w:t>
            </w:r>
          </w:p>
        </w:tc>
        <w:tc>
          <w:tcPr>
            <w:tcW w:type="dxa" w:w="5112"/>
            <w:vAlign w:val="center"/>
          </w:tcPr>
          <w:p>
            <w:r>
              <w:t>Students; societies; fest organizers; departments; brands</w:t>
            </w:r>
          </w:p>
        </w:tc>
      </w:tr>
      <w:tr>
        <w:tc>
          <w:tcPr>
            <w:tcW w:type="dxa" w:w="5112"/>
            <w:vAlign w:val="center"/>
          </w:tcPr>
          <w:p>
            <w:r>
              <w:t>Value Proposition</w:t>
            </w:r>
          </w:p>
        </w:tc>
        <w:tc>
          <w:tcPr>
            <w:tcW w:type="dxa" w:w="5112"/>
            <w:vAlign w:val="center"/>
          </w:tcPr>
          <w:p>
            <w:r>
              <w:t>One discovery and transaction layer for campus experiences</w:t>
            </w:r>
          </w:p>
        </w:tc>
      </w:tr>
      <w:tr>
        <w:tc>
          <w:tcPr>
            <w:tcW w:type="dxa" w:w="5112"/>
            <w:vAlign w:val="center"/>
          </w:tcPr>
          <w:p>
            <w:r>
              <w:t>Channels</w:t>
            </w:r>
          </w:p>
        </w:tc>
        <w:tc>
          <w:tcPr>
            <w:tcW w:type="dxa" w:w="5112"/>
            <w:vAlign w:val="center"/>
          </w:tcPr>
          <w:p>
            <w:r>
              <w:t>App, Instagram, WhatsApp sharing, society partnerships, ambassadors</w:t>
            </w:r>
          </w:p>
        </w:tc>
      </w:tr>
      <w:tr>
        <w:tc>
          <w:tcPr>
            <w:tcW w:type="dxa" w:w="5112"/>
            <w:vAlign w:val="center"/>
          </w:tcPr>
          <w:p>
            <w:r>
              <w:t>Customer Relationships</w:t>
            </w:r>
          </w:p>
        </w:tc>
        <w:tc>
          <w:tcPr>
            <w:tcW w:type="dxa" w:w="5112"/>
            <w:vAlign w:val="center"/>
          </w:tcPr>
          <w:p>
            <w:r>
              <w:t>Personalized feed, notifications, social graph, loyalty</w:t>
            </w:r>
          </w:p>
        </w:tc>
      </w:tr>
      <w:tr>
        <w:tc>
          <w:tcPr>
            <w:tcW w:type="dxa" w:w="5112"/>
            <w:vAlign w:val="center"/>
          </w:tcPr>
          <w:p>
            <w:r>
              <w:t>Revenue</w:t>
            </w:r>
          </w:p>
        </w:tc>
        <w:tc>
          <w:tcPr>
            <w:tcW w:type="dxa" w:w="5112"/>
            <w:vAlign w:val="center"/>
          </w:tcPr>
          <w:p>
            <w:r>
              <w:t>Transaction fees, convenience fees, SaaS, promotions, sponsorships</w:t>
            </w:r>
          </w:p>
        </w:tc>
      </w:tr>
      <w:tr>
        <w:tc>
          <w:tcPr>
            <w:tcW w:type="dxa" w:w="5112"/>
            <w:vAlign w:val="center"/>
          </w:tcPr>
          <w:p>
            <w:r>
              <w:t>Key Resources</w:t>
            </w:r>
          </w:p>
        </w:tc>
        <w:tc>
          <w:tcPr>
            <w:tcW w:type="dxa" w:w="5112"/>
            <w:vAlign w:val="center"/>
          </w:tcPr>
          <w:p>
            <w:r>
              <w:t>Event inventory, verified student identity, transaction data, campus partnerships</w:t>
            </w:r>
          </w:p>
        </w:tc>
      </w:tr>
      <w:tr>
        <w:tc>
          <w:tcPr>
            <w:tcW w:type="dxa" w:w="5112"/>
            <w:vAlign w:val="center"/>
          </w:tcPr>
          <w:p>
            <w:r>
              <w:t>Key Activities</w:t>
            </w:r>
          </w:p>
        </w:tc>
        <w:tc>
          <w:tcPr>
            <w:tcW w:type="dxa" w:w="5112"/>
            <w:vAlign w:val="center"/>
          </w:tcPr>
          <w:p>
            <w:r>
              <w:t>Event aggregation, ticketing, discovery, payments, verification, analytics</w:t>
            </w:r>
          </w:p>
        </w:tc>
      </w:tr>
      <w:tr>
        <w:tc>
          <w:tcPr>
            <w:tcW w:type="dxa" w:w="5112"/>
            <w:vAlign w:val="center"/>
          </w:tcPr>
          <w:p>
            <w:r>
              <w:t>Key Partners</w:t>
            </w:r>
          </w:p>
        </w:tc>
        <w:tc>
          <w:tcPr>
            <w:tcW w:type="dxa" w:w="5112"/>
            <w:vAlign w:val="center"/>
          </w:tcPr>
          <w:p>
            <w:r>
              <w:t>IITD societies, fests, departments, payment providers, brands</w:t>
            </w:r>
          </w:p>
        </w:tc>
      </w:tr>
      <w:tr>
        <w:tc>
          <w:tcPr>
            <w:tcW w:type="dxa" w:w="5112"/>
            <w:vAlign w:val="center"/>
          </w:tcPr>
          <w:p>
            <w:r>
              <w:t>Cost Structure</w:t>
            </w:r>
          </w:p>
        </w:tc>
        <w:tc>
          <w:tcPr>
            <w:tcW w:type="dxa" w:w="5112"/>
            <w:vAlign w:val="center"/>
          </w:tcPr>
          <w:p>
            <w:r>
              <w:t>Product development, cloud, payments, sales/partnerships, marketing and support</w:t>
            </w:r>
          </w:p>
        </w:tc>
      </w:tr>
    </w:tbl>
    <w:p>
      <w:pPr>
        <w:pStyle w:val="Heading1"/>
      </w:pPr>
      <w:r>
        <w:t>11. Network Effects</w:t>
      </w:r>
    </w:p>
    <w:p>
      <w:r>
        <w:t>Potential marketplace flywheel:</w:t>
      </w:r>
    </w:p>
    <w:p>
      <w:pPr>
        <w:pStyle w:val="ListBullet"/>
      </w:pPr>
      <w:r>
        <w:t>More societies join → more events</w:t>
      </w:r>
    </w:p>
    <w:p>
      <w:pPr>
        <w:pStyle w:val="ListBullet"/>
      </w:pPr>
      <w:r>
        <w:t>More events → more students use the platform</w:t>
      </w:r>
    </w:p>
    <w:p>
      <w:pPr>
        <w:pStyle w:val="ListBullet"/>
      </w:pPr>
      <w:r>
        <w:t>More users → more ticket transactions and richer demand data</w:t>
      </w:r>
    </w:p>
    <w:p>
      <w:pPr>
        <w:pStyle w:val="ListBullet"/>
      </w:pPr>
      <w:r>
        <w:t>More data → better recommendations and organizer insights</w:t>
      </w:r>
    </w:p>
    <w:p>
      <w:pPr>
        <w:pStyle w:val="ListBullet"/>
      </w:pPr>
      <w:r>
        <w:t>Better discovery and economics → more societies want to join</w:t>
      </w:r>
    </w:p>
    <w:p>
      <w:pPr>
        <w:pStyle w:val="Heading1"/>
      </w:pPr>
      <w:r>
        <w:t>12. SWOT Analysis</w:t>
      </w:r>
    </w:p>
    <w:tbl>
      <w:tblPr>
        <w:tblStyle w:val="TableGrid"/>
        <w:tblW w:type="auto" w:w="0"/>
        <w:jc w:val="center"/>
        <w:tblLook w:firstColumn="1" w:firstRow="1" w:lastColumn="0" w:lastRow="0" w:noHBand="0" w:noVBand="1" w:val="04A0"/>
      </w:tblPr>
      <w:tblGrid>
        <w:gridCol w:w="5112"/>
        <w:gridCol w:w="5112"/>
      </w:tblGrid>
      <w:tr>
        <w:tc>
          <w:tcPr>
            <w:tcW w:type="dxa" w:w="5112"/>
          </w:tcPr>
          <w:p>
            <w:r>
              <w:rPr>
                <w:b/>
              </w:rPr>
              <w:t>Strengths</w:t>
            </w:r>
          </w:p>
        </w:tc>
        <w:tc>
          <w:tcPr>
            <w:tcW w:type="dxa" w:w="5112"/>
          </w:tcPr>
          <w:p>
            <w:r>
              <w:rPr>
                <w:b/>
              </w:rPr>
              <w:t>Weaknesses</w:t>
            </w:r>
          </w:p>
        </w:tc>
      </w:tr>
      <w:tr>
        <w:tc>
          <w:tcPr>
            <w:tcW w:type="dxa" w:w="5112"/>
            <w:vAlign w:val="center"/>
          </w:tcPr>
          <w:p>
            <w:r>
              <w:t>Captive campus ecosystem</w:t>
            </w:r>
          </w:p>
        </w:tc>
        <w:tc>
          <w:tcPr>
            <w:tcW w:type="dxa" w:w="5112"/>
            <w:vAlign w:val="center"/>
          </w:tcPr>
          <w:p>
            <w:r>
              <w:t>Initial market limited to one campus</w:t>
            </w:r>
          </w:p>
        </w:tc>
      </w:tr>
      <w:tr>
        <w:tc>
          <w:tcPr>
            <w:tcW w:type="dxa" w:w="5112"/>
            <w:vAlign w:val="center"/>
          </w:tcPr>
          <w:p>
            <w:r>
              <w:t>High event density</w:t>
            </w:r>
          </w:p>
        </w:tc>
        <w:tc>
          <w:tcPr>
            <w:tcW w:type="dxa" w:w="5112"/>
            <w:vAlign w:val="center"/>
          </w:tcPr>
          <w:p>
            <w:r>
              <w:t>Requires organizer adoption</w:t>
            </w:r>
          </w:p>
        </w:tc>
      </w:tr>
      <w:tr>
        <w:tc>
          <w:tcPr>
            <w:tcW w:type="dxa" w:w="5112"/>
            <w:vAlign w:val="center"/>
          </w:tcPr>
          <w:p>
            <w:r>
              <w:t>Verified student audience</w:t>
            </w:r>
          </w:p>
        </w:tc>
        <w:tc>
          <w:tcPr>
            <w:tcW w:type="dxa" w:w="5112"/>
            <w:vAlign w:val="center"/>
          </w:tcPr>
          <w:p>
            <w:r>
              <w:t>Demand can be seasonal</w:t>
            </w:r>
          </w:p>
        </w:tc>
      </w:tr>
      <w:tr>
        <w:tc>
          <w:tcPr>
            <w:tcW w:type="dxa" w:w="5112"/>
            <w:vAlign w:val="center"/>
          </w:tcPr>
          <w:p>
            <w:r>
              <w:t>Strong IIT Delhi brand</w:t>
            </w:r>
          </w:p>
        </w:tc>
        <w:tc>
          <w:tcPr>
            <w:tcW w:type="dxa" w:w="5112"/>
            <w:vAlign w:val="center"/>
          </w:tcPr>
          <w:p>
            <w:r>
              <w:t>Institutional permissions may be required</w:t>
            </w:r>
          </w:p>
        </w:tc>
      </w:tr>
      <w:tr>
        <w:tc>
          <w:tcPr>
            <w:tcW w:type="dxa" w:w="5112"/>
            <w:vAlign w:val="center"/>
          </w:tcPr>
          <w:p>
            <w:r>
              <w:t>Potential network effects</w:t>
            </w:r>
          </w:p>
        </w:tc>
        <w:tc>
          <w:tcPr>
            <w:tcW w:type="dxa" w:w="5112"/>
            <w:vAlign w:val="center"/>
          </w:tcPr>
          <w:p>
            <w:r>
              <w:t>Needs liquidity on both sides</w:t>
            </w:r>
          </w:p>
        </w:tc>
      </w:tr>
    </w:tbl>
    <w:tbl>
      <w:tblPr>
        <w:tblStyle w:val="TableGrid"/>
        <w:tblW w:type="auto" w:w="0"/>
        <w:jc w:val="center"/>
        <w:tblLook w:firstColumn="1" w:firstRow="1" w:lastColumn="0" w:lastRow="0" w:noHBand="0" w:noVBand="1" w:val="04A0"/>
      </w:tblPr>
      <w:tblGrid>
        <w:gridCol w:w="5112"/>
        <w:gridCol w:w="5112"/>
      </w:tblGrid>
      <w:tr>
        <w:tc>
          <w:tcPr>
            <w:tcW w:type="dxa" w:w="5112"/>
          </w:tcPr>
          <w:p>
            <w:r>
              <w:rPr>
                <w:b/>
              </w:rPr>
              <w:t>Opportunities</w:t>
            </w:r>
          </w:p>
        </w:tc>
        <w:tc>
          <w:tcPr>
            <w:tcW w:type="dxa" w:w="5112"/>
          </w:tcPr>
          <w:p>
            <w:r>
              <w:rPr>
                <w:b/>
              </w:rPr>
              <w:t>Threats</w:t>
            </w:r>
          </w:p>
        </w:tc>
      </w:tr>
      <w:tr>
        <w:tc>
          <w:tcPr>
            <w:tcW w:type="dxa" w:w="5112"/>
            <w:vAlign w:val="center"/>
          </w:tcPr>
          <w:p>
            <w:r>
              <w:t>Expand to IITs, IIMs, NITs and other campuses</w:t>
            </w:r>
          </w:p>
        </w:tc>
        <w:tc>
          <w:tcPr>
            <w:tcW w:type="dxa" w:w="5112"/>
            <w:vAlign w:val="center"/>
          </w:tcPr>
          <w:p>
            <w:r>
              <w:t>Instagram and WhatsApp remain powerful substitutes</w:t>
            </w:r>
          </w:p>
        </w:tc>
      </w:tr>
      <w:tr>
        <w:tc>
          <w:tcPr>
            <w:tcW w:type="dxa" w:w="5112"/>
            <w:vAlign w:val="center"/>
          </w:tcPr>
          <w:p>
            <w:r>
              <w:t>Campus merchant partnerships</w:t>
            </w:r>
          </w:p>
        </w:tc>
        <w:tc>
          <w:tcPr>
            <w:tcW w:type="dxa" w:w="5112"/>
            <w:vAlign w:val="center"/>
          </w:tcPr>
          <w:p>
            <w:r>
              <w:t>Existing university platforms</w:t>
            </w:r>
          </w:p>
        </w:tc>
      </w:tr>
      <w:tr>
        <w:tc>
          <w:tcPr>
            <w:tcW w:type="dxa" w:w="5112"/>
            <w:vAlign w:val="center"/>
          </w:tcPr>
          <w:p>
            <w:r>
              <w:t>Event analytics and SaaS</w:t>
            </w:r>
          </w:p>
        </w:tc>
        <w:tc>
          <w:tcPr>
            <w:tcW w:type="dxa" w:w="5112"/>
            <w:vAlign w:val="center"/>
          </w:tcPr>
          <w:p>
            <w:r>
              <w:t>Fest-specific websites</w:t>
            </w:r>
          </w:p>
        </w:tc>
      </w:tr>
      <w:tr>
        <w:tc>
          <w:tcPr>
            <w:tcW w:type="dxa" w:w="5112"/>
            <w:vAlign w:val="center"/>
          </w:tcPr>
          <w:p>
            <w:r>
              <w:t>Student deals and sponsorships</w:t>
            </w:r>
          </w:p>
        </w:tc>
        <w:tc>
          <w:tcPr>
            <w:tcW w:type="dxa" w:w="5112"/>
            <w:vAlign w:val="center"/>
          </w:tcPr>
          <w:p>
            <w:r>
              <w:t>Institutional resistance</w:t>
            </w:r>
          </w:p>
        </w:tc>
      </w:tr>
      <w:tr>
        <w:tc>
          <w:tcPr>
            <w:tcW w:type="dxa" w:w="5112"/>
            <w:vAlign w:val="center"/>
          </w:tcPr>
          <w:p>
            <w:r>
              <w:t>Secondary ticketing where permitted</w:t>
            </w:r>
          </w:p>
        </w:tc>
        <w:tc>
          <w:tcPr>
            <w:tcW w:type="dxa" w:w="5112"/>
            <w:vAlign w:val="center"/>
          </w:tcPr>
          <w:p>
            <w:r>
              <w:t>BookMyShow and broader ticketing players</w:t>
            </w:r>
          </w:p>
        </w:tc>
      </w:tr>
    </w:tbl>
    <w:p>
      <w:pPr>
        <w:pStyle w:val="Heading1"/>
      </w:pPr>
      <w:r>
        <w:t>13. Porter's Five Forces</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rPr>
                <w:b/>
              </w:rPr>
              <w:t>Force</w:t>
            </w:r>
          </w:p>
        </w:tc>
        <w:tc>
          <w:tcPr>
            <w:tcW w:type="dxa" w:w="3408"/>
          </w:tcPr>
          <w:p>
            <w:r>
              <w:rPr>
                <w:b/>
              </w:rPr>
              <w:t>Intensity</w:t>
            </w:r>
          </w:p>
        </w:tc>
        <w:tc>
          <w:tcPr>
            <w:tcW w:type="dxa" w:w="3408"/>
          </w:tcPr>
          <w:p>
            <w:r>
              <w:rPr>
                <w:b/>
              </w:rPr>
              <w:t>Reason</w:t>
            </w:r>
          </w:p>
        </w:tc>
      </w:tr>
      <w:tr>
        <w:tc>
          <w:tcPr>
            <w:tcW w:type="dxa" w:w="3408"/>
            <w:vAlign w:val="center"/>
          </w:tcPr>
          <w:p>
            <w:r>
              <w:t>Threat of new entrants</w:t>
            </w:r>
          </w:p>
        </w:tc>
        <w:tc>
          <w:tcPr>
            <w:tcW w:type="dxa" w:w="3408"/>
            <w:vAlign w:val="center"/>
          </w:tcPr>
          <w:p>
            <w:r>
              <w:t>Medium</w:t>
            </w:r>
          </w:p>
        </w:tc>
        <w:tc>
          <w:tcPr>
            <w:tcW w:type="dxa" w:w="3408"/>
            <w:vAlign w:val="center"/>
          </w:tcPr>
          <w:p>
            <w:r>
              <w:t>Technology is accessible, but campus relationships and event inventory are harder to build</w:t>
            </w:r>
          </w:p>
        </w:tc>
      </w:tr>
      <w:tr>
        <w:tc>
          <w:tcPr>
            <w:tcW w:type="dxa" w:w="3408"/>
            <w:vAlign w:val="center"/>
          </w:tcPr>
          <w:p>
            <w:r>
              <w:t>Supplier power</w:t>
            </w:r>
          </w:p>
        </w:tc>
        <w:tc>
          <w:tcPr>
            <w:tcW w:type="dxa" w:w="3408"/>
            <w:vAlign w:val="center"/>
          </w:tcPr>
          <w:p>
            <w:r>
              <w:t>High</w:t>
            </w:r>
          </w:p>
        </w:tc>
        <w:tc>
          <w:tcPr>
            <w:tcW w:type="dxa" w:w="3408"/>
            <w:vAlign w:val="center"/>
          </w:tcPr>
          <w:p>
            <w:r>
              <w:t>Societies and major fests control valuable event inventory</w:t>
            </w:r>
          </w:p>
        </w:tc>
      </w:tr>
      <w:tr>
        <w:tc>
          <w:tcPr>
            <w:tcW w:type="dxa" w:w="3408"/>
            <w:vAlign w:val="center"/>
          </w:tcPr>
          <w:p>
            <w:r>
              <w:t>Buyer power</w:t>
            </w:r>
          </w:p>
        </w:tc>
        <w:tc>
          <w:tcPr>
            <w:tcW w:type="dxa" w:w="3408"/>
            <w:vAlign w:val="center"/>
          </w:tcPr>
          <w:p>
            <w:r>
              <w:t>Medium</w:t>
            </w:r>
          </w:p>
        </w:tc>
        <w:tc>
          <w:tcPr>
            <w:tcW w:type="dxa" w:w="3408"/>
            <w:vAlign w:val="center"/>
          </w:tcPr>
          <w:p>
            <w:r>
              <w:t>Students have free alternatives such as Instagram and WhatsApp</w:t>
            </w:r>
          </w:p>
        </w:tc>
      </w:tr>
      <w:tr>
        <w:tc>
          <w:tcPr>
            <w:tcW w:type="dxa" w:w="3408"/>
            <w:vAlign w:val="center"/>
          </w:tcPr>
          <w:p>
            <w:r>
              <w:t>Threat of substitutes</w:t>
            </w:r>
          </w:p>
        </w:tc>
        <w:tc>
          <w:tcPr>
            <w:tcW w:type="dxa" w:w="3408"/>
            <w:vAlign w:val="center"/>
          </w:tcPr>
          <w:p>
            <w:r>
              <w:t>High</w:t>
            </w:r>
          </w:p>
        </w:tc>
        <w:tc>
          <w:tcPr>
            <w:tcW w:type="dxa" w:w="3408"/>
            <w:vAlign w:val="center"/>
          </w:tcPr>
          <w:p>
            <w:r>
              <w:t>Social platforms and existing fest systems can perform parts of the job</w:t>
            </w:r>
          </w:p>
        </w:tc>
      </w:tr>
      <w:tr>
        <w:tc>
          <w:tcPr>
            <w:tcW w:type="dxa" w:w="3408"/>
            <w:vAlign w:val="center"/>
          </w:tcPr>
          <w:p>
            <w:r>
              <w:t>Competitive rivalry</w:t>
            </w:r>
          </w:p>
        </w:tc>
        <w:tc>
          <w:tcPr>
            <w:tcW w:type="dxa" w:w="3408"/>
            <w:vAlign w:val="center"/>
          </w:tcPr>
          <w:p>
            <w:r>
              <w:t>Medium</w:t>
            </w:r>
          </w:p>
        </w:tc>
        <w:tc>
          <w:tcPr>
            <w:tcW w:type="dxa" w:w="3408"/>
            <w:vAlign w:val="center"/>
          </w:tcPr>
          <w:p>
            <w:r>
              <w:t>University event/super-app products already exist</w:t>
            </w:r>
          </w:p>
        </w:tc>
      </w:tr>
    </w:tbl>
    <w:p>
      <w:pPr>
        <w:pStyle w:val="Heading1"/>
      </w:pPr>
      <w:r>
        <w:t>14. PESTEL</w:t>
      </w:r>
    </w:p>
    <w:tbl>
      <w:tblPr>
        <w:tblStyle w:val="TableGrid"/>
        <w:tblW w:type="auto" w:w="0"/>
        <w:jc w:val="center"/>
        <w:tblLook w:firstColumn="1" w:firstRow="1" w:lastColumn="0" w:lastRow="0" w:noHBand="0" w:noVBand="1" w:val="04A0"/>
      </w:tblPr>
      <w:tblGrid>
        <w:gridCol w:w="5112"/>
        <w:gridCol w:w="5112"/>
      </w:tblGrid>
      <w:tr>
        <w:tc>
          <w:tcPr>
            <w:tcW w:type="dxa" w:w="5112"/>
          </w:tcPr>
          <w:p>
            <w:r>
              <w:rPr>
                <w:b/>
              </w:rPr>
              <w:t>Factor</w:t>
            </w:r>
          </w:p>
        </w:tc>
        <w:tc>
          <w:tcPr>
            <w:tcW w:type="dxa" w:w="5112"/>
          </w:tcPr>
          <w:p>
            <w:r>
              <w:rPr>
                <w:b/>
              </w:rPr>
              <w:t>Relevance</w:t>
            </w:r>
          </w:p>
        </w:tc>
      </w:tr>
      <w:tr>
        <w:tc>
          <w:tcPr>
            <w:tcW w:type="dxa" w:w="5112"/>
            <w:vAlign w:val="center"/>
          </w:tcPr>
          <w:p>
            <w:r>
              <w:t>Political / Institutional</w:t>
            </w:r>
          </w:p>
        </w:tc>
        <w:tc>
          <w:tcPr>
            <w:tcW w:type="dxa" w:w="5112"/>
            <w:vAlign w:val="center"/>
          </w:tcPr>
          <w:p>
            <w:r>
              <w:t>Campus permissions and student-organization governance</w:t>
            </w:r>
          </w:p>
        </w:tc>
      </w:tr>
      <w:tr>
        <w:tc>
          <w:tcPr>
            <w:tcW w:type="dxa" w:w="5112"/>
            <w:vAlign w:val="center"/>
          </w:tcPr>
          <w:p>
            <w:r>
              <w:t>Economic</w:t>
            </w:r>
          </w:p>
        </w:tc>
        <w:tc>
          <w:tcPr>
            <w:tcW w:type="dxa" w:w="5112"/>
            <w:vAlign w:val="center"/>
          </w:tcPr>
          <w:p>
            <w:r>
              <w:t>Growing live-events and experience economy</w:t>
            </w:r>
          </w:p>
        </w:tc>
      </w:tr>
      <w:tr>
        <w:tc>
          <w:tcPr>
            <w:tcW w:type="dxa" w:w="5112"/>
            <w:vAlign w:val="center"/>
          </w:tcPr>
          <w:p>
            <w:r>
              <w:t>Social</w:t>
            </w:r>
          </w:p>
        </w:tc>
        <w:tc>
          <w:tcPr>
            <w:tcW w:type="dxa" w:w="5112"/>
            <w:vAlign w:val="center"/>
          </w:tcPr>
          <w:p>
            <w:r>
              <w:t>FOMO, social discovery, creator culture and campus identity</w:t>
            </w:r>
          </w:p>
        </w:tc>
      </w:tr>
      <w:tr>
        <w:tc>
          <w:tcPr>
            <w:tcW w:type="dxa" w:w="5112"/>
            <w:vAlign w:val="center"/>
          </w:tcPr>
          <w:p>
            <w:r>
              <w:t>Technological</w:t>
            </w:r>
          </w:p>
        </w:tc>
        <w:tc>
          <w:tcPr>
            <w:tcW w:type="dxa" w:w="5112"/>
            <w:vAlign w:val="center"/>
          </w:tcPr>
          <w:p>
            <w:r>
              <w:t>UPI, QR tickets, mobile wallets, personalization and AI recommendations</w:t>
            </w:r>
          </w:p>
        </w:tc>
      </w:tr>
      <w:tr>
        <w:tc>
          <w:tcPr>
            <w:tcW w:type="dxa" w:w="5112"/>
            <w:vAlign w:val="center"/>
          </w:tcPr>
          <w:p>
            <w:r>
              <w:t>Environmental</w:t>
            </w:r>
          </w:p>
        </w:tc>
        <w:tc>
          <w:tcPr>
            <w:tcW w:type="dxa" w:w="5112"/>
            <w:vAlign w:val="center"/>
          </w:tcPr>
          <w:p>
            <w:r>
              <w:t>Digital passes and potential event sustainability features</w:t>
            </w:r>
          </w:p>
        </w:tc>
      </w:tr>
      <w:tr>
        <w:tc>
          <w:tcPr>
            <w:tcW w:type="dxa" w:w="5112"/>
            <w:vAlign w:val="center"/>
          </w:tcPr>
          <w:p>
            <w:r>
              <w:t>Legal</w:t>
            </w:r>
          </w:p>
        </w:tc>
        <w:tc>
          <w:tcPr>
            <w:tcW w:type="dxa" w:w="5112"/>
            <w:vAlign w:val="center"/>
          </w:tcPr>
          <w:p>
            <w:r>
              <w:t>Refunds, payment compliance, privacy and rules around ticket transfer/resale</w:t>
            </w:r>
          </w:p>
        </w:tc>
      </w:tr>
    </w:tbl>
    <w:p>
      <w:pPr>
        <w:pStyle w:val="Heading1"/>
      </w:pPr>
      <w:r>
        <w:t>15. Key Strategic Question: Why Not Instagram?</w:t>
      </w:r>
    </w:p>
    <w:p>
      <w:r>
        <w:rPr>
          <w:b/>
        </w:rPr>
        <w:t>Answer: Instagram is primarily a content-discovery platform; IITD Live is a transaction platform.</w:t>
      </w:r>
    </w:p>
    <w:p>
      <w:r>
        <w:t>Instagram can tell a student that Rendezvous is happening. IITD Live could tell the student when it is happening, who they know is attending, how many passes remain, allow the student to buy the pass and keep the QR credential in a wallet.</w:t>
      </w:r>
    </w:p>
    <w:p>
      <w:pPr>
        <w:pStyle w:val="Heading1"/>
      </w:pPr>
      <w:r>
        <w:t>16. Key Strategic Question: Why Would IIT Delhi Need This?</w:t>
      </w:r>
    </w:p>
    <w:p>
      <w:r>
        <w:t>The product should not be positioned as replacing official fest websites or registration systems. Instead, it should operate as an aggregation, discovery, commerce and identity layer above existing event infrastructure.</w:t>
      </w:r>
    </w:p>
    <w:p>
      <w:pPr>
        <w:pStyle w:val="Heading1"/>
      </w:pPr>
      <w:r>
        <w:t>17. Validation Plan</w:t>
      </w:r>
    </w:p>
    <w:p>
      <w:r>
        <w:t>Before building the product, conduct primary research.</w:t>
      </w:r>
    </w:p>
    <w:p>
      <w:pPr>
        <w:pStyle w:val="Heading2"/>
      </w:pPr>
      <w:r>
        <w:t>Student survey — target 150–250 responses</w:t>
      </w:r>
    </w:p>
    <w:p>
      <w:pPr>
        <w:pStyle w:val="ListBullet"/>
      </w:pPr>
      <w:r>
        <w:t>How do you currently discover IITD events?</w:t>
      </w:r>
    </w:p>
    <w:p>
      <w:pPr>
        <w:pStyle w:val="ListBullet"/>
      </w:pPr>
      <w:r>
        <w:t>How many events do you attend per semester?</w:t>
      </w:r>
    </w:p>
    <w:p>
      <w:pPr>
        <w:pStyle w:val="ListBullet"/>
      </w:pPr>
      <w:r>
        <w:t>How many paid events do you attend?</w:t>
      </w:r>
    </w:p>
    <w:p>
      <w:pPr>
        <w:pStyle w:val="ListBullet"/>
      </w:pPr>
      <w:r>
        <w:t>What is your average spend per semester on events?</w:t>
      </w:r>
    </w:p>
    <w:p>
      <w:pPr>
        <w:pStyle w:val="ListBullet"/>
      </w:pPr>
      <w:r>
        <w:t>Have you ever missed an event because you did not know about it?</w:t>
      </w:r>
    </w:p>
    <w:p>
      <w:pPr>
        <w:pStyle w:val="ListBullet"/>
      </w:pPr>
      <w:r>
        <w:t>Have you ever bought a pass and later been unable to attend?</w:t>
      </w:r>
    </w:p>
    <w:p>
      <w:pPr>
        <w:pStyle w:val="ListBullet"/>
      </w:pPr>
      <w:r>
        <w:t>Would you use a single IITD event app?</w:t>
      </w:r>
    </w:p>
    <w:p>
      <w:pPr>
        <w:pStyle w:val="ListBullet"/>
      </w:pPr>
      <w:r>
        <w:t>Would you use verified pass transfer/resale?</w:t>
      </w:r>
    </w:p>
    <w:p>
      <w:pPr>
        <w:pStyle w:val="ListBullet"/>
      </w:pPr>
      <w:r>
        <w:t>Would you like to see which friends are attending?</w:t>
      </w:r>
    </w:p>
    <w:p>
      <w:pPr>
        <w:pStyle w:val="ListBullet"/>
      </w:pPr>
      <w:r>
        <w:t>Would you pay a ₹5–₹20 convenience fee for a smoother transaction?</w:t>
      </w:r>
    </w:p>
    <w:p>
      <w:pPr>
        <w:pStyle w:val="Heading2"/>
      </w:pPr>
      <w:r>
        <w:t>Organizer interviews — target 10–15 societies/fest teams</w:t>
      </w:r>
    </w:p>
    <w:p>
      <w:pPr>
        <w:pStyle w:val="ListBullet"/>
      </w:pPr>
      <w:r>
        <w:t>How are events currently promoted?</w:t>
      </w:r>
    </w:p>
    <w:p>
      <w:pPr>
        <w:pStyle w:val="ListBullet"/>
      </w:pPr>
      <w:r>
        <w:t>What tools are used for registration and ticketing?</w:t>
      </w:r>
    </w:p>
    <w:p>
      <w:pPr>
        <w:pStyle w:val="ListBullet"/>
      </w:pPr>
      <w:r>
        <w:t>How much traffic comes from Instagram, WhatsApp and word-of-mouth?</w:t>
      </w:r>
    </w:p>
    <w:p>
      <w:pPr>
        <w:pStyle w:val="ListBullet"/>
      </w:pPr>
      <w:r>
        <w:t>How are refunds and cancellations handled?</w:t>
      </w:r>
    </w:p>
    <w:p>
      <w:pPr>
        <w:pStyle w:val="ListBullet"/>
      </w:pPr>
      <w:r>
        <w:t>How is entry verified?</w:t>
      </w:r>
    </w:p>
    <w:p>
      <w:pPr>
        <w:pStyle w:val="ListBullet"/>
      </w:pPr>
      <w:r>
        <w:t>What attendance and conversion data is available?</w:t>
      </w:r>
    </w:p>
    <w:p>
      <w:pPr>
        <w:pStyle w:val="ListBullet"/>
      </w:pPr>
      <w:r>
        <w:t>Would organizers pay for analytics, promotion or ticketing infrastructure?</w:t>
      </w:r>
    </w:p>
    <w:p>
      <w:pPr>
        <w:pStyle w:val="Heading1"/>
      </w:pPr>
      <w:r>
        <w:t>18. Recommended MVP</w:t>
      </w:r>
    </w:p>
    <w:tbl>
      <w:tblPr>
        <w:tblStyle w:val="TableGrid"/>
        <w:tblW w:type="auto" w:w="0"/>
        <w:jc w:val="center"/>
        <w:tblLook w:firstColumn="1" w:firstRow="1" w:lastColumn="0" w:lastRow="0" w:noHBand="0" w:noVBand="1" w:val="04A0"/>
      </w:tblPr>
      <w:tblGrid>
        <w:gridCol w:w="5112"/>
        <w:gridCol w:w="5112"/>
      </w:tblGrid>
      <w:tr>
        <w:tc>
          <w:tcPr>
            <w:tcW w:type="dxa" w:w="5112"/>
          </w:tcPr>
          <w:p>
            <w:r>
              <w:rPr>
                <w:b/>
              </w:rPr>
              <w:t>Priority</w:t>
            </w:r>
          </w:p>
        </w:tc>
        <w:tc>
          <w:tcPr>
            <w:tcW w:type="dxa" w:w="5112"/>
          </w:tcPr>
          <w:p>
            <w:r>
              <w:rPr>
                <w:b/>
              </w:rPr>
              <w:t>Feature</w:t>
            </w:r>
          </w:p>
        </w:tc>
      </w:tr>
      <w:tr>
        <w:tc>
          <w:tcPr>
            <w:tcW w:type="dxa" w:w="5112"/>
            <w:vAlign w:val="center"/>
          </w:tcPr>
          <w:p>
            <w:r>
              <w:t>P0</w:t>
            </w:r>
          </w:p>
        </w:tc>
        <w:tc>
          <w:tcPr>
            <w:tcW w:type="dxa" w:w="5112"/>
            <w:vAlign w:val="center"/>
          </w:tcPr>
          <w:p>
            <w:r>
              <w:t>Verified IITD login / student identity</w:t>
            </w:r>
          </w:p>
        </w:tc>
      </w:tr>
      <w:tr>
        <w:tc>
          <w:tcPr>
            <w:tcW w:type="dxa" w:w="5112"/>
            <w:vAlign w:val="center"/>
          </w:tcPr>
          <w:p>
            <w:r>
              <w:t>P0</w:t>
            </w:r>
          </w:p>
        </w:tc>
        <w:tc>
          <w:tcPr>
            <w:tcW w:type="dxa" w:w="5112"/>
            <w:vAlign w:val="center"/>
          </w:tcPr>
          <w:p>
            <w:r>
              <w:t>Unified event discovery feed</w:t>
            </w:r>
          </w:p>
        </w:tc>
      </w:tr>
      <w:tr>
        <w:tc>
          <w:tcPr>
            <w:tcW w:type="dxa" w:w="5112"/>
            <w:vAlign w:val="center"/>
          </w:tcPr>
          <w:p>
            <w:r>
              <w:t>P0</w:t>
            </w:r>
          </w:p>
        </w:tc>
        <w:tc>
          <w:tcPr>
            <w:tcW w:type="dxa" w:w="5112"/>
            <w:vAlign w:val="center"/>
          </w:tcPr>
          <w:p>
            <w:r>
              <w:t>Event detail page + registration/ticket purchase</w:t>
            </w:r>
          </w:p>
        </w:tc>
      </w:tr>
      <w:tr>
        <w:tc>
          <w:tcPr>
            <w:tcW w:type="dxa" w:w="5112"/>
            <w:vAlign w:val="center"/>
          </w:tcPr>
          <w:p>
            <w:r>
              <w:t>P0</w:t>
            </w:r>
          </w:p>
        </w:tc>
        <w:tc>
          <w:tcPr>
            <w:tcW w:type="dxa" w:w="5112"/>
            <w:vAlign w:val="center"/>
          </w:tcPr>
          <w:p>
            <w:r>
              <w:t>Digital QR pass wallet</w:t>
            </w:r>
          </w:p>
        </w:tc>
      </w:tr>
      <w:tr>
        <w:tc>
          <w:tcPr>
            <w:tcW w:type="dxa" w:w="5112"/>
            <w:vAlign w:val="center"/>
          </w:tcPr>
          <w:p>
            <w:r>
              <w:t>P0</w:t>
            </w:r>
          </w:p>
        </w:tc>
        <w:tc>
          <w:tcPr>
            <w:tcW w:type="dxa" w:w="5112"/>
            <w:vAlign w:val="center"/>
          </w:tcPr>
          <w:p>
            <w:r>
              <w:t>Organizer event creation</w:t>
            </w:r>
          </w:p>
        </w:tc>
      </w:tr>
      <w:tr>
        <w:tc>
          <w:tcPr>
            <w:tcW w:type="dxa" w:w="5112"/>
            <w:vAlign w:val="center"/>
          </w:tcPr>
          <w:p>
            <w:r>
              <w:t>P1</w:t>
            </w:r>
          </w:p>
        </w:tc>
        <w:tc>
          <w:tcPr>
            <w:tcW w:type="dxa" w:w="5112"/>
            <w:vAlign w:val="center"/>
          </w:tcPr>
          <w:p>
            <w:r>
              <w:t>Personalized recommendations</w:t>
            </w:r>
          </w:p>
        </w:tc>
      </w:tr>
      <w:tr>
        <w:tc>
          <w:tcPr>
            <w:tcW w:type="dxa" w:w="5112"/>
            <w:vAlign w:val="center"/>
          </w:tcPr>
          <w:p>
            <w:r>
              <w:t>P1</w:t>
            </w:r>
          </w:p>
        </w:tc>
        <w:tc>
          <w:tcPr>
            <w:tcW w:type="dxa" w:w="5112"/>
            <w:vAlign w:val="center"/>
          </w:tcPr>
          <w:p>
            <w:r>
              <w:t>Friends / social attendance signals</w:t>
            </w:r>
          </w:p>
        </w:tc>
      </w:tr>
      <w:tr>
        <w:tc>
          <w:tcPr>
            <w:tcW w:type="dxa" w:w="5112"/>
            <w:vAlign w:val="center"/>
          </w:tcPr>
          <w:p>
            <w:r>
              <w:t>P1</w:t>
            </w:r>
          </w:p>
        </w:tc>
        <w:tc>
          <w:tcPr>
            <w:tcW w:type="dxa" w:w="5112"/>
            <w:vAlign w:val="center"/>
          </w:tcPr>
          <w:p>
            <w:r>
              <w:t>Organizer analytics</w:t>
            </w:r>
          </w:p>
        </w:tc>
      </w:tr>
      <w:tr>
        <w:tc>
          <w:tcPr>
            <w:tcW w:type="dxa" w:w="5112"/>
            <w:vAlign w:val="center"/>
          </w:tcPr>
          <w:p>
            <w:r>
              <w:t>P2</w:t>
            </w:r>
          </w:p>
        </w:tc>
        <w:tc>
          <w:tcPr>
            <w:tcW w:type="dxa" w:w="5112"/>
            <w:vAlign w:val="center"/>
          </w:tcPr>
          <w:p>
            <w:r>
              <w:t>Eligible pass transfer/resale</w:t>
            </w:r>
          </w:p>
        </w:tc>
      </w:tr>
      <w:tr>
        <w:tc>
          <w:tcPr>
            <w:tcW w:type="dxa" w:w="5112"/>
            <w:vAlign w:val="center"/>
          </w:tcPr>
          <w:p>
            <w:r>
              <w:t>P2</w:t>
            </w:r>
          </w:p>
        </w:tc>
        <w:tc>
          <w:tcPr>
            <w:tcW w:type="dxa" w:w="5112"/>
            <w:vAlign w:val="center"/>
          </w:tcPr>
          <w:p>
            <w:r>
              <w:t>Event bundles, flash offers and loyalty</w:t>
            </w:r>
          </w:p>
        </w:tc>
      </w:tr>
    </w:tbl>
    <w:p>
      <w:pPr>
        <w:pStyle w:val="Heading1"/>
      </w:pPr>
      <w:r>
        <w:t>19. Overall Evaluation</w:t>
      </w:r>
    </w:p>
    <w:tbl>
      <w:tblPr>
        <w:tblStyle w:val="TableGrid"/>
        <w:tblW w:type="auto" w:w="0"/>
        <w:jc w:val="center"/>
        <w:tblLook w:firstColumn="1" w:firstRow="1" w:lastColumn="0" w:lastRow="0" w:noHBand="0" w:noVBand="1" w:val="04A0"/>
      </w:tblPr>
      <w:tblGrid>
        <w:gridCol w:w="5112"/>
        <w:gridCol w:w="5112"/>
      </w:tblGrid>
      <w:tr>
        <w:tc>
          <w:tcPr>
            <w:tcW w:type="dxa" w:w="5112"/>
          </w:tcPr>
          <w:p>
            <w:r>
              <w:rPr>
                <w:b/>
              </w:rPr>
              <w:t>Dimension</w:t>
            </w:r>
          </w:p>
        </w:tc>
        <w:tc>
          <w:tcPr>
            <w:tcW w:type="dxa" w:w="5112"/>
          </w:tcPr>
          <w:p>
            <w:r>
              <w:rPr>
                <w:b/>
              </w:rPr>
              <w:t>Score / 10</w:t>
            </w:r>
          </w:p>
        </w:tc>
      </w:tr>
      <w:tr>
        <w:tc>
          <w:tcPr>
            <w:tcW w:type="dxa" w:w="5112"/>
            <w:vAlign w:val="center"/>
          </w:tcPr>
          <w:p>
            <w:r>
              <w:t>Problem severity</w:t>
            </w:r>
          </w:p>
        </w:tc>
        <w:tc>
          <w:tcPr>
            <w:tcW w:type="dxa" w:w="5112"/>
            <w:vAlign w:val="center"/>
          </w:tcPr>
          <w:p>
            <w:r>
              <w:t>8</w:t>
            </w:r>
          </w:p>
        </w:tc>
      </w:tr>
      <w:tr>
        <w:tc>
          <w:tcPr>
            <w:tcW w:type="dxa" w:w="5112"/>
            <w:vAlign w:val="center"/>
          </w:tcPr>
          <w:p>
            <w:r>
              <w:t>Market attractiveness</w:t>
            </w:r>
          </w:p>
        </w:tc>
        <w:tc>
          <w:tcPr>
            <w:tcW w:type="dxa" w:w="5112"/>
            <w:vAlign w:val="center"/>
          </w:tcPr>
          <w:p>
            <w:r>
              <w:t>9</w:t>
            </w:r>
          </w:p>
        </w:tc>
      </w:tr>
      <w:tr>
        <w:tc>
          <w:tcPr>
            <w:tcW w:type="dxa" w:w="5112"/>
            <w:vAlign w:val="center"/>
          </w:tcPr>
          <w:p>
            <w:r>
              <w:t>Mobile-commerce fit</w:t>
            </w:r>
          </w:p>
        </w:tc>
        <w:tc>
          <w:tcPr>
            <w:tcW w:type="dxa" w:w="5112"/>
            <w:vAlign w:val="center"/>
          </w:tcPr>
          <w:p>
            <w:r>
              <w:t>10</w:t>
            </w:r>
          </w:p>
        </w:tc>
      </w:tr>
      <w:tr>
        <w:tc>
          <w:tcPr>
            <w:tcW w:type="dxa" w:w="5112"/>
            <w:vAlign w:val="center"/>
          </w:tcPr>
          <w:p>
            <w:r>
              <w:t>Differentiation</w:t>
            </w:r>
          </w:p>
        </w:tc>
        <w:tc>
          <w:tcPr>
            <w:tcW w:type="dxa" w:w="5112"/>
            <w:vAlign w:val="center"/>
          </w:tcPr>
          <w:p>
            <w:r>
              <w:t>7</w:t>
            </w:r>
          </w:p>
        </w:tc>
      </w:tr>
      <w:tr>
        <w:tc>
          <w:tcPr>
            <w:tcW w:type="dxa" w:w="5112"/>
            <w:vAlign w:val="center"/>
          </w:tcPr>
          <w:p>
            <w:r>
              <w:t>Technical feasibility</w:t>
            </w:r>
          </w:p>
        </w:tc>
        <w:tc>
          <w:tcPr>
            <w:tcW w:type="dxa" w:w="5112"/>
            <w:vAlign w:val="center"/>
          </w:tcPr>
          <w:p>
            <w:r>
              <w:t>9</w:t>
            </w:r>
          </w:p>
        </w:tc>
      </w:tr>
      <w:tr>
        <w:tc>
          <w:tcPr>
            <w:tcW w:type="dxa" w:w="5112"/>
            <w:vAlign w:val="center"/>
          </w:tcPr>
          <w:p>
            <w:r>
              <w:t>Network effects</w:t>
            </w:r>
          </w:p>
        </w:tc>
        <w:tc>
          <w:tcPr>
            <w:tcW w:type="dxa" w:w="5112"/>
            <w:vAlign w:val="center"/>
          </w:tcPr>
          <w:p>
            <w:r>
              <w:t>9</w:t>
            </w:r>
          </w:p>
        </w:tc>
      </w:tr>
      <w:tr>
        <w:tc>
          <w:tcPr>
            <w:tcW w:type="dxa" w:w="5112"/>
            <w:vAlign w:val="center"/>
          </w:tcPr>
          <w:p>
            <w:r>
              <w:t>Monetization</w:t>
            </w:r>
          </w:p>
        </w:tc>
        <w:tc>
          <w:tcPr>
            <w:tcW w:type="dxa" w:w="5112"/>
            <w:vAlign w:val="center"/>
          </w:tcPr>
          <w:p>
            <w:r>
              <w:t>8</w:t>
            </w:r>
          </w:p>
        </w:tc>
      </w:tr>
      <w:tr>
        <w:tc>
          <w:tcPr>
            <w:tcW w:type="dxa" w:w="5112"/>
            <w:vAlign w:val="center"/>
          </w:tcPr>
          <w:p>
            <w:r>
              <w:t>Scalability</w:t>
            </w:r>
          </w:p>
        </w:tc>
        <w:tc>
          <w:tcPr>
            <w:tcW w:type="dxa" w:w="5112"/>
            <w:vAlign w:val="center"/>
          </w:tcPr>
          <w:p>
            <w:r>
              <w:t>9</w:t>
            </w:r>
          </w:p>
        </w:tc>
      </w:tr>
      <w:tr>
        <w:tc>
          <w:tcPr>
            <w:tcW w:type="dxa" w:w="5112"/>
            <w:vAlign w:val="center"/>
          </w:tcPr>
          <w:p>
            <w:r>
              <w:t>Institutional dependency risk</w:t>
            </w:r>
          </w:p>
        </w:tc>
        <w:tc>
          <w:tcPr>
            <w:tcW w:type="dxa" w:w="5112"/>
            <w:vAlign w:val="center"/>
          </w:tcPr>
          <w:p>
            <w:r>
              <w:t>7</w:t>
            </w:r>
          </w:p>
        </w:tc>
      </w:tr>
      <w:tr>
        <w:tc>
          <w:tcPr>
            <w:tcW w:type="dxa" w:w="5112"/>
            <w:vAlign w:val="center"/>
          </w:tcPr>
          <w:p>
            <w:r>
              <w:t>Overall project attractiveness</w:t>
            </w:r>
          </w:p>
        </w:tc>
        <w:tc>
          <w:tcPr>
            <w:tcW w:type="dxa" w:w="5112"/>
            <w:vAlign w:val="center"/>
          </w:tcPr>
          <w:p>
            <w:r>
              <w:t>8.6</w:t>
            </w:r>
          </w:p>
        </w:tc>
      </w:tr>
    </w:tbl>
    <w:p>
      <w:pPr>
        <w:pStyle w:val="Heading1"/>
      </w:pPr>
      <w:r>
        <w:t>20. Recommended Positioning</w:t>
      </w:r>
    </w:p>
    <w:p>
      <w:r>
        <w:rPr>
          <w:b/>
        </w:rPr>
        <w:t>Do not pitch IITD Live as an “event listing app.”</w:t>
      </w:r>
    </w:p>
    <w:p>
      <w:r>
        <w:t>Pitch it as: “A verified campus experience marketplace that connects event discovery, social proof, ticketing, digital passes and eligible secondary transactions.”</w:t>
      </w:r>
    </w:p>
    <w:p>
      <w:r>
        <w:rPr>
          <w:b/>
        </w:rPr>
        <w:t>Recommended tagline: “IITD Live — Your campus. Your events. One app.”</w:t>
      </w:r>
    </w:p>
    <w:p>
      <w:pPr>
        <w:pStyle w:val="Heading1"/>
      </w:pPr>
      <w:r>
        <w:t>Sources &amp; Research Anchors</w:t>
      </w:r>
    </w:p>
    <w:p>
      <w:pPr>
        <w:pStyle w:val="ListBullet"/>
      </w:pPr>
      <w:r>
        <w:rPr>
          <w:b/>
        </w:rPr>
        <w:t xml:space="preserve">Press Information Bureau — live events sector: </w:t>
      </w:r>
      <w:r>
        <w:t>https://www.pib.gov.in/PressReleseDetailm.aspx?PRID=2320301&amp;lang=1&amp;reg=3</w:t>
      </w:r>
    </w:p>
    <w:p>
      <w:pPr>
        <w:pStyle w:val="ListBullet"/>
      </w:pPr>
      <w:r>
        <w:rPr>
          <w:b/>
        </w:rPr>
        <w:t xml:space="preserve">Press Information Bureau — higher education / AISHE data: </w:t>
      </w:r>
      <w:r>
        <w:t>https://www.pib.gov.in/PressReleasePage.aspx?PRID=2294032&amp;lang=2&amp;reg=48</w:t>
      </w:r>
    </w:p>
    <w:p>
      <w:pPr>
        <w:pStyle w:val="ListBullet"/>
      </w:pPr>
      <w:r>
        <w:rPr>
          <w:b/>
        </w:rPr>
        <w:t xml:space="preserve">IIT Delhi International — campus life / Rendezvous context: </w:t>
      </w:r>
      <w:r>
        <w:t>https://international.iitd.ac.in/life/</w:t>
      </w:r>
    </w:p>
    <w:p>
      <w:pPr>
        <w:pStyle w:val="ListBullet"/>
      </w:pPr>
      <w:r>
        <w:rPr>
          <w:b/>
        </w:rPr>
        <w:t xml:space="preserve">Rendezvous IIT Delhi — terms / registration context: </w:t>
      </w:r>
      <w:r>
        <w:t>https://www.rendezvous-iitd.org/terms-of-service</w:t>
      </w:r>
    </w:p>
    <w:p>
      <w:pPr>
        <w:pStyle w:val="ListBullet"/>
      </w:pPr>
      <w:r>
        <w:rPr>
          <w:b/>
        </w:rPr>
        <w:t xml:space="preserve">Campus by Rubric: </w:t>
      </w:r>
      <w:r>
        <w:t>https://campus.hellorubric.com/mobile_app</w:t>
      </w:r>
    </w:p>
    <w:p>
      <w:pPr>
        <w:pStyle w:val="ListBullet"/>
      </w:pPr>
      <w:r>
        <w:rPr>
          <w:b/>
        </w:rPr>
        <w:t xml:space="preserve">Student Seats: </w:t>
      </w:r>
      <w:r>
        <w:t>https://apps.apple.com/us/app/student-seats/id1583626967</w:t>
      </w:r>
    </w:p>
    <w:p>
      <w:pPr>
        <w:pStyle w:val="ListBullet"/>
      </w:pPr>
      <w:r>
        <w:rPr>
          <w:b/>
        </w:rPr>
        <w:t xml:space="preserve">Unify: </w:t>
      </w:r>
      <w:r>
        <w:t>https://unifymarketplace.com/</w:t>
      </w:r>
    </w:p>
    <w:p>
      <w:pPr>
        <w:pStyle w:val="ListBullet"/>
      </w:pPr>
      <w:r>
        <w:rPr>
          <w:b/>
        </w:rPr>
        <w:t xml:space="preserve">DU Unify: </w:t>
      </w:r>
      <w:r>
        <w:t>https://play.google.com/store/apps/details?id=com.lonewolves.admin_app</w:t>
      </w:r>
    </w:p>
    <w:p>
      <w:pPr>
        <w:pStyle w:val="Heading1"/>
      </w:pPr>
      <w:r>
        <w:t>Important Note on Market Sizing</w:t>
      </w:r>
    </w:p>
    <w:p>
      <w:r>
        <w:t>TAM/SAM/SOM numbers in this report are illustrative bottom-up estimates for classroom strategy work. They combine published enrollment/event-sector anchors with explicit modelling assumptions. Before presenting them as a final business case, validate the assumptions through a student survey, organizer interviews and actual IITD event/ticketing data.</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