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РУКОВОДСТВО ОПЕРАТОРА</w:t>
      </w:r>
    </w:p>
    <w:p>
      <w:pPr/>
      <w:r>
        <w:rPr>
          <w:b/>
        </w:rPr>
        <w:t xml:space="preserve">Информационная система «Учёт техники техникума»</w:t>
      </w:r>
    </w:p>
    <w:p>
      <w:pPr/>
      <w:r>
        <w:t xml:space="preserve">Оформлено в соответствии с ГОСТ 19.505-79 «ЕСПД. Руководство оператора. Требования к содержанию и оформлению»</w:t>
      </w:r>
    </w:p>
    <w:p>
      <w:pPr/>
      <w:r>
        <w:t xml:space="preserve">2026</w:t>
      </w:r>
    </w:p>
    <w:p>
      <w:pPr>
        <w:pStyle w:val="Heading2"/>
      </w:pPr>
      <w:r>
        <w:t xml:space="preserve">1. Назначение программы</w:t>
      </w:r>
    </w:p>
    <w:p>
      <w:pPr>
        <w:pStyle w:val="Heading3"/>
      </w:pPr>
      <w:r>
        <w:t xml:space="preserve">1.1. Функциональное назначение</w:t>
      </w:r>
    </w:p>
    <w:p>
      <w:pPr/>
      <w:r>
        <w:t xml:space="preserve">Информационная система «Учёт техники техникума» (далее — программа) предназначена для автоматизации учёта компьютерной и оргтехники образовательного учреждения: ведения единого реестра техники, контроля её местонахождения, состояния и материальной ответственности, хранения истории перемещений и формирования отчётов.</w:t>
      </w:r>
    </w:p>
    <w:p>
      <w:pPr/>
      <w:r>
        <w:t xml:space="preserve">Программа обеспечивает выполнение следующих функций:</w:t>
      </w:r>
    </w:p>
    <w:p>
      <w:pPr>
        <w:pStyle w:val="ListParagraph"/>
        <w:numPr>
          <w:ilvl w:val="0"/>
          <w:numId w:val="2"/>
        </w:numPr>
      </w:pPr>
      <w:r>
        <w:t xml:space="preserve">ведение картотеки техники (инвентарный номер, наименование, тип, модель, серийный номер, стоимость, дата поступления);</w:t>
      </w:r>
    </w:p>
    <w:p>
      <w:pPr>
        <w:pStyle w:val="ListParagraph"/>
        <w:numPr>
          <w:ilvl w:val="0"/>
          <w:numId w:val="2"/>
        </w:numPr>
      </w:pPr>
      <w:r>
        <w:t xml:space="preserve">учёт местонахождения (кабинет, склад) и материально-ответственных лиц;</w:t>
      </w:r>
    </w:p>
    <w:p>
      <w:pPr>
        <w:pStyle w:val="ListParagraph"/>
        <w:numPr>
          <w:ilvl w:val="0"/>
          <w:numId w:val="2"/>
        </w:numPr>
      </w:pPr>
      <w:r>
        <w:t xml:space="preserve">фиксацию статусов: «в эксплуатации», «на складе», «в ремонте», «списано»;</w:t>
      </w:r>
    </w:p>
    <w:p>
      <w:pPr>
        <w:pStyle w:val="ListParagraph"/>
        <w:numPr>
          <w:ilvl w:val="0"/>
          <w:numId w:val="2"/>
        </w:numPr>
      </w:pPr>
      <w:r>
        <w:t xml:space="preserve">ведение истории перемещений и изменений статуса;</w:t>
      </w:r>
    </w:p>
    <w:p>
      <w:pPr>
        <w:pStyle w:val="ListParagraph"/>
        <w:numPr>
          <w:ilvl w:val="0"/>
          <w:numId w:val="2"/>
        </w:numPr>
      </w:pPr>
      <w:r>
        <w:t xml:space="preserve">поиск и фильтрацию записей по любому полю;</w:t>
      </w:r>
    </w:p>
    <w:p>
      <w:pPr>
        <w:pStyle w:val="ListParagraph"/>
        <w:numPr>
          <w:ilvl w:val="0"/>
          <w:numId w:val="2"/>
        </w:numPr>
      </w:pPr>
      <w:r>
        <w:t xml:space="preserve">формирование отчётов (по кабинетам, типам, ответственным, состоянию) с выводом на экран, печатью и выгрузкой в CSV;</w:t>
      </w:r>
    </w:p>
    <w:p>
      <w:pPr>
        <w:pStyle w:val="ListParagraph"/>
        <w:numPr>
          <w:ilvl w:val="0"/>
          <w:numId w:val="2"/>
        </w:numPr>
      </w:pPr>
      <w:r>
        <w:t xml:space="preserve">ведение справочников (типы техники, кабинеты, сотрудники);</w:t>
      </w:r>
    </w:p>
    <w:p>
      <w:pPr>
        <w:pStyle w:val="ListParagraph"/>
        <w:numPr>
          <w:ilvl w:val="0"/>
          <w:numId w:val="2"/>
        </w:numPr>
      </w:pPr>
      <w:r>
        <w:t xml:space="preserve">разграничение прав доступа (роли «администратор» и «оператор»).</w:t>
      </w:r>
    </w:p>
    <w:p>
      <w:pPr>
        <w:pStyle w:val="Heading3"/>
      </w:pPr>
      <w:r>
        <w:t xml:space="preserve">1.2. Эксплуатационное назначение</w:t>
      </w:r>
    </w:p>
    <w:p>
      <w:pPr/>
      <w:r>
        <w:t xml:space="preserve">Программа эксплуатируется в отделе информационных технологий и администрации техникума. Оператором программы является системный администратор, инженер или иной сотрудник, ответственный за учёт техники.</w:t>
      </w:r>
    </w:p>
    <w:p>
      <w:pPr>
        <w:pStyle w:val="Heading3"/>
      </w:pPr>
      <w:r>
        <w:t xml:space="preserve">1.3. Ограничения</w:t>
      </w:r>
    </w:p>
    <w:p>
      <w:pPr>
        <w:pStyle w:val="ListParagraph"/>
        <w:numPr>
          <w:ilvl w:val="0"/>
          <w:numId w:val="3"/>
        </w:numPr>
      </w:pPr>
      <w:r>
        <w:t xml:space="preserve">программа не ведёт бухгалтерский учёт и не рассчитывает амортизацию;</w:t>
      </w:r>
    </w:p>
    <w:p>
      <w:pPr>
        <w:pStyle w:val="ListParagraph"/>
        <w:numPr>
          <w:ilvl w:val="0"/>
          <w:numId w:val="3"/>
        </w:numPr>
      </w:pPr>
      <w:r>
        <w:t xml:space="preserve">запись об удалённой технике восстановлению через интерфейс не подлежит; вместо удаления используется статус «списано»;</w:t>
      </w:r>
    </w:p>
    <w:p>
      <w:pPr>
        <w:pStyle w:val="ListParagraph"/>
        <w:numPr>
          <w:ilvl w:val="0"/>
          <w:numId w:val="3"/>
        </w:numPr>
      </w:pPr>
      <w:r>
        <w:t xml:space="preserve">справочные записи, связанные с единицами техники, удалить нельзя;</w:t>
      </w:r>
    </w:p>
    <w:p>
      <w:pPr>
        <w:pStyle w:val="ListParagraph"/>
        <w:numPr>
          <w:ilvl w:val="0"/>
          <w:numId w:val="3"/>
        </w:numPr>
      </w:pPr>
      <w:r>
        <w:t xml:space="preserve">справочниками и учётными записями пользователей управляет только администратор.</w:t>
      </w:r>
    </w:p>
    <w:p>
      <w:pPr>
        <w:pStyle w:val="Heading2"/>
      </w:pPr>
      <w:r>
        <w:t xml:space="preserve">2. Условия выполнения программы</w:t>
      </w:r>
    </w:p>
    <w:p>
      <w:pPr>
        <w:pStyle w:val="Heading3"/>
      </w:pPr>
      <w:r>
        <w:t xml:space="preserve">2.1. Требования к аппаратным средствам</w:t>
      </w:r>
    </w:p>
    <w:p>
      <w:pPr/>
      <w:r>
        <w:t xml:space="preserve">Сервер (рабочее место, на котором запущено приложение):</w:t>
      </w:r>
    </w:p>
    <w:p>
      <w:pPr>
        <w:pStyle w:val="ListParagraph"/>
        <w:numPr>
          <w:ilvl w:val="0"/>
          <w:numId w:val="4"/>
        </w:numPr>
      </w:pPr>
      <w:r>
        <w:t xml:space="preserve">процессор с тактовой частотой не ниже 1,5 ГГц;</w:t>
      </w:r>
    </w:p>
    <w:p>
      <w:pPr>
        <w:pStyle w:val="ListParagraph"/>
        <w:numPr>
          <w:ilvl w:val="0"/>
          <w:numId w:val="4"/>
        </w:numPr>
      </w:pPr>
      <w:r>
        <w:t xml:space="preserve">оперативная память не менее 2 ГБ;</w:t>
      </w:r>
    </w:p>
    <w:p>
      <w:pPr>
        <w:pStyle w:val="ListParagraph"/>
        <w:numPr>
          <w:ilvl w:val="0"/>
          <w:numId w:val="4"/>
        </w:numPr>
      </w:pPr>
      <w:r>
        <w:t xml:space="preserve">свободное место на диске не менее 500 МБ (с учётом резервных копий);</w:t>
      </w:r>
    </w:p>
    <w:p>
      <w:pPr>
        <w:pStyle w:val="ListParagraph"/>
        <w:numPr>
          <w:ilvl w:val="0"/>
          <w:numId w:val="4"/>
        </w:numPr>
      </w:pPr>
      <w:r>
        <w:t xml:space="preserve">сетевой адаптер (при работе нескольких пользователей по локальной сети).</w:t>
      </w:r>
    </w:p>
    <w:p>
      <w:pPr/>
      <w:r>
        <w:t xml:space="preserve">Клиентское рабочее место оператора: любой компьютер, планшет или смартфон с современным веб-браузером; разрешение экрана не менее 1280×720 (для компьютера).</w:t>
      </w:r>
    </w:p>
    <w:p>
      <w:pPr>
        <w:pStyle w:val="Heading3"/>
      </w:pPr>
      <w:r>
        <w:t xml:space="preserve">2.2. Требования к программным средствам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53"/>
        <w:gridCol w:w="5206"/>
      </w:tblGrid>
      <w:tr>
        <w:trPr>
          <w:tblHeader/>
        </w:trPr>
        <w:tc>
          <w:tcPr>
            <w:tcW w:w="4153" w:type="dxa"/>
            <w:shd w:val="clear" w:color="auto" w:fill="F2F2F2"/>
          </w:tcPr>
          <w:p>
            <w:pPr/>
            <w:r>
              <w:t xml:space="preserve">Компонент</w:t>
            </w:r>
          </w:p>
        </w:tc>
        <w:tc>
          <w:tcPr>
            <w:tcW w:w="5206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4153" w:type="dxa"/>
          </w:tcPr>
          <w:p>
            <w:pPr/>
            <w:r>
              <w:t xml:space="preserve">Операционная система сервера</w:t>
            </w:r>
          </w:p>
        </w:tc>
        <w:tc>
          <w:tcPr>
            <w:tcW w:w="5206" w:type="dxa"/>
          </w:tcPr>
          <w:p>
            <w:pPr/>
            <w:r>
              <w:t xml:space="preserve">Windows 10 и выше, Linux (Ubuntu 20.04 и выше)</w:t>
            </w:r>
          </w:p>
        </w:tc>
      </w:tr>
      <w:tr>
        <w:tc>
          <w:tcPr>
            <w:tcW w:w="4153" w:type="dxa"/>
          </w:tcPr>
          <w:p>
            <w:pPr/>
            <w:r>
              <w:t xml:space="preserve">Среда выполнения</w:t>
            </w:r>
          </w:p>
        </w:tc>
        <w:tc>
          <w:tcPr>
            <w:tcW w:w="5206" w:type="dxa"/>
          </w:tcPr>
          <w:p>
            <w:pPr/>
            <w:r>
              <w:t xml:space="preserve">Python 3.9 и выше</w:t>
            </w:r>
          </w:p>
        </w:tc>
      </w:tr>
      <w:tr>
        <w:tc>
          <w:tcPr>
            <w:tcW w:w="4153" w:type="dxa"/>
          </w:tcPr>
          <w:p>
            <w:pPr/>
            <w:r>
              <w:t xml:space="preserve">Библиотеки</w:t>
            </w:r>
          </w:p>
        </w:tc>
        <w:tc>
          <w:tcPr>
            <w:tcW w:w="5206" w:type="dxa"/>
          </w:tcPr>
          <w:p>
            <w:pPr/>
            <w:r>
              <w:t xml:space="preserve">Flask, Flask-Login, Jinja2 (устанавливаются из файла requirements.txt)</w:t>
            </w:r>
          </w:p>
        </w:tc>
      </w:tr>
      <w:tr>
        <w:tc>
          <w:tcPr>
            <w:tcW w:w="4153" w:type="dxa"/>
          </w:tcPr>
          <w:p>
            <w:pPr/>
            <w:r>
              <w:t xml:space="preserve">СУБД</w:t>
            </w:r>
          </w:p>
        </w:tc>
        <w:tc>
          <w:tcPr>
            <w:tcW w:w="5206" w:type="dxa"/>
          </w:tcPr>
          <w:p>
            <w:pPr/>
            <w:r>
              <w:t xml:space="preserve">SQLite (файл database.db, отдельная установка не требуется)</w:t>
            </w:r>
          </w:p>
        </w:tc>
      </w:tr>
      <w:tr>
        <w:tc>
          <w:tcPr>
            <w:tcW w:w="4153" w:type="dxa"/>
          </w:tcPr>
          <w:p>
            <w:pPr/>
            <w:r>
              <w:t xml:space="preserve">Браузер клиента</w:t>
            </w:r>
          </w:p>
        </w:tc>
        <w:tc>
          <w:tcPr>
            <w:tcW w:w="5206" w:type="dxa"/>
          </w:tcPr>
          <w:p>
            <w:pPr/>
            <w:r>
              <w:t xml:space="preserve">Google Chrome, Mozilla Firefox, Microsoft Edge, Яндекс Браузер последних версий</w:t>
            </w:r>
          </w:p>
        </w:tc>
      </w:tr>
    </w:tbl>
    <w:p>
      <w:pPr>
        <w:pStyle w:val="Heading3"/>
      </w:pPr>
      <w:r>
        <w:t xml:space="preserve">2.3. Требования к оператору</w:t>
      </w:r>
    </w:p>
    <w:p>
      <w:pPr/>
      <w:r>
        <w:t xml:space="preserve">Оператор должен уметь работать с веб-браузером, знать назначение учитываемой техники и порядок её выдачи, перемещения и списания, принятый в техникуме. Специальных знаний в области программирования не требуется.</w:t>
      </w:r>
    </w:p>
    <w:p>
      <w:pPr>
        <w:pStyle w:val="Heading3"/>
      </w:pPr>
      <w:r>
        <w:t xml:space="preserve">2.4. Организационные условия</w:t>
      </w:r>
    </w:p>
    <w:p>
      <w:pPr/>
      <w:r>
        <w:t xml:space="preserve">Учётная запись (логин и пароль) выдаётся оператору администратором системы. Передача логина и пароля другим лицам запрещена.</w:t>
      </w:r>
    </w:p>
    <w:p>
      <w:pPr>
        <w:pStyle w:val="Heading2"/>
      </w:pPr>
      <w:r>
        <w:t xml:space="preserve">3. Выполнение программы</w:t>
      </w:r>
    </w:p>
    <w:p>
      <w:pPr>
        <w:pStyle w:val="Heading3"/>
      </w:pPr>
      <w:r>
        <w:t xml:space="preserve">3.1. Запуск программы и вход в систему</w:t>
      </w:r>
    </w:p>
    <w:p>
      <w:pPr/>
      <w:r>
        <w:t xml:space="preserve">Запуск серверной части выполняет администратор:</w:t>
      </w:r>
    </w:p>
    <w:p>
      <w:pPr>
        <w:pStyle w:val="ListParagraph"/>
        <w:numPr>
          <w:ilvl w:val="0"/>
          <w:numId w:val="5"/>
        </w:numPr>
      </w:pPr>
      <w:r>
        <w:t xml:space="preserve">Открыть каталог проекта equipment_accounting.</w:t>
      </w:r>
    </w:p>
    <w:p>
      <w:pPr>
        <w:pStyle w:val="ListParagraph"/>
        <w:numPr>
          <w:ilvl w:val="0"/>
          <w:numId w:val="5"/>
        </w:numPr>
      </w:pPr>
      <w:r>
        <w:t xml:space="preserve">Установить зависимости командой </w:t>
      </w:r>
      <w:r>
        <w:rPr>
          <w:rStyle w:val="CodeChar"/>
        </w:rPr>
        <w:t xml:space="preserve">pip install -r requirements.txt</w:t>
      </w:r>
      <w:r>
        <w:t xml:space="preserve"> (выполняется один раз).</w:t>
      </w:r>
    </w:p>
    <w:p>
      <w:pPr>
        <w:pStyle w:val="ListParagraph"/>
        <w:numPr>
          <w:ilvl w:val="0"/>
          <w:numId w:val="5"/>
        </w:numPr>
      </w:pPr>
      <w:r>
        <w:t xml:space="preserve">Запустить приложение командой </w:t>
      </w:r>
      <w:r>
        <w:rPr>
          <w:rStyle w:val="CodeChar"/>
        </w:rPr>
        <w:t xml:space="preserve">python app.py</w:t>
      </w:r>
      <w:r>
        <w:t xml:space="preserve">.</w:t>
      </w:r>
    </w:p>
    <w:p>
      <w:pPr/>
      <w:r>
        <w:t xml:space="preserve">Действия оператора:</w:t>
      </w:r>
    </w:p>
    <w:p>
      <w:pPr>
        <w:pStyle w:val="ListParagraph"/>
        <w:numPr>
          <w:ilvl w:val="0"/>
          <w:numId w:val="6"/>
        </w:numPr>
      </w:pPr>
      <w:r>
        <w:t xml:space="preserve">Открыть веб-браузер и ввести адрес системы, сообщённый администратором (например, </w:t>
      </w:r>
      <w:r>
        <w:rPr>
          <w:rStyle w:val="CodeChar"/>
        </w:rPr>
        <w:t xml:space="preserve">http://localhost:5000</w:t>
      </w:r>
      <w:r>
        <w:t xml:space="preserve"> или внутренний IP-адрес сервера).</w:t>
      </w:r>
    </w:p>
    <w:p>
      <w:pPr>
        <w:pStyle w:val="ListParagraph"/>
        <w:numPr>
          <w:ilvl w:val="0"/>
          <w:numId w:val="6"/>
        </w:numPr>
      </w:pPr>
      <w:r>
        <w:t xml:space="preserve">На странице входа ввести логин и пароль и нажать кнопку «Войти».</w:t>
      </w:r>
    </w:p>
    <w:p>
      <w:pPr>
        <w:pStyle w:val="ListParagraph"/>
        <w:numPr>
          <w:ilvl w:val="0"/>
          <w:numId w:val="6"/>
        </w:numPr>
      </w:pPr>
      <w:r>
        <w:t xml:space="preserve">После успешной авторизации откроется главная страница со списком техники.</w:t>
      </w:r>
    </w:p>
    <w:p>
      <w:pPr>
        <w:pStyle w:val="Heading3"/>
      </w:pPr>
      <w:r>
        <w:t xml:space="preserve">3.2. Просмотр и поиск техники</w:t>
      </w:r>
    </w:p>
    <w:p>
      <w:pPr/>
      <w:r>
        <w:t xml:space="preserve">На главной странице отображается таблица единиц техники. Для поиска ввести в поле поиска инвентарный номер, наименование или модель. Для отбора записей использовать фильтры по типу, кабинету, статусу и ответственному лицу. Для сброса условий нажать «Сбросить фильтры». Для просмотра подробных данных щёлкнуть по строке: откроется карточка техники с историей перемещений.</w:t>
      </w:r>
    </w:p>
    <w:p>
      <w:pPr>
        <w:pStyle w:val="Heading3"/>
      </w:pPr>
      <w:r>
        <w:t xml:space="preserve">3.3. Добавление новой техники</w:t>
      </w:r>
    </w:p>
    <w:p>
      <w:pPr>
        <w:pStyle w:val="ListParagraph"/>
        <w:numPr>
          <w:ilvl w:val="0"/>
          <w:numId w:val="7"/>
        </w:numPr>
      </w:pPr>
      <w:r>
        <w:t xml:space="preserve">Нажать кнопку «Добавить технику».</w:t>
      </w:r>
    </w:p>
    <w:p>
      <w:pPr>
        <w:pStyle w:val="ListParagraph"/>
        <w:numPr>
          <w:ilvl w:val="0"/>
          <w:numId w:val="7"/>
        </w:numPr>
      </w:pPr>
      <w:r>
        <w:t xml:space="preserve">Заполнить обязательные поля: инвентарный номер (уникальный), наименование, тип.</w:t>
      </w:r>
    </w:p>
    <w:p>
      <w:pPr>
        <w:pStyle w:val="ListParagraph"/>
        <w:numPr>
          <w:ilvl w:val="0"/>
          <w:numId w:val="7"/>
        </w:numPr>
      </w:pPr>
      <w:r>
        <w:t xml:space="preserve">Указать при наличии: модель, серийный номер, кабинет, ответственного, статус, дату поступления, стоимость, примечания.</w:t>
      </w:r>
    </w:p>
    <w:p>
      <w:pPr>
        <w:pStyle w:val="ListParagraph"/>
        <w:numPr>
          <w:ilvl w:val="0"/>
          <w:numId w:val="7"/>
        </w:numPr>
      </w:pPr>
      <w:r>
        <w:t xml:space="preserve">Нажать «Сохранить». Запись появится в списке, в истории будет зафиксировано создание.</w:t>
      </w:r>
    </w:p>
    <w:p>
      <w:pPr>
        <w:pStyle w:val="Heading3"/>
      </w:pPr>
      <w:r>
        <w:t xml:space="preserve">3.4. Изменение данных, перемещение и смена статуса</w:t>
      </w:r>
    </w:p>
    <w:p>
      <w:pPr>
        <w:pStyle w:val="ListParagraph"/>
        <w:numPr>
          <w:ilvl w:val="0"/>
          <w:numId w:val="8"/>
        </w:numPr>
      </w:pPr>
      <w:r>
        <w:t xml:space="preserve">Открыть карточку нужной единицы техники.</w:t>
      </w:r>
    </w:p>
    <w:p>
      <w:pPr>
        <w:pStyle w:val="ListParagraph"/>
        <w:numPr>
          <w:ilvl w:val="0"/>
          <w:numId w:val="8"/>
        </w:numPr>
      </w:pPr>
      <w:r>
        <w:t xml:space="preserve">Для исправления сведений нажать «Изменить»; для передачи в другой кабинет или смены статуса нажать «Переместить».</w:t>
      </w:r>
    </w:p>
    <w:p>
      <w:pPr>
        <w:pStyle w:val="ListParagraph"/>
        <w:numPr>
          <w:ilvl w:val="0"/>
          <w:numId w:val="8"/>
        </w:numPr>
      </w:pPr>
      <w:r>
        <w:t xml:space="preserve">Выбрать новый кабинет и (или) статус, при необходимости ввести комментарий (например, «Передано в сервисный центр»).</w:t>
      </w:r>
    </w:p>
    <w:p>
      <w:pPr>
        <w:pStyle w:val="ListParagraph"/>
        <w:numPr>
          <w:ilvl w:val="0"/>
          <w:numId w:val="8"/>
        </w:numPr>
      </w:pPr>
      <w:r>
        <w:t xml:space="preserve">Нажать «Сохранить». Изменение автоматически записывается в журнал истории с указанием даты, времени и пользователя.</w:t>
      </w:r>
    </w:p>
    <w:p>
      <w:pPr>
        <w:pStyle w:val="Heading3"/>
      </w:pPr>
      <w:r>
        <w:t xml:space="preserve">3.5. Списание техники</w:t>
      </w:r>
    </w:p>
    <w:p>
      <w:pPr/>
      <w:r>
        <w:t xml:space="preserve">Для списания открыть карточку, выбрать действие «Переместить» и установить статус «списано», указав в комментарии номер акта. Запись остаётся в системе для истории, но исключается из активного учёта.</w:t>
      </w:r>
    </w:p>
    <w:p>
      <w:pPr>
        <w:pStyle w:val="Heading3"/>
      </w:pPr>
      <w:r>
        <w:t xml:space="preserve">3.6. Формирование отчётов</w:t>
      </w:r>
    </w:p>
    <w:p>
      <w:pPr>
        <w:pStyle w:val="ListParagraph"/>
        <w:numPr>
          <w:ilvl w:val="0"/>
          <w:numId w:val="9"/>
        </w:numPr>
      </w:pPr>
      <w:r>
        <w:t xml:space="preserve">Открыть раздел «Отчёты».</w:t>
      </w:r>
    </w:p>
    <w:p>
      <w:pPr>
        <w:pStyle w:val="ListParagraph"/>
        <w:numPr>
          <w:ilvl w:val="0"/>
          <w:numId w:val="9"/>
        </w:numPr>
      </w:pPr>
      <w:r>
        <w:t xml:space="preserve">Выбрать вид отчёта: по кабинетам, по типам техники, по ответственным, техника в ремонте и др.</w:t>
      </w:r>
    </w:p>
    <w:p>
      <w:pPr>
        <w:pStyle w:val="ListParagraph"/>
        <w:numPr>
          <w:ilvl w:val="0"/>
          <w:numId w:val="9"/>
        </w:numPr>
      </w:pPr>
      <w:r>
        <w:t xml:space="preserve">При необходимости задать дополнительные фильтры.</w:t>
      </w:r>
    </w:p>
    <w:p>
      <w:pPr>
        <w:pStyle w:val="ListParagraph"/>
        <w:numPr>
          <w:ilvl w:val="0"/>
          <w:numId w:val="9"/>
        </w:numPr>
      </w:pPr>
      <w:r>
        <w:t xml:space="preserve">Просмотреть отчёт на экране, распечатать кнопкой «Печать» или выгрузить кнопкой «Экспорт в CSV».</w:t>
      </w:r>
    </w:p>
    <w:p>
      <w:pPr>
        <w:pStyle w:val="Heading3"/>
      </w:pPr>
      <w:r>
        <w:t xml:space="preserve">3.7. Работа со справочниками</w:t>
      </w:r>
    </w:p>
    <w:p>
      <w:pPr/>
      <w:r>
        <w:t xml:space="preserve">Администратор (а оператор — при наличии прав) может добавлять и редактировать записи в разделах «Типы техники», «Кабинеты», «Сотрудники». Перед удалением записи программа проверяет отсутствие связанных единиц техники.</w:t>
      </w:r>
    </w:p>
    <w:p>
      <w:pPr>
        <w:pStyle w:val="Heading3"/>
      </w:pPr>
      <w:r>
        <w:t xml:space="preserve">3.8. Завершение работы</w:t>
      </w:r>
    </w:p>
    <w:p>
      <w:pPr/>
      <w:r>
        <w:t xml:space="preserve">Для завершения работы нажать «Выйти» в меню пользователя и закрыть вкладку браузера. Остановку серверной части (сочетание клавиш Ctrl+C в окне запуска) выполняет администратор после создания резервной копии файла database.db.</w:t>
      </w:r>
    </w:p>
    <w:p>
      <w:pPr>
        <w:pStyle w:val="Heading2"/>
      </w:pPr>
      <w:r>
        <w:t xml:space="preserve">4. Сообщения оператору</w:t>
      </w:r>
    </w:p>
    <w:p>
      <w:pPr/>
      <w:r>
        <w:t xml:space="preserve">В ходе работы программа выдаёт сообщения, перечисленные в таблице.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1"/>
        <w:gridCol w:w="3049"/>
        <w:gridCol w:w="4210"/>
      </w:tblGrid>
      <w:tr>
        <w:trPr>
          <w:tblHeader/>
        </w:trPr>
        <w:tc>
          <w:tcPr>
            <w:tcW w:w="2101" w:type="dxa"/>
            <w:shd w:val="clear" w:color="auto" w:fill="F2F2F2"/>
          </w:tcPr>
          <w:p>
            <w:pPr/>
            <w:r>
              <w:t xml:space="preserve">Сообщение</w:t>
            </w:r>
          </w:p>
        </w:tc>
        <w:tc>
          <w:tcPr>
            <w:tcW w:w="3049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  <w:tc>
          <w:tcPr>
            <w:tcW w:w="4210" w:type="dxa"/>
            <w:shd w:val="clear" w:color="auto" w:fill="F2F2F2"/>
          </w:tcPr>
          <w:p>
            <w:pPr/>
            <w:r>
              <w:t xml:space="preserve">Действия оператора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Неверный логин или пароль</w:t>
            </w:r>
          </w:p>
        </w:tc>
        <w:tc>
          <w:tcPr>
            <w:tcW w:w="3049" w:type="dxa"/>
          </w:tcPr>
          <w:p>
            <w:pPr/>
            <w:r>
              <w:t xml:space="preserve">Введены некорректные учётные данные</w:t>
            </w:r>
          </w:p>
        </w:tc>
        <w:tc>
          <w:tcPr>
            <w:tcW w:w="4210" w:type="dxa"/>
          </w:tcPr>
          <w:p>
            <w:pPr/>
            <w:r>
              <w:t xml:space="preserve">Проверить раскладку и регистр, повторить ввод; при утере пароля обратиться к администратору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Доступ запрещён</w:t>
            </w:r>
          </w:p>
        </w:tc>
        <w:tc>
          <w:tcPr>
            <w:tcW w:w="3049" w:type="dxa"/>
          </w:tcPr>
          <w:p>
            <w:pPr/>
            <w:r>
              <w:t xml:space="preserve">У пользователя нет прав на выполнение операции</w:t>
            </w:r>
          </w:p>
        </w:tc>
        <w:tc>
          <w:tcPr>
            <w:tcW w:w="4210" w:type="dxa"/>
          </w:tcPr>
          <w:p>
            <w:pPr/>
            <w:r>
              <w:t xml:space="preserve">Обратиться к администратору для получения прав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Заполните обязательные поля</w:t>
            </w:r>
          </w:p>
        </w:tc>
        <w:tc>
          <w:tcPr>
            <w:tcW w:w="3049" w:type="dxa"/>
          </w:tcPr>
          <w:p>
            <w:pPr/>
            <w:r>
              <w:t xml:space="preserve">Не заполнено инвентарное, наименование или тип</w:t>
            </w:r>
          </w:p>
        </w:tc>
        <w:tc>
          <w:tcPr>
            <w:tcW w:w="4210" w:type="dxa"/>
          </w:tcPr>
          <w:p>
            <w:pPr/>
            <w:r>
              <w:t xml:space="preserve">Заполнить подсвеченные поля и повторить сохранение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Инвентарный номер уже существует</w:t>
            </w:r>
          </w:p>
        </w:tc>
        <w:tc>
          <w:tcPr>
            <w:tcW w:w="3049" w:type="dxa"/>
          </w:tcPr>
          <w:p>
            <w:pPr/>
            <w:r>
              <w:t xml:space="preserve">Введённый номер принадлежит другой единице техники</w:t>
            </w:r>
          </w:p>
        </w:tc>
        <w:tc>
          <w:tcPr>
            <w:tcW w:w="4210" w:type="dxa"/>
          </w:tcPr>
          <w:p>
            <w:pPr/>
            <w:r>
              <w:t xml:space="preserve">Проверить номер; при дубликате открыть существующую карточку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Запись успешно сохранена</w:t>
            </w:r>
          </w:p>
        </w:tc>
        <w:tc>
          <w:tcPr>
            <w:tcW w:w="3049" w:type="dxa"/>
          </w:tcPr>
          <w:p>
            <w:pPr/>
            <w:r>
              <w:t xml:space="preserve">Данные записаны в базу, изменение внесено в историю</w:t>
            </w:r>
          </w:p>
        </w:tc>
        <w:tc>
          <w:tcPr>
            <w:tcW w:w="4210" w:type="dxa"/>
          </w:tcPr>
          <w:p>
            <w:pPr/>
            <w:r>
              <w:t xml:space="preserve">Дополнительных действий не требуется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Невозможно удалить: есть связанная техника</w:t>
            </w:r>
          </w:p>
        </w:tc>
        <w:tc>
          <w:tcPr>
            <w:tcW w:w="3049" w:type="dxa"/>
          </w:tcPr>
          <w:p>
            <w:pPr/>
            <w:r>
              <w:t xml:space="preserve">Справочная запись используется в карточках техники</w:t>
            </w:r>
          </w:p>
        </w:tc>
        <w:tc>
          <w:tcPr>
            <w:tcW w:w="4210" w:type="dxa"/>
          </w:tcPr>
          <w:p>
            <w:pPr/>
            <w:r>
              <w:t xml:space="preserve">Переназначить технику на другую запись справочника и повторить удаление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Записи не найдены</w:t>
            </w:r>
          </w:p>
        </w:tc>
        <w:tc>
          <w:tcPr>
            <w:tcW w:w="3049" w:type="dxa"/>
          </w:tcPr>
          <w:p>
            <w:pPr/>
            <w:r>
              <w:t xml:space="preserve">По заданным условиям поиска результатов нет</w:t>
            </w:r>
          </w:p>
        </w:tc>
        <w:tc>
          <w:tcPr>
            <w:tcW w:w="4210" w:type="dxa"/>
          </w:tcPr>
          <w:p>
            <w:pPr/>
            <w:r>
              <w:t xml:space="preserve">Изменить условия поиска или сбросить фильтры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Ошибка подключения к базе данных</w:t>
            </w:r>
          </w:p>
        </w:tc>
        <w:tc>
          <w:tcPr>
            <w:tcW w:w="3049" w:type="dxa"/>
          </w:tcPr>
          <w:p>
            <w:pPr/>
            <w:r>
              <w:t xml:space="preserve">Файл database.db недоступен или повреждён</w:t>
            </w:r>
          </w:p>
        </w:tc>
        <w:tc>
          <w:tcPr>
            <w:tcW w:w="4210" w:type="dxa"/>
          </w:tcPr>
          <w:p>
            <w:pPr/>
            <w:r>
              <w:t xml:space="preserve">Сообщить администратору; не повторять операцию до устранения неисправности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Внутренняя ошибка сервера (500)</w:t>
            </w:r>
          </w:p>
        </w:tc>
        <w:tc>
          <w:tcPr>
            <w:tcW w:w="3049" w:type="dxa"/>
          </w:tcPr>
          <w:p>
            <w:pPr/>
            <w:r>
              <w:t xml:space="preserve">Сбой в работе приложения</w:t>
            </w:r>
          </w:p>
        </w:tc>
        <w:tc>
          <w:tcPr>
            <w:tcW w:w="4210" w:type="dxa"/>
          </w:tcPr>
          <w:p>
            <w:pPr/>
            <w:r>
              <w:t xml:space="preserve">Зафиксировать время и последние действия, сообщить администратору</w:t>
            </w:r>
          </w:p>
        </w:tc>
      </w:tr>
      <w:tr>
        <w:tc>
          <w:tcPr>
            <w:tcW w:w="2101" w:type="dxa"/>
          </w:tcPr>
          <w:p>
            <w:pPr/>
            <w:r>
              <w:t xml:space="preserve">Страница не найдена (404)</w:t>
            </w:r>
          </w:p>
        </w:tc>
        <w:tc>
          <w:tcPr>
            <w:tcW w:w="3049" w:type="dxa"/>
          </w:tcPr>
          <w:p>
            <w:pPr/>
            <w:r>
              <w:t xml:space="preserve">Указан несуществующий адрес</w:t>
            </w:r>
          </w:p>
        </w:tc>
        <w:tc>
          <w:tcPr>
            <w:tcW w:w="4210" w:type="dxa"/>
          </w:tcPr>
          <w:p>
            <w:pPr/>
            <w:r>
              <w:t xml:space="preserve">Вернуться на главную страницу по ссылке в меню</w:t>
            </w:r>
          </w:p>
        </w:tc>
      </w:tr>
    </w:tbl>
    <w:p>
      <w:pPr>
        <w:pStyle w:val="Quote"/>
      </w:pPr>
      <w:r>
        <w:t xml:space="preserve">Тексты сообщений приведены в обобщённом виде; при расхождении с реальными формулировками интерфейса их следует привести в соответствие.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РУКОВОДСТВО ОПЕРАТОРА</dc:title>
  <dc:description>Claude Docs node/5a9dd2e7-4ecd@1 docx-w7</dc:description>
  <cp:revision>1</cp:revision>
</cp:coreProperties>
</file>