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2"/>
        </w:rPr>
        <w:t>星云商城 — 2026S1 产品需求说明（演示稿）</w:t>
      </w:r>
    </w:p>
    <w:p>
      <w:r>
        <w:rPr>
          <w:sz w:val="22"/>
        </w:rPr>
        <w:t>文档说明：本文档为 演示科技（虚构） 内部演示用虚构需求，不含真实客户信息。</w:t>
      </w:r>
    </w:p>
    <w:p>
      <w:r>
        <w:rPr>
          <w:sz w:val="22"/>
        </w:rPr>
        <w:t>迭代标签：2026S1　　产品：星云商城</w:t>
      </w:r>
    </w:p>
    <w:p>
      <w:pPr>
        <w:pStyle w:val="Heading1"/>
      </w:pPr>
      <w:r>
        <w:rPr>
          <w:sz w:val="22"/>
        </w:rPr>
        <w:t>1. 背景与目标</w:t>
      </w:r>
    </w:p>
    <w:p>
      <w:r>
        <w:rPr>
          <w:sz w:val="22"/>
        </w:rPr>
        <w:t>2026S1 迭代聚焦商城核心交易链路体验优化：登录与会话、商品浏览、购物车、支付与售后。目标是在 3 月底前完成 SIT/UAT 双环境验收，核心路径自动化覆盖率 ≥ 60%。</w:t>
      </w:r>
    </w:p>
    <w:p>
      <w:pPr>
        <w:pStyle w:val="Heading1"/>
      </w:pPr>
      <w:r>
        <w:rPr>
          <w:sz w:val="22"/>
        </w:rPr>
        <w:t>2. 功能范围</w:t>
      </w:r>
    </w:p>
    <w:p>
      <w:pPr>
        <w:pStyle w:val="Heading2"/>
      </w:pPr>
      <w:r>
        <w:rPr>
          <w:sz w:val="22"/>
        </w:rPr>
        <w:t>2.1 用户中心 / 登录</w:t>
      </w:r>
    </w:p>
    <w:p>
      <w:r>
        <w:rPr>
          <w:sz w:val="22"/>
        </w:rPr>
        <w:t>支持手机号验证码登录与账号密码登录；密码错误达到阈值需图形验证码；登录成功后写入会话 Token。</w:t>
      </w:r>
    </w:p>
    <w:p>
      <w:pPr>
        <w:pStyle w:val="Heading2"/>
      </w:pPr>
      <w:r>
        <w:rPr>
          <w:sz w:val="22"/>
        </w:rPr>
        <w:t>2.2 商品浏览与搜索</w:t>
      </w:r>
    </w:p>
    <w:p>
      <w:r>
        <w:rPr>
          <w:sz w:val="22"/>
        </w:rPr>
        <w:t>首页推荐流、分类筛选、关键词搜索与联想；联想词需过滤特殊字符。</w:t>
      </w:r>
    </w:p>
    <w:p>
      <w:pPr>
        <w:pStyle w:val="Heading2"/>
      </w:pPr>
      <w:r>
        <w:rPr>
          <w:sz w:val="22"/>
        </w:rPr>
        <w:t>2.3 购物车与订单支付</w:t>
      </w:r>
    </w:p>
    <w:p>
      <w:r>
        <w:rPr>
          <w:sz w:val="22"/>
        </w:rPr>
        <w:t>购物车支持加购、改数量、删除与角标同步；支付支持微信/支付宝，超时 15 分钟关单。</w:t>
      </w:r>
    </w:p>
    <w:p>
      <w:pPr>
        <w:pStyle w:val="Heading2"/>
      </w:pPr>
      <w:r>
        <w:rPr>
          <w:sz w:val="22"/>
        </w:rPr>
        <w:t>2.4 售后与会员</w:t>
      </w:r>
    </w:p>
    <w:p>
      <w:r>
        <w:rPr>
          <w:sz w:val="22"/>
        </w:rPr>
        <w:t>售后支持仅退款与退货退款；会员积分支持获得与抵扣。</w:t>
      </w:r>
    </w:p>
    <w:p>
      <w:pPr>
        <w:pStyle w:val="Heading1"/>
      </w:pPr>
      <w:r>
        <w:rPr>
          <w:sz w:val="22"/>
        </w:rPr>
        <w:t>3. 非功能要求</w:t>
      </w:r>
    </w:p>
    <w:p>
      <w:r>
        <w:rPr>
          <w:sz w:val="22"/>
        </w:rPr>
        <w:t>性能：下单峰值 500 TPS，P95 响应 &lt; 800ms（PERF 环境）。</w:t>
      </w:r>
    </w:p>
    <w:p>
      <w:r>
        <w:rPr>
          <w:sz w:val="22"/>
        </w:rPr>
        <w:t>安全：登录与支付接口需限流与审计日志。</w:t>
      </w:r>
    </w:p>
    <w:p>
      <w:pPr>
        <w:pStyle w:val="Heading1"/>
      </w:pPr>
      <w:r>
        <w:rPr>
          <w:sz w:val="22"/>
        </w:rPr>
        <w:t>4. 验收标准（摘要）</w:t>
      </w:r>
    </w:p>
    <w:p>
      <w:r>
        <w:rPr>
          <w:sz w:val="22"/>
        </w:rPr>
        <w:t>P0 用例 100% 通过；严重/一般缺陷关闭率 ≥ 95%。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