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20"/>
        <w:jc w:val="center"/>
      </w:pPr>
      <w:r>
        <w:rPr>
          <w:rFonts w:ascii="微软雅黑" w:hAnsi="微软雅黑" w:eastAsia="微软雅黑"/>
          <w:b/>
          <w:i w:val="0"/>
          <w:color w:val="1F4E79"/>
          <w:sz w:val="44"/>
        </w:rPr>
        <w:t>{{ project_name }} · {{ iteration_name }}</w:t>
      </w: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i w:val="0"/>
          <w:color w:val="5B7C99"/>
          <w:sz w:val="30"/>
        </w:rPr>
        <w:t>测试方案</w:t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i w:val="0"/>
          <w:color w:val="707070"/>
          <w:sz w:val="20"/>
        </w:rPr>
        <w:t>BrickCore 知识智能 · 内置模板</w:t>
      </w:r>
    </w:p>
    <w:p>
      <w:pPr>
        <w:spacing w:after="280"/>
        <w:jc w:val="center"/>
      </w:pPr>
      <w:r>
        <w:rPr>
          <w:rFonts w:ascii="微软雅黑" w:hAnsi="微软雅黑" w:eastAsia="微软雅黑"/>
          <w:b w:val="0"/>
          <w:i w:val="0"/>
          <w:color w:val="5B7C99"/>
          <w:sz w:val="20"/>
        </w:rPr>
        <w:t>——————————————————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报告日期</w:t>
            </w:r>
          </w:p>
        </w:tc>
        <w:tc>
          <w:tcPr>
            <w:tcW w:type="dxa" w:w="475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{{ report_date }}</w:t>
            </w:r>
          </w:p>
        </w:tc>
      </w:tr>
      <w:tr>
        <w:tc>
          <w:tcPr>
            <w:tcW w:type="dxa" w:w="475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编写人</w:t>
            </w:r>
          </w:p>
        </w:tc>
        <w:tc>
          <w:tcPr>
            <w:tcW w:type="dxa" w:w="475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{{ author }}</w:t>
            </w:r>
          </w:p>
        </w:tc>
      </w:tr>
      <w:tr>
        <w:tc>
          <w:tcPr>
            <w:tcW w:type="dxa" w:w="475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测试人员</w:t>
            </w:r>
          </w:p>
        </w:tc>
        <w:tc>
          <w:tcPr>
            <w:tcW w:type="dxa" w:w="475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{{ tester_name }}</w:t>
            </w:r>
          </w:p>
        </w:tc>
      </w:tr>
    </w:tbl>
    <w:p/>
    <w:p>
      <w:pPr>
        <w:pStyle w:val="Heading1"/>
      </w:pPr>
      <w:r>
        <w:t>一、引言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overview }}</w:t>
      </w:r>
    </w:p>
    <w:p>
      <w:pPr>
        <w:pStyle w:val="Heading1"/>
      </w:pPr>
      <w:r>
        <w:t>二、测试目标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test_objectives }}</w:t>
      </w:r>
    </w:p>
    <w:p>
      <w:pPr>
        <w:pStyle w:val="Heading1"/>
      </w:pPr>
      <w:r>
        <w:t>三、测试范围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test_scope }}</w:t>
      </w:r>
    </w:p>
    <w:p>
      <w:pPr>
        <w:pStyle w:val="Heading1"/>
      </w:pPr>
      <w:r>
        <w:t>四、测试类型与策略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功能测试</w:t>
            </w:r>
          </w:p>
        </w:tc>
        <w:tc>
          <w:tcPr>
            <w:tcW w:type="dxa" w:w="475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{{ functional_scope }}</w:t>
            </w:r>
          </w:p>
        </w:tc>
      </w:tr>
      <w:tr>
        <w:tc>
          <w:tcPr>
            <w:tcW w:type="dxa" w:w="475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性能测试</w:t>
            </w:r>
          </w:p>
        </w:tc>
        <w:tc>
          <w:tcPr>
            <w:tcW w:type="dxa" w:w="475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{{ performance_metrics }}</w:t>
            </w:r>
          </w:p>
        </w:tc>
      </w:tr>
      <w:tr>
        <w:tc>
          <w:tcPr>
            <w:tcW w:type="dxa" w:w="475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总体策略</w:t>
            </w:r>
          </w:p>
        </w:tc>
        <w:tc>
          <w:tcPr>
            <w:tcW w:type="dxa" w:w="475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{{ test_strategy }}</w:t>
            </w:r>
          </w:p>
        </w:tc>
      </w:tr>
    </w:tbl>
    <w:p/>
    <w:p>
      <w:pPr>
        <w:pStyle w:val="Heading1"/>
      </w:pPr>
      <w:r>
        <w:t>五、测试组织与职责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测试负责人</w:t>
            </w:r>
          </w:p>
        </w:tc>
        <w:tc>
          <w:tcPr>
            <w:tcW w:type="dxa" w:w="475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{{ tester_name }}</w:t>
            </w:r>
          </w:p>
        </w:tc>
      </w:tr>
      <w:tr>
        <w:tc>
          <w:tcPr>
            <w:tcW w:type="dxa" w:w="475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审批人</w:t>
            </w:r>
          </w:p>
        </w:tc>
        <w:tc>
          <w:tcPr>
            <w:tcW w:type="dxa" w:w="475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{{ approver }}</w:t>
            </w:r>
          </w:p>
        </w:tc>
      </w:tr>
    </w:tbl>
    <w:p/>
    <w:p>
      <w:pPr>
        <w:pStyle w:val="Heading1"/>
      </w:pPr>
      <w:r>
        <w:t>六、测试环境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test_environment }}</w:t>
      </w:r>
    </w:p>
    <w:p>
      <w:pPr>
        <w:pStyle w:val="Heading1"/>
      </w:pPr>
      <w:r>
        <w:t>七、准入准出标准</w:t>
      </w:r>
    </w:p>
    <w:p>
      <w:pPr>
        <w:spacing w:before="40" w:after="160"/>
      </w:pPr>
      <w:r>
        <w:rPr>
          <w:rFonts w:ascii="微软雅黑" w:hAnsi="微软雅黑" w:eastAsia="微软雅黑"/>
          <w:b w:val="0"/>
          <w:i/>
          <w:color w:val="707070"/>
          <w:sz w:val="19"/>
        </w:rPr>
        <w:t>可结合通过率、缺陷数等指标定义准入准出；下列为当前资料库参考值。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EEF4FA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通过率(%)</w:t>
            </w:r>
          </w:p>
        </w:tc>
        <w:tc>
          <w:tcPr>
            <w:tcW w:type="dxa" w:w="4759"/>
            <w:shd w:fill="EEF4FA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Bug 总数</w:t>
            </w:r>
          </w:p>
        </w:tc>
      </w:tr>
      <w:tr>
        <w:tc>
          <w:tcPr>
            <w:tcW w:type="dxa" w:w="475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2"/>
              </w:rPr>
              <w:t>{{ pass_rate }}</w:t>
            </w:r>
          </w:p>
        </w:tc>
        <w:tc>
          <w:tcPr>
            <w:tcW w:type="dxa" w:w="475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2"/>
              </w:rPr>
              <w:t>{{ bug_total }}</w:t>
            </w:r>
          </w:p>
        </w:tc>
      </w:tr>
    </w:tbl>
    <w:p/>
    <w:p>
      <w:pPr>
        <w:pStyle w:val="Heading1"/>
      </w:pPr>
      <w:r>
        <w:t>八、风险分析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ai_risks }}</w:t>
      </w:r>
    </w:p>
    <w:p>
      <w:r>
        <w:br w:type="page"/>
      </w:r>
    </w:p>
    <w:p>
      <w:pPr>
        <w:pStyle w:val="Heading1"/>
      </w:pPr>
      <w:r>
        <w:t>附录：资料摘要</w:t>
      </w:r>
    </w:p>
    <w:p>
      <w:pPr>
        <w:spacing w:before="40" w:after="160"/>
      </w:pPr>
      <w:r>
        <w:rPr>
          <w:rFonts w:ascii="微软雅黑" w:hAnsi="微软雅黑" w:eastAsia="微软雅黑"/>
          <w:b w:val="0"/>
          <w:i/>
          <w:color w:val="707070"/>
          <w:sz w:val="19"/>
        </w:rPr>
        <w:t>以下为重点摘要，供评审追溯；完整文档见资料库文件夹。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knowledge_summary }}</w:t>
      </w:r>
    </w:p>
    <w:p>
      <w:pPr>
        <w:pStyle w:val="Heading2"/>
      </w:pPr>
      <w:r>
        <w:t>附录：报告数据来源</w:t>
      </w:r>
    </w:p>
    <w:p>
      <w:pPr>
        <w:spacing w:before="40" w:after="160"/>
      </w:pPr>
      <w:r>
        <w:rPr>
          <w:rFonts w:ascii="微软雅黑" w:hAnsi="微软雅黑" w:eastAsia="微软雅黑"/>
          <w:b w:val="0"/>
          <w:i/>
          <w:color w:val="707070"/>
          <w:sz w:val="19"/>
        </w:rPr>
        <w:t>下列为本次报告生成时纳入的资料与模板引用。</w:t>
      </w:r>
    </w:p>
    <w:p>
      <w:r>
        <w:t>{%p for ref in source_refs %}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- {{ ref.kind_label }}：{{ ref.title }}（{{ ref.detail }}）</w:t>
      </w:r>
    </w:p>
    <w:p>
      <w:r>
        <w:t>{%p endfor %}</w:t>
      </w:r>
    </w:p>
    <w:sectPr w:rsidR="00FC693F" w:rsidRPr="0006063C" w:rsidSect="00034616">
      <w:pgSz w:w="12240" w:h="15840"/>
      <w:pgMar w:top="1247" w:right="1304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00" w:after="80"/>
    </w:pPr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