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zh0dlf9r8jm" w:id="0"/>
      <w:bookmarkEnd w:id="0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Among patients with sepsis who were not on dialysis prior to ICU admission, can we predict the need for renal replacement therapy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at 24 hours after ICU admission?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Among patients with sepsis who were not on dialysis prior to ICU admission, can we predict the need for renal replacement therapy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at time of onset of acute kidney injury?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Github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https://github.com/reneahlsdorf/sccm2020_datathon_team10</w:t>
        </w:r>
      </w:hyperlink>
      <w:r w:rsidDel="00000000" w:rsidR="00000000" w:rsidRPr="00000000">
        <w:rPr>
          <w:rtl w:val="0"/>
        </w:rPr>
        <w:t xml:space="preserve"> (we’ll have to convert our bigquery to .sql files and push it that way)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Datathon github link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https://github.com/MIT-LCP/sccm-datathon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65ja4k8i45a" w:id="1"/>
      <w:bookmarkEnd w:id="1"/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0"/>
          <w:szCs w:val="20"/>
          <w:rtl w:val="0"/>
        </w:rPr>
        <w:t xml:space="preserve">-&gt; when you start early, there’s a specific group of patients that seem to benefit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xfq4jgvoerk" w:id="2"/>
      <w:bookmarkEnd w:id="2"/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ape5mjb5m4g" w:id="3"/>
      <w:bookmarkEnd w:id="3"/>
      <w:r w:rsidDel="00000000" w:rsidR="00000000" w:rsidRPr="00000000">
        <w:rPr>
          <w:rtl w:val="0"/>
        </w:rPr>
        <w:t xml:space="preserve">Inclusion/Exclusion Criteria</w:t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Each hospital admission will be separate encounter and all icu’s in that hospitalization will count the ONCE.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Inclusion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sepsis, not on dialysis prior to ICU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septic shock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antibiotics for at least 48 hours while in the ICU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Vasopressors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Dopamine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Epinephrine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Norepinephrine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Phenylephrine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Vasopressin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ICU admission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&gt;18 years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ICU stay &gt;48 hours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KDIGO at least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Exclusion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end stage renal disease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Hemodialysis, Peritoneal dialysis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acute kidney injury (per prior definition)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received CRRT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did it start 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Features for building ML Model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Literature search + Delphi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Demographic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Age - oasis (derived)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Race - admissions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Sex - patients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BMI - heightfirstday(derived), heightweight(derived)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Weight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ICU Admit weight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Max weight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Weight gain (Max-Initial while in ICU)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Admission weight height (derived)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Mechanical ventilation -(oasis):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7f7f7" w:val="clear"/>
          <w:rtl w:val="0"/>
        </w:rPr>
        <w:t xml:space="preserve">mechvent, mechvent_score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Clinical features on ICU admission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Hospital Admission service - Services table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Whether a surgical procedure was performed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Days in hospital before ICU admission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Number of ICU admissions per stay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ICU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Contrasted study performed?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studies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Doses or cumulative dose of contrast administered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Exposure to IV contrast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 or equal to 3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noninvasive ventilation (BiPAP)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Mechanically ventilated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Respiratory rate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Oxygen saturation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FiO2%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End Expiratory Pressure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PaO2/FiO2 ratio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 rate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Systolic blood pressure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Diastolic blood pressure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Urine Output (Oliguria)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of change in Urine output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of fluids/input administered during hospitalization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of fluids/input administered before initiation of CRRT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diuretics before initiation of CRRT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Furosemide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Bumetanide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Indapamide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Metolazone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Hydrochlorothiazide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Chlorothiazide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Vasopressor use (initially as binary variable)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Dopamine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Epinephrine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Norepinephrine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Vasopressin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Phenylephrine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vasopressors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Vasopressor duration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dose of vasopressors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Antibiotic choice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'linezolid'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'ceftriaxone'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'daptomycin'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'tigecycline'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'meropenem'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'imipenem'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'linezolid'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'sulbactam'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'colistin'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'acyclovir'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'valacyclovir'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'ganciclovir'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'valganciclovir'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'amphotericin'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'fluconazole'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'caspofungin'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005cc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(drug)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'voriconazole'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Were v</w:t>
      </w:r>
      <w:r w:rsidDel="00000000" w:rsidR="00000000" w:rsidRPr="00000000">
        <w:rPr>
          <w:rtl w:val="0"/>
        </w:rPr>
        <w:t xml:space="preserve">ancomycin and piperacillin-tazobactam used at the same time? This combination was recently recognized as toxic to kidneys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Timing of CRRT initiation in relation to ICU admission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Lab Values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blood cell count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Hemoglobin/Hematocrit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Platelets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RDW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pH--lowest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PaO2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Sodium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Potassium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Bicarbonate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Lowest bicarb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Urea Nitrogen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Lactate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Deficit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Creatinine at ICU admission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CR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GFR at ICU admission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GFR before ICU admission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of change in Creatinine before initiation of CRRT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blood cultures during ICU admission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Severity Scores on ICU admission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Elixhauser Score: list all co-morbid conditions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(2 or 3)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OASIS?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SAPS 2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4ut582nowcdy" w:id="4"/>
      <w:bookmarkEnd w:id="4"/>
      <w:r w:rsidDel="00000000" w:rsidR="00000000" w:rsidRPr="00000000">
        <w:rPr>
          <w:rtl w:val="0"/>
        </w:rPr>
        <w:t xml:space="preserve">SQL criteria (for data scientists to plan out where we’re grabbing data)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Admissions table -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CRRTDurations table (mimic Derived)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Sepsis3 criteria? (Alistair’s repository for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 query: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from `physionet-data.mimiciii_clinical.admissions` limit 10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#this statement above looks at the admissions table and grabs 10 records</w:t>
      </w:r>
    </w:p>
    <w:p w:rsidR="00000000" w:rsidDel="00000000" w:rsidP="00000000" w:rsidRDefault="00000000" w:rsidRPr="00000000" w14:paraId="0000009B">
      <w:pPr>
        <w:pStyle w:val="Heading1"/>
        <w:rPr>
          <w:rFonts w:ascii="Courier New" w:cs="Courier New" w:eastAsia="Courier New" w:hAnsi="Courier New"/>
          <w:sz w:val="18"/>
          <w:szCs w:val="18"/>
          <w:highlight w:val="white"/>
        </w:rPr>
      </w:pPr>
      <w:bookmarkStart w:colFirst="0" w:colLast="0" w:name="_k56nn7amja4n" w:id="5"/>
      <w:bookmarkEnd w:id="5"/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https://console.cloud.google.com/bigquery?sq=228265716935:430c5d2e5928455a8d52a1b5da9b2db5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Rrt sql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https://github.com/MIT-LCP/mimic-code/blob/master/concepts/rrt.sql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https://github.com/MIT-LCP/mimic-code/blob/master/concepts/durations/crrt-durations.sql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first_careunit (%) 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CCU 511 (10.7)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CSRU 951 (20.0)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MICU 1993 (41.9)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SICU 771 (16.2)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TSICU 528 (11.1)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mzjcz17bo3f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xw9wesox4qc4" w:id="7"/>
      <w:bookmarkEnd w:id="7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https://github.com/alistairewj/sepsis3-mimic/tree/384198910524f9bfbaecf898982fc070b70e9bc2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https://journals.plos.org/plosone/article?id=10.1371/journal.pone.0204586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ELAIN: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Zarbock A et al. </w:t>
      </w:r>
      <w:r w:rsidDel="00000000" w:rsidR="00000000" w:rsidRPr="00000000">
        <w:rPr>
          <w:sz w:val="19"/>
          <w:szCs w:val="19"/>
          <w:u w:val="single"/>
          <w:shd w:fill="edebe9" w:val="clear"/>
          <w:rtl w:val="0"/>
        </w:rPr>
        <w:t xml:space="preserve">JAMA</w:t>
      </w: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. 2016 May 24-31;315(20):2190-9.  PMID #: 27209269​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AKIKI:</w:t>
      </w:r>
    </w:p>
    <w:p w:rsidR="00000000" w:rsidDel="00000000" w:rsidP="00000000" w:rsidRDefault="00000000" w:rsidRPr="00000000" w14:paraId="000000B1">
      <w:pPr>
        <w:rPr>
          <w:sz w:val="19"/>
          <w:szCs w:val="19"/>
          <w:shd w:fill="edebe9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Gaudry et al. </w:t>
      </w:r>
      <w:r w:rsidDel="00000000" w:rsidR="00000000" w:rsidRPr="00000000">
        <w:rPr>
          <w:sz w:val="19"/>
          <w:szCs w:val="19"/>
          <w:u w:val="single"/>
          <w:shd w:fill="edebe9" w:val="clear"/>
          <w:rtl w:val="0"/>
        </w:rPr>
        <w:t xml:space="preserve">NEJM</w:t>
      </w: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. 2016 Jul 14;375(2):122-33.  PMID #: 27181456​</w:t>
      </w:r>
    </w:p>
    <w:p w:rsidR="00000000" w:rsidDel="00000000" w:rsidP="00000000" w:rsidRDefault="00000000" w:rsidRPr="00000000" w14:paraId="000000B2">
      <w:pPr>
        <w:rPr>
          <w:sz w:val="19"/>
          <w:szCs w:val="19"/>
          <w:shd w:fill="edeb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9"/>
          <w:szCs w:val="19"/>
          <w:shd w:fill="edebe9" w:val="clear"/>
        </w:rPr>
      </w:pP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IDEAL-ICU:</w:t>
      </w:r>
    </w:p>
    <w:p w:rsidR="00000000" w:rsidDel="00000000" w:rsidP="00000000" w:rsidRDefault="00000000" w:rsidRPr="00000000" w14:paraId="000000B4">
      <w:pPr>
        <w:rPr>
          <w:sz w:val="19"/>
          <w:szCs w:val="19"/>
          <w:shd w:fill="edebe9" w:val="clear"/>
        </w:rPr>
      </w:pP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Barbar et al. </w:t>
      </w:r>
      <w:r w:rsidDel="00000000" w:rsidR="00000000" w:rsidRPr="00000000">
        <w:rPr>
          <w:sz w:val="19"/>
          <w:szCs w:val="19"/>
          <w:u w:val="single"/>
          <w:shd w:fill="edebe9" w:val="clear"/>
          <w:rtl w:val="0"/>
        </w:rPr>
        <w:t xml:space="preserve">NEJM</w:t>
      </w:r>
      <w:r w:rsidDel="00000000" w:rsidR="00000000" w:rsidRPr="00000000">
        <w:rPr>
          <w:sz w:val="19"/>
          <w:szCs w:val="19"/>
          <w:shd w:fill="edebe9" w:val="clear"/>
          <w:rtl w:val="0"/>
        </w:rPr>
        <w:t xml:space="preserve">. 2018;379(15):1431-42.  PMID #: 30304656​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 Questions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a lot of pre-admission CRRT data in MIMIC? Maybe eICU might be more appropriate over here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istairewj/sepsis3-mimic/tree/384198910524f9bfbaecf898982fc070b70e9bc2" TargetMode="External"/><Relationship Id="rId10" Type="http://schemas.openxmlformats.org/officeDocument/2006/relationships/hyperlink" Target="https://github.com/MIT-LCP/mimic-code/blob/master/concepts/durations/crrt-durations.sql" TargetMode="External"/><Relationship Id="rId12" Type="http://schemas.openxmlformats.org/officeDocument/2006/relationships/hyperlink" Target="https://journals.plos.org/plosone/article?id=10.1371/journal.pone.0204586" TargetMode="External"/><Relationship Id="rId9" Type="http://schemas.openxmlformats.org/officeDocument/2006/relationships/hyperlink" Target="https://github.com/MIT-LCP/mimic-code/blob/master/concepts/rrt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neahlsdorf/sccm2020_datathon_team10" TargetMode="External"/><Relationship Id="rId7" Type="http://schemas.openxmlformats.org/officeDocument/2006/relationships/hyperlink" Target="https://github.com/MIT-LCP/sccm-datathon" TargetMode="External"/><Relationship Id="rId8" Type="http://schemas.openxmlformats.org/officeDocument/2006/relationships/hyperlink" Target="https://console.cloud.google.com/bigquery?sq=228265716935:430c5d2e5928455a8d52a1b5da9b2d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