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NATO SPS Proposal</w:t>
      </w:r>
    </w:p>
    <w:p w:rsidR="00000000" w:rsidDel="00000000" w:rsidP="00000000" w:rsidRDefault="00000000" w:rsidRPr="00000000" w14:paraId="00000002">
      <w:pPr>
        <w:rPr/>
      </w:pPr>
      <w:r w:rsidDel="00000000" w:rsidR="00000000" w:rsidRPr="00000000">
        <w:rPr>
          <w:rtl w:val="0"/>
        </w:rPr>
        <w:t xml:space="preserve">Step 2 of the Workplan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Step 2 - AI-Assisted Water Conflict Chronology Development (Months 2-12)</w:t>
      </w:r>
    </w:p>
    <w:p w:rsidR="00000000" w:rsidDel="00000000" w:rsidP="00000000" w:rsidRDefault="00000000" w:rsidRPr="00000000" w14:paraId="00000005">
      <w:pPr>
        <w:rPr>
          <w:b w:val="1"/>
          <w:bCs w:val="1"/>
        </w:rPr>
      </w:pPr>
      <w:r w:rsidDel="00000000" w:rsidR="00000000" w:rsidRPr="00000000">
        <w:rPr>
          <w:b w:val="1"/>
          <w:bCs w:val="1"/>
          <w:rtl w:val="0"/>
        </w:rPr>
        <w:t xml:space="preserve">Overview and Objectives</w:t>
      </w:r>
    </w:p>
    <w:p w:rsidR="00000000" w:rsidDel="00000000" w:rsidP="00000000" w:rsidRDefault="00000000" w:rsidRPr="00000000" w14:paraId="00000006">
      <w:pPr>
        <w:spacing w:after="120" w:lineRule="auto"/>
        <w:rPr/>
      </w:pPr>
      <w:r w:rsidDel="00000000" w:rsidR="00000000" w:rsidRPr="00000000">
        <w:rPr>
          <w:rtl w:val="0"/>
        </w:rPr>
        <w:t xml:space="preserve">Step 2 is the project's central technical innovation. It transforms the WCC from a manually curated, retrospective database into a frequently updated, AI-assisted system capable of near real-time identification and classification of water-related conflict events. The goal is not full automation but a validated human-in-the-loop pipeline that delivers substantially improved timeliness and scale while preserving expert oversight and accuracy. </w:t>
      </w:r>
    </w:p>
    <w:p w:rsidR="00000000" w:rsidDel="00000000" w:rsidP="00000000" w:rsidRDefault="00000000" w:rsidRPr="00000000" w14:paraId="00000007">
      <w:pPr>
        <w:spacing w:after="120" w:lineRule="auto"/>
        <w:rPr>
          <w:b w:val="1"/>
          <w:bCs w:val="1"/>
        </w:rPr>
      </w:pPr>
      <w:r w:rsidDel="00000000" w:rsidR="00000000" w:rsidRPr="00000000">
        <w:rPr>
          <w:b w:val="1"/>
          <w:bCs w:val="1"/>
          <w:rtl w:val="0"/>
        </w:rPr>
        <w:t xml:space="preserve">Research Groups Involved</w:t>
      </w:r>
    </w:p>
    <w:p w:rsidR="00000000" w:rsidDel="00000000" w:rsidP="00000000" w:rsidRDefault="00000000" w:rsidRPr="00000000" w14:paraId="00000008">
      <w:pPr>
        <w:spacing w:after="8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Pacific Institute — leads AI development, database curation, and expert validation workflows; contracts with AI developer to develop and train the model</w:t>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Activities and Methodologies</w:t>
      </w:r>
    </w:p>
    <w:p w:rsidR="00000000" w:rsidDel="00000000" w:rsidP="00000000" w:rsidRDefault="00000000" w:rsidRPr="00000000" w14:paraId="0000000A">
      <w:pPr>
        <w:spacing w:after="80" w:lineRule="auto"/>
        <w:rPr/>
      </w:pPr>
      <w:r w:rsidDel="00000000" w:rsidR="00000000" w:rsidRPr="00000000">
        <w:rPr>
          <w:b w:val="1"/>
          <w:bCs w:val="1"/>
          <w:rtl w:val="0"/>
        </w:rPr>
        <w:t xml:space="preserve">Training Dataset Curation (M3–4): </w:t>
      </w:r>
      <w:r w:rsidDel="00000000" w:rsidR="00000000" w:rsidRPr="00000000">
        <w:rPr>
          <w:rtl w:val="0"/>
        </w:rPr>
        <w:t xml:space="preserve">A curated, labeled training dataset will be assembled from historical WCC records, supplemented by other conflict data sets and relevant news articles and conflict reports. Efforts will be made to include sources that are in languages other than English. </w:t>
      </w:r>
    </w:p>
    <w:p w:rsidR="00000000" w:rsidDel="00000000" w:rsidP="00000000" w:rsidRDefault="00000000" w:rsidRPr="00000000" w14:paraId="0000000B">
      <w:pPr>
        <w:spacing w:after="80" w:lineRule="auto"/>
        <w:rPr/>
      </w:pPr>
      <w:r w:rsidDel="00000000" w:rsidR="00000000" w:rsidRPr="00000000">
        <w:rPr>
          <w:b w:val="1"/>
          <w:bCs w:val="1"/>
          <w:rtl w:val="0"/>
        </w:rPr>
        <w:t xml:space="preserve">AI Model Development and Training (M4–7): </w:t>
      </w:r>
      <w:r w:rsidDel="00000000" w:rsidR="00000000" w:rsidRPr="00000000">
        <w:rPr>
          <w:rtl w:val="0"/>
        </w:rPr>
        <w:t xml:space="preserve">A lightweight text-classification model will be developed …fine-tuned on the curated training corpus. The model will be designed to: (a) screen open-source text streams (news APIs, government reports, armed-conflict databases) for potential water-related conflict events, and (b) assign provisional conflict-category labels with confidence scores. The technical architecture will prioritize raw classification accuracy.</w:t>
      </w:r>
    </w:p>
    <w:p w:rsidR="00000000" w:rsidDel="00000000" w:rsidP="00000000" w:rsidRDefault="00000000" w:rsidRPr="00000000" w14:paraId="0000000C">
      <w:pPr>
        <w:spacing w:after="80" w:lineRule="auto"/>
        <w:rPr/>
      </w:pPr>
      <w:r w:rsidDel="00000000" w:rsidR="00000000" w:rsidRPr="00000000">
        <w:rPr>
          <w:b w:val="1"/>
          <w:bCs w:val="1"/>
          <w:rtl w:val="0"/>
        </w:rPr>
        <w:t xml:space="preserve">Human Review Protocol Design (M5–7): </w:t>
      </w:r>
      <w:r w:rsidDel="00000000" w:rsidR="00000000" w:rsidRPr="00000000">
        <w:rPr>
          <w:rtl w:val="0"/>
        </w:rPr>
        <w:t xml:space="preserve">Parallel to model development, the team will design a streamlined expert-review workflow. All AI-generated candidate events will be queued for human review; analysts will confirm, reject, or reclassify each event before it enters the live database. The protocol will specify review turnaround standards, inter-rater reliability checks, and escalation procedures for borderline cases.</w:t>
      </w:r>
    </w:p>
    <w:p w:rsidR="00000000" w:rsidDel="00000000" w:rsidP="00000000" w:rsidRDefault="00000000" w:rsidRPr="00000000" w14:paraId="0000000D">
      <w:pPr>
        <w:spacing w:after="80" w:lineRule="auto"/>
        <w:rPr/>
      </w:pPr>
      <w:r w:rsidDel="00000000" w:rsidR="00000000" w:rsidRPr="00000000">
        <w:rPr>
          <w:b w:val="1"/>
          <w:bCs w:val="1"/>
          <w:rtl w:val="0"/>
        </w:rPr>
        <w:t xml:space="preserve">Beta Testing and Validation (M7–10): </w:t>
      </w:r>
      <w:r w:rsidDel="00000000" w:rsidR="00000000" w:rsidRPr="00000000">
        <w:rPr>
          <w:rtl w:val="0"/>
        </w:rPr>
        <w:t xml:space="preserve">The beta model will be run prospectively against a held-out test period and retrospectively against historical events not used in training. Performance metrics (precision, recall, F1-score by conflict category) will be benchmarked against both expert coding and the pre-AI baseline. Staff-time savings will be quantified. Results will inform iterative model refinement.</w:t>
      </w:r>
    </w:p>
    <w:p w:rsidR="00000000" w:rsidDel="00000000" w:rsidP="00000000" w:rsidRDefault="00000000" w:rsidRPr="00000000" w14:paraId="0000000E">
      <w:pPr>
        <w:spacing w:after="120" w:lineRule="auto"/>
        <w:rPr/>
      </w:pPr>
      <w:r w:rsidDel="00000000" w:rsidR="00000000" w:rsidRPr="00000000">
        <w:rPr>
          <w:b w:val="1"/>
          <w:bCs w:val="1"/>
          <w:rtl w:val="0"/>
        </w:rPr>
        <w:t xml:space="preserve">Database Update and Live Deployment (M9–12): </w:t>
      </w:r>
      <w:r w:rsidDel="00000000" w:rsidR="00000000" w:rsidRPr="00000000">
        <w:rPr>
          <w:rtl w:val="0"/>
        </w:rPr>
        <w:t xml:space="preserve">Once the model meets agreed performance thresholds, the pipeline will be deployed for ongoing, semi-autonomous WCC updates. The database will be updated to fill coverage gaps identified in the baseline audit. A validation report documenting model performance, known limitations, and the human-review protocol will be finalized.</w:t>
      </w:r>
    </w:p>
    <w:p w:rsidR="00000000" w:rsidDel="00000000" w:rsidP="00000000" w:rsidRDefault="00000000" w:rsidRPr="00000000" w14:paraId="0000000F">
      <w:pPr>
        <w:spacing w:after="80" w:lineRule="auto"/>
        <w:rPr>
          <w:b w:val="1"/>
          <w:bCs w:val="1"/>
        </w:rPr>
      </w:pPr>
      <w:r w:rsidDel="00000000" w:rsidR="00000000" w:rsidRPr="00000000">
        <w:rPr>
          <w:b w:val="1"/>
          <w:bCs w:val="1"/>
          <w:rtl w:val="0"/>
        </w:rPr>
        <w:t xml:space="preserve">Sequencing and Dependencies</w:t>
      </w:r>
    </w:p>
    <w:p w:rsidR="00000000" w:rsidDel="00000000" w:rsidP="00000000" w:rsidRDefault="00000000" w:rsidRPr="00000000" w14:paraId="00000010">
      <w:pPr>
        <w:spacing w:after="120" w:lineRule="auto"/>
        <w:rPr/>
      </w:pPr>
      <w:r w:rsidDel="00000000" w:rsidR="00000000" w:rsidRPr="00000000">
        <w:rPr>
          <w:rtl w:val="0"/>
        </w:rPr>
        <w:t xml:space="preserve">Step 2 depends on the WCC methods assessment (Step 1, M3). Training data curation (Step 2) feeds directly into Step 3 (Trend and Driver Analysis): the enriched, updated WCC database is the primary dataset for Step 3 analysis, so Steps 2 and 3 partially overlap, with Step 3 using preliminary database outputs from M6 onward.</w:t>
      </w:r>
    </w:p>
    <w:p w:rsidR="00000000" w:rsidDel="00000000" w:rsidP="00000000" w:rsidRDefault="00000000" w:rsidRPr="00000000" w14:paraId="00000011">
      <w:pPr>
        <w:spacing w:after="120" w:lineRule="auto"/>
        <w:rPr/>
      </w:pPr>
      <w:r w:rsidDel="00000000" w:rsidR="00000000" w:rsidRPr="00000000">
        <w:rPr>
          <w:b w:val="1"/>
          <w:bCs w:val="1"/>
          <w:rtl w:val="0"/>
        </w:rPr>
        <w:t xml:space="preserve">Risks and Mitigation</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435"/>
        <w:gridCol w:w="3435"/>
        <w:tblGridChange w:id="0">
          <w:tblGrid>
            <w:gridCol w:w="2490"/>
            <w:gridCol w:w="3435"/>
            <w:gridCol w:w="3435"/>
          </w:tblGrid>
        </w:tblGridChange>
      </w:tblGrid>
      <w:tr>
        <w:trPr>
          <w:cantSplit w:val="0"/>
          <w:trHeight w:val="495" w:hRule="atLeast"/>
          <w:tblHeader w:val="0"/>
        </w:trPr>
        <w:tc>
          <w:tcPr>
            <w:tcBorders>
              <w:top w:color="bdc3c7" w:space="0" w:sz="5" w:val="single"/>
              <w:left w:color="bdc3c7" w:space="0" w:sz="5" w:val="single"/>
              <w:bottom w:color="bdc3c7" w:space="0" w:sz="5" w:val="single"/>
              <w:right w:color="bdc3c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12">
            <w:pPr>
              <w:spacing w:after="100" w:lineRule="auto"/>
              <w:rPr>
                <w:color w:val="ffffff"/>
                <w:sz w:val="20"/>
                <w:szCs w:val="20"/>
              </w:rPr>
            </w:pPr>
            <w:r w:rsidDel="00000000" w:rsidR="00000000" w:rsidRPr="00000000">
              <w:rPr>
                <w:color w:val="ffffff"/>
                <w:sz w:val="20"/>
                <w:szCs w:val="20"/>
                <w:rtl w:val="0"/>
              </w:rPr>
              <w:t xml:space="preserve">Risk</w:t>
            </w:r>
          </w:p>
        </w:tc>
        <w:tc>
          <w:tcPr>
            <w:tcBorders>
              <w:top w:color="bdc3c7" w:space="0" w:sz="5" w:val="single"/>
              <w:left w:color="000000" w:space="0" w:sz="0" w:val="nil"/>
              <w:bottom w:color="bdc3c7" w:space="0" w:sz="5" w:val="single"/>
              <w:right w:color="bdc3c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13">
            <w:pPr>
              <w:spacing w:after="100" w:lineRule="auto"/>
              <w:rPr>
                <w:color w:val="ffffff"/>
                <w:sz w:val="20"/>
                <w:szCs w:val="20"/>
              </w:rPr>
            </w:pPr>
            <w:r w:rsidDel="00000000" w:rsidR="00000000" w:rsidRPr="00000000">
              <w:rPr>
                <w:color w:val="ffffff"/>
                <w:sz w:val="20"/>
                <w:szCs w:val="20"/>
                <w:rtl w:val="0"/>
              </w:rPr>
              <w:t xml:space="preserve">Description</w:t>
            </w:r>
          </w:p>
        </w:tc>
        <w:tc>
          <w:tcPr>
            <w:tcBorders>
              <w:top w:color="bdc3c7" w:space="0" w:sz="5" w:val="single"/>
              <w:left w:color="000000" w:space="0" w:sz="0" w:val="nil"/>
              <w:bottom w:color="bdc3c7" w:space="0" w:sz="5" w:val="single"/>
              <w:right w:color="bdc3c7"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14">
            <w:pPr>
              <w:spacing w:after="100" w:lineRule="auto"/>
              <w:rPr>
                <w:color w:val="ffffff"/>
                <w:sz w:val="20"/>
                <w:szCs w:val="20"/>
              </w:rPr>
            </w:pPr>
            <w:r w:rsidDel="00000000" w:rsidR="00000000" w:rsidRPr="00000000">
              <w:rPr>
                <w:color w:val="ffffff"/>
                <w:sz w:val="20"/>
                <w:szCs w:val="20"/>
                <w:rtl w:val="0"/>
              </w:rPr>
              <w:t xml:space="preserve">Mitigation</w:t>
            </w:r>
          </w:p>
        </w:tc>
      </w:tr>
      <w:tr>
        <w:trPr>
          <w:cantSplit w:val="0"/>
          <w:trHeight w:val="157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spacing w:after="100" w:lineRule="auto"/>
              <w:rPr>
                <w:sz w:val="20"/>
                <w:szCs w:val="20"/>
              </w:rPr>
            </w:pPr>
            <w:r w:rsidDel="00000000" w:rsidR="00000000" w:rsidRPr="00000000">
              <w:rPr>
                <w:sz w:val="20"/>
                <w:szCs w:val="20"/>
                <w:rtl w:val="0"/>
              </w:rPr>
              <w:t xml:space="preserve">Model performance shortfall</w:t>
            </w:r>
          </w:p>
        </w:tc>
        <w:tc>
          <w:tcPr>
            <w:tcBorders>
              <w:top w:color="000000" w:space="0" w:sz="0" w:val="nil"/>
              <w:left w:color="000000" w:space="0" w:sz="0" w:val="nil"/>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spacing w:after="100" w:lineRule="auto"/>
              <w:rPr>
                <w:sz w:val="20"/>
                <w:szCs w:val="20"/>
              </w:rPr>
            </w:pPr>
            <w:r w:rsidDel="00000000" w:rsidR="00000000" w:rsidRPr="00000000">
              <w:rPr>
                <w:sz w:val="20"/>
                <w:szCs w:val="20"/>
                <w:rtl w:val="0"/>
              </w:rPr>
              <w:t xml:space="preserve">AI classification accuracy may be insufficient for reliable event identification, requiring extensive human correction and negating efficiency gains</w:t>
            </w:r>
          </w:p>
        </w:tc>
        <w:tc>
          <w:tcPr>
            <w:tcBorders>
              <w:top w:color="000000" w:space="0" w:sz="0" w:val="nil"/>
              <w:left w:color="000000" w:space="0" w:sz="0" w:val="nil"/>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spacing w:after="100" w:lineRule="auto"/>
              <w:rPr>
                <w:sz w:val="20"/>
                <w:szCs w:val="20"/>
              </w:rPr>
            </w:pPr>
            <w:r w:rsidDel="00000000" w:rsidR="00000000" w:rsidRPr="00000000">
              <w:rPr>
                <w:sz w:val="20"/>
                <w:szCs w:val="20"/>
                <w:rtl w:val="0"/>
              </w:rPr>
              <w:t xml:space="preserve">Set conservative minimum performance thresholds before deployment; maintain fallback to manual coding for low-confidence events; design human-review workflow to catch errors regardless</w:t>
            </w:r>
          </w:p>
        </w:tc>
      </w:tr>
      <w:tr>
        <w:trPr>
          <w:cantSplit w:val="0"/>
          <w:trHeight w:val="1575" w:hRule="atLeast"/>
          <w:tblHeader w:val="0"/>
        </w:trPr>
        <w:tc>
          <w:tcPr>
            <w:tcBorders>
              <w:top w:color="000000" w:space="0" w:sz="0" w:val="nil"/>
              <w:left w:color="bdc3c7" w:space="0" w:sz="5" w:val="single"/>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18">
            <w:pPr>
              <w:spacing w:after="100" w:lineRule="auto"/>
              <w:rPr>
                <w:sz w:val="20"/>
                <w:szCs w:val="20"/>
              </w:rPr>
            </w:pPr>
            <w:r w:rsidDel="00000000" w:rsidR="00000000" w:rsidRPr="00000000">
              <w:rPr>
                <w:sz w:val="20"/>
                <w:szCs w:val="20"/>
                <w:rtl w:val="0"/>
              </w:rPr>
              <w:t xml:space="preserve">Training data gaps</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19">
            <w:pPr>
              <w:spacing w:after="100" w:lineRule="auto"/>
              <w:rPr>
                <w:sz w:val="20"/>
                <w:szCs w:val="20"/>
              </w:rPr>
            </w:pPr>
            <w:r w:rsidDel="00000000" w:rsidR="00000000" w:rsidRPr="00000000">
              <w:rPr>
                <w:sz w:val="20"/>
                <w:szCs w:val="20"/>
                <w:rtl w:val="0"/>
              </w:rPr>
              <w:t xml:space="preserve">WCC historical records may have insufficient examples of rarer conflict types or non-English events to support robust model training</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1A">
            <w:pPr>
              <w:spacing w:after="100" w:lineRule="auto"/>
              <w:rPr>
                <w:sz w:val="20"/>
                <w:szCs w:val="20"/>
              </w:rPr>
            </w:pPr>
            <w:r w:rsidDel="00000000" w:rsidR="00000000" w:rsidRPr="00000000">
              <w:rPr>
                <w:sz w:val="20"/>
                <w:szCs w:val="20"/>
                <w:rtl w:val="0"/>
              </w:rPr>
              <w:t xml:space="preserve">Augment training data with structured literature review; use active learning to prioritize curation of under-represented categories</w:t>
            </w:r>
          </w:p>
        </w:tc>
      </w:tr>
      <w:tr>
        <w:trPr>
          <w:cantSplit w:val="0"/>
          <w:trHeight w:val="114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100" w:lineRule="auto"/>
              <w:rPr>
                <w:sz w:val="20"/>
                <w:szCs w:val="20"/>
              </w:rPr>
            </w:pPr>
            <w:r w:rsidDel="00000000" w:rsidR="00000000" w:rsidRPr="00000000">
              <w:rPr>
                <w:sz w:val="20"/>
                <w:szCs w:val="20"/>
                <w:rtl w:val="0"/>
              </w:rPr>
              <w:t xml:space="preserve">Open-source data access restrictions</w:t>
            </w:r>
          </w:p>
        </w:tc>
        <w:tc>
          <w:tcPr>
            <w:tcBorders>
              <w:top w:color="000000" w:space="0" w:sz="0" w:val="nil"/>
              <w:left w:color="000000" w:space="0" w:sz="0" w:val="nil"/>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100" w:lineRule="auto"/>
              <w:rPr>
                <w:sz w:val="20"/>
                <w:szCs w:val="20"/>
              </w:rPr>
            </w:pPr>
            <w:r w:rsidDel="00000000" w:rsidR="00000000" w:rsidRPr="00000000">
              <w:rPr>
                <w:sz w:val="20"/>
                <w:szCs w:val="20"/>
                <w:rtl w:val="0"/>
              </w:rPr>
              <w:t xml:space="preserve">News API providers may restrict access, increase costs, or change terms during the project period</w:t>
            </w:r>
          </w:p>
        </w:tc>
        <w:tc>
          <w:tcPr>
            <w:tcBorders>
              <w:top w:color="000000" w:space="0" w:sz="0" w:val="nil"/>
              <w:left w:color="000000" w:space="0" w:sz="0" w:val="nil"/>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100" w:lineRule="auto"/>
              <w:rPr>
                <w:sz w:val="20"/>
                <w:szCs w:val="20"/>
              </w:rPr>
            </w:pPr>
            <w:r w:rsidDel="00000000" w:rsidR="00000000" w:rsidRPr="00000000">
              <w:rPr>
                <w:sz w:val="20"/>
                <w:szCs w:val="20"/>
                <w:rtl w:val="0"/>
              </w:rPr>
              <w:t xml:space="preserve">Identify and contract at least two independent news data sources at project outset; budget for API costs; document alternative data sources</w:t>
            </w:r>
          </w:p>
        </w:tc>
      </w:tr>
      <w:tr>
        <w:trPr>
          <w:cantSplit w:val="0"/>
          <w:trHeight w:val="1365" w:hRule="atLeast"/>
          <w:tblHeader w:val="0"/>
        </w:trPr>
        <w:tc>
          <w:tcPr>
            <w:tcBorders>
              <w:top w:color="000000" w:space="0" w:sz="0" w:val="nil"/>
              <w:left w:color="bdc3c7" w:space="0" w:sz="5" w:val="single"/>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1E">
            <w:pPr>
              <w:spacing w:after="100" w:lineRule="auto"/>
              <w:rPr>
                <w:sz w:val="20"/>
                <w:szCs w:val="20"/>
              </w:rPr>
            </w:pPr>
            <w:r w:rsidDel="00000000" w:rsidR="00000000" w:rsidRPr="00000000">
              <w:rPr>
                <w:sz w:val="20"/>
                <w:szCs w:val="20"/>
                <w:rtl w:val="0"/>
              </w:rPr>
              <w:t xml:space="preserve">Staff capacity / contractor turnover</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1F">
            <w:pPr>
              <w:spacing w:after="100" w:lineRule="auto"/>
              <w:rPr>
                <w:sz w:val="20"/>
                <w:szCs w:val="20"/>
              </w:rPr>
            </w:pPr>
            <w:r w:rsidDel="00000000" w:rsidR="00000000" w:rsidRPr="00000000">
              <w:rPr>
                <w:sz w:val="20"/>
                <w:szCs w:val="20"/>
                <w:rtl w:val="0"/>
              </w:rPr>
              <w:t xml:space="preserve">Specialized AI/ML expertise may be difficult to retain for the full project period</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20">
            <w:pPr>
              <w:spacing w:after="100" w:lineRule="auto"/>
              <w:rPr>
                <w:sz w:val="20"/>
                <w:szCs w:val="20"/>
              </w:rPr>
            </w:pPr>
            <w:r w:rsidDel="00000000" w:rsidR="00000000" w:rsidRPr="00000000">
              <w:rPr>
                <w:sz w:val="20"/>
                <w:szCs w:val="20"/>
                <w:rtl w:val="0"/>
              </w:rPr>
              <w:t xml:space="preserve">Ensure model architecture and training pipeline are fully documented; cross-train at least two team members; maintain modular codebase; formal contractual agreement with contractors</w:t>
            </w:r>
          </w:p>
        </w:tc>
      </w:tr>
    </w:tbl>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80" w:lineRule="auto"/>
        <w:rPr>
          <w:b w:val="1"/>
          <w:bCs w:val="1"/>
        </w:rPr>
      </w:pPr>
      <w:r w:rsidDel="00000000" w:rsidR="00000000" w:rsidRPr="00000000">
        <w:rPr>
          <w:b w:val="1"/>
          <w:bCs w:val="1"/>
          <w:rtl w:val="0"/>
        </w:rPr>
        <w:t xml:space="preserve">Critical Checkpoints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95" w:hRule="atLeast"/>
          <w:tblHeader w:val="0"/>
        </w:trPr>
        <w:tc>
          <w:tcPr>
            <w:tcBorders>
              <w:top w:color="bdc3c7" w:space="0" w:sz="5" w:val="single"/>
              <w:left w:color="bdc3c7" w:space="0" w:sz="5" w:val="single"/>
              <w:bottom w:color="bdc3c7" w:space="0" w:sz="5" w:val="single"/>
              <w:right w:color="bdc3c7" w:space="0" w:sz="5" w:val="single"/>
            </w:tcBorders>
            <w:shd w:fill="2e6db4" w:val="clear"/>
            <w:tcMar>
              <w:top w:w="80.0" w:type="dxa"/>
              <w:left w:w="120.0" w:type="dxa"/>
              <w:bottom w:w="80.0" w:type="dxa"/>
              <w:right w:w="120.0" w:type="dxa"/>
            </w:tcMar>
            <w:vAlign w:val="top"/>
          </w:tcPr>
          <w:p w:rsidR="00000000" w:rsidDel="00000000" w:rsidP="00000000" w:rsidRDefault="00000000" w:rsidRPr="00000000" w14:paraId="00000023">
            <w:pPr>
              <w:spacing w:after="100" w:lineRule="auto"/>
              <w:rPr>
                <w:b w:val="1"/>
                <w:bCs w:val="1"/>
                <w:color w:val="ffffff"/>
                <w:sz w:val="20"/>
                <w:szCs w:val="20"/>
              </w:rPr>
            </w:pPr>
            <w:r w:rsidDel="00000000" w:rsidR="00000000" w:rsidRPr="00000000">
              <w:rPr>
                <w:b w:val="1"/>
                <w:bCs w:val="1"/>
                <w:color w:val="ffffff"/>
                <w:sz w:val="20"/>
                <w:szCs w:val="20"/>
                <w:rtl w:val="0"/>
              </w:rPr>
              <w:t xml:space="preserve">Checkpoints</w:t>
            </w:r>
          </w:p>
        </w:tc>
        <w:tc>
          <w:tcPr>
            <w:tcBorders>
              <w:top w:color="bdc3c7" w:space="0" w:sz="5" w:val="single"/>
              <w:left w:color="000000" w:space="0" w:sz="0" w:val="nil"/>
              <w:bottom w:color="bdc3c7" w:space="0" w:sz="5" w:val="single"/>
              <w:right w:color="bdc3c7" w:space="0" w:sz="5" w:val="single"/>
            </w:tcBorders>
            <w:shd w:fill="2e6db4" w:val="clear"/>
            <w:tcMar>
              <w:top w:w="80.0" w:type="dxa"/>
              <w:left w:w="120.0" w:type="dxa"/>
              <w:bottom w:w="80.0" w:type="dxa"/>
              <w:right w:w="120.0" w:type="dxa"/>
            </w:tcMar>
            <w:vAlign w:val="top"/>
          </w:tcPr>
          <w:p w:rsidR="00000000" w:rsidDel="00000000" w:rsidP="00000000" w:rsidRDefault="00000000" w:rsidRPr="00000000" w14:paraId="00000024">
            <w:pPr>
              <w:spacing w:after="100" w:lineRule="auto"/>
              <w:rPr>
                <w:color w:val="ffffff"/>
                <w:sz w:val="20"/>
                <w:szCs w:val="20"/>
              </w:rPr>
            </w:pPr>
            <w:r w:rsidDel="00000000" w:rsidR="00000000" w:rsidRPr="00000000">
              <w:rPr>
                <w:color w:val="ffffff"/>
                <w:sz w:val="20"/>
                <w:szCs w:val="20"/>
                <w:rtl w:val="0"/>
              </w:rPr>
              <w:t xml:space="preserve">Description and Target Date</w:t>
            </w:r>
          </w:p>
        </w:tc>
      </w:tr>
      <w:tr>
        <w:trPr>
          <w:cantSplit w:val="0"/>
          <w:trHeight w:val="705" w:hRule="atLeast"/>
          <w:tblHeader w:val="0"/>
        </w:trPr>
        <w:tc>
          <w:tcPr>
            <w:tcBorders>
              <w:top w:color="000000" w:space="0" w:sz="0" w:val="nil"/>
              <w:left w:color="bdc3c7" w:space="0" w:sz="5" w:val="single"/>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25">
            <w:pPr>
              <w:spacing w:after="100" w:lineRule="auto"/>
              <w:rPr>
                <w:sz w:val="20"/>
                <w:szCs w:val="20"/>
              </w:rPr>
            </w:pPr>
            <w:r w:rsidDel="00000000" w:rsidR="00000000" w:rsidRPr="00000000">
              <w:rPr>
                <w:sz w:val="20"/>
                <w:szCs w:val="20"/>
                <w:rtl w:val="0"/>
              </w:rPr>
              <w:t xml:space="preserve">C2a — Training Dataset Ready</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26">
            <w:pPr>
              <w:spacing w:after="100" w:lineRule="auto"/>
              <w:rPr>
                <w:sz w:val="20"/>
                <w:szCs w:val="20"/>
              </w:rPr>
            </w:pPr>
            <w:r w:rsidDel="00000000" w:rsidR="00000000" w:rsidRPr="00000000">
              <w:rPr>
                <w:sz w:val="20"/>
                <w:szCs w:val="20"/>
                <w:rtl w:val="0"/>
              </w:rPr>
              <w:t xml:space="preserve">Curated, labeled training dataset assembled and quality-checked. Target: end of Month 5.</w:t>
            </w:r>
          </w:p>
        </w:tc>
      </w:tr>
      <w:tr>
        <w:trPr>
          <w:cantSplit w:val="0"/>
          <w:trHeight w:val="7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100" w:lineRule="auto"/>
              <w:rPr>
                <w:sz w:val="20"/>
                <w:szCs w:val="20"/>
              </w:rPr>
            </w:pPr>
            <w:r w:rsidDel="00000000" w:rsidR="00000000" w:rsidRPr="00000000">
              <w:rPr>
                <w:sz w:val="20"/>
                <w:szCs w:val="20"/>
                <w:rtl w:val="0"/>
              </w:rPr>
              <w:t xml:space="preserve">C2b — Beta Model Validated</w:t>
            </w:r>
          </w:p>
        </w:tc>
        <w:tc>
          <w:tcPr>
            <w:tcBorders>
              <w:top w:color="000000" w:space="0" w:sz="0" w:val="nil"/>
              <w:left w:color="000000" w:space="0" w:sz="0" w:val="nil"/>
              <w:bottom w:color="bdc3c7" w:space="0" w:sz="5" w:val="single"/>
              <w:right w:color="bdc3c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100" w:lineRule="auto"/>
              <w:rPr>
                <w:sz w:val="20"/>
                <w:szCs w:val="20"/>
              </w:rPr>
            </w:pPr>
            <w:r w:rsidDel="00000000" w:rsidR="00000000" w:rsidRPr="00000000">
              <w:rPr>
                <w:sz w:val="20"/>
                <w:szCs w:val="20"/>
                <w:rtl w:val="0"/>
              </w:rPr>
              <w:t xml:space="preserve">AI model beta tested; performance report against held-out data completed. Target: end of Month 9.</w:t>
            </w:r>
          </w:p>
        </w:tc>
      </w:tr>
      <w:tr>
        <w:trPr>
          <w:cantSplit w:val="0"/>
          <w:trHeight w:val="705" w:hRule="atLeast"/>
          <w:tblHeader w:val="0"/>
        </w:trPr>
        <w:tc>
          <w:tcPr>
            <w:tcBorders>
              <w:top w:color="000000" w:space="0" w:sz="0" w:val="nil"/>
              <w:left w:color="bdc3c7" w:space="0" w:sz="5" w:val="single"/>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29">
            <w:pPr>
              <w:spacing w:after="100" w:lineRule="auto"/>
              <w:rPr>
                <w:sz w:val="20"/>
                <w:szCs w:val="20"/>
              </w:rPr>
            </w:pPr>
            <w:r w:rsidDel="00000000" w:rsidR="00000000" w:rsidRPr="00000000">
              <w:rPr>
                <w:sz w:val="20"/>
                <w:szCs w:val="20"/>
                <w:rtl w:val="0"/>
              </w:rPr>
              <w:t xml:space="preserve">C3 — WCC Updated &amp; Pipeline Live</w:t>
            </w:r>
          </w:p>
        </w:tc>
        <w:tc>
          <w:tcPr>
            <w:tcBorders>
              <w:top w:color="000000" w:space="0" w:sz="0" w:val="nil"/>
              <w:left w:color="000000" w:space="0" w:sz="0" w:val="nil"/>
              <w:bottom w:color="bdc3c7" w:space="0" w:sz="5" w:val="single"/>
              <w:right w:color="bdc3c7" w:space="0" w:sz="5" w:val="single"/>
            </w:tcBorders>
            <w:shd w:fill="f2f4f4" w:val="clear"/>
            <w:tcMar>
              <w:top w:w="80.0" w:type="dxa"/>
              <w:left w:w="120.0" w:type="dxa"/>
              <w:bottom w:w="80.0" w:type="dxa"/>
              <w:right w:w="120.0" w:type="dxa"/>
            </w:tcMar>
            <w:vAlign w:val="top"/>
          </w:tcPr>
          <w:p w:rsidR="00000000" w:rsidDel="00000000" w:rsidP="00000000" w:rsidRDefault="00000000" w:rsidRPr="00000000" w14:paraId="0000002A">
            <w:pPr>
              <w:spacing w:after="100" w:lineRule="auto"/>
              <w:rPr>
                <w:sz w:val="20"/>
                <w:szCs w:val="20"/>
              </w:rPr>
            </w:pPr>
            <w:r w:rsidDel="00000000" w:rsidR="00000000" w:rsidRPr="00000000">
              <w:rPr>
                <w:sz w:val="20"/>
                <w:szCs w:val="20"/>
                <w:rtl w:val="0"/>
              </w:rPr>
              <w:t xml:space="preserve">Updated WCC database published; AI classification pipeline operational; validation report finalized. Target: end of Month 12.</w:t>
            </w:r>
          </w:p>
        </w:tc>
      </w:tr>
    </w:tbl>
    <w:p w:rsidR="00000000" w:rsidDel="00000000" w:rsidP="00000000" w:rsidRDefault="00000000" w:rsidRPr="00000000" w14:paraId="0000002B">
      <w:pPr>
        <w:spacing w:after="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Work Sans Medium" w:cs="Work Sans Medium" w:eastAsia="Work Sans Medium" w:hAnsi="Work Sans Medium"/>
      <w:color w:val="119178"/>
      <w:sz w:val="28"/>
      <w:szCs w:val="28"/>
    </w:rPr>
  </w:style>
  <w:style w:type="paragraph" w:styleId="Heading2">
    <w:name w:val="heading 2"/>
    <w:basedOn w:val="Normal"/>
    <w:next w:val="Normal"/>
    <w:pPr>
      <w:keepNext w:val="1"/>
      <w:keepLines w:val="1"/>
      <w:spacing w:line="240" w:lineRule="auto"/>
      <w:jc w:val="both"/>
    </w:pPr>
    <w:rPr>
      <w:rFonts w:ascii="Work Sans Medium" w:cs="Work Sans Medium" w:eastAsia="Work Sans Medium" w:hAnsi="Work Sans Medium"/>
      <w:color w:val="154475"/>
      <w:sz w:val="28"/>
      <w:szCs w:val="28"/>
    </w:rPr>
  </w:style>
  <w:style w:type="paragraph" w:styleId="Heading3">
    <w:name w:val="heading 3"/>
    <w:basedOn w:val="Normal"/>
    <w:next w:val="Normal"/>
    <w:pPr>
      <w:keepNext w:val="1"/>
      <w:keepLines w:val="1"/>
      <w:spacing w:after="80" w:line="240" w:lineRule="auto"/>
      <w:jc w:val="both"/>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Ubuntu" w:cs="Ubuntu" w:eastAsia="Ubuntu" w:hAnsi="Ubuntu"/>
      <w:b w:val="1"/>
      <w:bCs w:val="1"/>
      <w:color w:val="154475"/>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WorkSansMedium-regular.ttf"/><Relationship Id="rId6" Type="http://schemas.openxmlformats.org/officeDocument/2006/relationships/font" Target="fonts/WorkSansMedium-bold.ttf"/><Relationship Id="rId7" Type="http://schemas.openxmlformats.org/officeDocument/2006/relationships/font" Target="fonts/WorkSansMedium-italic.ttf"/><Relationship Id="rId8" Type="http://schemas.openxmlformats.org/officeDocument/2006/relationships/font" Target="fonts/Work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